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293EF" w14:textId="77777777" w:rsidR="004D6E6B" w:rsidRPr="00D058C1" w:rsidRDefault="004D6E6B" w:rsidP="007B3EF6">
      <w:pPr>
        <w:rPr>
          <w:rFonts w:ascii="Cambria" w:hAnsi="Cambria"/>
          <w:b/>
        </w:rPr>
      </w:pPr>
      <w:bookmarkStart w:id="0" w:name="_GoBack"/>
      <w:bookmarkEnd w:id="0"/>
    </w:p>
    <w:p w14:paraId="43E8C273" w14:textId="21A955C3" w:rsidR="00D07C51" w:rsidRPr="00D058C1" w:rsidRDefault="007B3EF6" w:rsidP="00D07C51">
      <w:pPr>
        <w:jc w:val="center"/>
        <w:rPr>
          <w:rFonts w:ascii="Cambria" w:hAnsi="Cambria"/>
          <w:b/>
        </w:rPr>
      </w:pPr>
      <w:r w:rsidRPr="00D058C1">
        <w:rPr>
          <w:rFonts w:ascii="Cambria" w:hAnsi="Cambria"/>
          <w:b/>
        </w:rPr>
        <w:t>Strategic Review of Australia’s Support for Peace</w:t>
      </w:r>
      <w:r w:rsidR="006531F6" w:rsidRPr="00D058C1">
        <w:rPr>
          <w:rFonts w:ascii="Cambria" w:hAnsi="Cambria"/>
          <w:b/>
        </w:rPr>
        <w:t>building</w:t>
      </w:r>
    </w:p>
    <w:p w14:paraId="784BD435" w14:textId="10FEFD5E" w:rsidR="006531F6" w:rsidRPr="00D058C1" w:rsidRDefault="006531F6" w:rsidP="00D07C51">
      <w:pPr>
        <w:jc w:val="center"/>
        <w:rPr>
          <w:rFonts w:ascii="Cambria" w:hAnsi="Cambria"/>
          <w:b/>
        </w:rPr>
      </w:pPr>
      <w:r w:rsidRPr="00D058C1">
        <w:rPr>
          <w:rFonts w:ascii="Cambria" w:hAnsi="Cambria"/>
          <w:b/>
        </w:rPr>
        <w:t>in Conflict-Affected Mindanao</w:t>
      </w:r>
    </w:p>
    <w:p w14:paraId="5378A1AC" w14:textId="77777777" w:rsidR="00D07C51" w:rsidRPr="00D058C1" w:rsidRDefault="00D07C51" w:rsidP="00D07C51">
      <w:pPr>
        <w:jc w:val="center"/>
        <w:rPr>
          <w:rFonts w:ascii="Cambria" w:hAnsi="Cambria"/>
          <w:b/>
        </w:rPr>
      </w:pPr>
    </w:p>
    <w:p w14:paraId="55DF32E7" w14:textId="69C6B372" w:rsidR="00D07C51" w:rsidRPr="00D058C1" w:rsidRDefault="00D07C51" w:rsidP="00D07C51">
      <w:pPr>
        <w:jc w:val="center"/>
        <w:rPr>
          <w:rFonts w:ascii="Cambria" w:hAnsi="Cambria"/>
          <w:b/>
        </w:rPr>
      </w:pPr>
      <w:r w:rsidRPr="00D058C1">
        <w:rPr>
          <w:rFonts w:ascii="Cambria" w:hAnsi="Cambria"/>
          <w:b/>
        </w:rPr>
        <w:t>Review Mission</w:t>
      </w:r>
      <w:r w:rsidR="007B3EF6" w:rsidRPr="00D058C1">
        <w:rPr>
          <w:rFonts w:ascii="Cambria" w:hAnsi="Cambria"/>
          <w:b/>
        </w:rPr>
        <w:t xml:space="preserve"> Findings</w:t>
      </w:r>
    </w:p>
    <w:p w14:paraId="23858AF8" w14:textId="06212503" w:rsidR="00C33AE3" w:rsidRPr="00D058C1" w:rsidRDefault="00C33AE3" w:rsidP="00B16C08">
      <w:pPr>
        <w:rPr>
          <w:rFonts w:ascii="Cambria" w:hAnsi="Cambria"/>
          <w:b/>
        </w:rPr>
      </w:pPr>
    </w:p>
    <w:p w14:paraId="40958B34" w14:textId="6F7F9D1D" w:rsidR="00024FED" w:rsidRPr="00D058C1" w:rsidRDefault="00BC5895" w:rsidP="00024FED">
      <w:pPr>
        <w:jc w:val="center"/>
        <w:rPr>
          <w:rFonts w:ascii="Cambria" w:hAnsi="Cambria"/>
          <w:bCs/>
        </w:rPr>
      </w:pPr>
      <w:r>
        <w:rPr>
          <w:rFonts w:ascii="Cambria" w:hAnsi="Cambria"/>
          <w:bCs/>
        </w:rPr>
        <w:t>2</w:t>
      </w:r>
      <w:r w:rsidR="00AE0B1E">
        <w:rPr>
          <w:rFonts w:ascii="Cambria" w:hAnsi="Cambria"/>
          <w:bCs/>
        </w:rPr>
        <w:t>2</w:t>
      </w:r>
      <w:r w:rsidR="00E30466" w:rsidRPr="00D058C1">
        <w:rPr>
          <w:rFonts w:ascii="Cambria" w:hAnsi="Cambria"/>
          <w:bCs/>
        </w:rPr>
        <w:t xml:space="preserve"> </w:t>
      </w:r>
      <w:r w:rsidR="00024FED" w:rsidRPr="00D058C1">
        <w:rPr>
          <w:rFonts w:ascii="Cambria" w:hAnsi="Cambria"/>
          <w:bCs/>
        </w:rPr>
        <w:t>M</w:t>
      </w:r>
      <w:r w:rsidR="004620B2">
        <w:rPr>
          <w:rFonts w:ascii="Cambria" w:hAnsi="Cambria"/>
          <w:bCs/>
        </w:rPr>
        <w:t>ay</w:t>
      </w:r>
      <w:r w:rsidR="00024FED" w:rsidRPr="00D058C1">
        <w:rPr>
          <w:rFonts w:ascii="Cambria" w:hAnsi="Cambria"/>
          <w:bCs/>
        </w:rPr>
        <w:t xml:space="preserve"> 2020</w:t>
      </w:r>
    </w:p>
    <w:p w14:paraId="3DC49B01" w14:textId="77777777" w:rsidR="00024FED" w:rsidRPr="00D058C1" w:rsidRDefault="00024FED" w:rsidP="00024FED">
      <w:pPr>
        <w:jc w:val="center"/>
        <w:rPr>
          <w:rFonts w:ascii="Cambria" w:hAnsi="Cambria"/>
          <w:b/>
        </w:rPr>
      </w:pPr>
    </w:p>
    <w:p w14:paraId="08832B28" w14:textId="4CD0B17F" w:rsidR="0018295F" w:rsidRPr="00D058C1" w:rsidRDefault="0018295F" w:rsidP="00D07C51">
      <w:pPr>
        <w:jc w:val="center"/>
        <w:rPr>
          <w:rFonts w:ascii="Cambria" w:hAnsi="Cambria"/>
          <w:b/>
        </w:rPr>
      </w:pPr>
    </w:p>
    <w:p w14:paraId="7D3630D8" w14:textId="42D8D08F" w:rsidR="00193062" w:rsidRDefault="00193062" w:rsidP="00D07C51">
      <w:pPr>
        <w:jc w:val="center"/>
        <w:rPr>
          <w:rFonts w:ascii="Cambria" w:hAnsi="Cambria"/>
          <w:b/>
        </w:rPr>
      </w:pPr>
      <w:r w:rsidRPr="00D058C1">
        <w:rPr>
          <w:rFonts w:ascii="Cambria" w:hAnsi="Cambria"/>
          <w:b/>
        </w:rPr>
        <w:t>Table of Contents</w:t>
      </w:r>
    </w:p>
    <w:p w14:paraId="12C5DB03" w14:textId="77777777" w:rsidR="004E109E" w:rsidRDefault="004E109E" w:rsidP="00D07C51">
      <w:pPr>
        <w:jc w:val="center"/>
        <w:rPr>
          <w:rFonts w:ascii="Cambria" w:hAnsi="Cambria"/>
          <w:b/>
        </w:rPr>
      </w:pPr>
    </w:p>
    <w:p w14:paraId="5DE85BD4" w14:textId="77777777" w:rsidR="00193062" w:rsidRPr="00D058C1" w:rsidRDefault="00193062" w:rsidP="00D82035">
      <w:pPr>
        <w:rPr>
          <w:rFonts w:ascii="Cambria" w:hAnsi="Cambria"/>
          <w:b/>
        </w:rPr>
      </w:pPr>
    </w:p>
    <w:p w14:paraId="1F53C038" w14:textId="1A9480D3" w:rsidR="003D727D" w:rsidRDefault="00CE5922">
      <w:pPr>
        <w:pStyle w:val="TOC1"/>
        <w:rPr>
          <w:rFonts w:asciiTheme="minorHAnsi" w:eastAsiaTheme="minorEastAsia" w:hAnsiTheme="minorHAnsi" w:cstheme="minorBidi"/>
          <w:b w:val="0"/>
          <w:bCs w:val="0"/>
          <w:caps w:val="0"/>
          <w:noProof/>
          <w:sz w:val="22"/>
          <w:szCs w:val="22"/>
          <w:lang w:val="en-AU" w:eastAsia="en-AU"/>
        </w:rPr>
      </w:pPr>
      <w:r w:rsidRPr="00D058C1">
        <w:rPr>
          <w:rFonts w:ascii="Cambria" w:hAnsi="Cambria"/>
        </w:rPr>
        <w:fldChar w:fldCharType="begin"/>
      </w:r>
      <w:r w:rsidRPr="00D058C1">
        <w:rPr>
          <w:rFonts w:ascii="Cambria" w:hAnsi="Cambria"/>
        </w:rPr>
        <w:instrText xml:space="preserve"> TOC \o "1-3" \h \z \u </w:instrText>
      </w:r>
      <w:r w:rsidRPr="00D058C1">
        <w:rPr>
          <w:rFonts w:ascii="Cambria" w:hAnsi="Cambria"/>
        </w:rPr>
        <w:fldChar w:fldCharType="separate"/>
      </w:r>
      <w:hyperlink w:anchor="_Toc55309666" w:history="1">
        <w:r w:rsidR="003D727D" w:rsidRPr="0038106E">
          <w:rPr>
            <w:rStyle w:val="Hyperlink"/>
            <w:rFonts w:ascii="Cambria" w:hAnsi="Cambria"/>
            <w:noProof/>
          </w:rPr>
          <w:t>List of Acronyms</w:t>
        </w:r>
        <w:r w:rsidR="003D727D">
          <w:rPr>
            <w:noProof/>
            <w:webHidden/>
          </w:rPr>
          <w:tab/>
        </w:r>
        <w:r w:rsidR="003D727D">
          <w:rPr>
            <w:noProof/>
            <w:webHidden/>
          </w:rPr>
          <w:fldChar w:fldCharType="begin"/>
        </w:r>
        <w:r w:rsidR="003D727D">
          <w:rPr>
            <w:noProof/>
            <w:webHidden/>
          </w:rPr>
          <w:instrText xml:space="preserve"> PAGEREF _Toc55309666 \h </w:instrText>
        </w:r>
        <w:r w:rsidR="003D727D">
          <w:rPr>
            <w:noProof/>
            <w:webHidden/>
          </w:rPr>
        </w:r>
        <w:r w:rsidR="003D727D">
          <w:rPr>
            <w:noProof/>
            <w:webHidden/>
          </w:rPr>
          <w:fldChar w:fldCharType="separate"/>
        </w:r>
        <w:r w:rsidR="003D727D">
          <w:rPr>
            <w:noProof/>
            <w:webHidden/>
          </w:rPr>
          <w:t>2</w:t>
        </w:r>
        <w:r w:rsidR="003D727D">
          <w:rPr>
            <w:noProof/>
            <w:webHidden/>
          </w:rPr>
          <w:fldChar w:fldCharType="end"/>
        </w:r>
      </w:hyperlink>
    </w:p>
    <w:p w14:paraId="6B01E202" w14:textId="78D18459"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67" w:history="1">
        <w:r w:rsidR="003D727D" w:rsidRPr="0038106E">
          <w:rPr>
            <w:rStyle w:val="Hyperlink"/>
            <w:rFonts w:ascii="Cambria" w:hAnsi="Cambria"/>
            <w:noProof/>
          </w:rPr>
          <w:t>Executive Summary</w:t>
        </w:r>
        <w:r w:rsidR="003D727D">
          <w:rPr>
            <w:noProof/>
            <w:webHidden/>
          </w:rPr>
          <w:tab/>
        </w:r>
        <w:r w:rsidR="003D727D">
          <w:rPr>
            <w:noProof/>
            <w:webHidden/>
          </w:rPr>
          <w:fldChar w:fldCharType="begin"/>
        </w:r>
        <w:r w:rsidR="003D727D">
          <w:rPr>
            <w:noProof/>
            <w:webHidden/>
          </w:rPr>
          <w:instrText xml:space="preserve"> PAGEREF _Toc55309667 \h </w:instrText>
        </w:r>
        <w:r w:rsidR="003D727D">
          <w:rPr>
            <w:noProof/>
            <w:webHidden/>
          </w:rPr>
        </w:r>
        <w:r w:rsidR="003D727D">
          <w:rPr>
            <w:noProof/>
            <w:webHidden/>
          </w:rPr>
          <w:fldChar w:fldCharType="separate"/>
        </w:r>
        <w:r w:rsidR="003D727D">
          <w:rPr>
            <w:noProof/>
            <w:webHidden/>
          </w:rPr>
          <w:t>4</w:t>
        </w:r>
        <w:r w:rsidR="003D727D">
          <w:rPr>
            <w:noProof/>
            <w:webHidden/>
          </w:rPr>
          <w:fldChar w:fldCharType="end"/>
        </w:r>
      </w:hyperlink>
    </w:p>
    <w:p w14:paraId="4248535F" w14:textId="58E87E03"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68" w:history="1">
        <w:r w:rsidR="003D727D" w:rsidRPr="0038106E">
          <w:rPr>
            <w:rStyle w:val="Hyperlink"/>
            <w:rFonts w:ascii="Cambria" w:hAnsi="Cambria"/>
            <w:noProof/>
          </w:rPr>
          <w:t>I.</w:t>
        </w:r>
        <w:r w:rsidR="003D727D">
          <w:rPr>
            <w:rFonts w:asciiTheme="minorHAnsi" w:eastAsiaTheme="minorEastAsia" w:hAnsiTheme="minorHAnsi" w:cstheme="minorBidi"/>
            <w:b w:val="0"/>
            <w:bCs w:val="0"/>
            <w:caps w:val="0"/>
            <w:noProof/>
            <w:sz w:val="22"/>
            <w:szCs w:val="22"/>
            <w:lang w:val="en-AU" w:eastAsia="en-AU"/>
          </w:rPr>
          <w:tab/>
        </w:r>
        <w:r w:rsidR="003D727D" w:rsidRPr="0038106E">
          <w:rPr>
            <w:rStyle w:val="Hyperlink"/>
            <w:rFonts w:ascii="Cambria" w:hAnsi="Cambria"/>
            <w:noProof/>
          </w:rPr>
          <w:t>BACKGROUND</w:t>
        </w:r>
        <w:r w:rsidR="003D727D">
          <w:rPr>
            <w:noProof/>
            <w:webHidden/>
          </w:rPr>
          <w:tab/>
        </w:r>
        <w:r w:rsidR="003D727D">
          <w:rPr>
            <w:noProof/>
            <w:webHidden/>
          </w:rPr>
          <w:fldChar w:fldCharType="begin"/>
        </w:r>
        <w:r w:rsidR="003D727D">
          <w:rPr>
            <w:noProof/>
            <w:webHidden/>
          </w:rPr>
          <w:instrText xml:space="preserve"> PAGEREF _Toc55309668 \h </w:instrText>
        </w:r>
        <w:r w:rsidR="003D727D">
          <w:rPr>
            <w:noProof/>
            <w:webHidden/>
          </w:rPr>
        </w:r>
        <w:r w:rsidR="003D727D">
          <w:rPr>
            <w:noProof/>
            <w:webHidden/>
          </w:rPr>
          <w:fldChar w:fldCharType="separate"/>
        </w:r>
        <w:r w:rsidR="003D727D">
          <w:rPr>
            <w:noProof/>
            <w:webHidden/>
          </w:rPr>
          <w:t>11</w:t>
        </w:r>
        <w:r w:rsidR="003D727D">
          <w:rPr>
            <w:noProof/>
            <w:webHidden/>
          </w:rPr>
          <w:fldChar w:fldCharType="end"/>
        </w:r>
      </w:hyperlink>
    </w:p>
    <w:p w14:paraId="6BB34C09" w14:textId="72468E75"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69" w:history="1">
        <w:r w:rsidR="003D727D" w:rsidRPr="0038106E">
          <w:rPr>
            <w:rStyle w:val="Hyperlink"/>
            <w:rFonts w:ascii="Cambria" w:hAnsi="Cambria"/>
            <w:noProof/>
          </w:rPr>
          <w:t xml:space="preserve">II.  </w:t>
        </w:r>
        <w:r w:rsidR="003D727D">
          <w:rPr>
            <w:rFonts w:asciiTheme="minorHAnsi" w:eastAsiaTheme="minorEastAsia" w:hAnsiTheme="minorHAnsi" w:cstheme="minorBidi"/>
            <w:b w:val="0"/>
            <w:bCs w:val="0"/>
            <w:caps w:val="0"/>
            <w:noProof/>
            <w:sz w:val="22"/>
            <w:szCs w:val="22"/>
            <w:lang w:val="en-AU" w:eastAsia="en-AU"/>
          </w:rPr>
          <w:tab/>
        </w:r>
        <w:r w:rsidR="003D727D" w:rsidRPr="0038106E">
          <w:rPr>
            <w:rStyle w:val="Hyperlink"/>
            <w:rFonts w:ascii="Cambria" w:hAnsi="Cambria"/>
            <w:noProof/>
          </w:rPr>
          <w:t>Mission Findings</w:t>
        </w:r>
        <w:r w:rsidR="003D727D">
          <w:rPr>
            <w:noProof/>
            <w:webHidden/>
          </w:rPr>
          <w:tab/>
        </w:r>
        <w:r w:rsidR="003D727D">
          <w:rPr>
            <w:noProof/>
            <w:webHidden/>
          </w:rPr>
          <w:fldChar w:fldCharType="begin"/>
        </w:r>
        <w:r w:rsidR="003D727D">
          <w:rPr>
            <w:noProof/>
            <w:webHidden/>
          </w:rPr>
          <w:instrText xml:space="preserve"> PAGEREF _Toc55309669 \h </w:instrText>
        </w:r>
        <w:r w:rsidR="003D727D">
          <w:rPr>
            <w:noProof/>
            <w:webHidden/>
          </w:rPr>
        </w:r>
        <w:r w:rsidR="003D727D">
          <w:rPr>
            <w:noProof/>
            <w:webHidden/>
          </w:rPr>
          <w:fldChar w:fldCharType="separate"/>
        </w:r>
        <w:r w:rsidR="003D727D">
          <w:rPr>
            <w:noProof/>
            <w:webHidden/>
          </w:rPr>
          <w:t>12</w:t>
        </w:r>
        <w:r w:rsidR="003D727D">
          <w:rPr>
            <w:noProof/>
            <w:webHidden/>
          </w:rPr>
          <w:fldChar w:fldCharType="end"/>
        </w:r>
      </w:hyperlink>
    </w:p>
    <w:p w14:paraId="5878DE05" w14:textId="657E14EE"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70" w:history="1">
        <w:r w:rsidR="003D727D" w:rsidRPr="0038106E">
          <w:rPr>
            <w:rStyle w:val="Hyperlink"/>
            <w:rFonts w:ascii="Cambria" w:hAnsi="Cambria"/>
            <w:b/>
            <w:i/>
            <w:iCs/>
            <w:noProof/>
          </w:rPr>
          <w:t>On Effectiveness</w:t>
        </w:r>
        <w:r w:rsidR="003D727D">
          <w:rPr>
            <w:noProof/>
            <w:webHidden/>
          </w:rPr>
          <w:tab/>
        </w:r>
        <w:r w:rsidR="003D727D">
          <w:rPr>
            <w:noProof/>
            <w:webHidden/>
          </w:rPr>
          <w:fldChar w:fldCharType="begin"/>
        </w:r>
        <w:r w:rsidR="003D727D">
          <w:rPr>
            <w:noProof/>
            <w:webHidden/>
          </w:rPr>
          <w:instrText xml:space="preserve"> PAGEREF _Toc55309670 \h </w:instrText>
        </w:r>
        <w:r w:rsidR="003D727D">
          <w:rPr>
            <w:noProof/>
            <w:webHidden/>
          </w:rPr>
        </w:r>
        <w:r w:rsidR="003D727D">
          <w:rPr>
            <w:noProof/>
            <w:webHidden/>
          </w:rPr>
          <w:fldChar w:fldCharType="separate"/>
        </w:r>
        <w:r w:rsidR="003D727D">
          <w:rPr>
            <w:noProof/>
            <w:webHidden/>
          </w:rPr>
          <w:t>12</w:t>
        </w:r>
        <w:r w:rsidR="003D727D">
          <w:rPr>
            <w:noProof/>
            <w:webHidden/>
          </w:rPr>
          <w:fldChar w:fldCharType="end"/>
        </w:r>
      </w:hyperlink>
    </w:p>
    <w:p w14:paraId="2FEA3D42" w14:textId="249F5FE2"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1" w:history="1">
        <w:r w:rsidR="003D727D" w:rsidRPr="0038106E">
          <w:rPr>
            <w:rStyle w:val="Hyperlink"/>
            <w:rFonts w:ascii="Cambria" w:hAnsi="Cambria"/>
            <w:bCs/>
            <w:noProof/>
          </w:rPr>
          <w:t xml:space="preserve">A. Attaining </w:t>
        </w:r>
        <w:r w:rsidR="003D727D" w:rsidRPr="0038106E">
          <w:rPr>
            <w:rStyle w:val="Hyperlink"/>
            <w:rFonts w:ascii="Cambria" w:hAnsi="Cambria"/>
            <w:noProof/>
          </w:rPr>
          <w:t>objectives and adjusting to the changing context</w:t>
        </w:r>
        <w:r w:rsidR="003D727D">
          <w:rPr>
            <w:noProof/>
            <w:webHidden/>
          </w:rPr>
          <w:tab/>
        </w:r>
        <w:r w:rsidR="003D727D">
          <w:rPr>
            <w:noProof/>
            <w:webHidden/>
          </w:rPr>
          <w:fldChar w:fldCharType="begin"/>
        </w:r>
        <w:r w:rsidR="003D727D">
          <w:rPr>
            <w:noProof/>
            <w:webHidden/>
          </w:rPr>
          <w:instrText xml:space="preserve"> PAGEREF _Toc55309671 \h </w:instrText>
        </w:r>
        <w:r w:rsidR="003D727D">
          <w:rPr>
            <w:noProof/>
            <w:webHidden/>
          </w:rPr>
        </w:r>
        <w:r w:rsidR="003D727D">
          <w:rPr>
            <w:noProof/>
            <w:webHidden/>
          </w:rPr>
          <w:fldChar w:fldCharType="separate"/>
        </w:r>
        <w:r w:rsidR="003D727D">
          <w:rPr>
            <w:noProof/>
            <w:webHidden/>
          </w:rPr>
          <w:t>12</w:t>
        </w:r>
        <w:r w:rsidR="003D727D">
          <w:rPr>
            <w:noProof/>
            <w:webHidden/>
          </w:rPr>
          <w:fldChar w:fldCharType="end"/>
        </w:r>
      </w:hyperlink>
    </w:p>
    <w:p w14:paraId="483CE5D7" w14:textId="37857F64"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2" w:history="1">
        <w:r w:rsidR="003D727D" w:rsidRPr="0038106E">
          <w:rPr>
            <w:rStyle w:val="Hyperlink"/>
            <w:rFonts w:ascii="Cambria" w:hAnsi="Cambria"/>
            <w:noProof/>
          </w:rPr>
          <w:t>B. Addressing drivers of conflict and violence</w:t>
        </w:r>
        <w:r w:rsidR="003D727D">
          <w:rPr>
            <w:noProof/>
            <w:webHidden/>
          </w:rPr>
          <w:tab/>
        </w:r>
        <w:r w:rsidR="003D727D">
          <w:rPr>
            <w:noProof/>
            <w:webHidden/>
          </w:rPr>
          <w:fldChar w:fldCharType="begin"/>
        </w:r>
        <w:r w:rsidR="003D727D">
          <w:rPr>
            <w:noProof/>
            <w:webHidden/>
          </w:rPr>
          <w:instrText xml:space="preserve"> PAGEREF _Toc55309672 \h </w:instrText>
        </w:r>
        <w:r w:rsidR="003D727D">
          <w:rPr>
            <w:noProof/>
            <w:webHidden/>
          </w:rPr>
        </w:r>
        <w:r w:rsidR="003D727D">
          <w:rPr>
            <w:noProof/>
            <w:webHidden/>
          </w:rPr>
          <w:fldChar w:fldCharType="separate"/>
        </w:r>
        <w:r w:rsidR="003D727D">
          <w:rPr>
            <w:noProof/>
            <w:webHidden/>
          </w:rPr>
          <w:t>13</w:t>
        </w:r>
        <w:r w:rsidR="003D727D">
          <w:rPr>
            <w:noProof/>
            <w:webHidden/>
          </w:rPr>
          <w:fldChar w:fldCharType="end"/>
        </w:r>
      </w:hyperlink>
    </w:p>
    <w:p w14:paraId="634A5347" w14:textId="7D3F9130"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3" w:history="1">
        <w:r w:rsidR="003D727D" w:rsidRPr="0038106E">
          <w:rPr>
            <w:rStyle w:val="Hyperlink"/>
            <w:rFonts w:ascii="Cambria" w:hAnsi="Cambria"/>
            <w:noProof/>
          </w:rPr>
          <w:t>C. Benefits and costs of flexibility</w:t>
        </w:r>
        <w:r w:rsidR="003D727D">
          <w:rPr>
            <w:noProof/>
            <w:webHidden/>
          </w:rPr>
          <w:tab/>
        </w:r>
        <w:r w:rsidR="003D727D">
          <w:rPr>
            <w:noProof/>
            <w:webHidden/>
          </w:rPr>
          <w:fldChar w:fldCharType="begin"/>
        </w:r>
        <w:r w:rsidR="003D727D">
          <w:rPr>
            <w:noProof/>
            <w:webHidden/>
          </w:rPr>
          <w:instrText xml:space="preserve"> PAGEREF _Toc55309673 \h </w:instrText>
        </w:r>
        <w:r w:rsidR="003D727D">
          <w:rPr>
            <w:noProof/>
            <w:webHidden/>
          </w:rPr>
        </w:r>
        <w:r w:rsidR="003D727D">
          <w:rPr>
            <w:noProof/>
            <w:webHidden/>
          </w:rPr>
          <w:fldChar w:fldCharType="separate"/>
        </w:r>
        <w:r w:rsidR="003D727D">
          <w:rPr>
            <w:noProof/>
            <w:webHidden/>
          </w:rPr>
          <w:t>14</w:t>
        </w:r>
        <w:r w:rsidR="003D727D">
          <w:rPr>
            <w:noProof/>
            <w:webHidden/>
          </w:rPr>
          <w:fldChar w:fldCharType="end"/>
        </w:r>
      </w:hyperlink>
    </w:p>
    <w:p w14:paraId="3569B365" w14:textId="0E3AC343"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4" w:history="1">
        <w:r w:rsidR="003D727D" w:rsidRPr="0038106E">
          <w:rPr>
            <w:rStyle w:val="Hyperlink"/>
            <w:rFonts w:ascii="Cambria" w:hAnsi="Cambria"/>
            <w:noProof/>
          </w:rPr>
          <w:t>D. Impact of research on policies and programs</w:t>
        </w:r>
        <w:r w:rsidR="003D727D">
          <w:rPr>
            <w:noProof/>
            <w:webHidden/>
          </w:rPr>
          <w:tab/>
        </w:r>
        <w:r w:rsidR="003D727D">
          <w:rPr>
            <w:noProof/>
            <w:webHidden/>
          </w:rPr>
          <w:fldChar w:fldCharType="begin"/>
        </w:r>
        <w:r w:rsidR="003D727D">
          <w:rPr>
            <w:noProof/>
            <w:webHidden/>
          </w:rPr>
          <w:instrText xml:space="preserve"> PAGEREF _Toc55309674 \h </w:instrText>
        </w:r>
        <w:r w:rsidR="003D727D">
          <w:rPr>
            <w:noProof/>
            <w:webHidden/>
          </w:rPr>
        </w:r>
        <w:r w:rsidR="003D727D">
          <w:rPr>
            <w:noProof/>
            <w:webHidden/>
          </w:rPr>
          <w:fldChar w:fldCharType="separate"/>
        </w:r>
        <w:r w:rsidR="003D727D">
          <w:rPr>
            <w:noProof/>
            <w:webHidden/>
          </w:rPr>
          <w:t>15</w:t>
        </w:r>
        <w:r w:rsidR="003D727D">
          <w:rPr>
            <w:noProof/>
            <w:webHidden/>
          </w:rPr>
          <w:fldChar w:fldCharType="end"/>
        </w:r>
      </w:hyperlink>
    </w:p>
    <w:p w14:paraId="3313F30C" w14:textId="05D2631C"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5" w:history="1">
        <w:r w:rsidR="003D727D" w:rsidRPr="0038106E">
          <w:rPr>
            <w:rStyle w:val="Hyperlink"/>
            <w:rFonts w:ascii="Cambria" w:hAnsi="Cambria"/>
            <w:noProof/>
          </w:rPr>
          <w:t>E.  Alignment with other Australian assistance in Mindanao</w:t>
        </w:r>
        <w:r w:rsidR="003D727D">
          <w:rPr>
            <w:noProof/>
            <w:webHidden/>
          </w:rPr>
          <w:tab/>
        </w:r>
        <w:r w:rsidR="003D727D">
          <w:rPr>
            <w:noProof/>
            <w:webHidden/>
          </w:rPr>
          <w:fldChar w:fldCharType="begin"/>
        </w:r>
        <w:r w:rsidR="003D727D">
          <w:rPr>
            <w:noProof/>
            <w:webHidden/>
          </w:rPr>
          <w:instrText xml:space="preserve"> PAGEREF _Toc55309675 \h </w:instrText>
        </w:r>
        <w:r w:rsidR="003D727D">
          <w:rPr>
            <w:noProof/>
            <w:webHidden/>
          </w:rPr>
        </w:r>
        <w:r w:rsidR="003D727D">
          <w:rPr>
            <w:noProof/>
            <w:webHidden/>
          </w:rPr>
          <w:fldChar w:fldCharType="separate"/>
        </w:r>
        <w:r w:rsidR="003D727D">
          <w:rPr>
            <w:noProof/>
            <w:webHidden/>
          </w:rPr>
          <w:t>15</w:t>
        </w:r>
        <w:r w:rsidR="003D727D">
          <w:rPr>
            <w:noProof/>
            <w:webHidden/>
          </w:rPr>
          <w:fldChar w:fldCharType="end"/>
        </w:r>
      </w:hyperlink>
    </w:p>
    <w:p w14:paraId="1F5FE688" w14:textId="245FF28D"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76" w:history="1">
        <w:r w:rsidR="003D727D" w:rsidRPr="0038106E">
          <w:rPr>
            <w:rStyle w:val="Hyperlink"/>
            <w:rFonts w:ascii="Cambria" w:hAnsi="Cambria"/>
            <w:b/>
            <w:bCs/>
            <w:i/>
            <w:iCs/>
            <w:noProof/>
          </w:rPr>
          <w:t>On Efficiency</w:t>
        </w:r>
        <w:r w:rsidR="003D727D">
          <w:rPr>
            <w:noProof/>
            <w:webHidden/>
          </w:rPr>
          <w:tab/>
        </w:r>
        <w:r w:rsidR="003D727D">
          <w:rPr>
            <w:noProof/>
            <w:webHidden/>
          </w:rPr>
          <w:fldChar w:fldCharType="begin"/>
        </w:r>
        <w:r w:rsidR="003D727D">
          <w:rPr>
            <w:noProof/>
            <w:webHidden/>
          </w:rPr>
          <w:instrText xml:space="preserve"> PAGEREF _Toc55309676 \h </w:instrText>
        </w:r>
        <w:r w:rsidR="003D727D">
          <w:rPr>
            <w:noProof/>
            <w:webHidden/>
          </w:rPr>
        </w:r>
        <w:r w:rsidR="003D727D">
          <w:rPr>
            <w:noProof/>
            <w:webHidden/>
          </w:rPr>
          <w:fldChar w:fldCharType="separate"/>
        </w:r>
        <w:r w:rsidR="003D727D">
          <w:rPr>
            <w:noProof/>
            <w:webHidden/>
          </w:rPr>
          <w:t>16</w:t>
        </w:r>
        <w:r w:rsidR="003D727D">
          <w:rPr>
            <w:noProof/>
            <w:webHidden/>
          </w:rPr>
          <w:fldChar w:fldCharType="end"/>
        </w:r>
      </w:hyperlink>
    </w:p>
    <w:p w14:paraId="3D1BBAB6" w14:textId="4EB620BF"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77" w:history="1">
        <w:r w:rsidR="003D727D" w:rsidRPr="0038106E">
          <w:rPr>
            <w:rStyle w:val="Hyperlink"/>
            <w:rFonts w:ascii="Cambria" w:hAnsi="Cambria"/>
            <w:b/>
            <w:bCs/>
            <w:i/>
            <w:iCs/>
            <w:noProof/>
          </w:rPr>
          <w:t>On Relevance</w:t>
        </w:r>
        <w:r w:rsidR="003D727D">
          <w:rPr>
            <w:noProof/>
            <w:webHidden/>
          </w:rPr>
          <w:tab/>
        </w:r>
        <w:r w:rsidR="003D727D">
          <w:rPr>
            <w:noProof/>
            <w:webHidden/>
          </w:rPr>
          <w:fldChar w:fldCharType="begin"/>
        </w:r>
        <w:r w:rsidR="003D727D">
          <w:rPr>
            <w:noProof/>
            <w:webHidden/>
          </w:rPr>
          <w:instrText xml:space="preserve"> PAGEREF _Toc55309677 \h </w:instrText>
        </w:r>
        <w:r w:rsidR="003D727D">
          <w:rPr>
            <w:noProof/>
            <w:webHidden/>
          </w:rPr>
        </w:r>
        <w:r w:rsidR="003D727D">
          <w:rPr>
            <w:noProof/>
            <w:webHidden/>
          </w:rPr>
          <w:fldChar w:fldCharType="separate"/>
        </w:r>
        <w:r w:rsidR="003D727D">
          <w:rPr>
            <w:noProof/>
            <w:webHidden/>
          </w:rPr>
          <w:t>17</w:t>
        </w:r>
        <w:r w:rsidR="003D727D">
          <w:rPr>
            <w:noProof/>
            <w:webHidden/>
          </w:rPr>
          <w:fldChar w:fldCharType="end"/>
        </w:r>
      </w:hyperlink>
    </w:p>
    <w:p w14:paraId="6BD6A0A5" w14:textId="621AC6A6"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8" w:history="1">
        <w:r w:rsidR="003D727D" w:rsidRPr="0038106E">
          <w:rPr>
            <w:rStyle w:val="Hyperlink"/>
            <w:rFonts w:ascii="Cambria" w:hAnsi="Cambria"/>
            <w:noProof/>
          </w:rPr>
          <w:t>A. Adaptation to changing context in BARMM</w:t>
        </w:r>
        <w:r w:rsidR="003D727D">
          <w:rPr>
            <w:noProof/>
            <w:webHidden/>
          </w:rPr>
          <w:tab/>
        </w:r>
        <w:r w:rsidR="003D727D">
          <w:rPr>
            <w:noProof/>
            <w:webHidden/>
          </w:rPr>
          <w:fldChar w:fldCharType="begin"/>
        </w:r>
        <w:r w:rsidR="003D727D">
          <w:rPr>
            <w:noProof/>
            <w:webHidden/>
          </w:rPr>
          <w:instrText xml:space="preserve"> PAGEREF _Toc55309678 \h </w:instrText>
        </w:r>
        <w:r w:rsidR="003D727D">
          <w:rPr>
            <w:noProof/>
            <w:webHidden/>
          </w:rPr>
        </w:r>
        <w:r w:rsidR="003D727D">
          <w:rPr>
            <w:noProof/>
            <w:webHidden/>
          </w:rPr>
          <w:fldChar w:fldCharType="separate"/>
        </w:r>
        <w:r w:rsidR="003D727D">
          <w:rPr>
            <w:noProof/>
            <w:webHidden/>
          </w:rPr>
          <w:t>17</w:t>
        </w:r>
        <w:r w:rsidR="003D727D">
          <w:rPr>
            <w:noProof/>
            <w:webHidden/>
          </w:rPr>
          <w:fldChar w:fldCharType="end"/>
        </w:r>
      </w:hyperlink>
    </w:p>
    <w:p w14:paraId="23DDD38D" w14:textId="617EAA90"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79" w:history="1">
        <w:r w:rsidR="003D727D" w:rsidRPr="0038106E">
          <w:rPr>
            <w:rStyle w:val="Hyperlink"/>
            <w:rFonts w:ascii="Cambria" w:hAnsi="Cambria"/>
            <w:noProof/>
          </w:rPr>
          <w:t>B. Integration with the broader range of new initiatives</w:t>
        </w:r>
        <w:r w:rsidR="003D727D">
          <w:rPr>
            <w:noProof/>
            <w:webHidden/>
          </w:rPr>
          <w:tab/>
        </w:r>
        <w:r w:rsidR="003D727D">
          <w:rPr>
            <w:noProof/>
            <w:webHidden/>
          </w:rPr>
          <w:fldChar w:fldCharType="begin"/>
        </w:r>
        <w:r w:rsidR="003D727D">
          <w:rPr>
            <w:noProof/>
            <w:webHidden/>
          </w:rPr>
          <w:instrText xml:space="preserve"> PAGEREF _Toc55309679 \h </w:instrText>
        </w:r>
        <w:r w:rsidR="003D727D">
          <w:rPr>
            <w:noProof/>
            <w:webHidden/>
          </w:rPr>
        </w:r>
        <w:r w:rsidR="003D727D">
          <w:rPr>
            <w:noProof/>
            <w:webHidden/>
          </w:rPr>
          <w:fldChar w:fldCharType="separate"/>
        </w:r>
        <w:r w:rsidR="003D727D">
          <w:rPr>
            <w:noProof/>
            <w:webHidden/>
          </w:rPr>
          <w:t>17</w:t>
        </w:r>
        <w:r w:rsidR="003D727D">
          <w:rPr>
            <w:noProof/>
            <w:webHidden/>
          </w:rPr>
          <w:fldChar w:fldCharType="end"/>
        </w:r>
      </w:hyperlink>
    </w:p>
    <w:p w14:paraId="10099A92" w14:textId="4FFED275" w:rsidR="003D727D" w:rsidRDefault="000249AB">
      <w:pPr>
        <w:pStyle w:val="TOC3"/>
        <w:tabs>
          <w:tab w:val="right" w:leader="dot" w:pos="8630"/>
        </w:tabs>
        <w:rPr>
          <w:rFonts w:asciiTheme="minorHAnsi" w:eastAsiaTheme="minorEastAsia" w:hAnsiTheme="minorHAnsi" w:cstheme="minorBidi"/>
          <w:i w:val="0"/>
          <w:iCs w:val="0"/>
          <w:noProof/>
          <w:sz w:val="22"/>
          <w:szCs w:val="22"/>
          <w:lang w:val="en-AU" w:eastAsia="en-AU"/>
        </w:rPr>
      </w:pPr>
      <w:hyperlink w:anchor="_Toc55309680" w:history="1">
        <w:r w:rsidR="003D727D" w:rsidRPr="0038106E">
          <w:rPr>
            <w:rStyle w:val="Hyperlink"/>
            <w:rFonts w:ascii="Cambria" w:hAnsi="Cambria"/>
            <w:noProof/>
          </w:rPr>
          <w:t>C. Support to regional security and economic growth</w:t>
        </w:r>
        <w:r w:rsidR="003D727D">
          <w:rPr>
            <w:noProof/>
            <w:webHidden/>
          </w:rPr>
          <w:tab/>
        </w:r>
        <w:r w:rsidR="003D727D">
          <w:rPr>
            <w:noProof/>
            <w:webHidden/>
          </w:rPr>
          <w:fldChar w:fldCharType="begin"/>
        </w:r>
        <w:r w:rsidR="003D727D">
          <w:rPr>
            <w:noProof/>
            <w:webHidden/>
          </w:rPr>
          <w:instrText xml:space="preserve"> PAGEREF _Toc55309680 \h </w:instrText>
        </w:r>
        <w:r w:rsidR="003D727D">
          <w:rPr>
            <w:noProof/>
            <w:webHidden/>
          </w:rPr>
        </w:r>
        <w:r w:rsidR="003D727D">
          <w:rPr>
            <w:noProof/>
            <w:webHidden/>
          </w:rPr>
          <w:fldChar w:fldCharType="separate"/>
        </w:r>
        <w:r w:rsidR="003D727D">
          <w:rPr>
            <w:noProof/>
            <w:webHidden/>
          </w:rPr>
          <w:t>18</w:t>
        </w:r>
        <w:r w:rsidR="003D727D">
          <w:rPr>
            <w:noProof/>
            <w:webHidden/>
          </w:rPr>
          <w:fldChar w:fldCharType="end"/>
        </w:r>
      </w:hyperlink>
    </w:p>
    <w:p w14:paraId="5B7B9E6A" w14:textId="2512DBB8"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81" w:history="1">
        <w:r w:rsidR="003D727D" w:rsidRPr="0038106E">
          <w:rPr>
            <w:rStyle w:val="Hyperlink"/>
            <w:rFonts w:ascii="Cambria" w:hAnsi="Cambria"/>
            <w:b/>
            <w:bCs/>
            <w:i/>
            <w:iCs/>
            <w:noProof/>
          </w:rPr>
          <w:t>On</w:t>
        </w:r>
        <w:r w:rsidR="003D727D" w:rsidRPr="0038106E">
          <w:rPr>
            <w:rStyle w:val="Hyperlink"/>
            <w:rFonts w:ascii="Cambria" w:hAnsi="Cambria"/>
            <w:noProof/>
          </w:rPr>
          <w:t xml:space="preserve"> </w:t>
        </w:r>
        <w:r w:rsidR="003D727D" w:rsidRPr="0038106E">
          <w:rPr>
            <w:rStyle w:val="Hyperlink"/>
            <w:rFonts w:ascii="Cambria" w:hAnsi="Cambria"/>
            <w:b/>
            <w:bCs/>
            <w:i/>
            <w:iCs/>
            <w:noProof/>
          </w:rPr>
          <w:t>Gender Equality</w:t>
        </w:r>
        <w:r w:rsidR="003D727D">
          <w:rPr>
            <w:noProof/>
            <w:webHidden/>
          </w:rPr>
          <w:tab/>
        </w:r>
        <w:r w:rsidR="003D727D">
          <w:rPr>
            <w:noProof/>
            <w:webHidden/>
          </w:rPr>
          <w:fldChar w:fldCharType="begin"/>
        </w:r>
        <w:r w:rsidR="003D727D">
          <w:rPr>
            <w:noProof/>
            <w:webHidden/>
          </w:rPr>
          <w:instrText xml:space="preserve"> PAGEREF _Toc55309681 \h </w:instrText>
        </w:r>
        <w:r w:rsidR="003D727D">
          <w:rPr>
            <w:noProof/>
            <w:webHidden/>
          </w:rPr>
        </w:r>
        <w:r w:rsidR="003D727D">
          <w:rPr>
            <w:noProof/>
            <w:webHidden/>
          </w:rPr>
          <w:fldChar w:fldCharType="separate"/>
        </w:r>
        <w:r w:rsidR="003D727D">
          <w:rPr>
            <w:noProof/>
            <w:webHidden/>
          </w:rPr>
          <w:t>18</w:t>
        </w:r>
        <w:r w:rsidR="003D727D">
          <w:rPr>
            <w:noProof/>
            <w:webHidden/>
          </w:rPr>
          <w:fldChar w:fldCharType="end"/>
        </w:r>
      </w:hyperlink>
    </w:p>
    <w:p w14:paraId="30793E5F" w14:textId="58C1BA6E"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82" w:history="1">
        <w:r w:rsidR="003D727D" w:rsidRPr="0038106E">
          <w:rPr>
            <w:rStyle w:val="Hyperlink"/>
            <w:rFonts w:ascii="Cambria" w:hAnsi="Cambria"/>
            <w:b/>
            <w:bCs/>
            <w:i/>
            <w:iCs/>
            <w:noProof/>
          </w:rPr>
          <w:t>On Disability inclusion</w:t>
        </w:r>
        <w:r w:rsidR="003D727D">
          <w:rPr>
            <w:noProof/>
            <w:webHidden/>
          </w:rPr>
          <w:tab/>
        </w:r>
        <w:r w:rsidR="003D727D">
          <w:rPr>
            <w:noProof/>
            <w:webHidden/>
          </w:rPr>
          <w:fldChar w:fldCharType="begin"/>
        </w:r>
        <w:r w:rsidR="003D727D">
          <w:rPr>
            <w:noProof/>
            <w:webHidden/>
          </w:rPr>
          <w:instrText xml:space="preserve"> PAGEREF _Toc55309682 \h </w:instrText>
        </w:r>
        <w:r w:rsidR="003D727D">
          <w:rPr>
            <w:noProof/>
            <w:webHidden/>
          </w:rPr>
        </w:r>
        <w:r w:rsidR="003D727D">
          <w:rPr>
            <w:noProof/>
            <w:webHidden/>
          </w:rPr>
          <w:fldChar w:fldCharType="separate"/>
        </w:r>
        <w:r w:rsidR="003D727D">
          <w:rPr>
            <w:noProof/>
            <w:webHidden/>
          </w:rPr>
          <w:t>19</w:t>
        </w:r>
        <w:r w:rsidR="003D727D">
          <w:rPr>
            <w:noProof/>
            <w:webHidden/>
          </w:rPr>
          <w:fldChar w:fldCharType="end"/>
        </w:r>
      </w:hyperlink>
    </w:p>
    <w:p w14:paraId="365A91A3" w14:textId="5C93BFC3"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83" w:history="1">
        <w:r w:rsidR="003D727D" w:rsidRPr="0038106E">
          <w:rPr>
            <w:rStyle w:val="Hyperlink"/>
            <w:rFonts w:ascii="Cambria" w:hAnsi="Cambria"/>
            <w:b/>
            <w:bCs/>
            <w:i/>
            <w:iCs/>
            <w:noProof/>
          </w:rPr>
          <w:t>Other criteria</w:t>
        </w:r>
        <w:r w:rsidR="003D727D">
          <w:rPr>
            <w:noProof/>
            <w:webHidden/>
          </w:rPr>
          <w:tab/>
        </w:r>
        <w:r w:rsidR="003D727D">
          <w:rPr>
            <w:noProof/>
            <w:webHidden/>
          </w:rPr>
          <w:fldChar w:fldCharType="begin"/>
        </w:r>
        <w:r w:rsidR="003D727D">
          <w:rPr>
            <w:noProof/>
            <w:webHidden/>
          </w:rPr>
          <w:instrText xml:space="preserve"> PAGEREF _Toc55309683 \h </w:instrText>
        </w:r>
        <w:r w:rsidR="003D727D">
          <w:rPr>
            <w:noProof/>
            <w:webHidden/>
          </w:rPr>
        </w:r>
        <w:r w:rsidR="003D727D">
          <w:rPr>
            <w:noProof/>
            <w:webHidden/>
          </w:rPr>
          <w:fldChar w:fldCharType="separate"/>
        </w:r>
        <w:r w:rsidR="003D727D">
          <w:rPr>
            <w:noProof/>
            <w:webHidden/>
          </w:rPr>
          <w:t>19</w:t>
        </w:r>
        <w:r w:rsidR="003D727D">
          <w:rPr>
            <w:noProof/>
            <w:webHidden/>
          </w:rPr>
          <w:fldChar w:fldCharType="end"/>
        </w:r>
      </w:hyperlink>
    </w:p>
    <w:p w14:paraId="4B91ECDC" w14:textId="0169CDF8"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84" w:history="1">
        <w:r w:rsidR="003D727D" w:rsidRPr="0038106E">
          <w:rPr>
            <w:rStyle w:val="Hyperlink"/>
            <w:rFonts w:ascii="Cambria" w:hAnsi="Cambria"/>
            <w:noProof/>
          </w:rPr>
          <w:t xml:space="preserve">III.   </w:t>
        </w:r>
        <w:r w:rsidR="003D727D">
          <w:rPr>
            <w:rFonts w:asciiTheme="minorHAnsi" w:eastAsiaTheme="minorEastAsia" w:hAnsiTheme="minorHAnsi" w:cstheme="minorBidi"/>
            <w:b w:val="0"/>
            <w:bCs w:val="0"/>
            <w:caps w:val="0"/>
            <w:noProof/>
            <w:sz w:val="22"/>
            <w:szCs w:val="22"/>
            <w:lang w:val="en-AU" w:eastAsia="en-AU"/>
          </w:rPr>
          <w:tab/>
        </w:r>
        <w:r w:rsidR="003D727D" w:rsidRPr="0038106E">
          <w:rPr>
            <w:rStyle w:val="Hyperlink"/>
            <w:rFonts w:ascii="Cambria" w:hAnsi="Cambria"/>
            <w:noProof/>
          </w:rPr>
          <w:t>Exogenous Factors Impacting Program Effectiveness</w:t>
        </w:r>
        <w:r w:rsidR="003D727D">
          <w:rPr>
            <w:noProof/>
            <w:webHidden/>
          </w:rPr>
          <w:tab/>
        </w:r>
        <w:r w:rsidR="003D727D">
          <w:rPr>
            <w:noProof/>
            <w:webHidden/>
          </w:rPr>
          <w:fldChar w:fldCharType="begin"/>
        </w:r>
        <w:r w:rsidR="003D727D">
          <w:rPr>
            <w:noProof/>
            <w:webHidden/>
          </w:rPr>
          <w:instrText xml:space="preserve"> PAGEREF _Toc55309684 \h </w:instrText>
        </w:r>
        <w:r w:rsidR="003D727D">
          <w:rPr>
            <w:noProof/>
            <w:webHidden/>
          </w:rPr>
        </w:r>
        <w:r w:rsidR="003D727D">
          <w:rPr>
            <w:noProof/>
            <w:webHidden/>
          </w:rPr>
          <w:fldChar w:fldCharType="separate"/>
        </w:r>
        <w:r w:rsidR="003D727D">
          <w:rPr>
            <w:noProof/>
            <w:webHidden/>
          </w:rPr>
          <w:t>19</w:t>
        </w:r>
        <w:r w:rsidR="003D727D">
          <w:rPr>
            <w:noProof/>
            <w:webHidden/>
          </w:rPr>
          <w:fldChar w:fldCharType="end"/>
        </w:r>
      </w:hyperlink>
    </w:p>
    <w:p w14:paraId="38389B2D" w14:textId="169AE205"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85" w:history="1">
        <w:r w:rsidR="003D727D" w:rsidRPr="0038106E">
          <w:rPr>
            <w:rStyle w:val="Hyperlink"/>
            <w:rFonts w:ascii="Cambria" w:hAnsi="Cambria"/>
            <w:noProof/>
          </w:rPr>
          <w:t xml:space="preserve">IV.  </w:t>
        </w:r>
        <w:r w:rsidR="003D727D">
          <w:rPr>
            <w:rFonts w:asciiTheme="minorHAnsi" w:eastAsiaTheme="minorEastAsia" w:hAnsiTheme="minorHAnsi" w:cstheme="minorBidi"/>
            <w:b w:val="0"/>
            <w:bCs w:val="0"/>
            <w:caps w:val="0"/>
            <w:noProof/>
            <w:sz w:val="22"/>
            <w:szCs w:val="22"/>
            <w:lang w:val="en-AU" w:eastAsia="en-AU"/>
          </w:rPr>
          <w:tab/>
        </w:r>
        <w:r w:rsidR="003D727D" w:rsidRPr="0038106E">
          <w:rPr>
            <w:rStyle w:val="Hyperlink"/>
            <w:rFonts w:ascii="Cambria" w:hAnsi="Cambria"/>
            <w:noProof/>
          </w:rPr>
          <w:t>RECOMMENDATIONS</w:t>
        </w:r>
        <w:r w:rsidR="003D727D">
          <w:rPr>
            <w:noProof/>
            <w:webHidden/>
          </w:rPr>
          <w:tab/>
        </w:r>
        <w:r w:rsidR="003D727D">
          <w:rPr>
            <w:noProof/>
            <w:webHidden/>
          </w:rPr>
          <w:fldChar w:fldCharType="begin"/>
        </w:r>
        <w:r w:rsidR="003D727D">
          <w:rPr>
            <w:noProof/>
            <w:webHidden/>
          </w:rPr>
          <w:instrText xml:space="preserve"> PAGEREF _Toc55309685 \h </w:instrText>
        </w:r>
        <w:r w:rsidR="003D727D">
          <w:rPr>
            <w:noProof/>
            <w:webHidden/>
          </w:rPr>
        </w:r>
        <w:r w:rsidR="003D727D">
          <w:rPr>
            <w:noProof/>
            <w:webHidden/>
          </w:rPr>
          <w:fldChar w:fldCharType="separate"/>
        </w:r>
        <w:r w:rsidR="003D727D">
          <w:rPr>
            <w:noProof/>
            <w:webHidden/>
          </w:rPr>
          <w:t>23</w:t>
        </w:r>
        <w:r w:rsidR="003D727D">
          <w:rPr>
            <w:noProof/>
            <w:webHidden/>
          </w:rPr>
          <w:fldChar w:fldCharType="end"/>
        </w:r>
      </w:hyperlink>
    </w:p>
    <w:p w14:paraId="6EA5CC5C" w14:textId="073371B6"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86" w:history="1">
        <w:r w:rsidR="003D727D" w:rsidRPr="0038106E">
          <w:rPr>
            <w:rStyle w:val="Hyperlink"/>
            <w:rFonts w:ascii="Cambria" w:hAnsi="Cambria"/>
            <w:b/>
            <w:bCs/>
            <w:noProof/>
          </w:rPr>
          <w:t>Part A:   APP, Multilateral, and Flexible Peace and Stability Fund Partners</w:t>
        </w:r>
        <w:r w:rsidR="003D727D">
          <w:rPr>
            <w:noProof/>
            <w:webHidden/>
          </w:rPr>
          <w:tab/>
        </w:r>
        <w:r w:rsidR="003D727D">
          <w:rPr>
            <w:noProof/>
            <w:webHidden/>
          </w:rPr>
          <w:fldChar w:fldCharType="begin"/>
        </w:r>
        <w:r w:rsidR="003D727D">
          <w:rPr>
            <w:noProof/>
            <w:webHidden/>
          </w:rPr>
          <w:instrText xml:space="preserve"> PAGEREF _Toc55309686 \h </w:instrText>
        </w:r>
        <w:r w:rsidR="003D727D">
          <w:rPr>
            <w:noProof/>
            <w:webHidden/>
          </w:rPr>
        </w:r>
        <w:r w:rsidR="003D727D">
          <w:rPr>
            <w:noProof/>
            <w:webHidden/>
          </w:rPr>
          <w:fldChar w:fldCharType="separate"/>
        </w:r>
        <w:r w:rsidR="003D727D">
          <w:rPr>
            <w:noProof/>
            <w:webHidden/>
          </w:rPr>
          <w:t>23</w:t>
        </w:r>
        <w:r w:rsidR="003D727D">
          <w:rPr>
            <w:noProof/>
            <w:webHidden/>
          </w:rPr>
          <w:fldChar w:fldCharType="end"/>
        </w:r>
      </w:hyperlink>
    </w:p>
    <w:p w14:paraId="699DDC68" w14:textId="5C4F9C37"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87" w:history="1">
        <w:r w:rsidR="003D727D" w:rsidRPr="0038106E">
          <w:rPr>
            <w:rStyle w:val="Hyperlink"/>
            <w:rFonts w:ascii="Cambria" w:hAnsi="Cambria"/>
            <w:b/>
            <w:bCs/>
            <w:noProof/>
          </w:rPr>
          <w:t>Part B:  Future programming</w:t>
        </w:r>
        <w:r w:rsidR="003D727D">
          <w:rPr>
            <w:noProof/>
            <w:webHidden/>
          </w:rPr>
          <w:tab/>
        </w:r>
        <w:r w:rsidR="003D727D">
          <w:rPr>
            <w:noProof/>
            <w:webHidden/>
          </w:rPr>
          <w:fldChar w:fldCharType="begin"/>
        </w:r>
        <w:r w:rsidR="003D727D">
          <w:rPr>
            <w:noProof/>
            <w:webHidden/>
          </w:rPr>
          <w:instrText xml:space="preserve"> PAGEREF _Toc55309687 \h </w:instrText>
        </w:r>
        <w:r w:rsidR="003D727D">
          <w:rPr>
            <w:noProof/>
            <w:webHidden/>
          </w:rPr>
        </w:r>
        <w:r w:rsidR="003D727D">
          <w:rPr>
            <w:noProof/>
            <w:webHidden/>
          </w:rPr>
          <w:fldChar w:fldCharType="separate"/>
        </w:r>
        <w:r w:rsidR="003D727D">
          <w:rPr>
            <w:noProof/>
            <w:webHidden/>
          </w:rPr>
          <w:t>24</w:t>
        </w:r>
        <w:r w:rsidR="003D727D">
          <w:rPr>
            <w:noProof/>
            <w:webHidden/>
          </w:rPr>
          <w:fldChar w:fldCharType="end"/>
        </w:r>
      </w:hyperlink>
    </w:p>
    <w:p w14:paraId="681D6CB4" w14:textId="316CE46D"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88" w:history="1">
        <w:r w:rsidR="003D727D" w:rsidRPr="0038106E">
          <w:rPr>
            <w:rStyle w:val="Hyperlink"/>
            <w:rFonts w:ascii="Cambria" w:hAnsi="Cambria"/>
            <w:noProof/>
          </w:rPr>
          <w:t>V. Epilogue: Operations Post-COVID-19</w:t>
        </w:r>
        <w:r w:rsidR="003D727D">
          <w:rPr>
            <w:noProof/>
            <w:webHidden/>
          </w:rPr>
          <w:tab/>
        </w:r>
        <w:r w:rsidR="003D727D">
          <w:rPr>
            <w:noProof/>
            <w:webHidden/>
          </w:rPr>
          <w:fldChar w:fldCharType="begin"/>
        </w:r>
        <w:r w:rsidR="003D727D">
          <w:rPr>
            <w:noProof/>
            <w:webHidden/>
          </w:rPr>
          <w:instrText xml:space="preserve"> PAGEREF _Toc55309688 \h </w:instrText>
        </w:r>
        <w:r w:rsidR="003D727D">
          <w:rPr>
            <w:noProof/>
            <w:webHidden/>
          </w:rPr>
        </w:r>
        <w:r w:rsidR="003D727D">
          <w:rPr>
            <w:noProof/>
            <w:webHidden/>
          </w:rPr>
          <w:fldChar w:fldCharType="separate"/>
        </w:r>
        <w:r w:rsidR="003D727D">
          <w:rPr>
            <w:noProof/>
            <w:webHidden/>
          </w:rPr>
          <w:t>28</w:t>
        </w:r>
        <w:r w:rsidR="003D727D">
          <w:rPr>
            <w:noProof/>
            <w:webHidden/>
          </w:rPr>
          <w:fldChar w:fldCharType="end"/>
        </w:r>
      </w:hyperlink>
    </w:p>
    <w:p w14:paraId="4BE016F2" w14:textId="625C75AD"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89" w:history="1">
        <w:r w:rsidR="003D727D" w:rsidRPr="0038106E">
          <w:rPr>
            <w:rStyle w:val="Hyperlink"/>
            <w:rFonts w:ascii="Cambria" w:hAnsi="Cambria"/>
            <w:noProof/>
          </w:rPr>
          <w:t>Annex A. Terms of Reference</w:t>
        </w:r>
        <w:r w:rsidR="003D727D">
          <w:rPr>
            <w:noProof/>
            <w:webHidden/>
          </w:rPr>
          <w:tab/>
        </w:r>
        <w:r w:rsidR="003D727D">
          <w:rPr>
            <w:noProof/>
            <w:webHidden/>
          </w:rPr>
          <w:fldChar w:fldCharType="begin"/>
        </w:r>
        <w:r w:rsidR="003D727D">
          <w:rPr>
            <w:noProof/>
            <w:webHidden/>
          </w:rPr>
          <w:instrText xml:space="preserve"> PAGEREF _Toc55309689 \h </w:instrText>
        </w:r>
        <w:r w:rsidR="003D727D">
          <w:rPr>
            <w:noProof/>
            <w:webHidden/>
          </w:rPr>
        </w:r>
        <w:r w:rsidR="003D727D">
          <w:rPr>
            <w:noProof/>
            <w:webHidden/>
          </w:rPr>
          <w:fldChar w:fldCharType="separate"/>
        </w:r>
        <w:r w:rsidR="003D727D">
          <w:rPr>
            <w:noProof/>
            <w:webHidden/>
          </w:rPr>
          <w:t>31</w:t>
        </w:r>
        <w:r w:rsidR="003D727D">
          <w:rPr>
            <w:noProof/>
            <w:webHidden/>
          </w:rPr>
          <w:fldChar w:fldCharType="end"/>
        </w:r>
      </w:hyperlink>
    </w:p>
    <w:p w14:paraId="6EDD2EC8" w14:textId="61114DA0"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90" w:history="1">
        <w:r w:rsidR="003D727D" w:rsidRPr="0038106E">
          <w:rPr>
            <w:rStyle w:val="Hyperlink"/>
            <w:rFonts w:ascii="Cambria" w:hAnsi="Cambria"/>
            <w:noProof/>
          </w:rPr>
          <w:t>Annex B. List of Respondents</w:t>
        </w:r>
        <w:r w:rsidR="003D727D">
          <w:rPr>
            <w:noProof/>
            <w:webHidden/>
          </w:rPr>
          <w:tab/>
        </w:r>
        <w:r w:rsidR="003D727D">
          <w:rPr>
            <w:noProof/>
            <w:webHidden/>
          </w:rPr>
          <w:fldChar w:fldCharType="begin"/>
        </w:r>
        <w:r w:rsidR="003D727D">
          <w:rPr>
            <w:noProof/>
            <w:webHidden/>
          </w:rPr>
          <w:instrText xml:space="preserve"> PAGEREF _Toc55309690 \h </w:instrText>
        </w:r>
        <w:r w:rsidR="003D727D">
          <w:rPr>
            <w:noProof/>
            <w:webHidden/>
          </w:rPr>
        </w:r>
        <w:r w:rsidR="003D727D">
          <w:rPr>
            <w:noProof/>
            <w:webHidden/>
          </w:rPr>
          <w:fldChar w:fldCharType="separate"/>
        </w:r>
        <w:r w:rsidR="003D727D">
          <w:rPr>
            <w:noProof/>
            <w:webHidden/>
          </w:rPr>
          <w:t>40</w:t>
        </w:r>
        <w:r w:rsidR="003D727D">
          <w:rPr>
            <w:noProof/>
            <w:webHidden/>
          </w:rPr>
          <w:fldChar w:fldCharType="end"/>
        </w:r>
      </w:hyperlink>
    </w:p>
    <w:p w14:paraId="3658ABF0" w14:textId="41BB1E3A" w:rsidR="003D727D" w:rsidRDefault="000249AB">
      <w:pPr>
        <w:pStyle w:val="TOC1"/>
        <w:rPr>
          <w:rFonts w:asciiTheme="minorHAnsi" w:eastAsiaTheme="minorEastAsia" w:hAnsiTheme="minorHAnsi" w:cstheme="minorBidi"/>
          <w:b w:val="0"/>
          <w:bCs w:val="0"/>
          <w:caps w:val="0"/>
          <w:noProof/>
          <w:sz w:val="22"/>
          <w:szCs w:val="22"/>
          <w:lang w:val="en-AU" w:eastAsia="en-AU"/>
        </w:rPr>
      </w:pPr>
      <w:hyperlink w:anchor="_Toc55309691" w:history="1">
        <w:r w:rsidR="003D727D" w:rsidRPr="0038106E">
          <w:rPr>
            <w:rStyle w:val="Hyperlink"/>
            <w:rFonts w:ascii="Cambria" w:hAnsi="Cambria"/>
            <w:noProof/>
          </w:rPr>
          <w:t>Annex C. Evaluation Matrix – Performance of Partners against Criteria</w:t>
        </w:r>
        <w:r w:rsidR="003D727D">
          <w:rPr>
            <w:noProof/>
            <w:webHidden/>
          </w:rPr>
          <w:tab/>
        </w:r>
        <w:r w:rsidR="003D727D">
          <w:rPr>
            <w:noProof/>
            <w:webHidden/>
          </w:rPr>
          <w:fldChar w:fldCharType="begin"/>
        </w:r>
        <w:r w:rsidR="003D727D">
          <w:rPr>
            <w:noProof/>
            <w:webHidden/>
          </w:rPr>
          <w:instrText xml:space="preserve"> PAGEREF _Toc55309691 \h </w:instrText>
        </w:r>
        <w:r w:rsidR="003D727D">
          <w:rPr>
            <w:noProof/>
            <w:webHidden/>
          </w:rPr>
        </w:r>
        <w:r w:rsidR="003D727D">
          <w:rPr>
            <w:noProof/>
            <w:webHidden/>
          </w:rPr>
          <w:fldChar w:fldCharType="separate"/>
        </w:r>
        <w:r w:rsidR="003D727D">
          <w:rPr>
            <w:noProof/>
            <w:webHidden/>
          </w:rPr>
          <w:t>45</w:t>
        </w:r>
        <w:r w:rsidR="003D727D">
          <w:rPr>
            <w:noProof/>
            <w:webHidden/>
          </w:rPr>
          <w:fldChar w:fldCharType="end"/>
        </w:r>
      </w:hyperlink>
    </w:p>
    <w:p w14:paraId="02C8E4A4" w14:textId="3ADFA91B"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92" w:history="1">
        <w:r w:rsidR="003D727D" w:rsidRPr="0038106E">
          <w:rPr>
            <w:rStyle w:val="Hyperlink"/>
            <w:rFonts w:ascii="Cambria" w:hAnsi="Cambria"/>
            <w:b/>
            <w:noProof/>
          </w:rPr>
          <w:t>Annex C.1 APP Partners</w:t>
        </w:r>
        <w:r w:rsidR="003D727D">
          <w:rPr>
            <w:noProof/>
            <w:webHidden/>
          </w:rPr>
          <w:tab/>
        </w:r>
        <w:r w:rsidR="003D727D">
          <w:rPr>
            <w:noProof/>
            <w:webHidden/>
          </w:rPr>
          <w:fldChar w:fldCharType="begin"/>
        </w:r>
        <w:r w:rsidR="003D727D">
          <w:rPr>
            <w:noProof/>
            <w:webHidden/>
          </w:rPr>
          <w:instrText xml:space="preserve"> PAGEREF _Toc55309692 \h </w:instrText>
        </w:r>
        <w:r w:rsidR="003D727D">
          <w:rPr>
            <w:noProof/>
            <w:webHidden/>
          </w:rPr>
        </w:r>
        <w:r w:rsidR="003D727D">
          <w:rPr>
            <w:noProof/>
            <w:webHidden/>
          </w:rPr>
          <w:fldChar w:fldCharType="separate"/>
        </w:r>
        <w:r w:rsidR="003D727D">
          <w:rPr>
            <w:noProof/>
            <w:webHidden/>
          </w:rPr>
          <w:t>45</w:t>
        </w:r>
        <w:r w:rsidR="003D727D">
          <w:rPr>
            <w:noProof/>
            <w:webHidden/>
          </w:rPr>
          <w:fldChar w:fldCharType="end"/>
        </w:r>
      </w:hyperlink>
    </w:p>
    <w:p w14:paraId="6FF821DF" w14:textId="3430FA44" w:rsidR="003D727D" w:rsidRDefault="000249AB">
      <w:pPr>
        <w:pStyle w:val="TOC2"/>
        <w:tabs>
          <w:tab w:val="right" w:leader="dot" w:pos="8630"/>
        </w:tabs>
        <w:rPr>
          <w:rFonts w:asciiTheme="minorHAnsi" w:eastAsiaTheme="minorEastAsia" w:hAnsiTheme="minorHAnsi" w:cstheme="minorBidi"/>
          <w:smallCaps w:val="0"/>
          <w:noProof/>
          <w:sz w:val="22"/>
          <w:szCs w:val="22"/>
          <w:lang w:val="en-AU" w:eastAsia="en-AU"/>
        </w:rPr>
      </w:pPr>
      <w:hyperlink w:anchor="_Toc55309693" w:history="1">
        <w:r w:rsidR="003D727D" w:rsidRPr="0038106E">
          <w:rPr>
            <w:rStyle w:val="Hyperlink"/>
            <w:rFonts w:ascii="Cambria" w:hAnsi="Cambria"/>
            <w:b/>
            <w:noProof/>
          </w:rPr>
          <w:t>Annex C.2 Multilateral Partners</w:t>
        </w:r>
        <w:r w:rsidR="003D727D">
          <w:rPr>
            <w:noProof/>
            <w:webHidden/>
          </w:rPr>
          <w:tab/>
        </w:r>
        <w:r w:rsidR="003D727D">
          <w:rPr>
            <w:noProof/>
            <w:webHidden/>
          </w:rPr>
          <w:fldChar w:fldCharType="begin"/>
        </w:r>
        <w:r w:rsidR="003D727D">
          <w:rPr>
            <w:noProof/>
            <w:webHidden/>
          </w:rPr>
          <w:instrText xml:space="preserve"> PAGEREF _Toc55309693 \h </w:instrText>
        </w:r>
        <w:r w:rsidR="003D727D">
          <w:rPr>
            <w:noProof/>
            <w:webHidden/>
          </w:rPr>
        </w:r>
        <w:r w:rsidR="003D727D">
          <w:rPr>
            <w:noProof/>
            <w:webHidden/>
          </w:rPr>
          <w:fldChar w:fldCharType="separate"/>
        </w:r>
        <w:r w:rsidR="003D727D">
          <w:rPr>
            <w:noProof/>
            <w:webHidden/>
          </w:rPr>
          <w:t>62</w:t>
        </w:r>
        <w:r w:rsidR="003D727D">
          <w:rPr>
            <w:noProof/>
            <w:webHidden/>
          </w:rPr>
          <w:fldChar w:fldCharType="end"/>
        </w:r>
      </w:hyperlink>
    </w:p>
    <w:p w14:paraId="3FD44A48" w14:textId="1D384DFE" w:rsidR="00CE5922" w:rsidRPr="00D058C1" w:rsidRDefault="00CE5922" w:rsidP="00D82035">
      <w:pPr>
        <w:rPr>
          <w:rFonts w:ascii="Cambria" w:hAnsi="Cambria"/>
          <w:b/>
        </w:rPr>
        <w:sectPr w:rsidR="00CE5922" w:rsidRPr="00D058C1" w:rsidSect="00050FF7">
          <w:footerReference w:type="even" r:id="rId8"/>
          <w:footerReference w:type="default" r:id="rId9"/>
          <w:pgSz w:w="12240" w:h="15840"/>
          <w:pgMar w:top="1440" w:right="1800" w:bottom="1440" w:left="1800" w:header="708" w:footer="708" w:gutter="0"/>
          <w:cols w:space="708"/>
          <w:docGrid w:linePitch="360"/>
        </w:sectPr>
      </w:pPr>
      <w:r w:rsidRPr="00D058C1">
        <w:rPr>
          <w:rFonts w:ascii="Cambria" w:hAnsi="Cambria"/>
          <w:b/>
        </w:rPr>
        <w:fldChar w:fldCharType="end"/>
      </w:r>
    </w:p>
    <w:p w14:paraId="7E0A4905" w14:textId="77777777" w:rsidR="00CE0450" w:rsidRDefault="00CE0450" w:rsidP="00D82035">
      <w:pPr>
        <w:pStyle w:val="Heading1"/>
        <w:spacing w:before="0"/>
        <w:rPr>
          <w:rFonts w:ascii="Cambria" w:hAnsi="Cambria"/>
          <w:b/>
          <w:sz w:val="22"/>
          <w:szCs w:val="22"/>
        </w:rPr>
      </w:pPr>
      <w:bookmarkStart w:id="1" w:name="_Toc34220973"/>
    </w:p>
    <w:p w14:paraId="656FBCDF" w14:textId="0BBD73A5" w:rsidR="00193062" w:rsidRPr="00D058C1" w:rsidRDefault="00193062" w:rsidP="00D82035">
      <w:pPr>
        <w:pStyle w:val="Heading1"/>
        <w:spacing w:before="0"/>
        <w:rPr>
          <w:rFonts w:ascii="Cambria" w:hAnsi="Cambria"/>
          <w:b/>
          <w:sz w:val="22"/>
          <w:szCs w:val="22"/>
        </w:rPr>
      </w:pPr>
      <w:bookmarkStart w:id="2" w:name="_Toc55309666"/>
      <w:r w:rsidRPr="00D058C1">
        <w:rPr>
          <w:rFonts w:ascii="Cambria" w:hAnsi="Cambria"/>
          <w:b/>
          <w:sz w:val="22"/>
          <w:szCs w:val="22"/>
        </w:rPr>
        <w:t>List of Acronyms</w:t>
      </w:r>
      <w:bookmarkEnd w:id="1"/>
      <w:bookmarkEnd w:id="2"/>
    </w:p>
    <w:p w14:paraId="707419E2" w14:textId="3111ED29" w:rsidR="00294A4D" w:rsidRPr="00D058C1" w:rsidRDefault="00294A4D" w:rsidP="00D82035">
      <w:pPr>
        <w:rPr>
          <w:rFonts w:ascii="Cambria" w:hAnsi="Cambria"/>
          <w:b/>
        </w:rPr>
      </w:pPr>
    </w:p>
    <w:p w14:paraId="3A1B1D93" w14:textId="72C9B8B2" w:rsidR="00264FAE" w:rsidRPr="00CC0011" w:rsidRDefault="00294A4D" w:rsidP="00D82035">
      <w:pPr>
        <w:rPr>
          <w:rFonts w:ascii="Cambria" w:hAnsi="Cambria"/>
          <w:sz w:val="18"/>
          <w:szCs w:val="18"/>
        </w:rPr>
      </w:pPr>
      <w:r w:rsidRPr="00CC0011">
        <w:rPr>
          <w:rFonts w:ascii="Cambria" w:hAnsi="Cambria"/>
          <w:sz w:val="18"/>
          <w:szCs w:val="18"/>
        </w:rPr>
        <w:t xml:space="preserve">AFP </w:t>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0038476F" w:rsidRPr="00CC0011">
        <w:rPr>
          <w:rFonts w:ascii="Cambria" w:hAnsi="Cambria"/>
          <w:sz w:val="18"/>
          <w:szCs w:val="18"/>
        </w:rPr>
        <w:tab/>
      </w:r>
      <w:r w:rsidRPr="00CC0011">
        <w:rPr>
          <w:rFonts w:ascii="Cambria" w:hAnsi="Cambria"/>
          <w:sz w:val="18"/>
          <w:szCs w:val="18"/>
        </w:rPr>
        <w:t>Armed Forces of the Philippines</w:t>
      </w:r>
      <w:r w:rsidRPr="00CC0011">
        <w:rPr>
          <w:rFonts w:ascii="Cambria" w:hAnsi="Cambria"/>
          <w:sz w:val="18"/>
          <w:szCs w:val="18"/>
        </w:rPr>
        <w:br/>
      </w:r>
      <w:r w:rsidR="00264FAE" w:rsidRPr="00CC0011">
        <w:rPr>
          <w:rFonts w:ascii="Cambria" w:hAnsi="Cambria"/>
          <w:sz w:val="18"/>
          <w:szCs w:val="18"/>
        </w:rPr>
        <w:t>APP</w:t>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0038476F" w:rsidRPr="00CC0011">
        <w:rPr>
          <w:rFonts w:ascii="Cambria" w:hAnsi="Cambria"/>
          <w:sz w:val="18"/>
          <w:szCs w:val="18"/>
        </w:rPr>
        <w:tab/>
      </w:r>
      <w:r w:rsidR="00264FAE" w:rsidRPr="00CC0011">
        <w:rPr>
          <w:rFonts w:ascii="Cambria" w:hAnsi="Cambria"/>
          <w:sz w:val="18"/>
          <w:szCs w:val="18"/>
        </w:rPr>
        <w:t>Australian Partnerships for Peace</w:t>
      </w:r>
    </w:p>
    <w:p w14:paraId="4CE6AC03" w14:textId="300A68F5" w:rsidR="003559FB" w:rsidRPr="00CC0011" w:rsidRDefault="003559FB" w:rsidP="00D82035">
      <w:pPr>
        <w:rPr>
          <w:rFonts w:ascii="Cambria" w:hAnsi="Cambria"/>
          <w:sz w:val="18"/>
          <w:szCs w:val="18"/>
        </w:rPr>
      </w:pPr>
      <w:r w:rsidRPr="00CC0011">
        <w:rPr>
          <w:rFonts w:ascii="Cambria" w:hAnsi="Cambria"/>
          <w:sz w:val="18"/>
          <w:szCs w:val="18"/>
        </w:rPr>
        <w:t>AIP</w:t>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0038476F" w:rsidRPr="00CC0011">
        <w:rPr>
          <w:rFonts w:ascii="Cambria" w:hAnsi="Cambria"/>
          <w:sz w:val="18"/>
          <w:szCs w:val="18"/>
        </w:rPr>
        <w:tab/>
      </w:r>
      <w:r w:rsidRPr="00CC0011">
        <w:rPr>
          <w:rFonts w:ascii="Cambria" w:hAnsi="Cambria"/>
          <w:sz w:val="18"/>
          <w:szCs w:val="18"/>
        </w:rPr>
        <w:t>DFAT Annual Investment Program</w:t>
      </w:r>
    </w:p>
    <w:p w14:paraId="2574173D" w14:textId="7A9E06B5" w:rsidR="009E374B" w:rsidRPr="00CC0011" w:rsidRDefault="00294A4D" w:rsidP="00CC0011">
      <w:pPr>
        <w:rPr>
          <w:rFonts w:ascii="Cambria" w:hAnsi="Cambria"/>
          <w:sz w:val="18"/>
          <w:szCs w:val="18"/>
        </w:rPr>
      </w:pPr>
      <w:r w:rsidRPr="00CC0011">
        <w:rPr>
          <w:rFonts w:ascii="Cambria" w:hAnsi="Cambria"/>
          <w:sz w:val="18"/>
          <w:szCs w:val="18"/>
        </w:rPr>
        <w:t>ARMM</w:t>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0038476F" w:rsidRPr="00CC0011">
        <w:rPr>
          <w:rFonts w:ascii="Cambria" w:hAnsi="Cambria"/>
          <w:sz w:val="18"/>
          <w:szCs w:val="18"/>
        </w:rPr>
        <w:tab/>
      </w:r>
      <w:r w:rsidRPr="00CC0011">
        <w:rPr>
          <w:rFonts w:ascii="Cambria" w:hAnsi="Cambria"/>
          <w:sz w:val="18"/>
          <w:szCs w:val="18"/>
        </w:rPr>
        <w:t>Autonomous Region in Muslim Mindanao</w:t>
      </w:r>
      <w:r w:rsidRPr="00CC0011">
        <w:rPr>
          <w:rFonts w:ascii="Cambria" w:hAnsi="Cambria"/>
          <w:sz w:val="18"/>
          <w:szCs w:val="18"/>
        </w:rPr>
        <w:br/>
        <w:t>ASG</w:t>
      </w:r>
      <w:r w:rsidR="0038476F" w:rsidRPr="00CC0011">
        <w:rPr>
          <w:rFonts w:ascii="Cambria" w:hAnsi="Cambria"/>
          <w:sz w:val="18"/>
          <w:szCs w:val="18"/>
        </w:rPr>
        <w:tab/>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Pr="00CC0011">
        <w:rPr>
          <w:rFonts w:ascii="Cambria" w:hAnsi="Cambria"/>
          <w:sz w:val="18"/>
          <w:szCs w:val="18"/>
        </w:rPr>
        <w:t>Abu Sayyaf Group</w:t>
      </w:r>
    </w:p>
    <w:p w14:paraId="4492111A" w14:textId="0738B493" w:rsidR="00294A4D" w:rsidRPr="00CC0011" w:rsidRDefault="00294A4D" w:rsidP="00D82035">
      <w:pPr>
        <w:rPr>
          <w:rFonts w:ascii="Cambria" w:hAnsi="Cambria"/>
          <w:sz w:val="18"/>
          <w:szCs w:val="18"/>
        </w:rPr>
      </w:pPr>
      <w:r w:rsidRPr="00CC0011">
        <w:rPr>
          <w:rFonts w:ascii="Cambria" w:hAnsi="Cambria"/>
          <w:sz w:val="18"/>
          <w:szCs w:val="18"/>
        </w:rPr>
        <w:t>Australian DFAT</w:t>
      </w:r>
      <w:r w:rsidR="0038476F" w:rsidRPr="00CC0011">
        <w:rPr>
          <w:rFonts w:ascii="Cambria" w:hAnsi="Cambria"/>
          <w:sz w:val="18"/>
          <w:szCs w:val="18"/>
        </w:rPr>
        <w:tab/>
      </w:r>
      <w:r w:rsidR="00C61E3F" w:rsidRPr="00CC0011">
        <w:rPr>
          <w:rFonts w:ascii="Cambria" w:hAnsi="Cambria"/>
          <w:sz w:val="18"/>
          <w:szCs w:val="18"/>
        </w:rPr>
        <w:tab/>
      </w:r>
      <w:r w:rsidR="00DF40F7" w:rsidRPr="00CC0011">
        <w:rPr>
          <w:rFonts w:ascii="Cambria" w:hAnsi="Cambria"/>
          <w:sz w:val="18"/>
          <w:szCs w:val="18"/>
        </w:rPr>
        <w:tab/>
      </w:r>
      <w:r w:rsidRPr="00CC0011">
        <w:rPr>
          <w:rFonts w:ascii="Cambria" w:hAnsi="Cambria"/>
          <w:sz w:val="18"/>
          <w:szCs w:val="18"/>
        </w:rPr>
        <w:t>Australian Department of Foreign Affairs and Trade</w:t>
      </w:r>
    </w:p>
    <w:p w14:paraId="42ADABDF" w14:textId="5B87C2D1" w:rsidR="00B40C86" w:rsidRDefault="00B40C86" w:rsidP="00E53E85">
      <w:pPr>
        <w:rPr>
          <w:rFonts w:ascii="Cambria" w:hAnsi="Cambria"/>
          <w:sz w:val="18"/>
          <w:szCs w:val="18"/>
        </w:rPr>
      </w:pPr>
      <w:r>
        <w:rPr>
          <w:rFonts w:ascii="Cambria" w:hAnsi="Cambria"/>
          <w:sz w:val="18"/>
          <w:szCs w:val="18"/>
        </w:rPr>
        <w:t>BARMM</w:t>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sidR="003714E0" w:rsidRPr="00B40C86">
        <w:rPr>
          <w:rFonts w:ascii="Cambria" w:hAnsi="Cambria"/>
          <w:sz w:val="18"/>
          <w:szCs w:val="18"/>
        </w:rPr>
        <w:t>Bangsamoro</w:t>
      </w:r>
      <w:r w:rsidRPr="00B40C86">
        <w:rPr>
          <w:rFonts w:ascii="Cambria" w:hAnsi="Cambria"/>
          <w:sz w:val="18"/>
          <w:szCs w:val="18"/>
        </w:rPr>
        <w:t xml:space="preserve"> Autonomous Region in Muslim Min</w:t>
      </w:r>
      <w:r w:rsidR="003714E0">
        <w:rPr>
          <w:rFonts w:ascii="Cambria" w:hAnsi="Cambria"/>
          <w:sz w:val="18"/>
          <w:szCs w:val="18"/>
        </w:rPr>
        <w:t>danao</w:t>
      </w:r>
    </w:p>
    <w:p w14:paraId="549F07F1" w14:textId="77777777" w:rsidR="00FD5AE9" w:rsidRDefault="00294A4D" w:rsidP="00E53E85">
      <w:pPr>
        <w:rPr>
          <w:rFonts w:asciiTheme="minorHAnsi" w:hAnsiTheme="minorHAnsi"/>
          <w:sz w:val="18"/>
          <w:szCs w:val="18"/>
        </w:rPr>
      </w:pPr>
      <w:r w:rsidRPr="00CC0011">
        <w:rPr>
          <w:rFonts w:ascii="Cambria" w:hAnsi="Cambria"/>
          <w:sz w:val="18"/>
          <w:szCs w:val="18"/>
        </w:rPr>
        <w:t>BBL</w:t>
      </w:r>
      <w:r w:rsidR="0038476F" w:rsidRPr="00CC0011">
        <w:rPr>
          <w:rFonts w:ascii="Cambria" w:hAnsi="Cambria"/>
          <w:sz w:val="18"/>
          <w:szCs w:val="18"/>
        </w:rPr>
        <w:tab/>
      </w:r>
      <w:r w:rsidR="0038476F" w:rsidRPr="00CC0011">
        <w:rPr>
          <w:rFonts w:ascii="Cambria" w:hAnsi="Cambria"/>
          <w:sz w:val="18"/>
          <w:szCs w:val="18"/>
        </w:rPr>
        <w:tab/>
      </w:r>
      <w:r w:rsidR="0038476F" w:rsidRPr="00CC0011">
        <w:rPr>
          <w:rFonts w:ascii="Cambria" w:hAnsi="Cambria"/>
          <w:sz w:val="18"/>
          <w:szCs w:val="18"/>
        </w:rPr>
        <w:tab/>
      </w:r>
      <w:r w:rsidR="00DF40F7" w:rsidRPr="00CC0011">
        <w:rPr>
          <w:rFonts w:ascii="Cambria" w:hAnsi="Cambria"/>
          <w:sz w:val="18"/>
          <w:szCs w:val="18"/>
        </w:rPr>
        <w:tab/>
      </w:r>
      <w:r w:rsidRPr="00CC0011">
        <w:rPr>
          <w:rFonts w:ascii="Cambria" w:hAnsi="Cambria"/>
          <w:sz w:val="18"/>
          <w:szCs w:val="18"/>
        </w:rPr>
        <w:t>Bangsamoro Basic Law</w:t>
      </w:r>
      <w:r w:rsidRPr="00CC0011">
        <w:rPr>
          <w:rFonts w:ascii="Cambria" w:hAnsi="Cambria"/>
          <w:sz w:val="18"/>
          <w:szCs w:val="18"/>
        </w:rPr>
        <w:br/>
        <w:t>BDAF</w:t>
      </w:r>
      <w:r w:rsidR="0038476F" w:rsidRPr="00751824">
        <w:rPr>
          <w:rFonts w:asciiTheme="minorHAnsi" w:hAnsiTheme="minorHAnsi"/>
          <w:sz w:val="18"/>
          <w:szCs w:val="18"/>
        </w:rPr>
        <w:tab/>
      </w:r>
      <w:r w:rsidR="0038476F" w:rsidRPr="00751824">
        <w:rPr>
          <w:rFonts w:asciiTheme="minorHAnsi" w:hAnsiTheme="minorHAnsi"/>
          <w:sz w:val="18"/>
          <w:szCs w:val="18"/>
        </w:rPr>
        <w:tab/>
      </w:r>
      <w:r w:rsidR="0038476F"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Bangsamoro Development Assistance Fund</w:t>
      </w:r>
      <w:r w:rsidRPr="00751824">
        <w:rPr>
          <w:rFonts w:asciiTheme="minorHAnsi" w:hAnsiTheme="minorHAnsi"/>
          <w:sz w:val="18"/>
          <w:szCs w:val="18"/>
        </w:rPr>
        <w:br/>
        <w:t>BG</w:t>
      </w:r>
      <w:r w:rsidR="0038476F" w:rsidRPr="00751824">
        <w:rPr>
          <w:rFonts w:asciiTheme="minorHAnsi" w:hAnsiTheme="minorHAnsi"/>
          <w:sz w:val="18"/>
          <w:szCs w:val="18"/>
        </w:rPr>
        <w:tab/>
      </w:r>
      <w:r w:rsidR="0038476F" w:rsidRPr="00751824">
        <w:rPr>
          <w:rFonts w:asciiTheme="minorHAnsi" w:hAnsiTheme="minorHAnsi"/>
          <w:sz w:val="18"/>
          <w:szCs w:val="18"/>
        </w:rPr>
        <w:tab/>
      </w:r>
      <w:r w:rsidR="0038476F"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Bangsamoro Government</w:t>
      </w:r>
    </w:p>
    <w:p w14:paraId="01DFB6CC" w14:textId="7E12428D" w:rsidR="00D82035" w:rsidRPr="00751824" w:rsidRDefault="00FD5AE9" w:rsidP="00E53E85">
      <w:pPr>
        <w:rPr>
          <w:rFonts w:asciiTheme="minorHAnsi" w:hAnsiTheme="minorHAnsi"/>
          <w:sz w:val="18"/>
          <w:szCs w:val="18"/>
        </w:rPr>
      </w:pPr>
      <w:r>
        <w:rPr>
          <w:rFonts w:asciiTheme="minorHAnsi" w:hAnsiTheme="minorHAnsi"/>
          <w:sz w:val="18"/>
          <w:szCs w:val="18"/>
        </w:rPr>
        <w:t>BIAF</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Bangsamoro Islamic Armed Forces</w:t>
      </w:r>
      <w:r w:rsidR="00294A4D" w:rsidRPr="00751824">
        <w:rPr>
          <w:rFonts w:asciiTheme="minorHAnsi" w:hAnsiTheme="minorHAnsi"/>
          <w:sz w:val="18"/>
          <w:szCs w:val="18"/>
        </w:rPr>
        <w:br/>
        <w:t>BIFF</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00294A4D" w:rsidRPr="00751824">
        <w:rPr>
          <w:rFonts w:asciiTheme="minorHAnsi" w:hAnsiTheme="minorHAnsi"/>
          <w:sz w:val="18"/>
          <w:szCs w:val="18"/>
        </w:rPr>
        <w:t>Bangsamoro Islamic Freedom Fighters</w:t>
      </w:r>
    </w:p>
    <w:p w14:paraId="6FE0D74E" w14:textId="30DF90A9" w:rsidR="0061426F" w:rsidRPr="00751824" w:rsidRDefault="0061426F" w:rsidP="00D82035">
      <w:pPr>
        <w:rPr>
          <w:rFonts w:asciiTheme="minorHAnsi" w:hAnsiTheme="minorHAnsi"/>
          <w:sz w:val="18"/>
          <w:szCs w:val="18"/>
        </w:rPr>
      </w:pPr>
      <w:r w:rsidRPr="00751824">
        <w:rPr>
          <w:rFonts w:asciiTheme="minorHAnsi" w:hAnsiTheme="minorHAnsi"/>
          <w:sz w:val="18"/>
          <w:szCs w:val="18"/>
        </w:rPr>
        <w:t>BIWAB</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Pr="00751824">
        <w:rPr>
          <w:rStyle w:val="normaltextrun"/>
          <w:rFonts w:asciiTheme="minorHAnsi" w:hAnsiTheme="minorHAnsi" w:cs="Segoe UI"/>
          <w:sz w:val="18"/>
          <w:szCs w:val="18"/>
        </w:rPr>
        <w:t>Bangsamoro Islamic Women</w:t>
      </w:r>
      <w:r w:rsidR="00CE0450">
        <w:rPr>
          <w:rStyle w:val="normaltextrun"/>
          <w:rFonts w:asciiTheme="minorHAnsi" w:hAnsiTheme="minorHAnsi" w:cs="Segoe UI"/>
          <w:sz w:val="18"/>
          <w:szCs w:val="18"/>
        </w:rPr>
        <w:t>’</w:t>
      </w:r>
      <w:r w:rsidRPr="00751824">
        <w:rPr>
          <w:rStyle w:val="normaltextrun"/>
          <w:rFonts w:asciiTheme="minorHAnsi" w:hAnsiTheme="minorHAnsi" w:cs="Segoe UI"/>
          <w:sz w:val="18"/>
          <w:szCs w:val="18"/>
        </w:rPr>
        <w:t>s Auxiliary Brigade</w:t>
      </w:r>
    </w:p>
    <w:p w14:paraId="0BADFAF3" w14:textId="3DAC4D6F" w:rsidR="00AC0B4A" w:rsidRPr="00751824" w:rsidRDefault="00423700" w:rsidP="00AC0B4A">
      <w:pPr>
        <w:rPr>
          <w:rFonts w:asciiTheme="minorHAnsi" w:hAnsiTheme="minorHAnsi"/>
          <w:sz w:val="18"/>
          <w:szCs w:val="18"/>
        </w:rPr>
      </w:pPr>
      <w:r w:rsidRPr="00751824">
        <w:rPr>
          <w:rFonts w:asciiTheme="minorHAnsi" w:hAnsiTheme="minorHAnsi"/>
          <w:sz w:val="18"/>
          <w:szCs w:val="18"/>
        </w:rPr>
        <w:t>BM</w:t>
      </w:r>
      <w:r w:rsidR="00672E74" w:rsidRPr="00751824">
        <w:rPr>
          <w:rFonts w:asciiTheme="minorHAnsi" w:hAnsiTheme="minorHAnsi"/>
          <w:sz w:val="18"/>
          <w:szCs w:val="18"/>
        </w:rPr>
        <w:t>FI</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proofErr w:type="spellStart"/>
      <w:r w:rsidRPr="00751824">
        <w:rPr>
          <w:rFonts w:asciiTheme="minorHAnsi" w:hAnsiTheme="minorHAnsi"/>
          <w:sz w:val="18"/>
          <w:szCs w:val="18"/>
        </w:rPr>
        <w:t>Balay</w:t>
      </w:r>
      <w:proofErr w:type="spellEnd"/>
      <w:r w:rsidRPr="00751824">
        <w:rPr>
          <w:rFonts w:asciiTheme="minorHAnsi" w:hAnsiTheme="minorHAnsi"/>
          <w:sz w:val="18"/>
          <w:szCs w:val="18"/>
        </w:rPr>
        <w:t xml:space="preserve"> </w:t>
      </w:r>
      <w:proofErr w:type="spellStart"/>
      <w:r w:rsidRPr="00751824">
        <w:rPr>
          <w:rFonts w:asciiTheme="minorHAnsi" w:hAnsiTheme="minorHAnsi"/>
          <w:sz w:val="18"/>
          <w:szCs w:val="18"/>
        </w:rPr>
        <w:t>Mindana</w:t>
      </w:r>
      <w:r w:rsidR="000D73C7">
        <w:rPr>
          <w:rFonts w:asciiTheme="minorHAnsi" w:hAnsiTheme="minorHAnsi"/>
          <w:sz w:val="18"/>
          <w:szCs w:val="18"/>
        </w:rPr>
        <w:t>w</w:t>
      </w:r>
      <w:proofErr w:type="spellEnd"/>
      <w:r w:rsidRPr="00751824">
        <w:rPr>
          <w:rFonts w:asciiTheme="minorHAnsi" w:hAnsiTheme="minorHAnsi"/>
          <w:sz w:val="18"/>
          <w:szCs w:val="18"/>
        </w:rPr>
        <w:t xml:space="preserve"> </w:t>
      </w:r>
      <w:r w:rsidR="00672E74" w:rsidRPr="00751824">
        <w:rPr>
          <w:rFonts w:asciiTheme="minorHAnsi" w:hAnsiTheme="minorHAnsi"/>
          <w:sz w:val="18"/>
          <w:szCs w:val="18"/>
        </w:rPr>
        <w:t xml:space="preserve">Foundation, Inc. </w:t>
      </w:r>
    </w:p>
    <w:p w14:paraId="3599C47A" w14:textId="5A0CEC28" w:rsidR="00CC0011" w:rsidRDefault="00CC0011" w:rsidP="00754FFA">
      <w:pPr>
        <w:ind w:left="2880" w:hanging="2880"/>
        <w:rPr>
          <w:rFonts w:asciiTheme="minorHAnsi" w:hAnsiTheme="minorHAnsi"/>
          <w:sz w:val="18"/>
          <w:szCs w:val="18"/>
        </w:rPr>
      </w:pPr>
      <w:r w:rsidRPr="00751824">
        <w:rPr>
          <w:rFonts w:asciiTheme="minorHAnsi" w:hAnsiTheme="minorHAnsi"/>
          <w:sz w:val="18"/>
          <w:szCs w:val="18"/>
        </w:rPr>
        <w:t>BMFI AS2G-CARE</w:t>
      </w:r>
      <w:r w:rsidRPr="00751824">
        <w:rPr>
          <w:rFonts w:asciiTheme="minorHAnsi" w:hAnsiTheme="minorHAnsi"/>
          <w:sz w:val="18"/>
          <w:szCs w:val="18"/>
        </w:rPr>
        <w:tab/>
        <w:t xml:space="preserve">Advancing and Sustaining Good Governance and Community Actions Towards Resilience and Empowerment </w:t>
      </w:r>
    </w:p>
    <w:p w14:paraId="0F8750A3" w14:textId="77777777" w:rsidR="009C789A" w:rsidRPr="00751824" w:rsidRDefault="009C789A" w:rsidP="009C789A">
      <w:pPr>
        <w:rPr>
          <w:rFonts w:asciiTheme="minorHAnsi" w:hAnsiTheme="minorHAnsi"/>
          <w:sz w:val="18"/>
          <w:szCs w:val="18"/>
        </w:rPr>
      </w:pPr>
      <w:r w:rsidRPr="00751824">
        <w:rPr>
          <w:rFonts w:asciiTheme="minorHAnsi" w:hAnsiTheme="minorHAnsi"/>
          <w:sz w:val="18"/>
          <w:szCs w:val="18"/>
        </w:rPr>
        <w:t>BNTF</w:t>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t xml:space="preserve">Bangsamoro Normalization Trust Fund </w:t>
      </w:r>
    </w:p>
    <w:p w14:paraId="3CCC9545" w14:textId="3064989D" w:rsidR="009C789A" w:rsidRPr="00751824" w:rsidRDefault="009C789A" w:rsidP="00754FFA">
      <w:pPr>
        <w:ind w:left="2880" w:hanging="2880"/>
        <w:rPr>
          <w:rFonts w:asciiTheme="minorHAnsi" w:hAnsiTheme="minorHAnsi"/>
          <w:sz w:val="18"/>
          <w:szCs w:val="18"/>
        </w:rPr>
      </w:pPr>
      <w:r>
        <w:rPr>
          <w:rFonts w:asciiTheme="minorHAnsi" w:hAnsiTheme="minorHAnsi"/>
          <w:sz w:val="18"/>
          <w:szCs w:val="18"/>
        </w:rPr>
        <w:t>BOL</w:t>
      </w:r>
      <w:r>
        <w:rPr>
          <w:rFonts w:asciiTheme="minorHAnsi" w:hAnsiTheme="minorHAnsi"/>
          <w:sz w:val="18"/>
          <w:szCs w:val="18"/>
        </w:rPr>
        <w:tab/>
        <w:t>Bangsamoro Organic Law</w:t>
      </w:r>
    </w:p>
    <w:p w14:paraId="43B9F92F" w14:textId="203BEA57" w:rsidR="00AC0B4A" w:rsidRPr="00751824" w:rsidRDefault="00AC0B4A" w:rsidP="00AC0B4A">
      <w:pPr>
        <w:rPr>
          <w:rFonts w:asciiTheme="minorHAnsi" w:hAnsiTheme="minorHAnsi"/>
          <w:sz w:val="18"/>
          <w:szCs w:val="18"/>
        </w:rPr>
      </w:pPr>
      <w:r w:rsidRPr="00751824">
        <w:rPr>
          <w:rFonts w:asciiTheme="minorHAnsi" w:hAnsiTheme="minorHAnsi"/>
          <w:sz w:val="18"/>
          <w:szCs w:val="18"/>
        </w:rPr>
        <w:t xml:space="preserve">BPAT </w:t>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t xml:space="preserve">Barangay Peacekeeping Action Teams </w:t>
      </w:r>
    </w:p>
    <w:p w14:paraId="3366B26A" w14:textId="6160DD22" w:rsidR="00751824" w:rsidRPr="00751824" w:rsidRDefault="00751824" w:rsidP="00D82035">
      <w:pPr>
        <w:rPr>
          <w:rFonts w:asciiTheme="minorHAnsi" w:hAnsiTheme="minorHAnsi"/>
          <w:sz w:val="18"/>
          <w:szCs w:val="18"/>
        </w:rPr>
      </w:pPr>
      <w:r w:rsidRPr="00751824">
        <w:rPr>
          <w:rFonts w:asciiTheme="minorHAnsi" w:hAnsiTheme="minorHAnsi"/>
          <w:sz w:val="18"/>
          <w:szCs w:val="18"/>
        </w:rPr>
        <w:t>BTA</w:t>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t xml:space="preserve">Bangsamoro Transition Authority </w:t>
      </w:r>
    </w:p>
    <w:p w14:paraId="7442216C" w14:textId="2B1F04B9" w:rsidR="00294A4D" w:rsidRPr="00751824" w:rsidRDefault="00294A4D" w:rsidP="00D82035">
      <w:pPr>
        <w:rPr>
          <w:rFonts w:asciiTheme="minorHAnsi" w:hAnsiTheme="minorHAnsi"/>
          <w:sz w:val="18"/>
          <w:szCs w:val="18"/>
        </w:rPr>
      </w:pPr>
      <w:r w:rsidRPr="00751824">
        <w:rPr>
          <w:rFonts w:asciiTheme="minorHAnsi" w:hAnsiTheme="minorHAnsi"/>
          <w:sz w:val="18"/>
          <w:szCs w:val="18"/>
        </w:rPr>
        <w:t>CAB</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Comprehensive Agreement on the Bangsamoro</w:t>
      </w:r>
    </w:p>
    <w:p w14:paraId="0B4EA2B4" w14:textId="60050279" w:rsidR="00294A4D" w:rsidRPr="00751824" w:rsidRDefault="00294A4D" w:rsidP="00D82035">
      <w:pPr>
        <w:rPr>
          <w:rFonts w:asciiTheme="minorHAnsi" w:hAnsiTheme="minorHAnsi"/>
          <w:sz w:val="18"/>
          <w:szCs w:val="18"/>
        </w:rPr>
      </w:pPr>
      <w:r w:rsidRPr="00751824">
        <w:rPr>
          <w:rFonts w:asciiTheme="minorHAnsi" w:hAnsiTheme="minorHAnsi"/>
          <w:sz w:val="18"/>
          <w:szCs w:val="18"/>
        </w:rPr>
        <w:t>CDD</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Community-driven development</w:t>
      </w:r>
      <w:r w:rsidRPr="00751824">
        <w:rPr>
          <w:rFonts w:asciiTheme="minorHAnsi" w:hAnsiTheme="minorHAnsi"/>
          <w:sz w:val="18"/>
          <w:szCs w:val="18"/>
        </w:rPr>
        <w:br/>
        <w:t>CHD</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Center for Humanitarian Dialogue</w:t>
      </w:r>
    </w:p>
    <w:p w14:paraId="0B3B6978" w14:textId="3B3CD0EC" w:rsidR="00294A4D" w:rsidRPr="00751824" w:rsidRDefault="00294A4D" w:rsidP="00D82035">
      <w:pPr>
        <w:rPr>
          <w:rFonts w:asciiTheme="minorHAnsi" w:hAnsiTheme="minorHAnsi"/>
          <w:sz w:val="18"/>
          <w:szCs w:val="18"/>
        </w:rPr>
      </w:pPr>
      <w:r w:rsidRPr="00751824">
        <w:rPr>
          <w:rFonts w:asciiTheme="minorHAnsi" w:hAnsiTheme="minorHAnsi"/>
          <w:sz w:val="18"/>
          <w:szCs w:val="18"/>
        </w:rPr>
        <w:t>CSO</w:t>
      </w:r>
      <w:r w:rsidR="005D6E48" w:rsidRPr="00751824">
        <w:rPr>
          <w:rFonts w:asciiTheme="minorHAnsi" w:hAnsiTheme="minorHAnsi"/>
          <w:sz w:val="18"/>
          <w:szCs w:val="18"/>
        </w:rPr>
        <w:tab/>
      </w:r>
      <w:r w:rsidR="005D6E48" w:rsidRPr="00751824">
        <w:rPr>
          <w:rFonts w:asciiTheme="minorHAnsi" w:hAnsiTheme="minorHAnsi"/>
          <w:sz w:val="18"/>
          <w:szCs w:val="18"/>
        </w:rPr>
        <w:tab/>
      </w:r>
      <w:r w:rsidR="005D6E48"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Civil Society Organization</w:t>
      </w:r>
    </w:p>
    <w:p w14:paraId="7B6EFB87" w14:textId="1675FB32" w:rsidR="005402CD" w:rsidRPr="00751824" w:rsidRDefault="005402CD" w:rsidP="00D82035">
      <w:pPr>
        <w:rPr>
          <w:rFonts w:asciiTheme="minorHAnsi" w:hAnsiTheme="minorHAnsi"/>
          <w:sz w:val="18"/>
          <w:szCs w:val="18"/>
        </w:rPr>
      </w:pPr>
      <w:r w:rsidRPr="00751824">
        <w:rPr>
          <w:rFonts w:asciiTheme="minorHAnsi" w:hAnsiTheme="minorHAnsi"/>
          <w:sz w:val="18"/>
          <w:szCs w:val="18"/>
        </w:rPr>
        <w:t>DILG</w:t>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Department of the Interior and Local Government</w:t>
      </w:r>
    </w:p>
    <w:p w14:paraId="18413BA0" w14:textId="3EDD322F" w:rsidR="00D7773A" w:rsidRPr="00751824" w:rsidRDefault="00D7773A" w:rsidP="00D82035">
      <w:pPr>
        <w:rPr>
          <w:rFonts w:asciiTheme="minorHAnsi" w:hAnsiTheme="minorHAnsi"/>
          <w:sz w:val="18"/>
          <w:szCs w:val="18"/>
        </w:rPr>
      </w:pPr>
      <w:r w:rsidRPr="00751824">
        <w:rPr>
          <w:rFonts w:asciiTheme="minorHAnsi" w:hAnsiTheme="minorHAnsi"/>
          <w:sz w:val="18"/>
          <w:szCs w:val="18"/>
        </w:rPr>
        <w:t>FPSF</w:t>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 xml:space="preserve">Flexible Peace and Stability Fund </w:t>
      </w:r>
    </w:p>
    <w:p w14:paraId="6F82ECBA" w14:textId="7A0FA5CF" w:rsidR="00CE5922" w:rsidRPr="00751824" w:rsidRDefault="00CE5922" w:rsidP="00D82035">
      <w:pPr>
        <w:rPr>
          <w:rFonts w:asciiTheme="minorHAnsi" w:hAnsiTheme="minorHAnsi"/>
          <w:sz w:val="18"/>
          <w:szCs w:val="18"/>
        </w:rPr>
      </w:pPr>
      <w:r w:rsidRPr="00751824">
        <w:rPr>
          <w:rFonts w:asciiTheme="minorHAnsi" w:hAnsiTheme="minorHAnsi"/>
          <w:sz w:val="18"/>
          <w:szCs w:val="18"/>
        </w:rPr>
        <w:t xml:space="preserve">GCERF </w:t>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 xml:space="preserve">Global Community Engagement Resilience Fund </w:t>
      </w:r>
    </w:p>
    <w:p w14:paraId="222499E5" w14:textId="13CF0F70" w:rsidR="00294A4D" w:rsidRPr="00751824" w:rsidRDefault="00294A4D" w:rsidP="00D82035">
      <w:pPr>
        <w:rPr>
          <w:rFonts w:asciiTheme="minorHAnsi" w:hAnsiTheme="minorHAnsi"/>
          <w:sz w:val="18"/>
          <w:szCs w:val="18"/>
        </w:rPr>
      </w:pPr>
      <w:r w:rsidRPr="00751824">
        <w:rPr>
          <w:rFonts w:asciiTheme="minorHAnsi" w:hAnsiTheme="minorHAnsi"/>
          <w:sz w:val="18"/>
          <w:szCs w:val="18"/>
        </w:rPr>
        <w:t>GPH</w:t>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Government of the Philippines</w:t>
      </w:r>
      <w:r w:rsidRPr="00751824">
        <w:rPr>
          <w:rFonts w:asciiTheme="minorHAnsi" w:hAnsiTheme="minorHAnsi"/>
          <w:sz w:val="18"/>
          <w:szCs w:val="18"/>
        </w:rPr>
        <w:br/>
        <w:t>IA</w:t>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00DF40F7" w:rsidRPr="00751824">
        <w:rPr>
          <w:rFonts w:asciiTheme="minorHAnsi" w:hAnsiTheme="minorHAnsi"/>
          <w:sz w:val="18"/>
          <w:szCs w:val="18"/>
        </w:rPr>
        <w:tab/>
      </w:r>
      <w:r w:rsidRPr="00751824">
        <w:rPr>
          <w:rFonts w:asciiTheme="minorHAnsi" w:hAnsiTheme="minorHAnsi"/>
          <w:sz w:val="18"/>
          <w:szCs w:val="18"/>
        </w:rPr>
        <w:t>International Alert</w:t>
      </w:r>
      <w:r w:rsidRPr="00751824">
        <w:rPr>
          <w:rFonts w:asciiTheme="minorHAnsi" w:hAnsiTheme="minorHAnsi"/>
          <w:sz w:val="18"/>
          <w:szCs w:val="18"/>
        </w:rPr>
        <w:br/>
        <w:t>IAG</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Institute for Autonomy and Governance</w:t>
      </w:r>
    </w:p>
    <w:p w14:paraId="54F64B2D" w14:textId="25B125DB" w:rsidR="003B3395" w:rsidRDefault="003B3395" w:rsidP="00D82035">
      <w:pPr>
        <w:rPr>
          <w:rFonts w:asciiTheme="minorHAnsi" w:hAnsiTheme="minorHAnsi"/>
          <w:sz w:val="18"/>
          <w:szCs w:val="18"/>
        </w:rPr>
      </w:pPr>
      <w:r>
        <w:rPr>
          <w:rFonts w:asciiTheme="minorHAnsi" w:hAnsiTheme="minorHAnsi"/>
          <w:sz w:val="18"/>
          <w:szCs w:val="18"/>
        </w:rPr>
        <w:t>IATF-EID</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Inter-agency Task Force on Emerging Infectious Diseases</w:t>
      </w:r>
      <w:r>
        <w:rPr>
          <w:rFonts w:asciiTheme="minorHAnsi" w:hAnsiTheme="minorHAnsi"/>
          <w:sz w:val="18"/>
          <w:szCs w:val="18"/>
        </w:rPr>
        <w:tab/>
      </w:r>
    </w:p>
    <w:p w14:paraId="4443862E" w14:textId="28580CF8" w:rsidR="003C6F16" w:rsidRPr="00751824" w:rsidRDefault="003C6F16" w:rsidP="00D82035">
      <w:pPr>
        <w:rPr>
          <w:rFonts w:asciiTheme="minorHAnsi" w:hAnsiTheme="minorHAnsi"/>
          <w:sz w:val="18"/>
          <w:szCs w:val="18"/>
        </w:rPr>
      </w:pPr>
      <w:r w:rsidRPr="00751824">
        <w:rPr>
          <w:rFonts w:asciiTheme="minorHAnsi" w:hAnsiTheme="minorHAnsi"/>
          <w:sz w:val="18"/>
          <w:szCs w:val="18"/>
        </w:rPr>
        <w:t>ICG</w:t>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r>
      <w:r w:rsidRPr="00751824">
        <w:rPr>
          <w:rFonts w:asciiTheme="minorHAnsi" w:hAnsiTheme="minorHAnsi"/>
          <w:sz w:val="18"/>
          <w:szCs w:val="18"/>
        </w:rPr>
        <w:tab/>
        <w:t>International Crisis</w:t>
      </w:r>
      <w:r w:rsidR="00BB494D" w:rsidRPr="00751824">
        <w:rPr>
          <w:rFonts w:asciiTheme="minorHAnsi" w:hAnsiTheme="minorHAnsi"/>
          <w:sz w:val="18"/>
          <w:szCs w:val="18"/>
        </w:rPr>
        <w:t xml:space="preserve"> Group</w:t>
      </w:r>
    </w:p>
    <w:p w14:paraId="2192C9A1" w14:textId="68E37E81" w:rsidR="00853BAA" w:rsidRPr="00751824" w:rsidRDefault="00294A4D" w:rsidP="00D82035">
      <w:pPr>
        <w:rPr>
          <w:rFonts w:asciiTheme="minorHAnsi" w:hAnsiTheme="minorHAnsi"/>
          <w:sz w:val="18"/>
          <w:szCs w:val="18"/>
        </w:rPr>
      </w:pPr>
      <w:r w:rsidRPr="00751824">
        <w:rPr>
          <w:rFonts w:asciiTheme="minorHAnsi" w:hAnsiTheme="minorHAnsi"/>
          <w:sz w:val="18"/>
          <w:szCs w:val="18"/>
        </w:rPr>
        <w:t>IP</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Indigenous People</w:t>
      </w:r>
      <w:r w:rsidRPr="00751824">
        <w:rPr>
          <w:rFonts w:asciiTheme="minorHAnsi" w:hAnsiTheme="minorHAnsi"/>
          <w:sz w:val="18"/>
          <w:szCs w:val="18"/>
        </w:rPr>
        <w:br/>
        <w:t>LGU</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Local Government Unit</w:t>
      </w:r>
      <w:r w:rsidRPr="00751824">
        <w:rPr>
          <w:rFonts w:asciiTheme="minorHAnsi" w:hAnsiTheme="minorHAnsi"/>
          <w:sz w:val="18"/>
          <w:szCs w:val="18"/>
        </w:rPr>
        <w:br/>
        <w:t>MILF</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Moro Islamic Liberation Front</w:t>
      </w:r>
      <w:r w:rsidRPr="00751824">
        <w:rPr>
          <w:rFonts w:asciiTheme="minorHAnsi" w:hAnsiTheme="minorHAnsi"/>
          <w:sz w:val="18"/>
          <w:szCs w:val="18"/>
        </w:rPr>
        <w:br/>
        <w:t>MNLF</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Moro National Liberation Front</w:t>
      </w:r>
      <w:r w:rsidRPr="00751824">
        <w:rPr>
          <w:rFonts w:asciiTheme="minorHAnsi" w:hAnsiTheme="minorHAnsi"/>
          <w:sz w:val="18"/>
          <w:szCs w:val="18"/>
        </w:rPr>
        <w:br/>
        <w:t>MT</w:t>
      </w:r>
      <w:r w:rsidR="00251857" w:rsidRPr="00751824">
        <w:rPr>
          <w:rFonts w:asciiTheme="minorHAnsi" w:hAnsiTheme="minorHAnsi"/>
          <w:sz w:val="18"/>
          <w:szCs w:val="18"/>
        </w:rPr>
        <w:t>F-RDP</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Mindanao Trust Fund</w:t>
      </w:r>
      <w:r w:rsidR="009C789A">
        <w:rPr>
          <w:rFonts w:asciiTheme="minorHAnsi" w:hAnsiTheme="minorHAnsi"/>
          <w:sz w:val="18"/>
          <w:szCs w:val="18"/>
        </w:rPr>
        <w:t xml:space="preserve"> </w:t>
      </w:r>
      <w:r w:rsidR="008E7989">
        <w:rPr>
          <w:rFonts w:asciiTheme="minorHAnsi" w:hAnsiTheme="minorHAnsi"/>
          <w:sz w:val="18"/>
          <w:szCs w:val="18"/>
        </w:rPr>
        <w:t>–</w:t>
      </w:r>
      <w:r w:rsidR="00251857" w:rsidRPr="00751824">
        <w:rPr>
          <w:rFonts w:asciiTheme="minorHAnsi" w:hAnsiTheme="minorHAnsi"/>
          <w:sz w:val="18"/>
          <w:szCs w:val="18"/>
        </w:rPr>
        <w:t xml:space="preserve"> Reconstruction and Development Program</w:t>
      </w:r>
      <w:r w:rsidR="00251857" w:rsidRPr="00751824">
        <w:rPr>
          <w:rFonts w:asciiTheme="minorHAnsi" w:hAnsiTheme="minorHAnsi"/>
          <w:sz w:val="18"/>
          <w:szCs w:val="18"/>
        </w:rPr>
        <w:tab/>
      </w:r>
      <w:r w:rsidRPr="00751824">
        <w:rPr>
          <w:rFonts w:asciiTheme="minorHAnsi" w:hAnsiTheme="minorHAnsi"/>
          <w:sz w:val="18"/>
          <w:szCs w:val="18"/>
        </w:rPr>
        <w:br/>
      </w:r>
      <w:r w:rsidR="00853BAA" w:rsidRPr="00751824">
        <w:rPr>
          <w:rFonts w:asciiTheme="minorHAnsi" w:hAnsiTheme="minorHAnsi"/>
          <w:sz w:val="18"/>
          <w:szCs w:val="18"/>
        </w:rPr>
        <w:t>NAP</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853BAA" w:rsidRPr="00751824">
        <w:rPr>
          <w:rFonts w:asciiTheme="minorHAnsi" w:hAnsiTheme="minorHAnsi"/>
          <w:sz w:val="18"/>
          <w:szCs w:val="18"/>
        </w:rPr>
        <w:t>National Action Plan</w:t>
      </w:r>
    </w:p>
    <w:p w14:paraId="4EEBB8CA" w14:textId="096DF19B" w:rsidR="00294A4D" w:rsidRPr="00751824" w:rsidRDefault="00294A4D" w:rsidP="00D82035">
      <w:pPr>
        <w:rPr>
          <w:rFonts w:asciiTheme="minorHAnsi" w:hAnsiTheme="minorHAnsi"/>
          <w:sz w:val="18"/>
          <w:szCs w:val="18"/>
        </w:rPr>
      </w:pPr>
      <w:r w:rsidRPr="00751824">
        <w:rPr>
          <w:rFonts w:asciiTheme="minorHAnsi" w:hAnsiTheme="minorHAnsi"/>
          <w:sz w:val="18"/>
          <w:szCs w:val="18"/>
        </w:rPr>
        <w:t>OPAPP</w:t>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00251857" w:rsidRPr="00751824">
        <w:rPr>
          <w:rFonts w:asciiTheme="minorHAnsi" w:hAnsiTheme="minorHAnsi"/>
          <w:sz w:val="18"/>
          <w:szCs w:val="18"/>
        </w:rPr>
        <w:tab/>
      </w:r>
      <w:r w:rsidRPr="00751824">
        <w:rPr>
          <w:rFonts w:asciiTheme="minorHAnsi" w:hAnsiTheme="minorHAnsi"/>
          <w:sz w:val="18"/>
          <w:szCs w:val="18"/>
        </w:rPr>
        <w:t>Office of the Presidential Adviser on the Peace Process</w:t>
      </w:r>
    </w:p>
    <w:p w14:paraId="1E62D41D" w14:textId="1260D4BD" w:rsidR="00CC0011" w:rsidRPr="00CC0011" w:rsidRDefault="00CC0011" w:rsidP="00CC0011">
      <w:pPr>
        <w:ind w:left="2880" w:hanging="2880"/>
        <w:rPr>
          <w:rFonts w:ascii="Cambria" w:hAnsi="Cambria"/>
          <w:sz w:val="18"/>
          <w:szCs w:val="18"/>
        </w:rPr>
      </w:pPr>
      <w:r w:rsidRPr="00751824">
        <w:rPr>
          <w:rFonts w:asciiTheme="minorHAnsi" w:hAnsiTheme="minorHAnsi"/>
          <w:sz w:val="18"/>
          <w:szCs w:val="18"/>
        </w:rPr>
        <w:t>Oxfam WELD-PEACE</w:t>
      </w:r>
      <w:r w:rsidRPr="00751824">
        <w:rPr>
          <w:rFonts w:asciiTheme="minorHAnsi" w:hAnsiTheme="minorHAnsi"/>
          <w:sz w:val="18"/>
          <w:szCs w:val="18"/>
        </w:rPr>
        <w:tab/>
        <w:t>Women</w:t>
      </w:r>
      <w:r w:rsidR="008E7989">
        <w:rPr>
          <w:rFonts w:asciiTheme="minorHAnsi" w:hAnsiTheme="minorHAnsi"/>
          <w:sz w:val="18"/>
          <w:szCs w:val="18"/>
        </w:rPr>
        <w:t>’</w:t>
      </w:r>
      <w:r w:rsidRPr="00751824">
        <w:rPr>
          <w:rFonts w:asciiTheme="minorHAnsi" w:hAnsiTheme="minorHAnsi"/>
          <w:sz w:val="18"/>
          <w:szCs w:val="18"/>
        </w:rPr>
        <w:t>s Empowerment for Leadership</w:t>
      </w:r>
      <w:r w:rsidRPr="00CC0011">
        <w:rPr>
          <w:rFonts w:ascii="Cambria" w:hAnsi="Cambria"/>
          <w:sz w:val="18"/>
          <w:szCs w:val="18"/>
        </w:rPr>
        <w:t xml:space="preserve"> and Development and Peace in th</w:t>
      </w:r>
      <w:r w:rsidR="005B4406">
        <w:rPr>
          <w:rFonts w:ascii="Cambria" w:hAnsi="Cambria"/>
          <w:sz w:val="18"/>
          <w:szCs w:val="18"/>
        </w:rPr>
        <w:t xml:space="preserve">e </w:t>
      </w:r>
      <w:r w:rsidRPr="00CC0011">
        <w:rPr>
          <w:rFonts w:ascii="Cambria" w:hAnsi="Cambria"/>
          <w:sz w:val="18"/>
          <w:szCs w:val="18"/>
        </w:rPr>
        <w:t>Bangsamoro</w:t>
      </w:r>
    </w:p>
    <w:p w14:paraId="17FE54A9" w14:textId="2978E7D6" w:rsidR="003F63D1" w:rsidRPr="00CC0011" w:rsidRDefault="003F63D1" w:rsidP="003C4566">
      <w:pPr>
        <w:rPr>
          <w:rFonts w:ascii="Cambria" w:hAnsi="Cambria"/>
          <w:sz w:val="18"/>
          <w:szCs w:val="18"/>
        </w:rPr>
      </w:pPr>
      <w:r w:rsidRPr="00CC0011">
        <w:rPr>
          <w:rFonts w:ascii="Cambria" w:hAnsi="Cambria"/>
          <w:sz w:val="18"/>
          <w:szCs w:val="18"/>
        </w:rPr>
        <w:t>PBSP</w:t>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t>Philippine Business for Social Progress</w:t>
      </w:r>
    </w:p>
    <w:p w14:paraId="644BE862" w14:textId="42FA50E6" w:rsidR="00CF3CCD" w:rsidRPr="00CC0011" w:rsidRDefault="00CF3CCD" w:rsidP="003C4566">
      <w:pPr>
        <w:rPr>
          <w:rFonts w:ascii="Cambria" w:hAnsi="Cambria"/>
          <w:sz w:val="18"/>
          <w:szCs w:val="18"/>
        </w:rPr>
      </w:pPr>
      <w:r w:rsidRPr="00CC0011">
        <w:rPr>
          <w:rFonts w:ascii="Cambria" w:hAnsi="Cambria"/>
          <w:sz w:val="18"/>
          <w:szCs w:val="18"/>
        </w:rPr>
        <w:t>PWD</w:t>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t>Persons with disability</w:t>
      </w:r>
    </w:p>
    <w:p w14:paraId="28C5427C" w14:textId="374EC798" w:rsidR="005D6E48" w:rsidRPr="00CC0011" w:rsidRDefault="005D6E48" w:rsidP="003C4566">
      <w:pPr>
        <w:rPr>
          <w:rFonts w:ascii="Cambria" w:hAnsi="Cambria"/>
          <w:sz w:val="18"/>
          <w:szCs w:val="18"/>
        </w:rPr>
      </w:pPr>
      <w:r w:rsidRPr="00CC0011">
        <w:rPr>
          <w:rFonts w:ascii="Cambria" w:hAnsi="Cambria"/>
          <w:sz w:val="18"/>
          <w:szCs w:val="18"/>
        </w:rPr>
        <w:t xml:space="preserve">P/ CVE </w:t>
      </w:r>
      <w:r w:rsidRPr="00CC0011">
        <w:rPr>
          <w:rFonts w:ascii="Cambria" w:hAnsi="Cambria"/>
          <w:sz w:val="18"/>
          <w:szCs w:val="18"/>
        </w:rPr>
        <w:tab/>
      </w:r>
      <w:r w:rsidRPr="00CC0011">
        <w:rPr>
          <w:rFonts w:ascii="Cambria" w:hAnsi="Cambria"/>
          <w:sz w:val="18"/>
          <w:szCs w:val="18"/>
        </w:rPr>
        <w:tab/>
      </w:r>
      <w:r w:rsidR="00C61E3F" w:rsidRPr="00CC0011">
        <w:rPr>
          <w:rFonts w:ascii="Cambria" w:hAnsi="Cambria"/>
          <w:sz w:val="18"/>
          <w:szCs w:val="18"/>
        </w:rPr>
        <w:tab/>
      </w:r>
      <w:r w:rsidRPr="00CC0011">
        <w:rPr>
          <w:rFonts w:ascii="Cambria" w:hAnsi="Cambria"/>
          <w:sz w:val="18"/>
          <w:szCs w:val="18"/>
        </w:rPr>
        <w:tab/>
        <w:t>Preventing / Countering Violent Extremism</w:t>
      </w:r>
    </w:p>
    <w:p w14:paraId="3BEEAB16" w14:textId="3B4C4E8C" w:rsidR="00D10E3B" w:rsidRPr="00CC0011" w:rsidRDefault="00D10E3B" w:rsidP="003C4566">
      <w:pPr>
        <w:rPr>
          <w:rFonts w:ascii="Cambria" w:hAnsi="Cambria"/>
          <w:sz w:val="18"/>
          <w:szCs w:val="18"/>
        </w:rPr>
      </w:pPr>
      <w:r w:rsidRPr="00CC0011">
        <w:rPr>
          <w:rFonts w:ascii="Cambria" w:hAnsi="Cambria"/>
          <w:sz w:val="18"/>
          <w:szCs w:val="18"/>
        </w:rPr>
        <w:t>RA</w:t>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t xml:space="preserve">Republic Act </w:t>
      </w:r>
    </w:p>
    <w:p w14:paraId="5B44FE8C" w14:textId="1E945787" w:rsidR="009E5E4A" w:rsidRPr="00CC0011" w:rsidRDefault="009E5E4A" w:rsidP="003C4566">
      <w:pPr>
        <w:rPr>
          <w:rFonts w:ascii="Cambria" w:hAnsi="Cambria"/>
          <w:sz w:val="18"/>
          <w:szCs w:val="18"/>
        </w:rPr>
      </w:pPr>
      <w:r w:rsidRPr="00CC0011">
        <w:rPr>
          <w:rFonts w:ascii="Cambria" w:hAnsi="Cambria"/>
          <w:sz w:val="18"/>
          <w:szCs w:val="18"/>
        </w:rPr>
        <w:t>SALW</w:t>
      </w:r>
      <w:r w:rsidR="00C61E3F" w:rsidRPr="00CC0011">
        <w:rPr>
          <w:rFonts w:ascii="Cambria" w:hAnsi="Cambria"/>
          <w:sz w:val="18"/>
          <w:szCs w:val="18"/>
        </w:rPr>
        <w:tab/>
      </w:r>
      <w:r w:rsidR="00C61E3F" w:rsidRPr="00CC0011">
        <w:rPr>
          <w:rFonts w:ascii="Cambria" w:hAnsi="Cambria"/>
          <w:sz w:val="18"/>
          <w:szCs w:val="18"/>
        </w:rPr>
        <w:tab/>
      </w:r>
      <w:r w:rsidR="00C61E3F" w:rsidRPr="00CC0011">
        <w:rPr>
          <w:rFonts w:ascii="Cambria" w:hAnsi="Cambria"/>
          <w:sz w:val="18"/>
          <w:szCs w:val="18"/>
        </w:rPr>
        <w:tab/>
      </w:r>
      <w:r w:rsidR="00C61E3F" w:rsidRPr="00CC0011">
        <w:rPr>
          <w:rFonts w:ascii="Cambria" w:hAnsi="Cambria"/>
          <w:sz w:val="18"/>
          <w:szCs w:val="18"/>
        </w:rPr>
        <w:tab/>
      </w:r>
      <w:r w:rsidR="0089188C" w:rsidRPr="00CC0011">
        <w:rPr>
          <w:rFonts w:ascii="Cambria" w:hAnsi="Cambria"/>
          <w:sz w:val="18"/>
          <w:szCs w:val="18"/>
        </w:rPr>
        <w:t>S</w:t>
      </w:r>
      <w:r w:rsidRPr="00CC0011">
        <w:rPr>
          <w:rFonts w:ascii="Cambria" w:hAnsi="Cambria"/>
          <w:sz w:val="18"/>
          <w:szCs w:val="18"/>
        </w:rPr>
        <w:t>mall arms and light weapons</w:t>
      </w:r>
    </w:p>
    <w:p w14:paraId="0D6EA7DA" w14:textId="092F4B59" w:rsidR="001168EE" w:rsidRPr="00CC0011" w:rsidRDefault="001168EE" w:rsidP="003C4566">
      <w:pPr>
        <w:rPr>
          <w:rFonts w:ascii="Cambria" w:hAnsi="Cambria"/>
          <w:sz w:val="18"/>
          <w:szCs w:val="18"/>
        </w:rPr>
      </w:pPr>
      <w:r w:rsidRPr="00CC0011">
        <w:rPr>
          <w:rFonts w:ascii="Cambria" w:hAnsi="Cambria"/>
          <w:sz w:val="18"/>
          <w:szCs w:val="18"/>
        </w:rPr>
        <w:t>SWC</w:t>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r>
      <w:r w:rsidRPr="00CC0011">
        <w:rPr>
          <w:rFonts w:ascii="Cambria" w:hAnsi="Cambria"/>
          <w:sz w:val="18"/>
          <w:szCs w:val="18"/>
        </w:rPr>
        <w:tab/>
        <w:t xml:space="preserve">MILF Social Welfare Committee </w:t>
      </w:r>
    </w:p>
    <w:p w14:paraId="0624649D" w14:textId="502DF075" w:rsidR="003C4566" w:rsidRPr="00CC0011" w:rsidRDefault="00294A4D" w:rsidP="003C4566">
      <w:pPr>
        <w:rPr>
          <w:rFonts w:ascii="Cambria" w:hAnsi="Cambria"/>
          <w:sz w:val="18"/>
          <w:szCs w:val="18"/>
        </w:rPr>
      </w:pPr>
      <w:r w:rsidRPr="00CC0011">
        <w:rPr>
          <w:rFonts w:ascii="Cambria" w:hAnsi="Cambria"/>
          <w:sz w:val="18"/>
          <w:szCs w:val="18"/>
        </w:rPr>
        <w:t>TAF</w:t>
      </w:r>
      <w:r w:rsidR="00C61E3F" w:rsidRPr="00CC0011">
        <w:rPr>
          <w:rFonts w:ascii="Cambria" w:hAnsi="Cambria"/>
          <w:sz w:val="18"/>
          <w:szCs w:val="18"/>
        </w:rPr>
        <w:tab/>
      </w:r>
      <w:r w:rsidR="00C61E3F" w:rsidRPr="00CC0011">
        <w:rPr>
          <w:rFonts w:ascii="Cambria" w:hAnsi="Cambria"/>
          <w:sz w:val="18"/>
          <w:szCs w:val="18"/>
        </w:rPr>
        <w:tab/>
      </w:r>
      <w:r w:rsidR="00C61E3F" w:rsidRPr="00CC0011">
        <w:rPr>
          <w:rFonts w:ascii="Cambria" w:hAnsi="Cambria"/>
          <w:sz w:val="18"/>
          <w:szCs w:val="18"/>
        </w:rPr>
        <w:tab/>
      </w:r>
      <w:r w:rsidR="00C61E3F" w:rsidRPr="00CC0011">
        <w:rPr>
          <w:rFonts w:ascii="Cambria" w:hAnsi="Cambria"/>
          <w:sz w:val="18"/>
          <w:szCs w:val="18"/>
        </w:rPr>
        <w:tab/>
      </w:r>
      <w:r w:rsidRPr="00CC0011">
        <w:rPr>
          <w:rFonts w:ascii="Cambria" w:hAnsi="Cambria"/>
          <w:sz w:val="18"/>
          <w:szCs w:val="18"/>
        </w:rPr>
        <w:t>The Asia Foundation</w:t>
      </w:r>
    </w:p>
    <w:p w14:paraId="70EA9C5B" w14:textId="160B3626" w:rsidR="002B2CB2" w:rsidRPr="00CC0011" w:rsidRDefault="002B2CB2" w:rsidP="00C61E3F">
      <w:pPr>
        <w:ind w:left="2880" w:hanging="2880"/>
        <w:rPr>
          <w:rFonts w:ascii="Cambria" w:hAnsi="Cambria" w:cs="Arial"/>
          <w:sz w:val="18"/>
          <w:szCs w:val="18"/>
        </w:rPr>
      </w:pPr>
      <w:r w:rsidRPr="00CC0011">
        <w:rPr>
          <w:rFonts w:ascii="Cambria" w:hAnsi="Cambria"/>
          <w:sz w:val="18"/>
          <w:szCs w:val="18"/>
        </w:rPr>
        <w:t>TAF – BM</w:t>
      </w:r>
      <w:r w:rsidR="00672E74" w:rsidRPr="00CC0011">
        <w:rPr>
          <w:rFonts w:ascii="Cambria" w:hAnsi="Cambria"/>
          <w:sz w:val="18"/>
          <w:szCs w:val="18"/>
        </w:rPr>
        <w:t>FI</w:t>
      </w:r>
      <w:r w:rsidRPr="00CC0011">
        <w:rPr>
          <w:rFonts w:ascii="Cambria" w:hAnsi="Cambria"/>
          <w:sz w:val="18"/>
          <w:szCs w:val="18"/>
        </w:rPr>
        <w:t xml:space="preserve"> Project CIRCLE </w:t>
      </w:r>
      <w:r w:rsidR="00C61E3F" w:rsidRPr="00CC0011">
        <w:rPr>
          <w:rFonts w:ascii="Cambria" w:hAnsi="Cambria"/>
          <w:sz w:val="18"/>
          <w:szCs w:val="18"/>
        </w:rPr>
        <w:tab/>
      </w:r>
      <w:r w:rsidRPr="00CC0011">
        <w:rPr>
          <w:rFonts w:ascii="Cambria" w:hAnsi="Cambria" w:cs="Arial"/>
          <w:sz w:val="18"/>
          <w:szCs w:val="18"/>
        </w:rPr>
        <w:t>Communities of Inclusion and Resilience through Collaborative Loca</w:t>
      </w:r>
      <w:r w:rsidR="00754FFA">
        <w:rPr>
          <w:rFonts w:ascii="Cambria" w:hAnsi="Cambria" w:cs="Arial"/>
          <w:sz w:val="18"/>
          <w:szCs w:val="18"/>
        </w:rPr>
        <w:t xml:space="preserve">l </w:t>
      </w:r>
      <w:r w:rsidRPr="00CC0011">
        <w:rPr>
          <w:rFonts w:ascii="Cambria" w:hAnsi="Cambria" w:cs="Arial"/>
          <w:sz w:val="18"/>
          <w:szCs w:val="18"/>
        </w:rPr>
        <w:t>Engagements</w:t>
      </w:r>
    </w:p>
    <w:p w14:paraId="0C272C65" w14:textId="58F95F36" w:rsidR="00024F19" w:rsidRPr="00CC0011" w:rsidRDefault="00024F19" w:rsidP="00C61E3F">
      <w:pPr>
        <w:ind w:left="2880" w:hanging="2880"/>
        <w:rPr>
          <w:rFonts w:ascii="Cambria" w:hAnsi="Cambria"/>
          <w:sz w:val="18"/>
          <w:szCs w:val="18"/>
        </w:rPr>
      </w:pPr>
      <w:r w:rsidRPr="00CC0011">
        <w:rPr>
          <w:rFonts w:ascii="Cambria" w:hAnsi="Cambria"/>
          <w:sz w:val="18"/>
          <w:szCs w:val="18"/>
        </w:rPr>
        <w:t>TAF CARE</w:t>
      </w:r>
      <w:r w:rsidR="00C61E3F" w:rsidRPr="00CC0011">
        <w:rPr>
          <w:rFonts w:ascii="Cambria" w:hAnsi="Cambria"/>
          <w:sz w:val="18"/>
          <w:szCs w:val="18"/>
        </w:rPr>
        <w:tab/>
      </w:r>
      <w:r w:rsidRPr="00CC0011">
        <w:rPr>
          <w:rFonts w:ascii="Cambria" w:hAnsi="Cambria"/>
          <w:sz w:val="18"/>
          <w:szCs w:val="18"/>
        </w:rPr>
        <w:t>Cohesion, Advocacy, Resilience and Expansive Engagement for Peace</w:t>
      </w:r>
    </w:p>
    <w:p w14:paraId="25B3903E" w14:textId="57AE88D7" w:rsidR="00BA2F39" w:rsidRDefault="00BA2F39" w:rsidP="00D82035">
      <w:pPr>
        <w:rPr>
          <w:rFonts w:ascii="Cambria" w:hAnsi="Cambria"/>
          <w:sz w:val="18"/>
          <w:szCs w:val="18"/>
        </w:rPr>
      </w:pPr>
      <w:r>
        <w:rPr>
          <w:rFonts w:ascii="Cambria" w:hAnsi="Cambria"/>
          <w:sz w:val="18"/>
          <w:szCs w:val="18"/>
        </w:rPr>
        <w:t>TFBM</w:t>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t xml:space="preserve">Task Force </w:t>
      </w:r>
      <w:proofErr w:type="spellStart"/>
      <w:r>
        <w:rPr>
          <w:rFonts w:ascii="Cambria" w:hAnsi="Cambria"/>
          <w:sz w:val="18"/>
          <w:szCs w:val="18"/>
        </w:rPr>
        <w:t>Bangon</w:t>
      </w:r>
      <w:proofErr w:type="spellEnd"/>
      <w:r>
        <w:rPr>
          <w:rFonts w:ascii="Cambria" w:hAnsi="Cambria"/>
          <w:sz w:val="18"/>
          <w:szCs w:val="18"/>
        </w:rPr>
        <w:t xml:space="preserve"> </w:t>
      </w:r>
      <w:proofErr w:type="spellStart"/>
      <w:r>
        <w:rPr>
          <w:rFonts w:ascii="Cambria" w:hAnsi="Cambria"/>
          <w:sz w:val="18"/>
          <w:szCs w:val="18"/>
        </w:rPr>
        <w:t>Marawi</w:t>
      </w:r>
      <w:proofErr w:type="spellEnd"/>
    </w:p>
    <w:p w14:paraId="58E46C31" w14:textId="77777777" w:rsidR="001A6E1D" w:rsidRDefault="001A6E1D" w:rsidP="00D82035">
      <w:pPr>
        <w:rPr>
          <w:rFonts w:ascii="Cambria" w:hAnsi="Cambria"/>
          <w:sz w:val="18"/>
          <w:szCs w:val="18"/>
        </w:rPr>
      </w:pPr>
    </w:p>
    <w:p w14:paraId="73A24093" w14:textId="77777777" w:rsidR="001A6E1D" w:rsidRDefault="001A6E1D" w:rsidP="00D82035">
      <w:pPr>
        <w:rPr>
          <w:rFonts w:ascii="Cambria" w:hAnsi="Cambria"/>
          <w:sz w:val="18"/>
          <w:szCs w:val="18"/>
        </w:rPr>
      </w:pPr>
    </w:p>
    <w:p w14:paraId="7D18DC3A" w14:textId="77777777" w:rsidR="001A6E1D" w:rsidRDefault="001A6E1D" w:rsidP="00D82035">
      <w:pPr>
        <w:rPr>
          <w:rFonts w:ascii="Cambria" w:hAnsi="Cambria"/>
          <w:sz w:val="18"/>
          <w:szCs w:val="18"/>
        </w:rPr>
      </w:pPr>
    </w:p>
    <w:p w14:paraId="5E1E9B8E" w14:textId="77777777" w:rsidR="001A6E1D" w:rsidRDefault="001A6E1D" w:rsidP="00D82035">
      <w:pPr>
        <w:rPr>
          <w:rFonts w:ascii="Cambria" w:hAnsi="Cambria"/>
          <w:sz w:val="18"/>
          <w:szCs w:val="18"/>
        </w:rPr>
      </w:pPr>
    </w:p>
    <w:p w14:paraId="43978E7F" w14:textId="3DC588D1" w:rsidR="0089188C" w:rsidRPr="00CC0011" w:rsidRDefault="00294A4D" w:rsidP="00D82035">
      <w:pPr>
        <w:rPr>
          <w:rFonts w:ascii="Cambria" w:hAnsi="Cambria"/>
          <w:b/>
          <w:bCs/>
          <w:sz w:val="18"/>
          <w:szCs w:val="18"/>
        </w:rPr>
      </w:pPr>
      <w:r w:rsidRPr="00CC0011">
        <w:rPr>
          <w:rFonts w:ascii="Cambria" w:hAnsi="Cambria"/>
          <w:sz w:val="18"/>
          <w:szCs w:val="18"/>
        </w:rPr>
        <w:lastRenderedPageBreak/>
        <w:t>TJRC</w:t>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Pr="00CC0011">
        <w:rPr>
          <w:rFonts w:ascii="Cambria" w:hAnsi="Cambria"/>
          <w:sz w:val="18"/>
          <w:szCs w:val="18"/>
        </w:rPr>
        <w:t>Transitional Justice and Reconciliation Commission</w:t>
      </w:r>
      <w:r w:rsidRPr="00CC0011">
        <w:rPr>
          <w:rFonts w:ascii="Cambria" w:hAnsi="Cambria"/>
          <w:sz w:val="18"/>
          <w:szCs w:val="18"/>
        </w:rPr>
        <w:br/>
      </w:r>
      <w:r w:rsidR="0089188C" w:rsidRPr="00CC0011">
        <w:rPr>
          <w:rFonts w:ascii="Cambria" w:hAnsi="Cambria"/>
          <w:sz w:val="18"/>
          <w:szCs w:val="18"/>
        </w:rPr>
        <w:t>TWG</w:t>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0089188C" w:rsidRPr="00CC0011">
        <w:rPr>
          <w:rFonts w:ascii="Cambria" w:hAnsi="Cambria"/>
          <w:sz w:val="18"/>
          <w:szCs w:val="18"/>
        </w:rPr>
        <w:t>Technical Working Group</w:t>
      </w:r>
      <w:r w:rsidR="0089188C" w:rsidRPr="00CC0011">
        <w:rPr>
          <w:rFonts w:ascii="Cambria" w:hAnsi="Cambria"/>
          <w:b/>
          <w:bCs/>
          <w:sz w:val="18"/>
          <w:szCs w:val="18"/>
        </w:rPr>
        <w:t xml:space="preserve"> </w:t>
      </w:r>
    </w:p>
    <w:p w14:paraId="6A56B447" w14:textId="3D7063A1" w:rsidR="00294A4D" w:rsidRPr="00CC0011" w:rsidRDefault="00294A4D" w:rsidP="00D82035">
      <w:pPr>
        <w:rPr>
          <w:rFonts w:ascii="Cambria" w:hAnsi="Cambria"/>
          <w:sz w:val="18"/>
          <w:szCs w:val="18"/>
        </w:rPr>
      </w:pPr>
      <w:r w:rsidRPr="00CC0011">
        <w:rPr>
          <w:rFonts w:ascii="Cambria" w:hAnsi="Cambria"/>
          <w:sz w:val="18"/>
          <w:szCs w:val="18"/>
        </w:rPr>
        <w:t>UNDP</w:t>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00251857" w:rsidRPr="00CC0011">
        <w:rPr>
          <w:rFonts w:ascii="Cambria" w:hAnsi="Cambria"/>
          <w:sz w:val="18"/>
          <w:szCs w:val="18"/>
        </w:rPr>
        <w:tab/>
      </w:r>
      <w:r w:rsidRPr="00CC0011">
        <w:rPr>
          <w:rFonts w:ascii="Cambria" w:hAnsi="Cambria"/>
          <w:sz w:val="18"/>
          <w:szCs w:val="18"/>
        </w:rPr>
        <w:t>United Nations Development Program</w:t>
      </w:r>
    </w:p>
    <w:p w14:paraId="57E819BE" w14:textId="2986CE70" w:rsidR="006C41FE" w:rsidRPr="00CC0011" w:rsidRDefault="006C41FE" w:rsidP="00A928D6">
      <w:pPr>
        <w:rPr>
          <w:rFonts w:ascii="Cambria" w:hAnsi="Cambria"/>
          <w:sz w:val="18"/>
          <w:szCs w:val="18"/>
        </w:rPr>
      </w:pPr>
      <w:r w:rsidRPr="00CC0011">
        <w:rPr>
          <w:rFonts w:ascii="Cambria" w:hAnsi="Cambria"/>
          <w:sz w:val="18"/>
          <w:szCs w:val="18"/>
        </w:rPr>
        <w:t>UNDP PRIME-Bangsamoro</w:t>
      </w:r>
      <w:r w:rsidR="00251857" w:rsidRPr="00CC0011">
        <w:rPr>
          <w:rFonts w:ascii="Cambria" w:hAnsi="Cambria"/>
          <w:sz w:val="18"/>
          <w:szCs w:val="18"/>
        </w:rPr>
        <w:tab/>
      </w:r>
      <w:r w:rsidR="00754FFA">
        <w:rPr>
          <w:rFonts w:ascii="Cambria" w:hAnsi="Cambria"/>
          <w:sz w:val="18"/>
          <w:szCs w:val="18"/>
        </w:rPr>
        <w:tab/>
      </w:r>
      <w:r w:rsidRPr="00CC0011">
        <w:rPr>
          <w:rFonts w:ascii="Cambria" w:hAnsi="Cambria" w:cs="Arial"/>
          <w:sz w:val="18"/>
          <w:szCs w:val="18"/>
        </w:rPr>
        <w:t>Peace and Reconciliation Initiatives for Empowerment in the</w:t>
      </w:r>
      <w:r w:rsidR="00AE0B1E">
        <w:rPr>
          <w:rFonts w:ascii="Cambria" w:hAnsi="Cambria" w:cs="Arial"/>
          <w:sz w:val="18"/>
          <w:szCs w:val="18"/>
        </w:rPr>
        <w:t xml:space="preserve">                                                                          </w:t>
      </w:r>
      <w:r w:rsidRPr="00CC0011">
        <w:rPr>
          <w:rFonts w:ascii="Cambria" w:hAnsi="Cambria" w:cs="Arial"/>
          <w:sz w:val="18"/>
          <w:szCs w:val="18"/>
        </w:rPr>
        <w:t>Bangsamoro</w:t>
      </w:r>
    </w:p>
    <w:p w14:paraId="615383E4" w14:textId="102D0F48" w:rsidR="006C41FE" w:rsidRPr="00CC0011" w:rsidRDefault="006C41FE" w:rsidP="00D82035">
      <w:pPr>
        <w:rPr>
          <w:rFonts w:ascii="Cambria" w:hAnsi="Cambria"/>
          <w:sz w:val="18"/>
          <w:szCs w:val="18"/>
        </w:rPr>
      </w:pPr>
      <w:r w:rsidRPr="00CC0011">
        <w:rPr>
          <w:rFonts w:ascii="Cambria" w:hAnsi="Cambria"/>
          <w:sz w:val="18"/>
          <w:szCs w:val="18"/>
        </w:rPr>
        <w:t>UNDP START-PEACE</w:t>
      </w:r>
      <w:r w:rsidR="007D2B6D" w:rsidRPr="00CC0011">
        <w:rPr>
          <w:rFonts w:ascii="Cambria" w:hAnsi="Cambria"/>
          <w:sz w:val="18"/>
          <w:szCs w:val="18"/>
        </w:rPr>
        <w:tab/>
      </w:r>
      <w:r w:rsidR="007D2B6D" w:rsidRPr="00CC0011">
        <w:rPr>
          <w:rFonts w:ascii="Cambria" w:hAnsi="Cambria"/>
          <w:sz w:val="18"/>
          <w:szCs w:val="18"/>
        </w:rPr>
        <w:tab/>
      </w:r>
      <w:r w:rsidRPr="00CC0011">
        <w:rPr>
          <w:rFonts w:ascii="Cambria" w:hAnsi="Cambria" w:cs="Arial"/>
          <w:sz w:val="18"/>
          <w:szCs w:val="18"/>
        </w:rPr>
        <w:t>Stabilization, Recovery and Transformation for Peace</w:t>
      </w:r>
    </w:p>
    <w:p w14:paraId="1F0C9DBC" w14:textId="7F411826" w:rsidR="00294A4D" w:rsidRPr="00CC0011" w:rsidRDefault="00294A4D" w:rsidP="00D82035">
      <w:pPr>
        <w:rPr>
          <w:rFonts w:ascii="Cambria" w:hAnsi="Cambria"/>
          <w:sz w:val="18"/>
          <w:szCs w:val="18"/>
        </w:rPr>
      </w:pPr>
      <w:r w:rsidRPr="00CC0011">
        <w:rPr>
          <w:rFonts w:ascii="Cambria" w:hAnsi="Cambria"/>
          <w:sz w:val="18"/>
          <w:szCs w:val="18"/>
        </w:rPr>
        <w:t>WB</w:t>
      </w:r>
      <w:r w:rsidR="007D2B6D" w:rsidRPr="00CC0011">
        <w:rPr>
          <w:rFonts w:ascii="Cambria" w:hAnsi="Cambria"/>
          <w:sz w:val="18"/>
          <w:szCs w:val="18"/>
        </w:rPr>
        <w:tab/>
      </w:r>
      <w:r w:rsidR="007D2B6D" w:rsidRPr="00CC0011">
        <w:rPr>
          <w:rFonts w:ascii="Cambria" w:hAnsi="Cambria"/>
          <w:sz w:val="18"/>
          <w:szCs w:val="18"/>
        </w:rPr>
        <w:tab/>
      </w:r>
      <w:r w:rsidR="007D2B6D" w:rsidRPr="00CC0011">
        <w:rPr>
          <w:rFonts w:ascii="Cambria" w:hAnsi="Cambria"/>
          <w:sz w:val="18"/>
          <w:szCs w:val="18"/>
        </w:rPr>
        <w:tab/>
      </w:r>
      <w:r w:rsidR="007D2B6D" w:rsidRPr="00CC0011">
        <w:rPr>
          <w:rFonts w:ascii="Cambria" w:hAnsi="Cambria"/>
          <w:sz w:val="18"/>
          <w:szCs w:val="18"/>
        </w:rPr>
        <w:tab/>
      </w:r>
      <w:r w:rsidRPr="00CC0011">
        <w:rPr>
          <w:rFonts w:ascii="Cambria" w:hAnsi="Cambria"/>
          <w:sz w:val="18"/>
          <w:szCs w:val="18"/>
        </w:rPr>
        <w:t xml:space="preserve">World Bank </w:t>
      </w:r>
    </w:p>
    <w:p w14:paraId="1C3588E0" w14:textId="77777777" w:rsidR="00193062" w:rsidRPr="00D058C1" w:rsidRDefault="00193062" w:rsidP="00436D76">
      <w:pPr>
        <w:rPr>
          <w:rFonts w:ascii="Cambria" w:hAnsi="Cambria"/>
          <w:b/>
        </w:rPr>
        <w:sectPr w:rsidR="00193062" w:rsidRPr="00D058C1" w:rsidSect="00050FF7">
          <w:pgSz w:w="12240" w:h="15840"/>
          <w:pgMar w:top="1440" w:right="1800" w:bottom="1440" w:left="1800" w:header="708" w:footer="708" w:gutter="0"/>
          <w:cols w:space="708"/>
          <w:docGrid w:linePitch="360"/>
        </w:sectPr>
      </w:pPr>
    </w:p>
    <w:p w14:paraId="296F18C1" w14:textId="0249A3E5" w:rsidR="00193062" w:rsidRDefault="00952156" w:rsidP="003714E0">
      <w:pPr>
        <w:pStyle w:val="Heading1"/>
        <w:rPr>
          <w:rFonts w:ascii="Cambria" w:hAnsi="Cambria"/>
          <w:b/>
        </w:rPr>
      </w:pPr>
      <w:bookmarkStart w:id="3" w:name="_Toc55309667"/>
      <w:r>
        <w:rPr>
          <w:rFonts w:ascii="Cambria" w:hAnsi="Cambria"/>
          <w:b/>
        </w:rPr>
        <w:lastRenderedPageBreak/>
        <w:t>Executive Summary</w:t>
      </w:r>
      <w:bookmarkEnd w:id="3"/>
    </w:p>
    <w:p w14:paraId="5B1E602F" w14:textId="08BE1666" w:rsidR="00952156" w:rsidRPr="00F11FA7" w:rsidRDefault="00952156" w:rsidP="00436D76">
      <w:pPr>
        <w:rPr>
          <w:rFonts w:asciiTheme="minorHAnsi" w:hAnsiTheme="minorHAnsi"/>
          <w:b/>
          <w:sz w:val="22"/>
          <w:szCs w:val="22"/>
        </w:rPr>
      </w:pPr>
    </w:p>
    <w:p w14:paraId="79AEF9D6" w14:textId="7554D45F" w:rsidR="00C356D6" w:rsidRDefault="00C356D6" w:rsidP="00C356D6">
      <w:pPr>
        <w:autoSpaceDE w:val="0"/>
        <w:autoSpaceDN w:val="0"/>
        <w:adjustRightInd w:val="0"/>
        <w:jc w:val="both"/>
        <w:rPr>
          <w:rFonts w:asciiTheme="minorHAnsi" w:eastAsiaTheme="minorEastAsia" w:hAnsiTheme="minorHAnsi" w:cs="AppleSystemUIFont"/>
          <w:sz w:val="22"/>
          <w:szCs w:val="22"/>
          <w:lang w:val="en-GB" w:eastAsia="en-US"/>
        </w:rPr>
      </w:pPr>
      <w:r>
        <w:rPr>
          <w:rFonts w:asciiTheme="minorHAnsi" w:eastAsiaTheme="minorEastAsia" w:hAnsiTheme="minorHAnsi" w:cs="AppleSystemUIFont"/>
          <w:sz w:val="22"/>
          <w:szCs w:val="22"/>
          <w:lang w:val="en-GB" w:eastAsia="en-US"/>
        </w:rPr>
        <w:t xml:space="preserve">This report summarizes findings from a strategic review of </w:t>
      </w:r>
      <w:r w:rsidR="00552A56" w:rsidRPr="00C356D6">
        <w:rPr>
          <w:rFonts w:asciiTheme="minorHAnsi" w:eastAsiaTheme="minorEastAsia" w:hAnsiTheme="minorHAnsi" w:cs="AppleSystemUIFont"/>
          <w:sz w:val="22"/>
          <w:szCs w:val="22"/>
          <w:lang w:val="en-GB" w:eastAsia="en-US"/>
        </w:rPr>
        <w:t>Australia’s support for peace in Muslim Mindanao under the Peacebuilding in Conflict-Affected Mindanao (INL343)</w:t>
      </w:r>
      <w:r>
        <w:rPr>
          <w:rFonts w:asciiTheme="minorHAnsi" w:eastAsiaTheme="minorEastAsia" w:hAnsiTheme="minorHAnsi" w:cs="AppleSystemUIFont"/>
          <w:sz w:val="22"/>
          <w:szCs w:val="22"/>
          <w:lang w:val="en-GB" w:eastAsia="en-US"/>
        </w:rPr>
        <w:t xml:space="preserve"> investment</w:t>
      </w:r>
      <w:r w:rsidR="00552A56" w:rsidRPr="00C356D6">
        <w:rPr>
          <w:rFonts w:asciiTheme="minorHAnsi" w:eastAsiaTheme="minorEastAsia" w:hAnsiTheme="minorHAnsi" w:cs="AppleSystemUIFont"/>
          <w:sz w:val="22"/>
          <w:szCs w:val="22"/>
          <w:lang w:val="en-GB" w:eastAsia="en-US"/>
        </w:rPr>
        <w:t>, cover</w:t>
      </w:r>
      <w:r w:rsidR="001F6828">
        <w:rPr>
          <w:rFonts w:asciiTheme="minorHAnsi" w:eastAsiaTheme="minorEastAsia" w:hAnsiTheme="minorHAnsi" w:cs="AppleSystemUIFont"/>
          <w:sz w:val="22"/>
          <w:szCs w:val="22"/>
          <w:lang w:val="en-GB" w:eastAsia="en-US"/>
        </w:rPr>
        <w:t>ing</w:t>
      </w:r>
      <w:r w:rsidR="00552A56" w:rsidRPr="00C356D6">
        <w:rPr>
          <w:rFonts w:asciiTheme="minorHAnsi" w:eastAsiaTheme="minorEastAsia" w:hAnsiTheme="minorHAnsi" w:cs="AppleSystemUIFont"/>
          <w:sz w:val="22"/>
          <w:szCs w:val="22"/>
          <w:lang w:val="en-GB" w:eastAsia="en-US"/>
        </w:rPr>
        <w:t xml:space="preserve"> three modalities implemented from mid-2017 to mid-2019.</w:t>
      </w:r>
      <w:r>
        <w:rPr>
          <w:rFonts w:asciiTheme="minorHAnsi" w:eastAsiaTheme="minorEastAsia" w:hAnsiTheme="minorHAnsi" w:cs="AppleSystemUIFont"/>
          <w:sz w:val="22"/>
          <w:szCs w:val="22"/>
          <w:lang w:val="en-GB" w:eastAsia="en-US"/>
        </w:rPr>
        <w:t xml:space="preserve"> </w:t>
      </w:r>
    </w:p>
    <w:p w14:paraId="26C06C88" w14:textId="77777777" w:rsidR="00C356D6" w:rsidRDefault="00C356D6" w:rsidP="00C356D6">
      <w:pPr>
        <w:autoSpaceDE w:val="0"/>
        <w:autoSpaceDN w:val="0"/>
        <w:adjustRightInd w:val="0"/>
        <w:jc w:val="both"/>
        <w:rPr>
          <w:rFonts w:asciiTheme="minorHAnsi" w:eastAsiaTheme="minorEastAsia" w:hAnsiTheme="minorHAnsi" w:cs="AppleSystemUIFont"/>
          <w:sz w:val="22"/>
          <w:szCs w:val="22"/>
          <w:lang w:val="en-GB" w:eastAsia="en-US"/>
        </w:rPr>
      </w:pPr>
    </w:p>
    <w:p w14:paraId="0BE845D7" w14:textId="48B36F44" w:rsidR="00552A56" w:rsidRPr="00C356D6" w:rsidRDefault="00552A56" w:rsidP="00C356D6">
      <w:pPr>
        <w:autoSpaceDE w:val="0"/>
        <w:autoSpaceDN w:val="0"/>
        <w:adjustRightInd w:val="0"/>
        <w:jc w:val="both"/>
        <w:rPr>
          <w:rFonts w:asciiTheme="minorHAnsi" w:eastAsiaTheme="minorEastAsia" w:hAnsiTheme="minorHAnsi" w:cs="AppleSystemUIFont"/>
          <w:sz w:val="22"/>
          <w:szCs w:val="22"/>
          <w:lang w:val="en-GB" w:eastAsia="en-US"/>
        </w:rPr>
      </w:pPr>
      <w:r w:rsidRPr="00C356D6">
        <w:rPr>
          <w:rFonts w:asciiTheme="minorHAnsi" w:eastAsiaTheme="minorEastAsia" w:hAnsiTheme="minorHAnsi" w:cs="AppleSystemUIFont"/>
          <w:sz w:val="22"/>
          <w:szCs w:val="22"/>
          <w:lang w:val="en-GB" w:eastAsia="en-US"/>
        </w:rPr>
        <w:t>The first modality is the bilateral Australian Partnerships for Peace (APP) program (thereby serving as the APP mid-term review).</w:t>
      </w:r>
      <w:r w:rsidR="005C00E6" w:rsidRPr="00C356D6">
        <w:rPr>
          <w:rFonts w:asciiTheme="minorHAnsi" w:eastAsiaTheme="minorEastAsia" w:hAnsiTheme="minorHAnsi" w:cs="AppleSystemUIFont"/>
          <w:sz w:val="22"/>
          <w:szCs w:val="22"/>
          <w:lang w:val="en-GB" w:eastAsia="en-US"/>
        </w:rPr>
        <w:t xml:space="preserve"> </w:t>
      </w:r>
      <w:r w:rsidRPr="00C356D6">
        <w:rPr>
          <w:rFonts w:asciiTheme="minorHAnsi" w:eastAsiaTheme="minorEastAsia" w:hAnsiTheme="minorHAnsi" w:cs="AppleSystemUIFont"/>
          <w:sz w:val="22"/>
          <w:szCs w:val="22"/>
          <w:lang w:val="en-GB" w:eastAsia="en-US"/>
        </w:rPr>
        <w:t>The second modality covers investments through multilateral mechanisms such as the World Bank, the United Nations</w:t>
      </w:r>
      <w:r w:rsidR="005C00E6" w:rsidRPr="00C356D6">
        <w:rPr>
          <w:rFonts w:asciiTheme="minorHAnsi" w:eastAsiaTheme="minorEastAsia" w:hAnsiTheme="minorHAnsi" w:cs="AppleSystemUIFont"/>
          <w:sz w:val="22"/>
          <w:szCs w:val="22"/>
          <w:lang w:val="en-GB" w:eastAsia="en-US"/>
        </w:rPr>
        <w:t xml:space="preserve"> </w:t>
      </w:r>
      <w:r w:rsidRPr="00C356D6">
        <w:rPr>
          <w:rFonts w:asciiTheme="minorHAnsi" w:eastAsiaTheme="minorEastAsia" w:hAnsiTheme="minorHAnsi" w:cs="AppleSystemUIFont"/>
          <w:sz w:val="22"/>
          <w:szCs w:val="22"/>
          <w:lang w:val="en-GB" w:eastAsia="en-US"/>
        </w:rPr>
        <w:t>Development Program (UNDP), and the Global Community Engagement Resilience Fund (GCERF). Small-value activities delivered through the Flexible Peace and Stability Fund (FPSF) is the third modality.</w:t>
      </w:r>
    </w:p>
    <w:p w14:paraId="60D1A861" w14:textId="77777777" w:rsidR="00552A56" w:rsidRPr="00C356D6" w:rsidRDefault="00552A56" w:rsidP="00C356D6">
      <w:pPr>
        <w:jc w:val="both"/>
        <w:rPr>
          <w:rFonts w:asciiTheme="minorHAnsi" w:hAnsiTheme="minorHAnsi"/>
          <w:sz w:val="22"/>
          <w:szCs w:val="22"/>
        </w:rPr>
      </w:pPr>
    </w:p>
    <w:p w14:paraId="5F0061C3" w14:textId="7DC1B922" w:rsidR="00952156" w:rsidRPr="00C356D6" w:rsidRDefault="00952156" w:rsidP="00C356D6">
      <w:pPr>
        <w:jc w:val="both"/>
        <w:rPr>
          <w:rFonts w:asciiTheme="minorHAnsi" w:hAnsiTheme="minorHAnsi"/>
          <w:sz w:val="22"/>
          <w:szCs w:val="22"/>
        </w:rPr>
      </w:pPr>
      <w:r w:rsidRPr="00C356D6">
        <w:rPr>
          <w:rFonts w:asciiTheme="minorHAnsi" w:hAnsiTheme="minorHAnsi"/>
          <w:sz w:val="22"/>
          <w:szCs w:val="22"/>
        </w:rPr>
        <w:t xml:space="preserve">The </w:t>
      </w:r>
      <w:r w:rsidR="002D43E9" w:rsidRPr="00C356D6">
        <w:rPr>
          <w:rFonts w:asciiTheme="minorHAnsi" w:hAnsiTheme="minorHAnsi"/>
          <w:sz w:val="22"/>
          <w:szCs w:val="22"/>
        </w:rPr>
        <w:t>program review showed the benefits of an adaptable and flexible approach whilst maintaining the focus on the long-term peace of the region.</w:t>
      </w:r>
    </w:p>
    <w:p w14:paraId="335D3CCC" w14:textId="7953AAEF" w:rsidR="002D43E9" w:rsidRPr="00C356D6" w:rsidRDefault="002D43E9" w:rsidP="00C356D6">
      <w:pPr>
        <w:jc w:val="both"/>
        <w:rPr>
          <w:rFonts w:asciiTheme="minorHAnsi" w:hAnsiTheme="minorHAnsi"/>
          <w:sz w:val="22"/>
          <w:szCs w:val="22"/>
        </w:rPr>
      </w:pPr>
    </w:p>
    <w:p w14:paraId="19D1944E" w14:textId="06FFB0FF" w:rsidR="002D43E9" w:rsidRPr="00C356D6" w:rsidRDefault="002D43E9" w:rsidP="00C356D6">
      <w:pPr>
        <w:jc w:val="both"/>
        <w:rPr>
          <w:rFonts w:asciiTheme="minorHAnsi" w:hAnsiTheme="minorHAnsi"/>
          <w:sz w:val="22"/>
          <w:szCs w:val="22"/>
        </w:rPr>
      </w:pPr>
      <w:r w:rsidRPr="00C356D6">
        <w:rPr>
          <w:rFonts w:asciiTheme="minorHAnsi" w:hAnsiTheme="minorHAnsi"/>
          <w:sz w:val="22"/>
          <w:szCs w:val="22"/>
        </w:rPr>
        <w:t>Drivers of inequality, both politically and economically</w:t>
      </w:r>
      <w:r w:rsidR="001F6E09" w:rsidRPr="00C356D6">
        <w:rPr>
          <w:rFonts w:asciiTheme="minorHAnsi" w:hAnsiTheme="minorHAnsi"/>
          <w:sz w:val="22"/>
          <w:szCs w:val="22"/>
        </w:rPr>
        <w:t>,</w:t>
      </w:r>
      <w:r w:rsidRPr="00C356D6">
        <w:rPr>
          <w:rFonts w:asciiTheme="minorHAnsi" w:hAnsiTheme="minorHAnsi"/>
          <w:sz w:val="22"/>
          <w:szCs w:val="22"/>
        </w:rPr>
        <w:t xml:space="preserve"> remain of most concern</w:t>
      </w:r>
      <w:r w:rsidR="00552A56" w:rsidRPr="00C356D6">
        <w:rPr>
          <w:rFonts w:asciiTheme="minorHAnsi" w:hAnsiTheme="minorHAnsi"/>
          <w:sz w:val="22"/>
          <w:szCs w:val="22"/>
        </w:rPr>
        <w:t>. A</w:t>
      </w:r>
      <w:r w:rsidRPr="00C356D6">
        <w:rPr>
          <w:rFonts w:asciiTheme="minorHAnsi" w:hAnsiTheme="minorHAnsi"/>
          <w:sz w:val="22"/>
          <w:szCs w:val="22"/>
        </w:rPr>
        <w:t xml:space="preserve"> sustained effort from all parties is required to ensure the ongoing peaceful development of this region within </w:t>
      </w:r>
      <w:r w:rsidR="00FB462D" w:rsidRPr="00C356D6">
        <w:rPr>
          <w:rFonts w:asciiTheme="minorHAnsi" w:hAnsiTheme="minorHAnsi"/>
          <w:sz w:val="22"/>
          <w:szCs w:val="22"/>
        </w:rPr>
        <w:t>a</w:t>
      </w:r>
      <w:r w:rsidRPr="00C356D6">
        <w:rPr>
          <w:rFonts w:asciiTheme="minorHAnsi" w:hAnsiTheme="minorHAnsi"/>
          <w:sz w:val="22"/>
          <w:szCs w:val="22"/>
        </w:rPr>
        <w:t xml:space="preserve"> unified Philippines.</w:t>
      </w:r>
    </w:p>
    <w:p w14:paraId="044240D7" w14:textId="222EE573" w:rsidR="002D43E9" w:rsidRPr="00C356D6" w:rsidRDefault="002D43E9" w:rsidP="003714E0">
      <w:pPr>
        <w:jc w:val="both"/>
        <w:rPr>
          <w:rFonts w:asciiTheme="minorHAnsi" w:hAnsiTheme="minorHAnsi"/>
          <w:sz w:val="22"/>
          <w:szCs w:val="22"/>
        </w:rPr>
      </w:pPr>
    </w:p>
    <w:p w14:paraId="72CB8421" w14:textId="3A6B7850" w:rsidR="002D43E9" w:rsidRPr="00C356D6" w:rsidRDefault="002D43E9" w:rsidP="003714E0">
      <w:pPr>
        <w:jc w:val="both"/>
        <w:rPr>
          <w:rFonts w:asciiTheme="minorHAnsi" w:hAnsiTheme="minorHAnsi"/>
          <w:sz w:val="22"/>
          <w:szCs w:val="22"/>
        </w:rPr>
      </w:pPr>
      <w:r w:rsidRPr="00C356D6">
        <w:rPr>
          <w:rFonts w:asciiTheme="minorHAnsi" w:hAnsiTheme="minorHAnsi"/>
          <w:sz w:val="22"/>
          <w:szCs w:val="22"/>
        </w:rPr>
        <w:t xml:space="preserve">The medium term political goal is to ensure successful elections in 2022 and this will </w:t>
      </w:r>
      <w:r w:rsidR="00CE0450">
        <w:rPr>
          <w:rFonts w:asciiTheme="minorHAnsi" w:hAnsiTheme="minorHAnsi"/>
          <w:sz w:val="22"/>
          <w:szCs w:val="22"/>
        </w:rPr>
        <w:t xml:space="preserve">be </w:t>
      </w:r>
      <w:r w:rsidRPr="00C356D6">
        <w:rPr>
          <w:rFonts w:asciiTheme="minorHAnsi" w:hAnsiTheme="minorHAnsi"/>
          <w:sz w:val="22"/>
          <w:szCs w:val="22"/>
        </w:rPr>
        <w:t xml:space="preserve">best achieved if </w:t>
      </w:r>
      <w:r w:rsidR="002051FA" w:rsidRPr="00C356D6">
        <w:rPr>
          <w:rFonts w:asciiTheme="minorHAnsi" w:hAnsiTheme="minorHAnsi"/>
          <w:sz w:val="22"/>
          <w:szCs w:val="22"/>
        </w:rPr>
        <w:t xml:space="preserve">the </w:t>
      </w:r>
      <w:r w:rsidRPr="00C356D6">
        <w:rPr>
          <w:rFonts w:asciiTheme="minorHAnsi" w:hAnsiTheme="minorHAnsi"/>
          <w:sz w:val="22"/>
          <w:szCs w:val="22"/>
        </w:rPr>
        <w:t>M</w:t>
      </w:r>
      <w:r w:rsidR="00FB462D" w:rsidRPr="00C356D6">
        <w:rPr>
          <w:rFonts w:asciiTheme="minorHAnsi" w:hAnsiTheme="minorHAnsi"/>
          <w:sz w:val="22"/>
          <w:szCs w:val="22"/>
        </w:rPr>
        <w:t>oro Islamic Liberation Front</w:t>
      </w:r>
      <w:r w:rsidRPr="00C356D6">
        <w:rPr>
          <w:rFonts w:asciiTheme="minorHAnsi" w:hAnsiTheme="minorHAnsi"/>
          <w:sz w:val="22"/>
          <w:szCs w:val="22"/>
        </w:rPr>
        <w:t xml:space="preserve"> </w:t>
      </w:r>
      <w:r w:rsidR="002051FA" w:rsidRPr="00C356D6">
        <w:rPr>
          <w:rFonts w:asciiTheme="minorHAnsi" w:hAnsiTheme="minorHAnsi"/>
          <w:sz w:val="22"/>
          <w:szCs w:val="22"/>
        </w:rPr>
        <w:t xml:space="preserve">(MILF) </w:t>
      </w:r>
      <w:r w:rsidRPr="00C356D6">
        <w:rPr>
          <w:rFonts w:asciiTheme="minorHAnsi" w:hAnsiTheme="minorHAnsi"/>
          <w:sz w:val="22"/>
          <w:szCs w:val="22"/>
        </w:rPr>
        <w:t>and</w:t>
      </w:r>
      <w:r w:rsidR="002051FA" w:rsidRPr="00C356D6">
        <w:rPr>
          <w:rFonts w:asciiTheme="minorHAnsi" w:hAnsiTheme="minorHAnsi"/>
          <w:sz w:val="22"/>
          <w:szCs w:val="22"/>
        </w:rPr>
        <w:t xml:space="preserve"> the </w:t>
      </w:r>
      <w:r w:rsidR="003714E0" w:rsidRPr="00C356D6">
        <w:rPr>
          <w:rFonts w:asciiTheme="minorHAnsi" w:hAnsiTheme="minorHAnsi"/>
          <w:sz w:val="22"/>
          <w:szCs w:val="22"/>
        </w:rPr>
        <w:t>Bangsamoro</w:t>
      </w:r>
      <w:r w:rsidR="00FB462D" w:rsidRPr="00C356D6">
        <w:rPr>
          <w:rFonts w:asciiTheme="minorHAnsi" w:hAnsiTheme="minorHAnsi"/>
          <w:sz w:val="22"/>
          <w:szCs w:val="22"/>
        </w:rPr>
        <w:t xml:space="preserve"> Autonomous Region in Muslim Mind</w:t>
      </w:r>
      <w:r w:rsidR="002051FA" w:rsidRPr="00C356D6">
        <w:rPr>
          <w:rFonts w:asciiTheme="minorHAnsi" w:hAnsiTheme="minorHAnsi"/>
          <w:sz w:val="22"/>
          <w:szCs w:val="22"/>
        </w:rPr>
        <w:t>an</w:t>
      </w:r>
      <w:r w:rsidR="00FB462D" w:rsidRPr="00C356D6">
        <w:rPr>
          <w:rFonts w:asciiTheme="minorHAnsi" w:hAnsiTheme="minorHAnsi"/>
          <w:sz w:val="22"/>
          <w:szCs w:val="22"/>
        </w:rPr>
        <w:t>ao</w:t>
      </w:r>
      <w:r w:rsidRPr="00C356D6">
        <w:rPr>
          <w:rFonts w:asciiTheme="minorHAnsi" w:hAnsiTheme="minorHAnsi"/>
          <w:sz w:val="22"/>
          <w:szCs w:val="22"/>
        </w:rPr>
        <w:t xml:space="preserve"> </w:t>
      </w:r>
      <w:r w:rsidR="001F6E09" w:rsidRPr="00C356D6">
        <w:rPr>
          <w:rFonts w:asciiTheme="minorHAnsi" w:hAnsiTheme="minorHAnsi"/>
          <w:sz w:val="22"/>
          <w:szCs w:val="22"/>
        </w:rPr>
        <w:t xml:space="preserve">(BARMM) </w:t>
      </w:r>
      <w:r w:rsidRPr="00C356D6">
        <w:rPr>
          <w:rFonts w:asciiTheme="minorHAnsi" w:hAnsiTheme="minorHAnsi"/>
          <w:sz w:val="22"/>
          <w:szCs w:val="22"/>
        </w:rPr>
        <w:t xml:space="preserve">government </w:t>
      </w:r>
      <w:r w:rsidR="002051FA" w:rsidRPr="00C356D6">
        <w:rPr>
          <w:rFonts w:asciiTheme="minorHAnsi" w:hAnsiTheme="minorHAnsi"/>
          <w:sz w:val="22"/>
          <w:szCs w:val="22"/>
        </w:rPr>
        <w:t xml:space="preserve">can </w:t>
      </w:r>
      <w:r w:rsidRPr="00C356D6">
        <w:rPr>
          <w:rFonts w:asciiTheme="minorHAnsi" w:hAnsiTheme="minorHAnsi"/>
          <w:sz w:val="22"/>
          <w:szCs w:val="22"/>
        </w:rPr>
        <w:t xml:space="preserve">address inadequate delivery of basic services, slow recruitment of new set of civil servants, appointment of staff with inadequate technical skills, </w:t>
      </w:r>
      <w:r w:rsidR="002B6966">
        <w:rPr>
          <w:rFonts w:asciiTheme="minorHAnsi" w:hAnsiTheme="minorHAnsi"/>
          <w:sz w:val="22"/>
          <w:szCs w:val="22"/>
        </w:rPr>
        <w:t>and</w:t>
      </w:r>
      <w:r w:rsidRPr="00C356D6">
        <w:rPr>
          <w:rFonts w:asciiTheme="minorHAnsi" w:hAnsiTheme="minorHAnsi"/>
          <w:sz w:val="22"/>
          <w:szCs w:val="22"/>
        </w:rPr>
        <w:t xml:space="preserve"> slow progress of decommissioning activities</w:t>
      </w:r>
      <w:r w:rsidR="002B6966">
        <w:rPr>
          <w:rFonts w:asciiTheme="minorHAnsi" w:hAnsiTheme="minorHAnsi"/>
          <w:sz w:val="22"/>
          <w:szCs w:val="22"/>
        </w:rPr>
        <w:t>.</w:t>
      </w:r>
      <w:r w:rsidRPr="00C356D6">
        <w:rPr>
          <w:rFonts w:asciiTheme="minorHAnsi" w:hAnsiTheme="minorHAnsi"/>
          <w:sz w:val="22"/>
          <w:szCs w:val="22"/>
        </w:rPr>
        <w:t xml:space="preserve"> </w:t>
      </w:r>
    </w:p>
    <w:p w14:paraId="7C253933" w14:textId="46D45831" w:rsidR="002D43E9" w:rsidRPr="00C356D6" w:rsidRDefault="002D43E9" w:rsidP="003714E0">
      <w:pPr>
        <w:jc w:val="both"/>
        <w:rPr>
          <w:rFonts w:asciiTheme="minorHAnsi" w:hAnsiTheme="minorHAnsi"/>
          <w:sz w:val="22"/>
          <w:szCs w:val="22"/>
        </w:rPr>
      </w:pPr>
    </w:p>
    <w:p w14:paraId="7F6DED44" w14:textId="606E2B8A" w:rsidR="00952156" w:rsidRPr="00C356D6" w:rsidRDefault="00FB462D" w:rsidP="003714E0">
      <w:pPr>
        <w:jc w:val="both"/>
        <w:rPr>
          <w:rFonts w:asciiTheme="minorHAnsi" w:hAnsiTheme="minorHAnsi"/>
          <w:sz w:val="22"/>
          <w:szCs w:val="22"/>
        </w:rPr>
      </w:pPr>
      <w:r w:rsidRPr="00C356D6">
        <w:rPr>
          <w:rFonts w:asciiTheme="minorHAnsi" w:hAnsiTheme="minorHAnsi"/>
          <w:sz w:val="22"/>
          <w:szCs w:val="22"/>
        </w:rPr>
        <w:t xml:space="preserve">The corresponding focus on livelihoods will be required to ensure all parties see the ‘peace dividend’ that </w:t>
      </w:r>
      <w:r w:rsidRPr="008B082B">
        <w:rPr>
          <w:rFonts w:asciiTheme="minorHAnsi" w:hAnsiTheme="minorHAnsi"/>
          <w:sz w:val="22"/>
          <w:szCs w:val="22"/>
        </w:rPr>
        <w:t>flows from</w:t>
      </w:r>
      <w:r w:rsidRPr="00C356D6">
        <w:rPr>
          <w:rFonts w:asciiTheme="minorHAnsi" w:hAnsiTheme="minorHAnsi"/>
          <w:sz w:val="22"/>
          <w:szCs w:val="22"/>
        </w:rPr>
        <w:t xml:space="preserve"> the agreement</w:t>
      </w:r>
      <w:r w:rsidR="00F34DFB">
        <w:rPr>
          <w:rFonts w:asciiTheme="minorHAnsi" w:hAnsiTheme="minorHAnsi"/>
          <w:sz w:val="22"/>
          <w:szCs w:val="22"/>
        </w:rPr>
        <w:t xml:space="preserve">—that is, the assumed ‘payoff’ after the end of armed conflict when </w:t>
      </w:r>
      <w:r w:rsidR="00AE0B1E">
        <w:rPr>
          <w:rFonts w:asciiTheme="minorHAnsi" w:hAnsiTheme="minorHAnsi"/>
          <w:sz w:val="22"/>
          <w:szCs w:val="22"/>
        </w:rPr>
        <w:t xml:space="preserve">investments for development purposes are prioritized rather than the attainment of </w:t>
      </w:r>
      <w:r w:rsidR="00CE0450">
        <w:rPr>
          <w:rFonts w:asciiTheme="minorHAnsi" w:hAnsiTheme="minorHAnsi"/>
          <w:sz w:val="22"/>
          <w:szCs w:val="22"/>
        </w:rPr>
        <w:t xml:space="preserve">just </w:t>
      </w:r>
      <w:r w:rsidR="00AE0B1E">
        <w:rPr>
          <w:rFonts w:asciiTheme="minorHAnsi" w:hAnsiTheme="minorHAnsi"/>
          <w:sz w:val="22"/>
          <w:szCs w:val="22"/>
        </w:rPr>
        <w:t>the security objective.</w:t>
      </w:r>
      <w:r w:rsidRPr="00C356D6">
        <w:rPr>
          <w:rFonts w:asciiTheme="minorHAnsi" w:hAnsiTheme="minorHAnsi"/>
          <w:sz w:val="22"/>
          <w:szCs w:val="22"/>
        </w:rPr>
        <w:t xml:space="preserve">  Failure to focus on livelihoods and only on the politics</w:t>
      </w:r>
      <w:r w:rsidR="00AE0B1E">
        <w:rPr>
          <w:rFonts w:asciiTheme="minorHAnsi" w:hAnsiTheme="minorHAnsi"/>
          <w:sz w:val="22"/>
          <w:szCs w:val="22"/>
        </w:rPr>
        <w:t xml:space="preserve"> and military goals</w:t>
      </w:r>
      <w:r w:rsidRPr="00C356D6">
        <w:rPr>
          <w:rFonts w:asciiTheme="minorHAnsi" w:hAnsiTheme="minorHAnsi"/>
          <w:sz w:val="22"/>
          <w:szCs w:val="22"/>
        </w:rPr>
        <w:t xml:space="preserve"> will not achieve sustained peace.</w:t>
      </w:r>
    </w:p>
    <w:p w14:paraId="790C1254" w14:textId="7B7EDAEE" w:rsidR="00FB462D" w:rsidRPr="00C356D6" w:rsidRDefault="00FB462D" w:rsidP="003714E0">
      <w:pPr>
        <w:jc w:val="both"/>
        <w:rPr>
          <w:rFonts w:asciiTheme="minorHAnsi" w:hAnsiTheme="minorHAnsi"/>
          <w:sz w:val="22"/>
          <w:szCs w:val="22"/>
        </w:rPr>
      </w:pPr>
    </w:p>
    <w:p w14:paraId="4CA1DAA4" w14:textId="129C3312" w:rsidR="00FB462D" w:rsidRPr="00C356D6" w:rsidRDefault="001F6E09" w:rsidP="003714E0">
      <w:pPr>
        <w:jc w:val="both"/>
        <w:rPr>
          <w:rFonts w:asciiTheme="minorHAnsi" w:hAnsiTheme="minorHAnsi"/>
          <w:sz w:val="22"/>
          <w:szCs w:val="22"/>
        </w:rPr>
      </w:pPr>
      <w:r w:rsidRPr="00C356D6">
        <w:rPr>
          <w:rFonts w:asciiTheme="minorHAnsi" w:hAnsiTheme="minorHAnsi"/>
          <w:sz w:val="22"/>
          <w:szCs w:val="22"/>
        </w:rPr>
        <w:t>P</w:t>
      </w:r>
      <w:r w:rsidR="00FB462D" w:rsidRPr="00C356D6">
        <w:rPr>
          <w:rFonts w:asciiTheme="minorHAnsi" w:hAnsiTheme="minorHAnsi"/>
          <w:sz w:val="22"/>
          <w:szCs w:val="22"/>
        </w:rPr>
        <w:t>artner</w:t>
      </w:r>
      <w:r w:rsidRPr="00C356D6">
        <w:rPr>
          <w:rFonts w:asciiTheme="minorHAnsi" w:hAnsiTheme="minorHAnsi"/>
          <w:sz w:val="22"/>
          <w:szCs w:val="22"/>
        </w:rPr>
        <w:t>s</w:t>
      </w:r>
      <w:r w:rsidR="00FB462D" w:rsidRPr="00C356D6">
        <w:rPr>
          <w:rFonts w:asciiTheme="minorHAnsi" w:hAnsiTheme="minorHAnsi"/>
          <w:sz w:val="22"/>
          <w:szCs w:val="22"/>
        </w:rPr>
        <w:t xml:space="preserve"> </w:t>
      </w:r>
      <w:r w:rsidR="002051FA" w:rsidRPr="00C356D6">
        <w:rPr>
          <w:rFonts w:asciiTheme="minorHAnsi" w:hAnsiTheme="minorHAnsi"/>
          <w:sz w:val="22"/>
          <w:szCs w:val="22"/>
        </w:rPr>
        <w:t xml:space="preserve"> (government, WB, </w:t>
      </w:r>
      <w:r w:rsidR="00FB462D" w:rsidRPr="00C356D6">
        <w:rPr>
          <w:rFonts w:asciiTheme="minorHAnsi" w:hAnsiTheme="minorHAnsi"/>
          <w:sz w:val="22"/>
          <w:szCs w:val="22"/>
        </w:rPr>
        <w:t>UN, NGOs</w:t>
      </w:r>
      <w:r w:rsidR="001F6828">
        <w:rPr>
          <w:rFonts w:asciiTheme="minorHAnsi" w:hAnsiTheme="minorHAnsi"/>
          <w:sz w:val="22"/>
          <w:szCs w:val="22"/>
        </w:rPr>
        <w:t>, and other stakeholders</w:t>
      </w:r>
      <w:r w:rsidR="00FB462D" w:rsidRPr="00C356D6">
        <w:rPr>
          <w:rFonts w:asciiTheme="minorHAnsi" w:hAnsiTheme="minorHAnsi"/>
          <w:sz w:val="22"/>
          <w:szCs w:val="22"/>
        </w:rPr>
        <w:t xml:space="preserve">) </w:t>
      </w:r>
      <w:r w:rsidR="002051FA" w:rsidRPr="00C356D6">
        <w:rPr>
          <w:rFonts w:asciiTheme="minorHAnsi" w:hAnsiTheme="minorHAnsi"/>
          <w:sz w:val="22"/>
          <w:szCs w:val="22"/>
        </w:rPr>
        <w:t xml:space="preserve">of the peace process  </w:t>
      </w:r>
      <w:r w:rsidR="00FB462D" w:rsidRPr="00C356D6">
        <w:rPr>
          <w:rFonts w:asciiTheme="minorHAnsi" w:hAnsiTheme="minorHAnsi"/>
          <w:sz w:val="22"/>
          <w:szCs w:val="22"/>
        </w:rPr>
        <w:t xml:space="preserve">need to build on their good work and double down on </w:t>
      </w:r>
      <w:r w:rsidR="00B40C86" w:rsidRPr="00C356D6">
        <w:rPr>
          <w:rFonts w:asciiTheme="minorHAnsi" w:hAnsiTheme="minorHAnsi"/>
          <w:sz w:val="22"/>
          <w:szCs w:val="22"/>
        </w:rPr>
        <w:t xml:space="preserve">long-term </w:t>
      </w:r>
      <w:r w:rsidR="00FB462D" w:rsidRPr="00C356D6">
        <w:rPr>
          <w:rFonts w:asciiTheme="minorHAnsi" w:hAnsiTheme="minorHAnsi"/>
          <w:sz w:val="22"/>
          <w:szCs w:val="22"/>
        </w:rPr>
        <w:t>efforts to coordinate peace</w:t>
      </w:r>
      <w:r w:rsidR="002051FA" w:rsidRPr="00C356D6">
        <w:rPr>
          <w:rFonts w:asciiTheme="minorHAnsi" w:hAnsiTheme="minorHAnsi"/>
          <w:sz w:val="22"/>
          <w:szCs w:val="22"/>
        </w:rPr>
        <w:t xml:space="preserve"> and development activities</w:t>
      </w:r>
      <w:r w:rsidR="00FB462D" w:rsidRPr="00C356D6">
        <w:rPr>
          <w:rFonts w:asciiTheme="minorHAnsi" w:hAnsiTheme="minorHAnsi"/>
          <w:sz w:val="22"/>
          <w:szCs w:val="22"/>
        </w:rPr>
        <w:t xml:space="preserve"> and not fall into the ‘negative peace’ trap of declaring victory too early in the process.</w:t>
      </w:r>
      <w:r w:rsidR="00894C6B">
        <w:rPr>
          <w:rStyle w:val="FootnoteReference"/>
          <w:rFonts w:asciiTheme="minorHAnsi" w:hAnsiTheme="minorHAnsi"/>
          <w:sz w:val="22"/>
          <w:szCs w:val="22"/>
        </w:rPr>
        <w:footnoteReference w:id="1"/>
      </w:r>
      <w:r w:rsidR="00DB4078">
        <w:rPr>
          <w:rFonts w:asciiTheme="minorHAnsi" w:hAnsiTheme="minorHAnsi"/>
          <w:sz w:val="22"/>
          <w:szCs w:val="22"/>
        </w:rPr>
        <w:t xml:space="preserve"> The work of the Bangsamoro Transition Authority (BTA) is only one aspect; sustained </w:t>
      </w:r>
      <w:r w:rsidR="002B6966">
        <w:rPr>
          <w:rFonts w:asciiTheme="minorHAnsi" w:hAnsiTheme="minorHAnsi"/>
          <w:sz w:val="22"/>
          <w:szCs w:val="22"/>
        </w:rPr>
        <w:t>efforts</w:t>
      </w:r>
      <w:r w:rsidR="00DB4078">
        <w:rPr>
          <w:rFonts w:asciiTheme="minorHAnsi" w:hAnsiTheme="minorHAnsi"/>
          <w:sz w:val="22"/>
          <w:szCs w:val="22"/>
        </w:rPr>
        <w:t xml:space="preserve"> to deliver the commitments of the Comprehensive Agreement on the Bangsamoro (CAB) while addressing communal conflicts across the region must continue beyond May 2022.</w:t>
      </w:r>
      <w:r w:rsidR="001F6828">
        <w:rPr>
          <w:rFonts w:asciiTheme="minorHAnsi" w:hAnsiTheme="minorHAnsi"/>
          <w:sz w:val="22"/>
          <w:szCs w:val="22"/>
        </w:rPr>
        <w:t xml:space="preserve"> </w:t>
      </w:r>
      <w:r w:rsidR="00B76650">
        <w:rPr>
          <w:rFonts w:asciiTheme="minorHAnsi" w:hAnsiTheme="minorHAnsi"/>
          <w:sz w:val="22"/>
          <w:szCs w:val="22"/>
        </w:rPr>
        <w:t>M</w:t>
      </w:r>
      <w:r w:rsidR="001F6828">
        <w:rPr>
          <w:rFonts w:asciiTheme="minorHAnsi" w:hAnsiTheme="minorHAnsi"/>
          <w:sz w:val="22"/>
          <w:szCs w:val="22"/>
        </w:rPr>
        <w:t xml:space="preserve">obility restrictions </w:t>
      </w:r>
      <w:r w:rsidR="00B76650">
        <w:rPr>
          <w:rFonts w:asciiTheme="minorHAnsi" w:hAnsiTheme="minorHAnsi"/>
          <w:sz w:val="22"/>
          <w:szCs w:val="22"/>
        </w:rPr>
        <w:t xml:space="preserve">and social distancing requirements </w:t>
      </w:r>
      <w:r w:rsidR="001F6828">
        <w:rPr>
          <w:rFonts w:asciiTheme="minorHAnsi" w:hAnsiTheme="minorHAnsi"/>
          <w:sz w:val="22"/>
          <w:szCs w:val="22"/>
        </w:rPr>
        <w:t>put in place in March 2020 due to the COVID-19 pandemic will</w:t>
      </w:r>
      <w:r w:rsidR="00A90F0D">
        <w:rPr>
          <w:rFonts w:asciiTheme="minorHAnsi" w:hAnsiTheme="minorHAnsi"/>
          <w:sz w:val="22"/>
          <w:szCs w:val="22"/>
        </w:rPr>
        <w:t xml:space="preserve"> also</w:t>
      </w:r>
      <w:r w:rsidR="001F6828">
        <w:rPr>
          <w:rFonts w:asciiTheme="minorHAnsi" w:hAnsiTheme="minorHAnsi"/>
          <w:sz w:val="22"/>
          <w:szCs w:val="22"/>
        </w:rPr>
        <w:t xml:space="preserve"> modify operations in the BARMM and the Philippines more </w:t>
      </w:r>
      <w:proofErr w:type="gramStart"/>
      <w:r w:rsidR="001F6828">
        <w:rPr>
          <w:rFonts w:asciiTheme="minorHAnsi" w:hAnsiTheme="minorHAnsi"/>
          <w:sz w:val="22"/>
          <w:szCs w:val="22"/>
        </w:rPr>
        <w:t>broadly</w:t>
      </w:r>
      <w:r w:rsidR="00B76650">
        <w:rPr>
          <w:rFonts w:asciiTheme="minorHAnsi" w:hAnsiTheme="minorHAnsi"/>
          <w:sz w:val="22"/>
          <w:szCs w:val="22"/>
        </w:rPr>
        <w:t>, and</w:t>
      </w:r>
      <w:proofErr w:type="gramEnd"/>
      <w:r w:rsidR="00B76650">
        <w:rPr>
          <w:rFonts w:asciiTheme="minorHAnsi" w:hAnsiTheme="minorHAnsi"/>
          <w:sz w:val="22"/>
          <w:szCs w:val="22"/>
        </w:rPr>
        <w:t xml:space="preserve"> will put emphasis on local and online activities that can be done safely with minimal travel</w:t>
      </w:r>
      <w:r w:rsidR="001F6828">
        <w:rPr>
          <w:rFonts w:asciiTheme="minorHAnsi" w:hAnsiTheme="minorHAnsi"/>
          <w:sz w:val="22"/>
          <w:szCs w:val="22"/>
        </w:rPr>
        <w:t xml:space="preserve">. </w:t>
      </w:r>
    </w:p>
    <w:p w14:paraId="6B05DCB5" w14:textId="6415E966" w:rsidR="00952156" w:rsidRPr="00C356D6" w:rsidRDefault="00952156" w:rsidP="00436D76">
      <w:pPr>
        <w:rPr>
          <w:rFonts w:asciiTheme="minorHAnsi" w:hAnsiTheme="minorHAnsi"/>
          <w:b/>
          <w:sz w:val="22"/>
          <w:szCs w:val="22"/>
        </w:rPr>
      </w:pPr>
    </w:p>
    <w:p w14:paraId="37A7CD97" w14:textId="77777777" w:rsidR="00952156" w:rsidRPr="00F11FA7" w:rsidRDefault="00952156" w:rsidP="00436D76">
      <w:pPr>
        <w:rPr>
          <w:rFonts w:asciiTheme="minorHAnsi" w:hAnsiTheme="minorHAnsi"/>
          <w:b/>
          <w:sz w:val="22"/>
          <w:szCs w:val="22"/>
        </w:rPr>
      </w:pPr>
    </w:p>
    <w:p w14:paraId="777F9B43" w14:textId="77777777" w:rsidR="00D67470" w:rsidRDefault="00D67470" w:rsidP="00436D76">
      <w:pPr>
        <w:rPr>
          <w:rFonts w:asciiTheme="minorHAnsi" w:hAnsiTheme="minorHAnsi"/>
          <w:b/>
          <w:sz w:val="22"/>
          <w:szCs w:val="22"/>
        </w:rPr>
      </w:pPr>
    </w:p>
    <w:p w14:paraId="48A38024" w14:textId="69D6FB9D" w:rsidR="00952156" w:rsidRDefault="002D43E9" w:rsidP="00436D76">
      <w:pPr>
        <w:rPr>
          <w:rFonts w:asciiTheme="minorHAnsi" w:hAnsiTheme="minorHAnsi"/>
          <w:b/>
          <w:sz w:val="22"/>
          <w:szCs w:val="22"/>
        </w:rPr>
      </w:pPr>
      <w:r>
        <w:rPr>
          <w:rFonts w:asciiTheme="minorHAnsi" w:hAnsiTheme="minorHAnsi"/>
          <w:b/>
          <w:sz w:val="22"/>
          <w:szCs w:val="22"/>
        </w:rPr>
        <w:lastRenderedPageBreak/>
        <w:t xml:space="preserve">Key </w:t>
      </w:r>
      <w:r w:rsidR="00952156" w:rsidRPr="00F11FA7">
        <w:rPr>
          <w:rFonts w:asciiTheme="minorHAnsi" w:hAnsiTheme="minorHAnsi"/>
          <w:b/>
          <w:sz w:val="22"/>
          <w:szCs w:val="22"/>
        </w:rPr>
        <w:t>Findings:</w:t>
      </w:r>
    </w:p>
    <w:p w14:paraId="76C5E5A9" w14:textId="77777777" w:rsidR="001F6E09" w:rsidRPr="00F11FA7" w:rsidRDefault="001F6E09" w:rsidP="00436D76">
      <w:pPr>
        <w:rPr>
          <w:rFonts w:asciiTheme="minorHAnsi" w:hAnsiTheme="minorHAnsi"/>
          <w:b/>
          <w:sz w:val="22"/>
          <w:szCs w:val="22"/>
        </w:rPr>
      </w:pPr>
    </w:p>
    <w:p w14:paraId="0257BCF9" w14:textId="0C1CF8CB" w:rsidR="00A330F0" w:rsidRDefault="00A330F0" w:rsidP="00436D76">
      <w:pPr>
        <w:rPr>
          <w:rFonts w:asciiTheme="minorHAnsi" w:hAnsiTheme="minorHAnsi"/>
          <w:b/>
          <w:i/>
          <w:iCs/>
          <w:sz w:val="22"/>
          <w:szCs w:val="22"/>
        </w:rPr>
      </w:pPr>
      <w:r>
        <w:rPr>
          <w:rFonts w:asciiTheme="minorHAnsi" w:hAnsiTheme="minorHAnsi"/>
          <w:b/>
          <w:i/>
          <w:iCs/>
          <w:sz w:val="22"/>
          <w:szCs w:val="22"/>
        </w:rPr>
        <w:t>On Effectiveness</w:t>
      </w:r>
    </w:p>
    <w:p w14:paraId="6116BF4E" w14:textId="77777777" w:rsidR="000C210A" w:rsidRDefault="000C210A" w:rsidP="00A330F0">
      <w:pPr>
        <w:tabs>
          <w:tab w:val="left" w:pos="284"/>
          <w:tab w:val="left" w:pos="709"/>
        </w:tabs>
        <w:jc w:val="both"/>
        <w:rPr>
          <w:rFonts w:asciiTheme="minorHAnsi" w:hAnsiTheme="minorHAnsi"/>
          <w:b/>
          <w:i/>
          <w:iCs/>
          <w:sz w:val="22"/>
          <w:szCs w:val="22"/>
        </w:rPr>
      </w:pPr>
    </w:p>
    <w:p w14:paraId="23A508B1" w14:textId="114174CA" w:rsidR="00A330F0" w:rsidRDefault="00DB33FA" w:rsidP="00A330F0">
      <w:pPr>
        <w:tabs>
          <w:tab w:val="left" w:pos="284"/>
          <w:tab w:val="left" w:pos="709"/>
        </w:tabs>
        <w:jc w:val="both"/>
        <w:rPr>
          <w:rStyle w:val="normaltextrun"/>
          <w:rFonts w:ascii="Cambria" w:hAnsi="Cambria" w:cstheme="majorBidi"/>
          <w:sz w:val="22"/>
          <w:szCs w:val="22"/>
        </w:rPr>
      </w:pPr>
      <w:r w:rsidRPr="009F552A">
        <w:rPr>
          <w:rFonts w:ascii="Cambria" w:hAnsi="Cambria"/>
          <w:b/>
          <w:bCs/>
          <w:i/>
          <w:iCs/>
          <w:sz w:val="22"/>
          <w:szCs w:val="22"/>
        </w:rPr>
        <w:t>Attaining objectives and adjusting to the changing context</w:t>
      </w:r>
      <w:r>
        <w:rPr>
          <w:rFonts w:ascii="Cambria" w:hAnsi="Cambria"/>
          <w:i/>
          <w:iCs/>
          <w:sz w:val="22"/>
          <w:szCs w:val="22"/>
        </w:rPr>
        <w:t xml:space="preserve"> - </w:t>
      </w:r>
      <w:r w:rsidR="00A330F0" w:rsidRPr="009F552A">
        <w:rPr>
          <w:rFonts w:ascii="Cambria" w:hAnsi="Cambria"/>
          <w:sz w:val="22"/>
          <w:szCs w:val="22"/>
        </w:rPr>
        <w:t>The implementation partners were generally successful in achieving their expected outputs and outcomes from 2017-2019.</w:t>
      </w:r>
      <w:r w:rsidR="00A330F0" w:rsidRPr="009F552A">
        <w:rPr>
          <w:rFonts w:ascii="Cambria" w:hAnsi="Cambria"/>
          <w:b/>
          <w:bCs/>
          <w:sz w:val="22"/>
          <w:szCs w:val="22"/>
        </w:rPr>
        <w:t xml:space="preserve">  </w:t>
      </w:r>
      <w:r w:rsidR="00A330F0" w:rsidRPr="009F552A">
        <w:rPr>
          <w:rFonts w:ascii="Cambria" w:hAnsi="Cambria"/>
          <w:sz w:val="22"/>
          <w:szCs w:val="22"/>
        </w:rPr>
        <w:t xml:space="preserve">A clear manifestation is the passage of the </w:t>
      </w:r>
      <w:r w:rsidR="00DB4078">
        <w:rPr>
          <w:rFonts w:ascii="Cambria" w:hAnsi="Cambria"/>
          <w:sz w:val="22"/>
          <w:szCs w:val="22"/>
        </w:rPr>
        <w:t>Bangsamoro Organic Law (</w:t>
      </w:r>
      <w:r w:rsidR="00A330F0" w:rsidRPr="009F552A">
        <w:rPr>
          <w:rFonts w:ascii="Cambria" w:hAnsi="Cambria"/>
          <w:sz w:val="22"/>
          <w:szCs w:val="22"/>
        </w:rPr>
        <w:t>BOL</w:t>
      </w:r>
      <w:r w:rsidR="00DB4078">
        <w:rPr>
          <w:rFonts w:ascii="Cambria" w:hAnsi="Cambria"/>
          <w:sz w:val="22"/>
          <w:szCs w:val="22"/>
        </w:rPr>
        <w:t xml:space="preserve">) </w:t>
      </w:r>
      <w:r w:rsidR="00A330F0" w:rsidRPr="009F552A">
        <w:rPr>
          <w:rFonts w:ascii="Cambria" w:hAnsi="Cambria"/>
          <w:sz w:val="22"/>
          <w:szCs w:val="22"/>
        </w:rPr>
        <w:t>by the Philippine Congress in mid</w:t>
      </w:r>
      <w:r w:rsidR="001F6E09">
        <w:rPr>
          <w:rFonts w:ascii="Cambria" w:hAnsi="Cambria"/>
          <w:sz w:val="22"/>
          <w:szCs w:val="22"/>
        </w:rPr>
        <w:t>-</w:t>
      </w:r>
      <w:r w:rsidR="00A330F0" w:rsidRPr="009F552A">
        <w:rPr>
          <w:rFonts w:ascii="Cambria" w:hAnsi="Cambria"/>
          <w:sz w:val="22"/>
          <w:szCs w:val="22"/>
        </w:rPr>
        <w:t xml:space="preserve">2018, and the successful plebiscites in January and February 2019. However, the speed </w:t>
      </w:r>
      <w:r w:rsidR="00A90F0D">
        <w:rPr>
          <w:rFonts w:ascii="Cambria" w:hAnsi="Cambria"/>
          <w:sz w:val="22"/>
          <w:szCs w:val="22"/>
        </w:rPr>
        <w:t xml:space="preserve">of </w:t>
      </w:r>
      <w:r w:rsidR="00A330F0" w:rsidRPr="009F552A">
        <w:rPr>
          <w:rFonts w:ascii="Cambria" w:hAnsi="Cambria"/>
          <w:sz w:val="22"/>
          <w:szCs w:val="22"/>
        </w:rPr>
        <w:t xml:space="preserve">the passage and ratification of the BOL and the establishment of </w:t>
      </w:r>
      <w:r w:rsidR="009C789A">
        <w:rPr>
          <w:rFonts w:ascii="Cambria" w:hAnsi="Cambria"/>
          <w:sz w:val="22"/>
          <w:szCs w:val="22"/>
        </w:rPr>
        <w:t xml:space="preserve">the </w:t>
      </w:r>
      <w:r w:rsidR="00A330F0" w:rsidRPr="009F552A">
        <w:rPr>
          <w:rFonts w:ascii="Cambria" w:hAnsi="Cambria"/>
          <w:sz w:val="22"/>
          <w:szCs w:val="22"/>
        </w:rPr>
        <w:t xml:space="preserve">new BARMM government brought in a new set of challenges for </w:t>
      </w:r>
      <w:r w:rsidR="001F6828">
        <w:rPr>
          <w:rFonts w:ascii="Cambria" w:hAnsi="Cambria"/>
          <w:sz w:val="22"/>
          <w:szCs w:val="22"/>
        </w:rPr>
        <w:t>implementing partners</w:t>
      </w:r>
      <w:r w:rsidR="00A330F0" w:rsidRPr="009F552A">
        <w:rPr>
          <w:rFonts w:ascii="Cambria" w:hAnsi="Cambria"/>
          <w:sz w:val="22"/>
          <w:szCs w:val="22"/>
        </w:rPr>
        <w:t xml:space="preserve">.  </w:t>
      </w:r>
      <w:r w:rsidR="00AC19B7">
        <w:rPr>
          <w:rFonts w:ascii="Cambria" w:hAnsi="Cambria"/>
          <w:sz w:val="22"/>
          <w:szCs w:val="22"/>
        </w:rPr>
        <w:t>T</w:t>
      </w:r>
      <w:r w:rsidR="00A330F0" w:rsidRPr="009F552A">
        <w:rPr>
          <w:rFonts w:ascii="Cambria" w:hAnsi="Cambria"/>
          <w:sz w:val="22"/>
          <w:szCs w:val="22"/>
        </w:rPr>
        <w:t>here was an immediate need to shift efforts and resources to the successful installation of the instrumentalities of the new BARMM government and in ensuring that the new government deliver</w:t>
      </w:r>
      <w:r w:rsidR="00E2093A">
        <w:rPr>
          <w:rFonts w:ascii="Cambria" w:hAnsi="Cambria"/>
          <w:sz w:val="22"/>
          <w:szCs w:val="22"/>
        </w:rPr>
        <w:t>s</w:t>
      </w:r>
      <w:r w:rsidR="00A330F0" w:rsidRPr="009F552A">
        <w:rPr>
          <w:rFonts w:ascii="Cambria" w:hAnsi="Cambria"/>
          <w:sz w:val="22"/>
          <w:szCs w:val="22"/>
        </w:rPr>
        <w:t xml:space="preserve"> on the promises made to the Bangsamoro people. </w:t>
      </w:r>
      <w:r w:rsidR="00A330F0">
        <w:rPr>
          <w:rFonts w:ascii="Cambria" w:hAnsi="Cambria"/>
          <w:sz w:val="22"/>
          <w:szCs w:val="22"/>
        </w:rPr>
        <w:t xml:space="preserve"> The </w:t>
      </w:r>
      <w:r w:rsidR="001F6E09">
        <w:rPr>
          <w:rFonts w:ascii="Cambria" w:hAnsi="Cambria"/>
          <w:sz w:val="22"/>
          <w:szCs w:val="22"/>
        </w:rPr>
        <w:t xml:space="preserve">implementing </w:t>
      </w:r>
      <w:r w:rsidR="00A330F0" w:rsidRPr="009F552A">
        <w:rPr>
          <w:rFonts w:ascii="Cambria" w:hAnsi="Cambria"/>
          <w:sz w:val="22"/>
          <w:szCs w:val="22"/>
        </w:rPr>
        <w:t>partners</w:t>
      </w:r>
      <w:r w:rsidR="009C789A">
        <w:rPr>
          <w:rFonts w:ascii="Cambria" w:hAnsi="Cambria"/>
          <w:sz w:val="22"/>
          <w:szCs w:val="22"/>
        </w:rPr>
        <w:t xml:space="preserve"> </w:t>
      </w:r>
      <w:r w:rsidR="00A330F0" w:rsidRPr="009F552A">
        <w:rPr>
          <w:rFonts w:ascii="Cambria" w:hAnsi="Cambria"/>
          <w:sz w:val="22"/>
          <w:szCs w:val="22"/>
        </w:rPr>
        <w:t>responded to the governance challenges of the new BARMM government</w:t>
      </w:r>
      <w:r w:rsidR="00A330F0">
        <w:rPr>
          <w:rFonts w:ascii="Cambria" w:hAnsi="Cambria"/>
          <w:sz w:val="22"/>
          <w:szCs w:val="22"/>
        </w:rPr>
        <w:t xml:space="preserve"> by offering t</w:t>
      </w:r>
      <w:r w:rsidR="00A330F0" w:rsidRPr="009F552A">
        <w:rPr>
          <w:rFonts w:ascii="Cambria" w:hAnsi="Cambria"/>
          <w:sz w:val="22"/>
          <w:szCs w:val="22"/>
        </w:rPr>
        <w:t xml:space="preserve">echnical assistance support </w:t>
      </w:r>
      <w:r w:rsidR="00A330F0">
        <w:rPr>
          <w:rFonts w:ascii="Cambria" w:hAnsi="Cambria"/>
          <w:sz w:val="22"/>
          <w:szCs w:val="22"/>
        </w:rPr>
        <w:t>and l</w:t>
      </w:r>
      <w:r w:rsidR="00A330F0" w:rsidRPr="009F552A">
        <w:rPr>
          <w:rFonts w:ascii="Cambria" w:hAnsi="Cambria"/>
          <w:sz w:val="22"/>
          <w:szCs w:val="22"/>
        </w:rPr>
        <w:t>imited capacity building programs</w:t>
      </w:r>
      <w:r w:rsidR="00A330F0">
        <w:rPr>
          <w:rFonts w:ascii="Cambria" w:hAnsi="Cambria"/>
          <w:sz w:val="22"/>
          <w:szCs w:val="22"/>
        </w:rPr>
        <w:t xml:space="preserve">.  </w:t>
      </w:r>
      <w:r w:rsidR="00A330F0" w:rsidRPr="009F552A">
        <w:rPr>
          <w:rFonts w:ascii="Cambria" w:hAnsi="Cambria"/>
          <w:sz w:val="22"/>
          <w:szCs w:val="22"/>
        </w:rPr>
        <w:t>Support to normalization activities continued through the extension of the World Bank’s Mindanao Trust Fund</w:t>
      </w:r>
      <w:r w:rsidR="009C789A">
        <w:rPr>
          <w:rFonts w:ascii="Cambria" w:hAnsi="Cambria"/>
          <w:sz w:val="22"/>
          <w:szCs w:val="22"/>
        </w:rPr>
        <w:t xml:space="preserve"> </w:t>
      </w:r>
      <w:r w:rsidR="008E7989">
        <w:rPr>
          <w:rFonts w:ascii="Cambria" w:hAnsi="Cambria"/>
          <w:sz w:val="22"/>
          <w:szCs w:val="22"/>
        </w:rPr>
        <w:t>–</w:t>
      </w:r>
      <w:r w:rsidR="00A330F0" w:rsidRPr="009F552A">
        <w:rPr>
          <w:rFonts w:ascii="Cambria" w:hAnsi="Cambria"/>
          <w:sz w:val="22"/>
          <w:szCs w:val="22"/>
        </w:rPr>
        <w:t xml:space="preserve"> Reconstruction and Development Program 2 (MTF-RDP2) in the six acknowledged MILF camps in Central Mindanao, and </w:t>
      </w:r>
      <w:r w:rsidR="009C789A">
        <w:rPr>
          <w:rFonts w:ascii="Cambria" w:hAnsi="Cambria"/>
          <w:sz w:val="22"/>
          <w:szCs w:val="22"/>
        </w:rPr>
        <w:t xml:space="preserve">the </w:t>
      </w:r>
      <w:r w:rsidR="00A330F0" w:rsidRPr="009F552A">
        <w:rPr>
          <w:rFonts w:ascii="Cambria" w:hAnsi="Cambria"/>
          <w:sz w:val="22"/>
          <w:szCs w:val="22"/>
        </w:rPr>
        <w:t xml:space="preserve">UNDP-managed funding for the </w:t>
      </w:r>
      <w:r w:rsidR="00A330F0" w:rsidRPr="009F552A">
        <w:rPr>
          <w:rFonts w:ascii="Cambria" w:hAnsi="Cambria"/>
          <w:iCs/>
          <w:sz w:val="22"/>
          <w:szCs w:val="22"/>
        </w:rPr>
        <w:t>Independent Decommissioning Body (IDB)</w:t>
      </w:r>
      <w:r w:rsidR="00A330F0">
        <w:rPr>
          <w:rFonts w:ascii="Cambria" w:hAnsi="Cambria"/>
          <w:iCs/>
          <w:sz w:val="22"/>
          <w:szCs w:val="22"/>
        </w:rPr>
        <w:t>.</w:t>
      </w:r>
      <w:r w:rsidR="0011022D">
        <w:rPr>
          <w:rStyle w:val="normaltextrun"/>
          <w:rFonts w:ascii="Cambria" w:hAnsi="Cambria" w:cstheme="majorBidi"/>
          <w:sz w:val="22"/>
          <w:szCs w:val="22"/>
        </w:rPr>
        <w:t xml:space="preserve"> A</w:t>
      </w:r>
      <w:r w:rsidR="009E260D">
        <w:rPr>
          <w:rStyle w:val="normaltextrun"/>
          <w:rFonts w:ascii="Cambria" w:hAnsi="Cambria" w:cstheme="majorBidi"/>
          <w:sz w:val="22"/>
          <w:szCs w:val="22"/>
        </w:rPr>
        <w:t xml:space="preserve"> new round of a</w:t>
      </w:r>
      <w:r w:rsidR="0011022D">
        <w:rPr>
          <w:rStyle w:val="normaltextrun"/>
          <w:rFonts w:ascii="Cambria" w:hAnsi="Cambria" w:cstheme="majorBidi"/>
          <w:sz w:val="22"/>
          <w:szCs w:val="22"/>
        </w:rPr>
        <w:t xml:space="preserve">djustments to </w:t>
      </w:r>
      <w:r w:rsidR="009E260D">
        <w:rPr>
          <w:rStyle w:val="normaltextrun"/>
          <w:rFonts w:ascii="Cambria" w:hAnsi="Cambria" w:cstheme="majorBidi"/>
          <w:sz w:val="22"/>
          <w:szCs w:val="22"/>
        </w:rPr>
        <w:t xml:space="preserve">operations are envisioned </w:t>
      </w:r>
      <w:r w:rsidR="00A90F0D">
        <w:rPr>
          <w:rStyle w:val="normaltextrun"/>
          <w:rFonts w:ascii="Cambria" w:hAnsi="Cambria" w:cstheme="majorBidi"/>
          <w:sz w:val="22"/>
          <w:szCs w:val="22"/>
        </w:rPr>
        <w:t xml:space="preserve">from 2020 onwards </w:t>
      </w:r>
      <w:r w:rsidR="009E260D">
        <w:rPr>
          <w:rStyle w:val="normaltextrun"/>
          <w:rFonts w:ascii="Cambria" w:hAnsi="Cambria" w:cstheme="majorBidi"/>
          <w:sz w:val="22"/>
          <w:szCs w:val="22"/>
        </w:rPr>
        <w:t>pending the long-awaited establishment of the Bangsamoro Normalization Trust Fund (BNTF) and new policies to be put in place by the BARMM and Philippine governments to stem the spread of COVID-19.</w:t>
      </w:r>
    </w:p>
    <w:p w14:paraId="198EDC1C" w14:textId="77777777" w:rsidR="00A330F0" w:rsidRDefault="00A330F0" w:rsidP="00A330F0">
      <w:pPr>
        <w:tabs>
          <w:tab w:val="left" w:pos="284"/>
          <w:tab w:val="left" w:pos="709"/>
        </w:tabs>
        <w:jc w:val="both"/>
        <w:rPr>
          <w:rStyle w:val="normaltextrun"/>
          <w:rFonts w:ascii="Cambria" w:hAnsi="Cambria" w:cstheme="majorBidi"/>
          <w:sz w:val="22"/>
          <w:szCs w:val="22"/>
        </w:rPr>
      </w:pPr>
    </w:p>
    <w:p w14:paraId="3826F1B7" w14:textId="1AFB1921" w:rsidR="00A330F0" w:rsidRPr="009F552A" w:rsidRDefault="00DB33FA" w:rsidP="00305046">
      <w:pPr>
        <w:tabs>
          <w:tab w:val="left" w:pos="284"/>
          <w:tab w:val="left" w:pos="709"/>
        </w:tabs>
        <w:jc w:val="both"/>
        <w:rPr>
          <w:rFonts w:ascii="Cambria" w:hAnsi="Cambria"/>
          <w:sz w:val="22"/>
          <w:szCs w:val="22"/>
        </w:rPr>
      </w:pPr>
      <w:r w:rsidRPr="009F552A">
        <w:rPr>
          <w:rFonts w:ascii="Cambria" w:hAnsi="Cambria" w:cstheme="majorBidi"/>
          <w:b/>
          <w:bCs/>
          <w:i/>
          <w:iCs/>
          <w:sz w:val="22"/>
          <w:szCs w:val="22"/>
        </w:rPr>
        <w:t>Addressing drivers of conflict and violence</w:t>
      </w:r>
      <w:r>
        <w:rPr>
          <w:rFonts w:ascii="Cambria" w:hAnsi="Cambria" w:cstheme="majorBidi"/>
          <w:i/>
          <w:iCs/>
          <w:sz w:val="22"/>
          <w:szCs w:val="22"/>
        </w:rPr>
        <w:t xml:space="preserve"> </w:t>
      </w:r>
      <w:r w:rsidR="009F4214">
        <w:rPr>
          <w:rFonts w:ascii="Cambria" w:hAnsi="Cambria" w:cstheme="majorBidi"/>
          <w:i/>
          <w:iCs/>
          <w:sz w:val="22"/>
          <w:szCs w:val="22"/>
        </w:rPr>
        <w:t>–</w:t>
      </w:r>
      <w:r>
        <w:rPr>
          <w:rFonts w:ascii="Cambria" w:hAnsi="Cambria" w:cstheme="majorBidi"/>
          <w:i/>
          <w:iCs/>
          <w:sz w:val="22"/>
          <w:szCs w:val="22"/>
        </w:rPr>
        <w:t xml:space="preserve"> </w:t>
      </w:r>
      <w:r w:rsidR="009F4214">
        <w:rPr>
          <w:rFonts w:ascii="Cambria" w:hAnsi="Cambria" w:cstheme="majorBidi"/>
          <w:sz w:val="22"/>
          <w:szCs w:val="22"/>
        </w:rPr>
        <w:t>APP partners such as IA, TAF, and CHD continued to deploy conflict monitoring, prevention, and mitigation tools at the local level</w:t>
      </w:r>
      <w:r w:rsidR="00E2093A">
        <w:rPr>
          <w:rFonts w:ascii="Cambria" w:hAnsi="Cambria" w:cstheme="majorBidi"/>
          <w:sz w:val="22"/>
          <w:szCs w:val="22"/>
        </w:rPr>
        <w:t>, particularly on land resource management and clan conflict resolution</w:t>
      </w:r>
      <w:r w:rsidR="009F4214">
        <w:rPr>
          <w:rFonts w:ascii="Cambria" w:hAnsi="Cambria" w:cstheme="majorBidi"/>
          <w:sz w:val="22"/>
          <w:szCs w:val="22"/>
        </w:rPr>
        <w:t>. However, t</w:t>
      </w:r>
      <w:r w:rsidR="00A330F0" w:rsidRPr="009F552A">
        <w:rPr>
          <w:rFonts w:ascii="Cambria" w:hAnsi="Cambria" w:cstheme="majorBidi"/>
          <w:sz w:val="22"/>
          <w:szCs w:val="22"/>
        </w:rPr>
        <w:t>he assault of VE groups of Marawi City in May 2017 and the growing threat of VE groups elsewhere in the Bangsamoro proved to be another turning point in the peace and conflict situation in Mindanao</w:t>
      </w:r>
      <w:r w:rsidR="00DE44F8">
        <w:rPr>
          <w:rFonts w:ascii="Cambria" w:hAnsi="Cambria" w:cstheme="majorBidi"/>
          <w:sz w:val="22"/>
          <w:szCs w:val="22"/>
        </w:rPr>
        <w:t xml:space="preserve"> that had to be adjusted to</w:t>
      </w:r>
      <w:r w:rsidR="00A330F0" w:rsidRPr="009F552A">
        <w:rPr>
          <w:rFonts w:ascii="Cambria" w:hAnsi="Cambria" w:cstheme="majorBidi"/>
          <w:sz w:val="22"/>
          <w:szCs w:val="22"/>
        </w:rPr>
        <w:t xml:space="preserve">.  The APP </w:t>
      </w:r>
      <w:r w:rsidR="0069044F">
        <w:rPr>
          <w:rFonts w:ascii="Cambria" w:hAnsi="Cambria" w:cstheme="majorBidi"/>
          <w:sz w:val="22"/>
          <w:szCs w:val="22"/>
        </w:rPr>
        <w:t xml:space="preserve">partners </w:t>
      </w:r>
      <w:r w:rsidR="001F6E09">
        <w:rPr>
          <w:rFonts w:ascii="Cambria" w:hAnsi="Cambria" w:cstheme="majorBidi"/>
          <w:sz w:val="22"/>
          <w:szCs w:val="22"/>
        </w:rPr>
        <w:t xml:space="preserve">and </w:t>
      </w:r>
      <w:r w:rsidR="009E260D">
        <w:rPr>
          <w:rFonts w:ascii="Cambria" w:hAnsi="Cambria" w:cstheme="majorBidi"/>
          <w:sz w:val="22"/>
          <w:szCs w:val="22"/>
        </w:rPr>
        <w:t xml:space="preserve">multilateral </w:t>
      </w:r>
      <w:r w:rsidR="001F6E09">
        <w:rPr>
          <w:rFonts w:ascii="Cambria" w:hAnsi="Cambria" w:cstheme="majorBidi"/>
          <w:sz w:val="22"/>
          <w:szCs w:val="22"/>
        </w:rPr>
        <w:t xml:space="preserve">implementing </w:t>
      </w:r>
      <w:r w:rsidR="00A330F0" w:rsidRPr="009F552A">
        <w:rPr>
          <w:rFonts w:ascii="Cambria" w:hAnsi="Cambria" w:cstheme="majorBidi"/>
          <w:sz w:val="22"/>
          <w:szCs w:val="22"/>
        </w:rPr>
        <w:t>partners</w:t>
      </w:r>
      <w:r w:rsidR="004A5329">
        <w:rPr>
          <w:rFonts w:ascii="Cambria" w:hAnsi="Cambria" w:cstheme="majorBidi"/>
          <w:sz w:val="22"/>
          <w:szCs w:val="22"/>
        </w:rPr>
        <w:t xml:space="preserve"> such as the World Bank and UNDP</w:t>
      </w:r>
      <w:r w:rsidR="00A330F0" w:rsidRPr="009F552A">
        <w:rPr>
          <w:rFonts w:ascii="Cambria" w:hAnsi="Cambria" w:cstheme="majorBidi"/>
          <w:sz w:val="22"/>
          <w:szCs w:val="22"/>
        </w:rPr>
        <w:t xml:space="preserve"> were able to systematically respond to this new challenge by providing technical assistance support to the rehabilitation and reconstruction plan</w:t>
      </w:r>
      <w:r w:rsidR="00E52196">
        <w:rPr>
          <w:rFonts w:ascii="Cambria" w:hAnsi="Cambria" w:cstheme="majorBidi"/>
          <w:sz w:val="22"/>
          <w:szCs w:val="22"/>
        </w:rPr>
        <w:t>ning</w:t>
      </w:r>
      <w:r w:rsidR="00A330F0" w:rsidRPr="009F552A">
        <w:rPr>
          <w:rFonts w:ascii="Cambria" w:hAnsi="Cambria" w:cstheme="majorBidi"/>
          <w:sz w:val="22"/>
          <w:szCs w:val="22"/>
        </w:rPr>
        <w:t xml:space="preserve"> for Marawi City. </w:t>
      </w:r>
      <w:r w:rsidR="00E52196">
        <w:rPr>
          <w:rFonts w:ascii="Cambria" w:hAnsi="Cambria" w:cstheme="majorBidi"/>
          <w:sz w:val="22"/>
          <w:szCs w:val="22"/>
        </w:rPr>
        <w:t xml:space="preserve"> </w:t>
      </w:r>
      <w:r w:rsidR="00564051">
        <w:rPr>
          <w:rFonts w:ascii="Cambria" w:hAnsi="Cambria" w:cstheme="majorBidi"/>
          <w:sz w:val="22"/>
          <w:szCs w:val="22"/>
        </w:rPr>
        <w:t>S</w:t>
      </w:r>
      <w:r w:rsidR="00E52196">
        <w:rPr>
          <w:rFonts w:ascii="Cambria" w:hAnsi="Cambria" w:cstheme="majorBidi"/>
          <w:sz w:val="22"/>
          <w:szCs w:val="22"/>
        </w:rPr>
        <w:t>upport for the formulation of the National Action Plan on P</w:t>
      </w:r>
      <w:r w:rsidR="00E52196" w:rsidRPr="009F552A">
        <w:rPr>
          <w:rFonts w:ascii="Cambria" w:hAnsi="Cambria" w:cstheme="majorBidi"/>
          <w:sz w:val="22"/>
          <w:szCs w:val="22"/>
        </w:rPr>
        <w:t xml:space="preserve">reventing and </w:t>
      </w:r>
      <w:r w:rsidR="00E52196">
        <w:rPr>
          <w:rFonts w:ascii="Cambria" w:hAnsi="Cambria" w:cstheme="majorBidi"/>
          <w:sz w:val="22"/>
          <w:szCs w:val="22"/>
        </w:rPr>
        <w:t>C</w:t>
      </w:r>
      <w:r w:rsidR="00E52196" w:rsidRPr="009F552A">
        <w:rPr>
          <w:rFonts w:ascii="Cambria" w:hAnsi="Cambria" w:cstheme="majorBidi"/>
          <w:sz w:val="22"/>
          <w:szCs w:val="22"/>
        </w:rPr>
        <w:t xml:space="preserve">ountering </w:t>
      </w:r>
      <w:r w:rsidR="00E52196">
        <w:rPr>
          <w:rFonts w:ascii="Cambria" w:hAnsi="Cambria" w:cstheme="majorBidi"/>
          <w:sz w:val="22"/>
          <w:szCs w:val="22"/>
        </w:rPr>
        <w:t>V</w:t>
      </w:r>
      <w:r w:rsidR="00E52196" w:rsidRPr="009F552A">
        <w:rPr>
          <w:rFonts w:ascii="Cambria" w:hAnsi="Cambria" w:cstheme="majorBidi"/>
          <w:sz w:val="22"/>
          <w:szCs w:val="22"/>
        </w:rPr>
        <w:t xml:space="preserve">iolent </w:t>
      </w:r>
      <w:r w:rsidR="00E52196">
        <w:rPr>
          <w:rFonts w:ascii="Cambria" w:hAnsi="Cambria" w:cstheme="majorBidi"/>
          <w:sz w:val="22"/>
          <w:szCs w:val="22"/>
        </w:rPr>
        <w:t>E</w:t>
      </w:r>
      <w:r w:rsidR="00E52196" w:rsidRPr="009F552A">
        <w:rPr>
          <w:rFonts w:ascii="Cambria" w:hAnsi="Cambria" w:cstheme="majorBidi"/>
          <w:sz w:val="22"/>
          <w:szCs w:val="22"/>
        </w:rPr>
        <w:t>xtremism (P/CVE)</w:t>
      </w:r>
      <w:r w:rsidR="00E52196">
        <w:rPr>
          <w:rFonts w:ascii="Cambria" w:hAnsi="Cambria" w:cstheme="majorBidi"/>
          <w:sz w:val="22"/>
          <w:szCs w:val="22"/>
        </w:rPr>
        <w:t xml:space="preserve"> was also provided through UNDP</w:t>
      </w:r>
      <w:r w:rsidR="001A1B13">
        <w:rPr>
          <w:rFonts w:ascii="Cambria" w:hAnsi="Cambria" w:cstheme="majorBidi"/>
          <w:sz w:val="22"/>
          <w:szCs w:val="22"/>
        </w:rPr>
        <w:t>.</w:t>
      </w:r>
      <w:r w:rsidR="00E52196" w:rsidRPr="009F552A">
        <w:rPr>
          <w:rFonts w:ascii="Cambria" w:hAnsi="Cambria" w:cstheme="majorBidi"/>
          <w:sz w:val="22"/>
          <w:szCs w:val="22"/>
        </w:rPr>
        <w:t xml:space="preserve"> </w:t>
      </w:r>
      <w:r w:rsidR="00E52196">
        <w:rPr>
          <w:rFonts w:ascii="Cambria" w:hAnsi="Cambria" w:cstheme="majorBidi"/>
          <w:sz w:val="22"/>
          <w:szCs w:val="22"/>
        </w:rPr>
        <w:t xml:space="preserve"> </w:t>
      </w:r>
      <w:r w:rsidR="009A0015">
        <w:rPr>
          <w:rFonts w:ascii="Cambria" w:hAnsi="Cambria" w:cstheme="majorBidi"/>
          <w:sz w:val="22"/>
          <w:szCs w:val="22"/>
        </w:rPr>
        <w:t>While GCERF</w:t>
      </w:r>
      <w:r w:rsidR="001A1B13">
        <w:rPr>
          <w:rFonts w:ascii="Cambria" w:hAnsi="Cambria" w:cstheme="majorBidi"/>
          <w:sz w:val="22"/>
          <w:szCs w:val="22"/>
        </w:rPr>
        <w:t xml:space="preserve"> and its partnership with </w:t>
      </w:r>
      <w:r w:rsidR="00447918">
        <w:rPr>
          <w:rFonts w:ascii="Cambria" w:hAnsi="Cambria" w:cstheme="majorBidi"/>
          <w:sz w:val="22"/>
          <w:szCs w:val="22"/>
        </w:rPr>
        <w:t>the Department of Interior and Local Government (DILG)</w:t>
      </w:r>
      <w:r w:rsidR="009A0015">
        <w:rPr>
          <w:rFonts w:ascii="Cambria" w:hAnsi="Cambria" w:cstheme="majorBidi"/>
          <w:sz w:val="22"/>
          <w:szCs w:val="22"/>
        </w:rPr>
        <w:t xml:space="preserve"> is still in the early stages </w:t>
      </w:r>
      <w:r w:rsidR="009F26AF">
        <w:rPr>
          <w:rFonts w:ascii="Cambria" w:hAnsi="Cambria" w:cstheme="majorBidi"/>
          <w:sz w:val="22"/>
          <w:szCs w:val="22"/>
        </w:rPr>
        <w:t>and therefore not eligible for full review</w:t>
      </w:r>
      <w:r w:rsidR="009A0015">
        <w:rPr>
          <w:rFonts w:ascii="Cambria" w:hAnsi="Cambria"/>
          <w:sz w:val="22"/>
          <w:szCs w:val="22"/>
        </w:rPr>
        <w:t xml:space="preserve">, the </w:t>
      </w:r>
      <w:r w:rsidR="000C210A">
        <w:rPr>
          <w:rFonts w:ascii="Cambria" w:hAnsi="Cambria" w:cstheme="majorBidi"/>
          <w:sz w:val="22"/>
          <w:szCs w:val="22"/>
        </w:rPr>
        <w:t>APP</w:t>
      </w:r>
      <w:r w:rsidR="009A0015">
        <w:rPr>
          <w:rFonts w:ascii="Cambria" w:hAnsi="Cambria" w:cstheme="majorBidi"/>
          <w:sz w:val="22"/>
          <w:szCs w:val="22"/>
        </w:rPr>
        <w:t xml:space="preserve"> and multilateral partners</w:t>
      </w:r>
      <w:r w:rsidR="000C210A">
        <w:rPr>
          <w:rFonts w:ascii="Cambria" w:hAnsi="Cambria" w:cstheme="majorBidi"/>
          <w:sz w:val="22"/>
          <w:szCs w:val="22"/>
        </w:rPr>
        <w:t xml:space="preserve"> supported</w:t>
      </w:r>
      <w:r w:rsidR="000C210A">
        <w:rPr>
          <w:rFonts w:ascii="Cambria" w:hAnsi="Cambria"/>
          <w:sz w:val="22"/>
          <w:szCs w:val="22"/>
        </w:rPr>
        <w:t xml:space="preserve"> </w:t>
      </w:r>
      <w:r w:rsidR="00A330F0" w:rsidRPr="009F552A">
        <w:rPr>
          <w:rFonts w:ascii="Cambria" w:hAnsi="Cambria" w:cstheme="majorBidi"/>
          <w:sz w:val="22"/>
          <w:szCs w:val="22"/>
        </w:rPr>
        <w:t xml:space="preserve">analytical and operational interventions focusing on </w:t>
      </w:r>
      <w:r w:rsidR="00E52196">
        <w:rPr>
          <w:rFonts w:ascii="Cambria" w:hAnsi="Cambria" w:cstheme="majorBidi"/>
          <w:sz w:val="22"/>
          <w:szCs w:val="22"/>
        </w:rPr>
        <w:t xml:space="preserve">various aspects of P/CVE, </w:t>
      </w:r>
      <w:r w:rsidR="00A330F0" w:rsidRPr="009F552A">
        <w:rPr>
          <w:rFonts w:ascii="Cambria" w:hAnsi="Cambria" w:cstheme="majorBidi"/>
          <w:sz w:val="22"/>
          <w:szCs w:val="22"/>
        </w:rPr>
        <w:t>many of which attemp</w:t>
      </w:r>
      <w:r w:rsidR="009F26AF">
        <w:rPr>
          <w:rFonts w:ascii="Cambria" w:hAnsi="Cambria" w:cstheme="majorBidi"/>
          <w:sz w:val="22"/>
          <w:szCs w:val="22"/>
        </w:rPr>
        <w:t>ts</w:t>
      </w:r>
      <w:r w:rsidR="00A330F0" w:rsidRPr="009F552A">
        <w:rPr>
          <w:rFonts w:ascii="Cambria" w:hAnsi="Cambria" w:cstheme="majorBidi"/>
          <w:sz w:val="22"/>
          <w:szCs w:val="22"/>
        </w:rPr>
        <w:t xml:space="preserve"> to scale up existing local management tools and mechanisms</w:t>
      </w:r>
      <w:r w:rsidR="00E52196">
        <w:rPr>
          <w:rFonts w:ascii="Cambria" w:hAnsi="Cambria" w:cstheme="majorBidi"/>
          <w:sz w:val="22"/>
          <w:szCs w:val="22"/>
        </w:rPr>
        <w:t xml:space="preserve"> as in the case of </w:t>
      </w:r>
      <w:proofErr w:type="spellStart"/>
      <w:r w:rsidR="00564051">
        <w:rPr>
          <w:rFonts w:ascii="Cambria" w:hAnsi="Cambria" w:cstheme="majorBidi"/>
          <w:sz w:val="22"/>
          <w:szCs w:val="22"/>
        </w:rPr>
        <w:t>Balay</w:t>
      </w:r>
      <w:proofErr w:type="spellEnd"/>
      <w:r w:rsidR="00564051">
        <w:rPr>
          <w:rFonts w:ascii="Cambria" w:hAnsi="Cambria" w:cstheme="majorBidi"/>
          <w:sz w:val="22"/>
          <w:szCs w:val="22"/>
        </w:rPr>
        <w:t xml:space="preserve"> Mindanao’s </w:t>
      </w:r>
      <w:r w:rsidR="00E52196">
        <w:rPr>
          <w:rFonts w:ascii="Cambria" w:hAnsi="Cambria" w:cstheme="majorBidi"/>
          <w:sz w:val="22"/>
          <w:szCs w:val="22"/>
        </w:rPr>
        <w:t>AS2G</w:t>
      </w:r>
      <w:r w:rsidR="00564051">
        <w:rPr>
          <w:rFonts w:ascii="Cambria" w:hAnsi="Cambria" w:cstheme="majorBidi"/>
          <w:sz w:val="22"/>
          <w:szCs w:val="22"/>
        </w:rPr>
        <w:t>-CARE</w:t>
      </w:r>
      <w:r w:rsidR="00E52196">
        <w:rPr>
          <w:rFonts w:ascii="Cambria" w:hAnsi="Cambria" w:cstheme="majorBidi"/>
          <w:sz w:val="22"/>
          <w:szCs w:val="22"/>
        </w:rPr>
        <w:t xml:space="preserve"> in Basilan and </w:t>
      </w:r>
      <w:r w:rsidR="00564051">
        <w:rPr>
          <w:rFonts w:ascii="Cambria" w:hAnsi="Cambria" w:cstheme="majorBidi"/>
          <w:sz w:val="22"/>
          <w:szCs w:val="22"/>
        </w:rPr>
        <w:t xml:space="preserve">TAF and </w:t>
      </w:r>
      <w:proofErr w:type="spellStart"/>
      <w:r w:rsidR="00564051">
        <w:rPr>
          <w:rFonts w:ascii="Cambria" w:hAnsi="Cambria" w:cstheme="majorBidi"/>
          <w:sz w:val="22"/>
          <w:szCs w:val="22"/>
        </w:rPr>
        <w:t>Balay</w:t>
      </w:r>
      <w:proofErr w:type="spellEnd"/>
      <w:r w:rsidR="00564051">
        <w:rPr>
          <w:rFonts w:ascii="Cambria" w:hAnsi="Cambria" w:cstheme="majorBidi"/>
          <w:sz w:val="22"/>
          <w:szCs w:val="22"/>
        </w:rPr>
        <w:t xml:space="preserve"> Mindanao’s </w:t>
      </w:r>
      <w:r w:rsidR="00E52196">
        <w:rPr>
          <w:rFonts w:ascii="Cambria" w:hAnsi="Cambria" w:cstheme="majorBidi"/>
          <w:sz w:val="22"/>
          <w:szCs w:val="22"/>
        </w:rPr>
        <w:t>Project CIRCLE.</w:t>
      </w:r>
      <w:r w:rsidR="00A46154">
        <w:rPr>
          <w:rFonts w:ascii="Cambria" w:hAnsi="Cambria" w:cstheme="majorBidi"/>
          <w:sz w:val="22"/>
          <w:szCs w:val="22"/>
        </w:rPr>
        <w:t xml:space="preserve"> </w:t>
      </w:r>
    </w:p>
    <w:p w14:paraId="5EE0D17C" w14:textId="77777777" w:rsidR="00A330F0" w:rsidRPr="00D058C1" w:rsidRDefault="00A330F0" w:rsidP="00A330F0">
      <w:pPr>
        <w:tabs>
          <w:tab w:val="left" w:pos="284"/>
          <w:tab w:val="left" w:pos="709"/>
        </w:tabs>
        <w:jc w:val="both"/>
        <w:rPr>
          <w:rFonts w:ascii="Cambria" w:hAnsi="Cambria" w:cstheme="majorBidi"/>
          <w:sz w:val="22"/>
          <w:szCs w:val="22"/>
        </w:rPr>
      </w:pPr>
    </w:p>
    <w:p w14:paraId="04127606" w14:textId="172A1777" w:rsidR="000C210A" w:rsidRDefault="00DB33FA" w:rsidP="000C210A">
      <w:pPr>
        <w:jc w:val="both"/>
        <w:rPr>
          <w:rFonts w:ascii="Cambria" w:hAnsi="Cambria" w:cstheme="majorBidi"/>
          <w:sz w:val="22"/>
          <w:szCs w:val="22"/>
        </w:rPr>
      </w:pPr>
      <w:r w:rsidRPr="009F552A">
        <w:rPr>
          <w:rFonts w:ascii="Cambria" w:hAnsi="Cambria" w:cstheme="majorBidi"/>
          <w:b/>
          <w:bCs/>
          <w:i/>
          <w:iCs/>
          <w:sz w:val="22"/>
          <w:szCs w:val="22"/>
        </w:rPr>
        <w:t>Benefits and costs of flexibility</w:t>
      </w:r>
      <w:r>
        <w:rPr>
          <w:rFonts w:ascii="Cambria" w:hAnsi="Cambria" w:cstheme="majorBidi"/>
          <w:i/>
          <w:iCs/>
          <w:sz w:val="22"/>
          <w:szCs w:val="22"/>
        </w:rPr>
        <w:t xml:space="preserve"> - </w:t>
      </w:r>
      <w:r w:rsidR="00A330F0" w:rsidRPr="009F552A">
        <w:rPr>
          <w:rFonts w:ascii="Cambria" w:hAnsi="Cambria" w:cstheme="majorBidi"/>
          <w:sz w:val="22"/>
          <w:szCs w:val="22"/>
        </w:rPr>
        <w:t>The APP</w:t>
      </w:r>
      <w:r w:rsidR="001F6E09">
        <w:rPr>
          <w:rFonts w:ascii="Cambria" w:hAnsi="Cambria" w:cstheme="majorBidi"/>
          <w:sz w:val="22"/>
          <w:szCs w:val="22"/>
        </w:rPr>
        <w:t xml:space="preserve"> and </w:t>
      </w:r>
      <w:r w:rsidR="009F26AF">
        <w:rPr>
          <w:rFonts w:ascii="Cambria" w:hAnsi="Cambria" w:cstheme="majorBidi"/>
          <w:sz w:val="22"/>
          <w:szCs w:val="22"/>
        </w:rPr>
        <w:t>multilateral</w:t>
      </w:r>
      <w:r w:rsidR="00A330F0" w:rsidRPr="009F552A">
        <w:rPr>
          <w:rFonts w:ascii="Cambria" w:hAnsi="Cambria" w:cstheme="majorBidi"/>
          <w:sz w:val="22"/>
          <w:szCs w:val="22"/>
        </w:rPr>
        <w:t xml:space="preserve"> partners have made efficient use of Australia’s resources despite the rapidly evolving situation in the Bangsamoro region.   The flexible funding arrangement enabled DFAT to respond, through its APP </w:t>
      </w:r>
      <w:r w:rsidR="001F6E09">
        <w:rPr>
          <w:rFonts w:ascii="Cambria" w:hAnsi="Cambria" w:cstheme="majorBidi"/>
          <w:sz w:val="22"/>
          <w:szCs w:val="22"/>
        </w:rPr>
        <w:t xml:space="preserve">and </w:t>
      </w:r>
      <w:r w:rsidR="009F26AF">
        <w:rPr>
          <w:rFonts w:ascii="Cambria" w:hAnsi="Cambria" w:cstheme="majorBidi"/>
          <w:sz w:val="22"/>
          <w:szCs w:val="22"/>
        </w:rPr>
        <w:t xml:space="preserve">other </w:t>
      </w:r>
      <w:r w:rsidR="001F6E09">
        <w:rPr>
          <w:rFonts w:ascii="Cambria" w:hAnsi="Cambria" w:cstheme="majorBidi"/>
          <w:sz w:val="22"/>
          <w:szCs w:val="22"/>
        </w:rPr>
        <w:t xml:space="preserve">implementing </w:t>
      </w:r>
      <w:r w:rsidR="00A330F0" w:rsidRPr="009F552A">
        <w:rPr>
          <w:rFonts w:ascii="Cambria" w:hAnsi="Cambria" w:cstheme="majorBidi"/>
          <w:sz w:val="22"/>
          <w:szCs w:val="22"/>
        </w:rPr>
        <w:t xml:space="preserve">partners, to new emergent challenges as they arise. </w:t>
      </w:r>
      <w:r w:rsidR="009C789A">
        <w:rPr>
          <w:rFonts w:ascii="Cambria" w:hAnsi="Cambria" w:cstheme="majorBidi"/>
          <w:sz w:val="22"/>
          <w:szCs w:val="22"/>
        </w:rPr>
        <w:t xml:space="preserve"> </w:t>
      </w:r>
      <w:r w:rsidR="00A330F0" w:rsidRPr="009F552A">
        <w:rPr>
          <w:rFonts w:ascii="Cambria" w:hAnsi="Cambria" w:cstheme="majorBidi"/>
          <w:sz w:val="22"/>
          <w:szCs w:val="22"/>
        </w:rPr>
        <w:t xml:space="preserve">Across the board, partners were very appreciative of DFAT’s adaptive programming given the highly fluid situation prevailing on the ground. </w:t>
      </w:r>
      <w:r w:rsidR="00B3216F">
        <w:rPr>
          <w:rFonts w:ascii="Cambria" w:hAnsi="Cambria" w:cstheme="majorBidi"/>
          <w:sz w:val="22"/>
          <w:szCs w:val="22"/>
        </w:rPr>
        <w:t>This flexibility requires additional coordination at the subgrantee level, as multiple APP partners and UNDP tend to work with the same field level subgrantees.</w:t>
      </w:r>
    </w:p>
    <w:p w14:paraId="5083440C" w14:textId="77777777" w:rsidR="000C210A" w:rsidRDefault="000C210A" w:rsidP="000C210A">
      <w:pPr>
        <w:jc w:val="both"/>
        <w:rPr>
          <w:rFonts w:ascii="Cambria" w:hAnsi="Cambria" w:cstheme="majorBidi"/>
          <w:sz w:val="22"/>
          <w:szCs w:val="22"/>
        </w:rPr>
      </w:pPr>
    </w:p>
    <w:p w14:paraId="1F281549" w14:textId="2BFECBCC" w:rsidR="005835D3" w:rsidRPr="009F552A" w:rsidRDefault="00DB33FA" w:rsidP="005835D3">
      <w:pPr>
        <w:tabs>
          <w:tab w:val="left" w:pos="284"/>
          <w:tab w:val="left" w:pos="709"/>
        </w:tabs>
        <w:jc w:val="both"/>
        <w:rPr>
          <w:rFonts w:ascii="Cambria" w:hAnsi="Cambria"/>
          <w:sz w:val="22"/>
          <w:szCs w:val="22"/>
        </w:rPr>
      </w:pPr>
      <w:r>
        <w:rPr>
          <w:rFonts w:ascii="Cambria" w:hAnsi="Cambria"/>
          <w:b/>
          <w:bCs/>
          <w:i/>
          <w:iCs/>
          <w:sz w:val="22"/>
          <w:szCs w:val="22"/>
        </w:rPr>
        <w:t xml:space="preserve">Impact of research on policies and programs </w:t>
      </w:r>
      <w:r w:rsidR="008E7989">
        <w:rPr>
          <w:rFonts w:ascii="Cambria" w:hAnsi="Cambria"/>
          <w:b/>
          <w:bCs/>
          <w:i/>
          <w:iCs/>
          <w:sz w:val="22"/>
          <w:szCs w:val="22"/>
        </w:rPr>
        <w:t>–</w:t>
      </w:r>
      <w:r>
        <w:rPr>
          <w:rFonts w:ascii="Cambria" w:hAnsi="Cambria"/>
          <w:b/>
          <w:bCs/>
          <w:i/>
          <w:iCs/>
          <w:sz w:val="22"/>
          <w:szCs w:val="22"/>
        </w:rPr>
        <w:t xml:space="preserve"> </w:t>
      </w:r>
      <w:r w:rsidR="00A330F0" w:rsidRPr="009F552A">
        <w:rPr>
          <w:rFonts w:ascii="Cambria" w:hAnsi="Cambria"/>
          <w:sz w:val="22"/>
          <w:szCs w:val="22"/>
        </w:rPr>
        <w:t xml:space="preserve">Studies conducted by the APP </w:t>
      </w:r>
      <w:r w:rsidR="001F6E09">
        <w:rPr>
          <w:rFonts w:ascii="Cambria" w:hAnsi="Cambria"/>
          <w:sz w:val="22"/>
          <w:szCs w:val="22"/>
        </w:rPr>
        <w:t xml:space="preserve">and </w:t>
      </w:r>
      <w:r w:rsidR="0069044F">
        <w:rPr>
          <w:rFonts w:ascii="Cambria" w:hAnsi="Cambria"/>
          <w:sz w:val="22"/>
          <w:szCs w:val="22"/>
        </w:rPr>
        <w:t xml:space="preserve">multilateral </w:t>
      </w:r>
      <w:r w:rsidR="001F6E09">
        <w:rPr>
          <w:rFonts w:ascii="Cambria" w:hAnsi="Cambria"/>
          <w:sz w:val="22"/>
          <w:szCs w:val="22"/>
        </w:rPr>
        <w:t xml:space="preserve">implementing </w:t>
      </w:r>
      <w:r w:rsidR="00A330F0" w:rsidRPr="009F552A">
        <w:rPr>
          <w:rFonts w:ascii="Cambria" w:hAnsi="Cambria"/>
          <w:sz w:val="22"/>
          <w:szCs w:val="22"/>
        </w:rPr>
        <w:t xml:space="preserve">partners were generally able to identify key analytical challenges </w:t>
      </w:r>
      <w:r w:rsidR="00A330F0" w:rsidRPr="009F552A">
        <w:rPr>
          <w:rFonts w:ascii="Cambria" w:hAnsi="Cambria"/>
          <w:sz w:val="22"/>
          <w:szCs w:val="22"/>
        </w:rPr>
        <w:lastRenderedPageBreak/>
        <w:t>in the transition</w:t>
      </w:r>
      <w:r w:rsidR="00415F96">
        <w:rPr>
          <w:rFonts w:ascii="Cambria" w:hAnsi="Cambria"/>
          <w:sz w:val="22"/>
          <w:szCs w:val="22"/>
        </w:rPr>
        <w:t xml:space="preserve">, </w:t>
      </w:r>
      <w:r w:rsidR="00A330F0" w:rsidRPr="009F552A">
        <w:rPr>
          <w:rFonts w:ascii="Cambria" w:hAnsi="Cambria"/>
          <w:sz w:val="22"/>
          <w:szCs w:val="22"/>
        </w:rPr>
        <w:t>were able to complement each other’s work</w:t>
      </w:r>
      <w:r w:rsidR="00415F96">
        <w:rPr>
          <w:rFonts w:ascii="Cambria" w:hAnsi="Cambria"/>
          <w:sz w:val="22"/>
          <w:szCs w:val="22"/>
        </w:rPr>
        <w:t xml:space="preserve">, and by doing so have informed the understanding and programming </w:t>
      </w:r>
      <w:r w:rsidR="00E52196">
        <w:rPr>
          <w:rFonts w:ascii="Cambria" w:hAnsi="Cambria"/>
          <w:sz w:val="22"/>
          <w:szCs w:val="22"/>
        </w:rPr>
        <w:t>of</w:t>
      </w:r>
      <w:r w:rsidR="00415F96">
        <w:rPr>
          <w:rFonts w:ascii="Cambria" w:hAnsi="Cambria"/>
          <w:sz w:val="22"/>
          <w:szCs w:val="22"/>
        </w:rPr>
        <w:t xml:space="preserve"> other partners and donors</w:t>
      </w:r>
      <w:r w:rsidR="00A330F0" w:rsidRPr="009F552A">
        <w:rPr>
          <w:rFonts w:ascii="Cambria" w:hAnsi="Cambria"/>
          <w:sz w:val="22"/>
          <w:szCs w:val="22"/>
        </w:rPr>
        <w:t>.</w:t>
      </w:r>
      <w:r w:rsidR="00AC19B7">
        <w:rPr>
          <w:rFonts w:ascii="Cambria" w:hAnsi="Cambria"/>
          <w:sz w:val="22"/>
          <w:szCs w:val="22"/>
        </w:rPr>
        <w:t xml:space="preserve"> </w:t>
      </w:r>
      <w:r w:rsidR="00A330F0" w:rsidRPr="009F552A">
        <w:rPr>
          <w:rFonts w:ascii="Cambria" w:hAnsi="Cambria"/>
          <w:sz w:val="22"/>
          <w:szCs w:val="22"/>
        </w:rPr>
        <w:t xml:space="preserve"> However, the degree to which the recommendations from the research have been carried out by national and regional actors is mixed. Analytical support to the political and administrative aspects of the transition</w:t>
      </w:r>
      <w:r w:rsidR="000C210A">
        <w:rPr>
          <w:rFonts w:ascii="Cambria" w:hAnsi="Cambria"/>
          <w:sz w:val="22"/>
          <w:szCs w:val="22"/>
        </w:rPr>
        <w:t xml:space="preserve"> </w:t>
      </w:r>
      <w:r w:rsidR="00A330F0" w:rsidRPr="009F552A">
        <w:rPr>
          <w:rFonts w:ascii="Cambria" w:hAnsi="Cambria"/>
          <w:sz w:val="22"/>
          <w:szCs w:val="22"/>
        </w:rPr>
        <w:t>are generally welcomed and directly used by regional and national partners.</w:t>
      </w:r>
      <w:r w:rsidR="0069044F">
        <w:rPr>
          <w:rFonts w:ascii="Cambria" w:hAnsi="Cambria"/>
          <w:sz w:val="22"/>
          <w:szCs w:val="22"/>
        </w:rPr>
        <w:t xml:space="preserve"> DFAT-supported analytics through the ICG and TAF on </w:t>
      </w:r>
      <w:r w:rsidR="0069044F" w:rsidRPr="0069044F">
        <w:rPr>
          <w:rFonts w:ascii="Cambria" w:hAnsi="Cambria"/>
          <w:sz w:val="22"/>
          <w:szCs w:val="22"/>
        </w:rPr>
        <w:t>emerging research on cross boarder threats of VE in Southeast Asia</w:t>
      </w:r>
      <w:r w:rsidR="000E6BD3">
        <w:rPr>
          <w:rFonts w:ascii="Cambria" w:hAnsi="Cambria"/>
          <w:sz w:val="22"/>
          <w:szCs w:val="22"/>
        </w:rPr>
        <w:t xml:space="preserve"> is envisioned to become more relevant in the next phase of operations.</w:t>
      </w:r>
      <w:r w:rsidR="005835D3">
        <w:rPr>
          <w:rFonts w:ascii="Cambria" w:hAnsi="Cambria"/>
          <w:sz w:val="22"/>
          <w:szCs w:val="22"/>
        </w:rPr>
        <w:t xml:space="preserve"> </w:t>
      </w:r>
      <w:r w:rsidR="005835D3">
        <w:rPr>
          <w:rFonts w:ascii="Cambria" w:hAnsi="Cambria" w:cstheme="majorBidi"/>
          <w:sz w:val="22"/>
          <w:szCs w:val="22"/>
        </w:rPr>
        <w:t>Based on feedback from local government partners, however, the next phase of work require</w:t>
      </w:r>
      <w:r w:rsidR="00E2093A">
        <w:rPr>
          <w:rFonts w:ascii="Cambria" w:hAnsi="Cambria" w:cstheme="majorBidi"/>
          <w:sz w:val="22"/>
          <w:szCs w:val="22"/>
        </w:rPr>
        <w:t>s</w:t>
      </w:r>
      <w:r w:rsidR="005835D3">
        <w:rPr>
          <w:rFonts w:ascii="Cambria" w:hAnsi="Cambria" w:cstheme="majorBidi"/>
          <w:sz w:val="22"/>
          <w:szCs w:val="22"/>
        </w:rPr>
        <w:t xml:space="preserve"> a shift from analysis and coordination to direct implementation of interventions that address </w:t>
      </w:r>
      <w:r w:rsidR="00E2093A">
        <w:rPr>
          <w:rFonts w:ascii="Cambria" w:hAnsi="Cambria" w:cstheme="majorBidi"/>
          <w:sz w:val="22"/>
          <w:szCs w:val="22"/>
        </w:rPr>
        <w:t xml:space="preserve">identified </w:t>
      </w:r>
      <w:r w:rsidR="005835D3">
        <w:rPr>
          <w:rFonts w:ascii="Cambria" w:hAnsi="Cambria" w:cstheme="majorBidi"/>
          <w:sz w:val="22"/>
          <w:szCs w:val="22"/>
        </w:rPr>
        <w:t>community drivers of P/CVE.</w:t>
      </w:r>
    </w:p>
    <w:p w14:paraId="7157A4A1" w14:textId="77777777" w:rsidR="000C210A" w:rsidRDefault="000C210A" w:rsidP="000C210A">
      <w:pPr>
        <w:jc w:val="both"/>
        <w:rPr>
          <w:rFonts w:ascii="Cambria" w:hAnsi="Cambria"/>
          <w:sz w:val="22"/>
          <w:szCs w:val="22"/>
        </w:rPr>
      </w:pPr>
    </w:p>
    <w:p w14:paraId="24E7263B" w14:textId="6D89D97A" w:rsidR="00A330F0" w:rsidRPr="009F552A" w:rsidRDefault="00DB33FA" w:rsidP="0069044F">
      <w:pPr>
        <w:jc w:val="both"/>
        <w:rPr>
          <w:rFonts w:ascii="Cambria" w:hAnsi="Cambria" w:cstheme="majorBidi"/>
          <w:sz w:val="22"/>
          <w:szCs w:val="22"/>
        </w:rPr>
      </w:pPr>
      <w:r>
        <w:rPr>
          <w:rFonts w:ascii="Cambria" w:hAnsi="Cambria"/>
          <w:b/>
          <w:bCs/>
          <w:i/>
          <w:iCs/>
          <w:sz w:val="22"/>
          <w:szCs w:val="22"/>
        </w:rPr>
        <w:t>Alignment with other Australian assistance in Mindanao</w:t>
      </w:r>
      <w:r w:rsidR="0025086F">
        <w:rPr>
          <w:rFonts w:ascii="Cambria" w:hAnsi="Cambria"/>
          <w:b/>
          <w:bCs/>
          <w:i/>
          <w:iCs/>
          <w:sz w:val="22"/>
          <w:szCs w:val="22"/>
        </w:rPr>
        <w:t xml:space="preserve"> - </w:t>
      </w:r>
      <w:r w:rsidR="00A330F0" w:rsidRPr="009F552A">
        <w:rPr>
          <w:rFonts w:ascii="Cambria" w:hAnsi="Cambria"/>
          <w:sz w:val="22"/>
          <w:szCs w:val="22"/>
        </w:rPr>
        <w:t xml:space="preserve">There is some overlap </w:t>
      </w:r>
      <w:r w:rsidR="0025086F">
        <w:rPr>
          <w:rFonts w:ascii="Cambria" w:hAnsi="Cambria"/>
          <w:sz w:val="22"/>
          <w:szCs w:val="22"/>
        </w:rPr>
        <w:t xml:space="preserve">among </w:t>
      </w:r>
      <w:r w:rsidR="00A330F0" w:rsidRPr="009F552A">
        <w:rPr>
          <w:rFonts w:ascii="Cambria" w:hAnsi="Cambria"/>
          <w:sz w:val="22"/>
          <w:szCs w:val="22"/>
        </w:rPr>
        <w:t>the activities and partners engaged by the Political team, the Education/Pathways team, and the Humanitarian team in the Bangsamoro. Although Pathways and TAF-CARE have been able to coordinate in the drafting of the Education Code, the Pathways Responsive Innovation Fund</w:t>
      </w:r>
      <w:r w:rsidR="0069044F">
        <w:rPr>
          <w:rFonts w:ascii="Cambria" w:hAnsi="Cambria"/>
          <w:sz w:val="22"/>
          <w:szCs w:val="22"/>
        </w:rPr>
        <w:t xml:space="preserve">, </w:t>
      </w:r>
      <w:r w:rsidR="00A330F0" w:rsidRPr="009F552A">
        <w:rPr>
          <w:rFonts w:ascii="Cambria" w:hAnsi="Cambria"/>
          <w:sz w:val="22"/>
          <w:szCs w:val="22"/>
        </w:rPr>
        <w:t>multiple APP partner</w:t>
      </w:r>
      <w:r w:rsidR="009F26AF">
        <w:rPr>
          <w:rFonts w:ascii="Cambria" w:hAnsi="Cambria"/>
          <w:sz w:val="22"/>
          <w:szCs w:val="22"/>
        </w:rPr>
        <w:t>s</w:t>
      </w:r>
      <w:r w:rsidR="0069044F">
        <w:rPr>
          <w:rFonts w:ascii="Cambria" w:hAnsi="Cambria"/>
          <w:sz w:val="22"/>
          <w:szCs w:val="22"/>
        </w:rPr>
        <w:t xml:space="preserve">, and UNDP </w:t>
      </w:r>
      <w:r w:rsidR="00A330F0" w:rsidRPr="009F552A">
        <w:rPr>
          <w:rFonts w:ascii="Cambria" w:hAnsi="Cambria"/>
          <w:sz w:val="22"/>
          <w:szCs w:val="22"/>
        </w:rPr>
        <w:t xml:space="preserve">share several subgrantees. </w:t>
      </w:r>
      <w:r w:rsidR="0025086F">
        <w:rPr>
          <w:rFonts w:ascii="Cambria" w:hAnsi="Cambria"/>
          <w:sz w:val="22"/>
          <w:szCs w:val="22"/>
        </w:rPr>
        <w:t xml:space="preserve"> </w:t>
      </w:r>
      <w:r w:rsidR="00A330F0" w:rsidRPr="009F552A">
        <w:rPr>
          <w:rFonts w:ascii="Cambria" w:hAnsi="Cambria"/>
          <w:sz w:val="22"/>
          <w:szCs w:val="22"/>
        </w:rPr>
        <w:t>Similarly, the support for T</w:t>
      </w:r>
      <w:r w:rsidR="00751F3D">
        <w:rPr>
          <w:rFonts w:ascii="Cambria" w:hAnsi="Cambria"/>
          <w:sz w:val="22"/>
          <w:szCs w:val="22"/>
        </w:rPr>
        <w:t xml:space="preserve">ask </w:t>
      </w:r>
      <w:r w:rsidR="00A330F0" w:rsidRPr="009F552A">
        <w:rPr>
          <w:rFonts w:ascii="Cambria" w:hAnsi="Cambria"/>
          <w:sz w:val="22"/>
          <w:szCs w:val="22"/>
        </w:rPr>
        <w:t>F</w:t>
      </w:r>
      <w:r w:rsidR="00751F3D">
        <w:rPr>
          <w:rFonts w:ascii="Cambria" w:hAnsi="Cambria"/>
          <w:sz w:val="22"/>
          <w:szCs w:val="22"/>
        </w:rPr>
        <w:t xml:space="preserve">orce </w:t>
      </w:r>
      <w:proofErr w:type="spellStart"/>
      <w:r w:rsidR="00A330F0" w:rsidRPr="009F552A">
        <w:rPr>
          <w:rFonts w:ascii="Cambria" w:hAnsi="Cambria"/>
          <w:sz w:val="22"/>
          <w:szCs w:val="22"/>
        </w:rPr>
        <w:t>B</w:t>
      </w:r>
      <w:r w:rsidR="00751F3D">
        <w:rPr>
          <w:rFonts w:ascii="Cambria" w:hAnsi="Cambria"/>
          <w:sz w:val="22"/>
          <w:szCs w:val="22"/>
        </w:rPr>
        <w:t>angon</w:t>
      </w:r>
      <w:proofErr w:type="spellEnd"/>
      <w:r w:rsidR="00751F3D">
        <w:rPr>
          <w:rFonts w:ascii="Cambria" w:hAnsi="Cambria"/>
          <w:sz w:val="22"/>
          <w:szCs w:val="22"/>
        </w:rPr>
        <w:t xml:space="preserve"> </w:t>
      </w:r>
      <w:proofErr w:type="spellStart"/>
      <w:r w:rsidR="00A330F0" w:rsidRPr="009F552A">
        <w:rPr>
          <w:rFonts w:ascii="Cambria" w:hAnsi="Cambria"/>
          <w:sz w:val="22"/>
          <w:szCs w:val="22"/>
        </w:rPr>
        <w:t>M</w:t>
      </w:r>
      <w:r w:rsidR="00751F3D">
        <w:rPr>
          <w:rFonts w:ascii="Cambria" w:hAnsi="Cambria"/>
          <w:sz w:val="22"/>
          <w:szCs w:val="22"/>
        </w:rPr>
        <w:t>arawi</w:t>
      </w:r>
      <w:proofErr w:type="spellEnd"/>
      <w:r w:rsidR="00A330F0" w:rsidRPr="009F552A">
        <w:rPr>
          <w:rFonts w:ascii="Cambria" w:hAnsi="Cambria"/>
          <w:sz w:val="22"/>
          <w:szCs w:val="22"/>
        </w:rPr>
        <w:t xml:space="preserve"> through </w:t>
      </w:r>
      <w:r w:rsidR="0069044F">
        <w:rPr>
          <w:rFonts w:ascii="Cambria" w:hAnsi="Cambria"/>
          <w:sz w:val="22"/>
          <w:szCs w:val="22"/>
        </w:rPr>
        <w:t xml:space="preserve">the </w:t>
      </w:r>
      <w:r w:rsidR="00A330F0" w:rsidRPr="009F552A">
        <w:rPr>
          <w:rFonts w:ascii="Cambria" w:hAnsi="Cambria"/>
          <w:sz w:val="22"/>
          <w:szCs w:val="22"/>
        </w:rPr>
        <w:t>APP</w:t>
      </w:r>
      <w:r w:rsidR="0069044F">
        <w:rPr>
          <w:rFonts w:ascii="Cambria" w:hAnsi="Cambria"/>
          <w:sz w:val="22"/>
          <w:szCs w:val="22"/>
        </w:rPr>
        <w:t xml:space="preserve"> partners</w:t>
      </w:r>
      <w:r w:rsidR="00A330F0" w:rsidRPr="009F552A">
        <w:rPr>
          <w:rFonts w:ascii="Cambria" w:hAnsi="Cambria"/>
          <w:sz w:val="22"/>
          <w:szCs w:val="22"/>
        </w:rPr>
        <w:t>, the World Bank, and UNDP</w:t>
      </w:r>
      <w:r w:rsidR="00CE0450">
        <w:rPr>
          <w:rFonts w:ascii="Cambria" w:hAnsi="Cambria"/>
          <w:sz w:val="22"/>
          <w:szCs w:val="22"/>
        </w:rPr>
        <w:t>,</w:t>
      </w:r>
      <w:r w:rsidR="00A330F0" w:rsidRPr="009F552A">
        <w:rPr>
          <w:rFonts w:ascii="Cambria" w:hAnsi="Cambria"/>
          <w:sz w:val="22"/>
          <w:szCs w:val="22"/>
        </w:rPr>
        <w:t xml:space="preserve"> operates in the same space as the DFAT-supported M</w:t>
      </w:r>
      <w:r w:rsidR="0069044F">
        <w:rPr>
          <w:rFonts w:ascii="Cambria" w:hAnsi="Cambria"/>
          <w:sz w:val="22"/>
          <w:szCs w:val="22"/>
        </w:rPr>
        <w:t xml:space="preserve">arawi </w:t>
      </w:r>
      <w:r w:rsidR="00A330F0" w:rsidRPr="009F552A">
        <w:rPr>
          <w:rFonts w:ascii="Cambria" w:hAnsi="Cambria"/>
          <w:sz w:val="22"/>
          <w:szCs w:val="22"/>
        </w:rPr>
        <w:t>R</w:t>
      </w:r>
      <w:r w:rsidR="0069044F">
        <w:rPr>
          <w:rFonts w:ascii="Cambria" w:hAnsi="Cambria"/>
          <w:sz w:val="22"/>
          <w:szCs w:val="22"/>
        </w:rPr>
        <w:t xml:space="preserve">ecovery </w:t>
      </w:r>
      <w:r w:rsidR="00A330F0" w:rsidRPr="009F552A">
        <w:rPr>
          <w:rFonts w:ascii="Cambria" w:hAnsi="Cambria"/>
          <w:sz w:val="22"/>
          <w:szCs w:val="22"/>
        </w:rPr>
        <w:t>P</w:t>
      </w:r>
      <w:r w:rsidR="0069044F">
        <w:rPr>
          <w:rFonts w:ascii="Cambria" w:hAnsi="Cambria"/>
          <w:sz w:val="22"/>
          <w:szCs w:val="22"/>
        </w:rPr>
        <w:t>roject</w:t>
      </w:r>
      <w:r w:rsidR="00A330F0" w:rsidRPr="009F552A">
        <w:rPr>
          <w:rFonts w:ascii="Cambria" w:hAnsi="Cambria"/>
          <w:sz w:val="22"/>
          <w:szCs w:val="22"/>
        </w:rPr>
        <w:t>, particularly in the partnerships with UNHCR, UNFPA, and CFSI. Moving forward, UNFPA will be working increasingly with the MILF’s BIWAB as well as the BTA</w:t>
      </w:r>
      <w:r w:rsidR="0025086F">
        <w:rPr>
          <w:rFonts w:ascii="Cambria" w:hAnsi="Cambria"/>
          <w:sz w:val="22"/>
          <w:szCs w:val="22"/>
        </w:rPr>
        <w:t>’s</w:t>
      </w:r>
      <w:r w:rsidR="00A330F0" w:rsidRPr="009F552A">
        <w:rPr>
          <w:rFonts w:ascii="Cambria" w:hAnsi="Cambria"/>
          <w:sz w:val="22"/>
          <w:szCs w:val="22"/>
        </w:rPr>
        <w:t xml:space="preserve"> Ministry of Social Services (MSS). </w:t>
      </w:r>
      <w:r w:rsidR="0025086F">
        <w:rPr>
          <w:rFonts w:ascii="Cambria" w:hAnsi="Cambria"/>
          <w:sz w:val="22"/>
          <w:szCs w:val="22"/>
        </w:rPr>
        <w:t xml:space="preserve"> </w:t>
      </w:r>
      <w:r w:rsidR="00A330F0" w:rsidRPr="009F552A">
        <w:rPr>
          <w:rFonts w:ascii="Cambria" w:hAnsi="Cambria"/>
          <w:sz w:val="22"/>
          <w:szCs w:val="22"/>
        </w:rPr>
        <w:t>Although regular meetings are scheduled, these are largely informal and often postponed in the absence of structured coordination guidelines and a shared framework strategy for operations in Mindanao.</w:t>
      </w:r>
    </w:p>
    <w:p w14:paraId="52B27322" w14:textId="77777777" w:rsidR="00A330F0" w:rsidRDefault="00A330F0" w:rsidP="003714E0">
      <w:pPr>
        <w:rPr>
          <w:rFonts w:ascii="Cambria" w:hAnsi="Cambria"/>
        </w:rPr>
      </w:pPr>
    </w:p>
    <w:p w14:paraId="169C268D" w14:textId="77777777" w:rsidR="00A330F0" w:rsidRPr="00D058C1" w:rsidRDefault="00A330F0" w:rsidP="003714E0">
      <w:pPr>
        <w:rPr>
          <w:rFonts w:ascii="Cambria" w:hAnsi="Cambria"/>
          <w:sz w:val="22"/>
          <w:szCs w:val="22"/>
          <w:u w:val="single"/>
        </w:rPr>
      </w:pPr>
      <w:r w:rsidRPr="00D058C1">
        <w:rPr>
          <w:rFonts w:ascii="Cambria" w:hAnsi="Cambria"/>
          <w:b/>
          <w:bCs/>
          <w:i/>
          <w:iCs/>
          <w:sz w:val="22"/>
          <w:szCs w:val="22"/>
          <w:u w:val="single"/>
        </w:rPr>
        <w:t>On Efficiency</w:t>
      </w:r>
      <w:r w:rsidRPr="00D058C1" w:rsidDel="005E43E8">
        <w:rPr>
          <w:rFonts w:ascii="Cambria" w:hAnsi="Cambria"/>
          <w:sz w:val="22"/>
          <w:szCs w:val="22"/>
          <w:u w:val="single"/>
        </w:rPr>
        <w:t xml:space="preserve"> </w:t>
      </w:r>
    </w:p>
    <w:p w14:paraId="7F7FA71E" w14:textId="77777777" w:rsidR="00A330F0" w:rsidRPr="00D058C1" w:rsidRDefault="00A330F0" w:rsidP="003714E0">
      <w:pPr>
        <w:rPr>
          <w:rFonts w:ascii="Cambria" w:hAnsi="Cambria"/>
          <w:sz w:val="22"/>
          <w:szCs w:val="22"/>
        </w:rPr>
      </w:pPr>
    </w:p>
    <w:p w14:paraId="33701A14" w14:textId="4EADB608" w:rsidR="00E2093A" w:rsidRDefault="00A330F0" w:rsidP="0069044F">
      <w:pPr>
        <w:jc w:val="both"/>
        <w:rPr>
          <w:rFonts w:ascii="Cambria" w:hAnsi="Cambria"/>
          <w:sz w:val="22"/>
          <w:szCs w:val="22"/>
          <w:lang w:val="en-GB"/>
        </w:rPr>
      </w:pPr>
      <w:r w:rsidRPr="009F552A">
        <w:rPr>
          <w:rFonts w:ascii="Cambria" w:hAnsi="Cambria"/>
          <w:sz w:val="22"/>
          <w:szCs w:val="22"/>
        </w:rPr>
        <w:t xml:space="preserve">The APP </w:t>
      </w:r>
      <w:r w:rsidR="001F6E09">
        <w:rPr>
          <w:rFonts w:ascii="Cambria" w:hAnsi="Cambria"/>
          <w:sz w:val="22"/>
          <w:szCs w:val="22"/>
        </w:rPr>
        <w:t>and</w:t>
      </w:r>
      <w:r w:rsidR="009F26AF">
        <w:rPr>
          <w:rFonts w:ascii="Cambria" w:hAnsi="Cambria"/>
          <w:sz w:val="22"/>
          <w:szCs w:val="22"/>
        </w:rPr>
        <w:t xml:space="preserve"> multilateral</w:t>
      </w:r>
      <w:r w:rsidR="001F6E09">
        <w:rPr>
          <w:rFonts w:ascii="Cambria" w:hAnsi="Cambria"/>
          <w:sz w:val="22"/>
          <w:szCs w:val="22"/>
        </w:rPr>
        <w:t xml:space="preserve"> implementing </w:t>
      </w:r>
      <w:r w:rsidRPr="009F552A">
        <w:rPr>
          <w:rFonts w:ascii="Cambria" w:hAnsi="Cambria"/>
          <w:sz w:val="22"/>
          <w:szCs w:val="22"/>
        </w:rPr>
        <w:t xml:space="preserve">partners have made efficient use of Australia’s resources despite the rapidly evolving situation in the Bangsamoro region.   The flexible funding arrangement enabled DFAT to respond, through its APP </w:t>
      </w:r>
      <w:r w:rsidR="001F6E09">
        <w:rPr>
          <w:rFonts w:ascii="Cambria" w:hAnsi="Cambria"/>
          <w:sz w:val="22"/>
          <w:szCs w:val="22"/>
        </w:rPr>
        <w:t>and</w:t>
      </w:r>
      <w:r w:rsidR="001F6828">
        <w:rPr>
          <w:rFonts w:ascii="Cambria" w:hAnsi="Cambria"/>
          <w:sz w:val="22"/>
          <w:szCs w:val="22"/>
        </w:rPr>
        <w:t xml:space="preserve"> multilateral</w:t>
      </w:r>
      <w:r w:rsidR="001F6E09">
        <w:rPr>
          <w:rFonts w:ascii="Cambria" w:hAnsi="Cambria"/>
          <w:sz w:val="22"/>
          <w:szCs w:val="22"/>
        </w:rPr>
        <w:t xml:space="preserve"> implementing </w:t>
      </w:r>
      <w:r w:rsidRPr="009F552A">
        <w:rPr>
          <w:rFonts w:ascii="Cambria" w:hAnsi="Cambria"/>
          <w:sz w:val="22"/>
          <w:szCs w:val="22"/>
        </w:rPr>
        <w:t>partners, to new emergent challenges of the peace process such as the need to engage in advocacy work for the passage and ratification of the BOL, the urgent task of successfully installing the new BARMM government and its instrumentalities, the pressing need for BARMM to deliver peace dividends particularly to the combatants, the MILF camps and base commands, and the imperative of</w:t>
      </w:r>
      <w:r w:rsidR="00796346">
        <w:rPr>
          <w:rFonts w:ascii="Cambria" w:hAnsi="Cambria"/>
          <w:sz w:val="22"/>
          <w:szCs w:val="22"/>
        </w:rPr>
        <w:t xml:space="preserve"> tracking and</w:t>
      </w:r>
      <w:r w:rsidRPr="009F552A">
        <w:rPr>
          <w:rFonts w:ascii="Cambria" w:hAnsi="Cambria"/>
          <w:sz w:val="22"/>
          <w:szCs w:val="22"/>
        </w:rPr>
        <w:t xml:space="preserve"> responding to the growing threat of VE groups and the reconstruction work of Marawi City.  These events took place within the two-year time frame by which the current program is being implemented.  The ability of partners to effectively respond to these variety of tasks and objectives clearly demonstrate that the</w:t>
      </w:r>
      <w:r w:rsidR="00E2093A">
        <w:rPr>
          <w:rFonts w:ascii="Cambria" w:hAnsi="Cambria"/>
          <w:sz w:val="22"/>
          <w:szCs w:val="22"/>
        </w:rPr>
        <w:t xml:space="preserve"> bilateral</w:t>
      </w:r>
      <w:r w:rsidRPr="009F552A">
        <w:rPr>
          <w:rFonts w:ascii="Cambria" w:hAnsi="Cambria"/>
          <w:sz w:val="22"/>
          <w:szCs w:val="22"/>
        </w:rPr>
        <w:t xml:space="preserve"> flexible funding modality operates well in situations of fragility and conflict</w:t>
      </w:r>
      <w:r w:rsidR="009C2DFB">
        <w:rPr>
          <w:rFonts w:ascii="Cambria" w:hAnsi="Cambria"/>
          <w:sz w:val="22"/>
          <w:szCs w:val="22"/>
        </w:rPr>
        <w:t xml:space="preserve">, particularly in light of delays in the setup of proposed </w:t>
      </w:r>
      <w:proofErr w:type="spellStart"/>
      <w:r w:rsidR="009C2DFB">
        <w:rPr>
          <w:rFonts w:ascii="Cambria" w:hAnsi="Cambria"/>
          <w:sz w:val="22"/>
          <w:szCs w:val="22"/>
        </w:rPr>
        <w:t>multidonor</w:t>
      </w:r>
      <w:proofErr w:type="spellEnd"/>
      <w:r w:rsidR="009C2DFB">
        <w:rPr>
          <w:rFonts w:ascii="Cambria" w:hAnsi="Cambria"/>
          <w:sz w:val="22"/>
          <w:szCs w:val="22"/>
        </w:rPr>
        <w:t xml:space="preserve"> mechanisms such as the BNTF and the Marawi Reconstruction Trust Fund</w:t>
      </w:r>
      <w:r w:rsidRPr="009F552A">
        <w:rPr>
          <w:rFonts w:ascii="Cambria" w:hAnsi="Cambria"/>
          <w:sz w:val="22"/>
          <w:szCs w:val="22"/>
        </w:rPr>
        <w:t xml:space="preserve">. </w:t>
      </w:r>
      <w:r w:rsidR="00E2093A">
        <w:rPr>
          <w:rFonts w:ascii="Cambria" w:hAnsi="Cambria"/>
          <w:sz w:val="22"/>
          <w:szCs w:val="22"/>
        </w:rPr>
        <w:t xml:space="preserve">With the creation of the BARMM and </w:t>
      </w:r>
      <w:r w:rsidR="00C55579">
        <w:rPr>
          <w:rFonts w:ascii="Cambria" w:hAnsi="Cambria"/>
          <w:sz w:val="22"/>
          <w:szCs w:val="22"/>
        </w:rPr>
        <w:t>a new</w:t>
      </w:r>
      <w:r w:rsidR="00E2093A">
        <w:rPr>
          <w:rFonts w:ascii="Cambria" w:hAnsi="Cambria"/>
          <w:sz w:val="22"/>
          <w:szCs w:val="22"/>
        </w:rPr>
        <w:t xml:space="preserve"> phase of CAB implementation, </w:t>
      </w:r>
      <w:r w:rsidR="00E2093A">
        <w:rPr>
          <w:rFonts w:ascii="Cambria" w:hAnsi="Cambria"/>
          <w:sz w:val="22"/>
          <w:szCs w:val="22"/>
          <w:lang w:val="en-GB"/>
        </w:rPr>
        <w:t xml:space="preserve">DFAT programming should balance flexibility with clear links to national and regional government targets, particularly the BTA’s 12 Point Priority Agenda for the transition. </w:t>
      </w:r>
    </w:p>
    <w:p w14:paraId="5F7E911F" w14:textId="77777777" w:rsidR="00C55579" w:rsidRPr="00BA7575" w:rsidRDefault="00C55579" w:rsidP="003714E0">
      <w:pPr>
        <w:rPr>
          <w:rFonts w:ascii="Cambria" w:hAnsi="Cambria"/>
          <w:sz w:val="22"/>
          <w:szCs w:val="22"/>
        </w:rPr>
      </w:pPr>
    </w:p>
    <w:p w14:paraId="0D290728" w14:textId="5CFDDD16" w:rsidR="00A330F0" w:rsidRPr="009F552A" w:rsidRDefault="00A330F0" w:rsidP="003714E0">
      <w:pPr>
        <w:rPr>
          <w:rFonts w:ascii="Cambria" w:hAnsi="Cambria"/>
          <w:b/>
          <w:bCs/>
          <w:i/>
          <w:iCs/>
          <w:sz w:val="22"/>
          <w:szCs w:val="22"/>
          <w:u w:val="single"/>
        </w:rPr>
      </w:pPr>
      <w:r w:rsidRPr="00D058C1">
        <w:rPr>
          <w:rFonts w:ascii="Cambria" w:hAnsi="Cambria"/>
          <w:b/>
          <w:bCs/>
          <w:i/>
          <w:iCs/>
          <w:sz w:val="22"/>
          <w:szCs w:val="22"/>
          <w:u w:val="single"/>
        </w:rPr>
        <w:t xml:space="preserve">On Relevance  </w:t>
      </w:r>
    </w:p>
    <w:p w14:paraId="7A044BBA" w14:textId="77777777" w:rsidR="00A330F0" w:rsidRPr="00D058C1" w:rsidRDefault="00A330F0" w:rsidP="003714E0">
      <w:pPr>
        <w:rPr>
          <w:rFonts w:ascii="Cambria" w:hAnsi="Cambria"/>
          <w:sz w:val="22"/>
          <w:szCs w:val="22"/>
        </w:rPr>
      </w:pPr>
    </w:p>
    <w:p w14:paraId="11DA1DFD" w14:textId="05229EA0" w:rsidR="00A330F0" w:rsidRPr="009F552A" w:rsidRDefault="00DB33FA" w:rsidP="0069044F">
      <w:pPr>
        <w:jc w:val="both"/>
        <w:rPr>
          <w:rFonts w:ascii="Cambria" w:hAnsi="Cambria"/>
          <w:sz w:val="22"/>
          <w:szCs w:val="22"/>
        </w:rPr>
      </w:pPr>
      <w:r>
        <w:rPr>
          <w:rFonts w:ascii="Cambria" w:hAnsi="Cambria"/>
          <w:b/>
          <w:bCs/>
          <w:i/>
          <w:iCs/>
          <w:sz w:val="22"/>
          <w:szCs w:val="22"/>
        </w:rPr>
        <w:t>Adaptation to changing context in BARMM -</w:t>
      </w:r>
      <w:r w:rsidR="00A330F0" w:rsidRPr="009F552A">
        <w:rPr>
          <w:rFonts w:ascii="Cambria" w:hAnsi="Cambria"/>
          <w:sz w:val="22"/>
          <w:szCs w:val="22"/>
        </w:rPr>
        <w:t>The ability to quickly effect changes in objectives, activities</w:t>
      </w:r>
      <w:r w:rsidR="00B3216F">
        <w:rPr>
          <w:rFonts w:ascii="Cambria" w:hAnsi="Cambria"/>
          <w:sz w:val="22"/>
          <w:szCs w:val="22"/>
        </w:rPr>
        <w:t>,</w:t>
      </w:r>
      <w:r w:rsidR="00A330F0" w:rsidRPr="009F552A">
        <w:rPr>
          <w:rFonts w:ascii="Cambria" w:hAnsi="Cambria"/>
          <w:sz w:val="22"/>
          <w:szCs w:val="22"/>
        </w:rPr>
        <w:t xml:space="preserve"> and resource allocation priorit</w:t>
      </w:r>
      <w:r w:rsidR="00945BF9">
        <w:rPr>
          <w:rFonts w:ascii="Cambria" w:hAnsi="Cambria"/>
          <w:sz w:val="22"/>
          <w:szCs w:val="22"/>
        </w:rPr>
        <w:t>ies</w:t>
      </w:r>
      <w:r w:rsidR="00A330F0" w:rsidRPr="009F552A">
        <w:rPr>
          <w:rFonts w:ascii="Cambria" w:hAnsi="Cambria"/>
          <w:sz w:val="22"/>
          <w:szCs w:val="22"/>
        </w:rPr>
        <w:t xml:space="preserve"> by APP</w:t>
      </w:r>
      <w:r w:rsidR="001F6E09">
        <w:rPr>
          <w:rFonts w:ascii="Cambria" w:hAnsi="Cambria"/>
          <w:sz w:val="22"/>
          <w:szCs w:val="22"/>
        </w:rPr>
        <w:t xml:space="preserve"> and </w:t>
      </w:r>
      <w:r w:rsidR="00B3216F">
        <w:rPr>
          <w:rFonts w:ascii="Cambria" w:hAnsi="Cambria"/>
          <w:sz w:val="22"/>
          <w:szCs w:val="22"/>
        </w:rPr>
        <w:t xml:space="preserve">multilateral </w:t>
      </w:r>
      <w:r w:rsidR="001F6E09">
        <w:rPr>
          <w:rFonts w:ascii="Cambria" w:hAnsi="Cambria"/>
          <w:sz w:val="22"/>
          <w:szCs w:val="22"/>
        </w:rPr>
        <w:t>implementing</w:t>
      </w:r>
      <w:r w:rsidR="00A330F0" w:rsidRPr="009F552A">
        <w:rPr>
          <w:rFonts w:ascii="Cambria" w:hAnsi="Cambria"/>
          <w:sz w:val="22"/>
          <w:szCs w:val="22"/>
        </w:rPr>
        <w:t xml:space="preserve"> partners in response to the changing political economy situation in the Bangsamoro greatly enhanced relevance of the program.  It enabled the program to be aligned with the current </w:t>
      </w:r>
      <w:r w:rsidR="00A330F0" w:rsidRPr="009F552A">
        <w:rPr>
          <w:rFonts w:ascii="Cambria" w:hAnsi="Cambria"/>
          <w:sz w:val="22"/>
          <w:szCs w:val="22"/>
        </w:rPr>
        <w:lastRenderedPageBreak/>
        <w:t xml:space="preserve">needs of the BARMM government for technical assistance in formulating key governance codes </w:t>
      </w:r>
      <w:r w:rsidR="002C2AF5">
        <w:rPr>
          <w:rFonts w:ascii="Cambria" w:hAnsi="Cambria"/>
          <w:sz w:val="22"/>
          <w:szCs w:val="22"/>
        </w:rPr>
        <w:t>and</w:t>
      </w:r>
      <w:r w:rsidR="00A330F0" w:rsidRPr="009F552A">
        <w:rPr>
          <w:rFonts w:ascii="Cambria" w:hAnsi="Cambria"/>
          <w:sz w:val="22"/>
          <w:szCs w:val="22"/>
        </w:rPr>
        <w:t xml:space="preserve"> ensure</w:t>
      </w:r>
      <w:r w:rsidR="002C2AF5">
        <w:rPr>
          <w:rFonts w:ascii="Cambria" w:hAnsi="Cambria"/>
          <w:sz w:val="22"/>
          <w:szCs w:val="22"/>
        </w:rPr>
        <w:t xml:space="preserve"> the </w:t>
      </w:r>
      <w:r w:rsidR="00A330F0" w:rsidRPr="009F552A">
        <w:rPr>
          <w:rFonts w:ascii="Cambria" w:hAnsi="Cambria"/>
          <w:sz w:val="22"/>
          <w:szCs w:val="22"/>
        </w:rPr>
        <w:t xml:space="preserve">smooth </w:t>
      </w:r>
      <w:r w:rsidR="002C2AF5">
        <w:rPr>
          <w:rFonts w:ascii="Cambria" w:hAnsi="Cambria"/>
          <w:sz w:val="22"/>
          <w:szCs w:val="22"/>
        </w:rPr>
        <w:t>setup of</w:t>
      </w:r>
      <w:r w:rsidR="00A330F0" w:rsidRPr="009F552A">
        <w:rPr>
          <w:rFonts w:ascii="Cambria" w:hAnsi="Cambria"/>
          <w:sz w:val="22"/>
          <w:szCs w:val="22"/>
        </w:rPr>
        <w:t xml:space="preserve"> the new parliamentary government.  In depth analyses of the causes and growth of VE groups and the conduct of dialogues and consultations among key stakeholders in the Bangsamoro region help</w:t>
      </w:r>
      <w:r w:rsidR="00165520">
        <w:rPr>
          <w:rFonts w:ascii="Cambria" w:hAnsi="Cambria"/>
          <w:sz w:val="22"/>
          <w:szCs w:val="22"/>
        </w:rPr>
        <w:t>ed</w:t>
      </w:r>
      <w:r w:rsidR="00A330F0" w:rsidRPr="009F552A">
        <w:rPr>
          <w:rFonts w:ascii="Cambria" w:hAnsi="Cambria"/>
          <w:sz w:val="22"/>
          <w:szCs w:val="22"/>
        </w:rPr>
        <w:t xml:space="preserve"> build the coalition to prevent further spread of the influence of VE groups.  </w:t>
      </w:r>
      <w:r w:rsidR="00631576">
        <w:rPr>
          <w:rFonts w:ascii="Cambria" w:hAnsi="Cambria"/>
          <w:sz w:val="22"/>
          <w:szCs w:val="22"/>
        </w:rPr>
        <w:t xml:space="preserve">To remain relevant, efforts should be geared towards </w:t>
      </w:r>
      <w:r w:rsidR="00A6616C">
        <w:rPr>
          <w:rFonts w:ascii="Cambria" w:hAnsi="Cambria"/>
          <w:sz w:val="22"/>
          <w:szCs w:val="22"/>
        </w:rPr>
        <w:t>the</w:t>
      </w:r>
      <w:r w:rsidR="00631576">
        <w:rPr>
          <w:rFonts w:ascii="Cambria" w:hAnsi="Cambria"/>
          <w:sz w:val="22"/>
          <w:szCs w:val="22"/>
        </w:rPr>
        <w:t xml:space="preserve"> efficient implementation of outstanding commitments. </w:t>
      </w:r>
      <w:r w:rsidR="00A6616C">
        <w:rPr>
          <w:rFonts w:ascii="Cambria" w:hAnsi="Cambria"/>
          <w:sz w:val="22"/>
          <w:szCs w:val="22"/>
        </w:rPr>
        <w:t xml:space="preserve">The broad cross-sectoral </w:t>
      </w:r>
      <w:r w:rsidR="00202605">
        <w:rPr>
          <w:rFonts w:ascii="Cambria" w:hAnsi="Cambria"/>
          <w:sz w:val="22"/>
          <w:szCs w:val="22"/>
        </w:rPr>
        <w:t xml:space="preserve">grassroots </w:t>
      </w:r>
      <w:r w:rsidR="00A6616C">
        <w:rPr>
          <w:rFonts w:ascii="Cambria" w:hAnsi="Cambria"/>
          <w:sz w:val="22"/>
          <w:szCs w:val="22"/>
        </w:rPr>
        <w:t>networks mobilized for BOL</w:t>
      </w:r>
      <w:r w:rsidR="00CA6E44">
        <w:rPr>
          <w:rFonts w:ascii="Cambria" w:hAnsi="Cambria"/>
          <w:sz w:val="22"/>
          <w:szCs w:val="22"/>
        </w:rPr>
        <w:t xml:space="preserve"> communications and</w:t>
      </w:r>
      <w:r w:rsidR="00A6616C">
        <w:rPr>
          <w:rFonts w:ascii="Cambria" w:hAnsi="Cambria"/>
          <w:sz w:val="22"/>
          <w:szCs w:val="22"/>
        </w:rPr>
        <w:t xml:space="preserve"> advocacy through the APP partners and groups such as the UNDP-supported Insider Mediators (IM) </w:t>
      </w:r>
      <w:r w:rsidR="00202605">
        <w:rPr>
          <w:rFonts w:ascii="Cambria" w:hAnsi="Cambria"/>
          <w:sz w:val="22"/>
          <w:szCs w:val="22"/>
        </w:rPr>
        <w:t>are</w:t>
      </w:r>
      <w:r w:rsidR="00A6616C">
        <w:rPr>
          <w:rFonts w:ascii="Cambria" w:hAnsi="Cambria"/>
          <w:sz w:val="22"/>
          <w:szCs w:val="22"/>
        </w:rPr>
        <w:t xml:space="preserve"> resource</w:t>
      </w:r>
      <w:r w:rsidR="00202605">
        <w:rPr>
          <w:rFonts w:ascii="Cambria" w:hAnsi="Cambria"/>
          <w:sz w:val="22"/>
          <w:szCs w:val="22"/>
        </w:rPr>
        <w:t>s</w:t>
      </w:r>
      <w:r w:rsidR="00A6616C">
        <w:rPr>
          <w:rFonts w:ascii="Cambria" w:hAnsi="Cambria"/>
          <w:sz w:val="22"/>
          <w:szCs w:val="22"/>
        </w:rPr>
        <w:t xml:space="preserve"> that ha</w:t>
      </w:r>
      <w:r w:rsidR="002E5EB9">
        <w:rPr>
          <w:rFonts w:ascii="Cambria" w:hAnsi="Cambria"/>
          <w:sz w:val="22"/>
          <w:szCs w:val="22"/>
        </w:rPr>
        <w:t>ve</w:t>
      </w:r>
      <w:r w:rsidR="00A6616C">
        <w:rPr>
          <w:rFonts w:ascii="Cambria" w:hAnsi="Cambria"/>
          <w:sz w:val="22"/>
          <w:szCs w:val="22"/>
        </w:rPr>
        <w:t xml:space="preserve"> not been fully maximized by the </w:t>
      </w:r>
      <w:r w:rsidR="00CA6E44">
        <w:rPr>
          <w:rFonts w:ascii="Cambria" w:hAnsi="Cambria"/>
          <w:sz w:val="22"/>
          <w:szCs w:val="22"/>
        </w:rPr>
        <w:t>BTA and the peace process mechanisms</w:t>
      </w:r>
      <w:r w:rsidR="007A203E">
        <w:rPr>
          <w:rFonts w:ascii="Cambria" w:hAnsi="Cambria"/>
          <w:sz w:val="22"/>
          <w:szCs w:val="22"/>
        </w:rPr>
        <w:t xml:space="preserve"> in the post-plebiscite era</w:t>
      </w:r>
      <w:r w:rsidR="00A6616C">
        <w:rPr>
          <w:rFonts w:ascii="Cambria" w:hAnsi="Cambria"/>
          <w:sz w:val="22"/>
          <w:szCs w:val="22"/>
        </w:rPr>
        <w:t xml:space="preserve">. </w:t>
      </w:r>
      <w:r w:rsidR="00A330F0" w:rsidRPr="009F552A">
        <w:rPr>
          <w:rFonts w:ascii="Cambria" w:hAnsi="Cambria"/>
          <w:sz w:val="22"/>
          <w:szCs w:val="22"/>
        </w:rPr>
        <w:t xml:space="preserve">Continuing advocacy for the reconstruction of Marawi City will significantly contribute to reducing tension and dissatisfaction among residents in the area and deprived VE groups of the propaganda value of the still unreconstructed </w:t>
      </w:r>
      <w:r w:rsidR="00ED5821">
        <w:rPr>
          <w:rFonts w:ascii="Cambria" w:hAnsi="Cambria"/>
          <w:sz w:val="22"/>
          <w:szCs w:val="22"/>
        </w:rPr>
        <w:t>urban core of the</w:t>
      </w:r>
      <w:r w:rsidR="00A330F0" w:rsidRPr="009F552A">
        <w:rPr>
          <w:rFonts w:ascii="Cambria" w:hAnsi="Cambria"/>
          <w:sz w:val="22"/>
          <w:szCs w:val="22"/>
        </w:rPr>
        <w:t xml:space="preserve"> only </w:t>
      </w:r>
      <w:r w:rsidR="00751F3D">
        <w:rPr>
          <w:rFonts w:ascii="Cambria" w:hAnsi="Cambria"/>
          <w:sz w:val="22"/>
          <w:szCs w:val="22"/>
        </w:rPr>
        <w:t>“</w:t>
      </w:r>
      <w:r w:rsidR="00A330F0" w:rsidRPr="009F552A">
        <w:rPr>
          <w:rFonts w:ascii="Cambria" w:hAnsi="Cambria"/>
          <w:sz w:val="22"/>
          <w:szCs w:val="22"/>
        </w:rPr>
        <w:t xml:space="preserve">Islamic City” in the country. </w:t>
      </w:r>
      <w:r w:rsidR="00631576" w:rsidRPr="009F552A">
        <w:rPr>
          <w:rFonts w:ascii="Cambria" w:hAnsi="Cambria"/>
          <w:sz w:val="22"/>
          <w:szCs w:val="22"/>
        </w:rPr>
        <w:t>Support to normalization activities is key to achieving stability and peace in the Bangsamoro region given that the p</w:t>
      </w:r>
      <w:r w:rsidR="005835D3">
        <w:rPr>
          <w:rFonts w:ascii="Cambria" w:hAnsi="Cambria"/>
          <w:sz w:val="22"/>
          <w:szCs w:val="22"/>
        </w:rPr>
        <w:t>arties have agreed to</w:t>
      </w:r>
      <w:r w:rsidR="00631576" w:rsidRPr="009F552A">
        <w:rPr>
          <w:rFonts w:ascii="Cambria" w:hAnsi="Cambria"/>
          <w:sz w:val="22"/>
          <w:szCs w:val="22"/>
        </w:rPr>
        <w:t xml:space="preserve"> decommission around 40,000 MILF combatants </w:t>
      </w:r>
      <w:r w:rsidR="005835D3">
        <w:rPr>
          <w:rFonts w:ascii="Cambria" w:hAnsi="Cambria"/>
          <w:sz w:val="22"/>
          <w:szCs w:val="22"/>
        </w:rPr>
        <w:t xml:space="preserve">and their </w:t>
      </w:r>
      <w:r w:rsidR="0086080B">
        <w:rPr>
          <w:rFonts w:ascii="Cambria" w:hAnsi="Cambria"/>
          <w:sz w:val="22"/>
          <w:szCs w:val="22"/>
        </w:rPr>
        <w:t>families and</w:t>
      </w:r>
      <w:r w:rsidR="00631576" w:rsidRPr="009F552A">
        <w:rPr>
          <w:rFonts w:ascii="Cambria" w:hAnsi="Cambria"/>
          <w:sz w:val="22"/>
          <w:szCs w:val="22"/>
        </w:rPr>
        <w:t xml:space="preserve"> provide socio-economic support to </w:t>
      </w:r>
      <w:r w:rsidR="005835D3">
        <w:rPr>
          <w:rFonts w:ascii="Cambria" w:hAnsi="Cambria"/>
          <w:sz w:val="22"/>
          <w:szCs w:val="22"/>
        </w:rPr>
        <w:t xml:space="preserve">develop identified </w:t>
      </w:r>
      <w:r w:rsidR="00631576" w:rsidRPr="009F552A">
        <w:rPr>
          <w:rFonts w:ascii="Cambria" w:hAnsi="Cambria"/>
          <w:sz w:val="22"/>
          <w:szCs w:val="22"/>
        </w:rPr>
        <w:t>MILF camps</w:t>
      </w:r>
      <w:r w:rsidR="005835D3">
        <w:rPr>
          <w:rFonts w:ascii="Cambria" w:hAnsi="Cambria"/>
          <w:sz w:val="22"/>
          <w:szCs w:val="22"/>
        </w:rPr>
        <w:t xml:space="preserve"> and</w:t>
      </w:r>
      <w:r w:rsidR="00631576" w:rsidRPr="009F552A">
        <w:rPr>
          <w:rFonts w:ascii="Cambria" w:hAnsi="Cambria"/>
          <w:sz w:val="22"/>
          <w:szCs w:val="22"/>
        </w:rPr>
        <w:t xml:space="preserve"> base command</w:t>
      </w:r>
      <w:r w:rsidR="00631576">
        <w:rPr>
          <w:rFonts w:ascii="Cambria" w:hAnsi="Cambria"/>
          <w:sz w:val="22"/>
          <w:szCs w:val="22"/>
        </w:rPr>
        <w:t>s</w:t>
      </w:r>
      <w:r w:rsidR="00631576" w:rsidRPr="009F552A">
        <w:rPr>
          <w:rFonts w:ascii="Cambria" w:hAnsi="Cambria"/>
          <w:sz w:val="22"/>
          <w:szCs w:val="22"/>
        </w:rPr>
        <w:t xml:space="preserve">.  </w:t>
      </w:r>
    </w:p>
    <w:p w14:paraId="54081C09" w14:textId="77777777" w:rsidR="00DB33FA" w:rsidRDefault="00DB33FA" w:rsidP="003714E0">
      <w:pPr>
        <w:rPr>
          <w:rFonts w:ascii="Cambria" w:hAnsi="Cambria"/>
          <w:i/>
          <w:iCs/>
          <w:sz w:val="22"/>
          <w:szCs w:val="22"/>
        </w:rPr>
      </w:pPr>
    </w:p>
    <w:p w14:paraId="2C61918E" w14:textId="4547991E" w:rsidR="00E2093A" w:rsidRPr="009F552A" w:rsidRDefault="00A330F0" w:rsidP="00E2093A">
      <w:pPr>
        <w:jc w:val="both"/>
        <w:rPr>
          <w:rFonts w:ascii="Cambria" w:hAnsi="Cambria"/>
          <w:sz w:val="22"/>
          <w:szCs w:val="22"/>
        </w:rPr>
      </w:pPr>
      <w:r w:rsidRPr="009F552A">
        <w:rPr>
          <w:rFonts w:ascii="Cambria" w:hAnsi="Cambria"/>
          <w:b/>
          <w:bCs/>
          <w:i/>
          <w:iCs/>
          <w:sz w:val="22"/>
          <w:szCs w:val="22"/>
        </w:rPr>
        <w:t>Integration with the broader range of new initiatives</w:t>
      </w:r>
      <w:r w:rsidR="00DB33FA">
        <w:rPr>
          <w:rFonts w:ascii="Cambria" w:hAnsi="Cambria"/>
          <w:i/>
          <w:iCs/>
          <w:sz w:val="22"/>
          <w:szCs w:val="22"/>
        </w:rPr>
        <w:t xml:space="preserve"> - </w:t>
      </w:r>
      <w:r w:rsidRPr="009F552A">
        <w:rPr>
          <w:rFonts w:ascii="Cambria" w:hAnsi="Cambria"/>
          <w:sz w:val="22"/>
          <w:szCs w:val="22"/>
          <w:lang w:val="en-GB"/>
        </w:rPr>
        <w:t>Although it must be</w:t>
      </w:r>
      <w:r w:rsidR="001F6E09">
        <w:rPr>
          <w:rFonts w:ascii="Cambria" w:hAnsi="Cambria"/>
          <w:sz w:val="22"/>
          <w:szCs w:val="22"/>
          <w:lang w:val="en-GB"/>
        </w:rPr>
        <w:t xml:space="preserve"> </w:t>
      </w:r>
      <w:r w:rsidRPr="009F552A">
        <w:rPr>
          <w:rFonts w:ascii="Cambria" w:hAnsi="Cambria"/>
          <w:sz w:val="22"/>
          <w:szCs w:val="22"/>
          <w:lang w:val="en-GB"/>
        </w:rPr>
        <w:t xml:space="preserve">acknowledged that the volume of new funds now available to BARMM generally outstrips ODA sources, the influx of donor interest in the Bangsamoro transition necessitates strong donor coordination to avoid duplication and ensure complementation. In the absence of a formal donor coordination mechanism, most donors, INGOs and NGOs tend to go straight to specific ministries, while bilateral and multilateral programs are also further coursed through </w:t>
      </w:r>
      <w:proofErr w:type="gramStart"/>
      <w:r w:rsidRPr="009F552A">
        <w:rPr>
          <w:rFonts w:ascii="Cambria" w:hAnsi="Cambria"/>
          <w:sz w:val="22"/>
          <w:szCs w:val="22"/>
          <w:lang w:val="en-GB"/>
        </w:rPr>
        <w:t>a number of</w:t>
      </w:r>
      <w:proofErr w:type="gramEnd"/>
      <w:r w:rsidRPr="009F552A">
        <w:rPr>
          <w:rFonts w:ascii="Cambria" w:hAnsi="Cambria"/>
          <w:sz w:val="22"/>
          <w:szCs w:val="22"/>
          <w:lang w:val="en-GB"/>
        </w:rPr>
        <w:t xml:space="preserve"> INGOs and NGOs, making the total picture difficult to track. </w:t>
      </w:r>
      <w:r w:rsidR="00AC19B7">
        <w:rPr>
          <w:rFonts w:ascii="Cambria" w:hAnsi="Cambria"/>
          <w:sz w:val="22"/>
          <w:szCs w:val="22"/>
          <w:lang w:val="en-GB"/>
        </w:rPr>
        <w:t xml:space="preserve"> </w:t>
      </w:r>
      <w:r w:rsidRPr="009F552A">
        <w:rPr>
          <w:rFonts w:ascii="Cambria" w:hAnsi="Cambria"/>
          <w:sz w:val="22"/>
          <w:szCs w:val="22"/>
          <w:lang w:val="en-GB"/>
        </w:rPr>
        <w:t xml:space="preserve">Although DFAT arguably has one of the broadest portfolios supporting the Mindanao peace process, integration will be necessary with </w:t>
      </w:r>
      <w:r w:rsidR="00AC19B7" w:rsidRPr="009F552A">
        <w:rPr>
          <w:rFonts w:ascii="Cambria" w:hAnsi="Cambria"/>
          <w:sz w:val="22"/>
          <w:szCs w:val="22"/>
          <w:lang w:val="en-GB"/>
        </w:rPr>
        <w:t>JICA, EU, and USAID</w:t>
      </w:r>
      <w:r w:rsidR="009F552A">
        <w:rPr>
          <w:rFonts w:ascii="Cambria" w:hAnsi="Cambria"/>
          <w:sz w:val="22"/>
          <w:szCs w:val="22"/>
          <w:lang w:val="en-GB"/>
        </w:rPr>
        <w:t xml:space="preserve"> initiatives in </w:t>
      </w:r>
      <w:r w:rsidR="00AC19B7" w:rsidRPr="009F552A">
        <w:rPr>
          <w:rFonts w:ascii="Cambria" w:hAnsi="Cambria"/>
          <w:sz w:val="22"/>
          <w:szCs w:val="22"/>
          <w:lang w:val="en-GB"/>
        </w:rPr>
        <w:t>the Bangsamoro region</w:t>
      </w:r>
      <w:r w:rsidR="00E2093A">
        <w:rPr>
          <w:rFonts w:ascii="Cambria" w:hAnsi="Cambria"/>
          <w:sz w:val="22"/>
          <w:szCs w:val="22"/>
          <w:lang w:val="en-GB"/>
        </w:rPr>
        <w:t>, while helping the BTA execute the Bangsamoro Expenditure Program</w:t>
      </w:r>
      <w:r w:rsidR="00F346C3">
        <w:rPr>
          <w:rFonts w:ascii="Cambria" w:hAnsi="Cambria"/>
          <w:sz w:val="22"/>
          <w:szCs w:val="22"/>
          <w:lang w:val="en-GB"/>
        </w:rPr>
        <w:t xml:space="preserve"> (BEP)</w:t>
      </w:r>
      <w:r w:rsidR="00E2093A">
        <w:rPr>
          <w:rFonts w:ascii="Cambria" w:hAnsi="Cambria"/>
          <w:sz w:val="22"/>
          <w:szCs w:val="22"/>
          <w:lang w:val="en-GB"/>
        </w:rPr>
        <w:t xml:space="preserve"> efficiently</w:t>
      </w:r>
      <w:r w:rsidR="00E2093A" w:rsidRPr="009F552A">
        <w:rPr>
          <w:rFonts w:ascii="Cambria" w:hAnsi="Cambria"/>
          <w:sz w:val="22"/>
          <w:szCs w:val="22"/>
          <w:lang w:val="en-GB"/>
        </w:rPr>
        <w:t>.</w:t>
      </w:r>
    </w:p>
    <w:p w14:paraId="5459901B" w14:textId="77777777" w:rsidR="00A330F0" w:rsidRPr="00D058C1" w:rsidRDefault="00A330F0" w:rsidP="00BC2BDA">
      <w:pPr>
        <w:jc w:val="both"/>
        <w:rPr>
          <w:rFonts w:ascii="Cambria" w:hAnsi="Cambria"/>
          <w:sz w:val="22"/>
          <w:szCs w:val="22"/>
        </w:rPr>
      </w:pPr>
    </w:p>
    <w:p w14:paraId="249C53E4" w14:textId="04654421" w:rsidR="00A330F0" w:rsidRPr="00F11FA7" w:rsidRDefault="00A330F0" w:rsidP="00B3216F">
      <w:pPr>
        <w:jc w:val="both"/>
        <w:rPr>
          <w:rFonts w:ascii="Cambria" w:hAnsi="Cambria"/>
          <w:sz w:val="22"/>
          <w:szCs w:val="22"/>
          <w:highlight w:val="yellow"/>
        </w:rPr>
      </w:pPr>
      <w:r w:rsidRPr="009F552A">
        <w:rPr>
          <w:rFonts w:ascii="Cambria" w:hAnsi="Cambria"/>
          <w:b/>
          <w:bCs/>
          <w:i/>
          <w:iCs/>
          <w:sz w:val="22"/>
          <w:szCs w:val="22"/>
        </w:rPr>
        <w:t xml:space="preserve">Support to regional security and economic growth </w:t>
      </w:r>
      <w:r w:rsidR="00EE21B8">
        <w:rPr>
          <w:rFonts w:ascii="Cambria" w:hAnsi="Cambria"/>
          <w:b/>
          <w:bCs/>
          <w:i/>
          <w:iCs/>
          <w:sz w:val="22"/>
          <w:szCs w:val="22"/>
        </w:rPr>
        <w:t>–</w:t>
      </w:r>
      <w:r w:rsidR="00AC19B7">
        <w:rPr>
          <w:rFonts w:ascii="Cambria" w:hAnsi="Cambria"/>
          <w:b/>
          <w:bCs/>
          <w:i/>
          <w:iCs/>
          <w:sz w:val="22"/>
          <w:szCs w:val="22"/>
        </w:rPr>
        <w:t xml:space="preserve"> </w:t>
      </w:r>
      <w:r w:rsidR="00EE21B8">
        <w:rPr>
          <w:rFonts w:ascii="Cambria" w:hAnsi="Cambria"/>
          <w:sz w:val="22"/>
          <w:szCs w:val="22"/>
        </w:rPr>
        <w:t>Australian investments provided support to the Independent Decommissioning Body (IDB) in the decommissioning of the MILF BIAF through UNDP</w:t>
      </w:r>
      <w:r w:rsidR="00171E63">
        <w:rPr>
          <w:rFonts w:ascii="Cambria" w:hAnsi="Cambria"/>
          <w:sz w:val="22"/>
          <w:szCs w:val="22"/>
        </w:rPr>
        <w:t xml:space="preserve">, as well as other key normalization and P/CVE efforts. </w:t>
      </w:r>
      <w:proofErr w:type="gramStart"/>
      <w:r w:rsidRPr="009F552A">
        <w:rPr>
          <w:rFonts w:ascii="Cambria" w:hAnsi="Cambria"/>
          <w:sz w:val="22"/>
          <w:szCs w:val="22"/>
        </w:rPr>
        <w:t>With the exception of</w:t>
      </w:r>
      <w:proofErr w:type="gramEnd"/>
      <w:r w:rsidRPr="009F552A">
        <w:rPr>
          <w:rFonts w:ascii="Cambria" w:hAnsi="Cambria"/>
          <w:sz w:val="22"/>
          <w:szCs w:val="22"/>
        </w:rPr>
        <w:t xml:space="preserve"> community-driven development in the MILF camps th</w:t>
      </w:r>
      <w:r w:rsidR="009F552A">
        <w:rPr>
          <w:rFonts w:ascii="Cambria" w:hAnsi="Cambria"/>
          <w:sz w:val="22"/>
          <w:szCs w:val="22"/>
        </w:rPr>
        <w:t>ro</w:t>
      </w:r>
      <w:r w:rsidRPr="009F552A">
        <w:rPr>
          <w:rFonts w:ascii="Cambria" w:hAnsi="Cambria"/>
          <w:sz w:val="22"/>
          <w:szCs w:val="22"/>
        </w:rPr>
        <w:t xml:space="preserve">ugh MTF-RDP, economic-related investments were largely limited to exploratory studies and dialogues. </w:t>
      </w:r>
      <w:r w:rsidR="009F552A">
        <w:rPr>
          <w:rFonts w:ascii="Cambria" w:hAnsi="Cambria"/>
          <w:sz w:val="22"/>
          <w:szCs w:val="22"/>
        </w:rPr>
        <w:t xml:space="preserve"> </w:t>
      </w:r>
      <w:r w:rsidRPr="009F552A">
        <w:rPr>
          <w:rFonts w:ascii="Cambria" w:hAnsi="Cambria"/>
          <w:sz w:val="22"/>
          <w:szCs w:val="22"/>
        </w:rPr>
        <w:t>Experiments include PBSP’s Brokering Business Investments in the Bangsamoro to Achieve Inclusive Development and Growth (</w:t>
      </w:r>
      <w:proofErr w:type="spellStart"/>
      <w:r w:rsidRPr="009F552A">
        <w:rPr>
          <w:rFonts w:ascii="Cambria" w:hAnsi="Cambria"/>
          <w:sz w:val="22"/>
          <w:szCs w:val="22"/>
        </w:rPr>
        <w:t>BRIDGe</w:t>
      </w:r>
      <w:proofErr w:type="spellEnd"/>
      <w:r w:rsidRPr="009F552A">
        <w:rPr>
          <w:rFonts w:ascii="Cambria" w:hAnsi="Cambria"/>
          <w:sz w:val="22"/>
          <w:szCs w:val="22"/>
        </w:rPr>
        <w:t xml:space="preserve">), as well as exploratory conversations convened by IA on private sector involvement and innovation for internally displaced persons. </w:t>
      </w:r>
    </w:p>
    <w:p w14:paraId="1C4B09F4" w14:textId="77777777" w:rsidR="00A330F0" w:rsidRPr="00D058C1" w:rsidRDefault="00A330F0" w:rsidP="003714E0"/>
    <w:p w14:paraId="05C98AFE" w14:textId="77777777" w:rsidR="00A330F0" w:rsidRPr="00D058C1" w:rsidRDefault="00A330F0" w:rsidP="003714E0">
      <w:pPr>
        <w:rPr>
          <w:rFonts w:ascii="Cambria" w:hAnsi="Cambria"/>
          <w:b/>
          <w:bCs/>
          <w:i/>
          <w:iCs/>
          <w:sz w:val="22"/>
          <w:szCs w:val="22"/>
        </w:rPr>
      </w:pPr>
      <w:r w:rsidRPr="00D058C1">
        <w:rPr>
          <w:rFonts w:ascii="Cambria" w:hAnsi="Cambria"/>
          <w:b/>
          <w:bCs/>
          <w:i/>
          <w:iCs/>
          <w:sz w:val="22"/>
          <w:szCs w:val="22"/>
          <w:u w:val="single"/>
        </w:rPr>
        <w:t>On</w:t>
      </w:r>
      <w:r w:rsidRPr="00D058C1">
        <w:rPr>
          <w:rFonts w:ascii="Cambria" w:hAnsi="Cambria"/>
          <w:sz w:val="22"/>
          <w:szCs w:val="22"/>
          <w:u w:val="single"/>
        </w:rPr>
        <w:t xml:space="preserve"> </w:t>
      </w:r>
      <w:r w:rsidRPr="00D058C1">
        <w:rPr>
          <w:rFonts w:ascii="Cambria" w:hAnsi="Cambria"/>
          <w:b/>
          <w:bCs/>
          <w:i/>
          <w:iCs/>
          <w:sz w:val="22"/>
          <w:szCs w:val="22"/>
          <w:u w:val="single"/>
        </w:rPr>
        <w:t>Gender Equality</w:t>
      </w:r>
      <w:r w:rsidRPr="00D058C1">
        <w:rPr>
          <w:rFonts w:ascii="Cambria" w:hAnsi="Cambria"/>
          <w:b/>
          <w:bCs/>
          <w:i/>
          <w:iCs/>
          <w:sz w:val="22"/>
          <w:szCs w:val="22"/>
        </w:rPr>
        <w:t xml:space="preserve"> </w:t>
      </w:r>
    </w:p>
    <w:p w14:paraId="1FE5F257" w14:textId="77777777" w:rsidR="00A330F0" w:rsidRPr="00D058C1" w:rsidRDefault="00A330F0" w:rsidP="003714E0">
      <w:pPr>
        <w:rPr>
          <w:rFonts w:ascii="Cambria" w:hAnsi="Cambria"/>
          <w:b/>
          <w:bCs/>
          <w:i/>
          <w:iCs/>
          <w:sz w:val="22"/>
          <w:szCs w:val="22"/>
        </w:rPr>
      </w:pPr>
    </w:p>
    <w:p w14:paraId="538EB2B2" w14:textId="4795CFBD" w:rsidR="00A330F0" w:rsidRPr="001F6828" w:rsidRDefault="00A330F0" w:rsidP="00B3216F">
      <w:pPr>
        <w:jc w:val="both"/>
        <w:rPr>
          <w:rFonts w:asciiTheme="minorHAnsi" w:hAnsiTheme="minorHAnsi"/>
          <w:sz w:val="22"/>
          <w:szCs w:val="22"/>
        </w:rPr>
      </w:pPr>
      <w:r w:rsidRPr="001F6828">
        <w:rPr>
          <w:rFonts w:asciiTheme="minorHAnsi" w:hAnsiTheme="minorHAnsi"/>
          <w:sz w:val="22"/>
          <w:szCs w:val="22"/>
        </w:rPr>
        <w:t xml:space="preserve">While Oxfam is the only APP partner whose entire program is explicitly designed for women empowerment in the Bangsamoro area, </w:t>
      </w:r>
      <w:r w:rsidR="0096466D">
        <w:rPr>
          <w:rFonts w:asciiTheme="minorHAnsi" w:hAnsiTheme="minorHAnsi"/>
          <w:sz w:val="22"/>
          <w:szCs w:val="22"/>
        </w:rPr>
        <w:t xml:space="preserve">all </w:t>
      </w:r>
      <w:r w:rsidRPr="001F6828">
        <w:rPr>
          <w:rFonts w:asciiTheme="minorHAnsi" w:hAnsiTheme="minorHAnsi"/>
          <w:sz w:val="22"/>
          <w:szCs w:val="22"/>
        </w:rPr>
        <w:t xml:space="preserve">APP partners have become more conscious of the need for greater women’s participation in the peace process compared to when they were operating under the previous </w:t>
      </w:r>
      <w:r w:rsidRPr="00A928D6">
        <w:rPr>
          <w:rFonts w:asciiTheme="minorHAnsi" w:hAnsiTheme="minorHAnsi"/>
          <w:i/>
          <w:iCs/>
          <w:sz w:val="22"/>
          <w:szCs w:val="22"/>
        </w:rPr>
        <w:t>BASIC Bangsamoro</w:t>
      </w:r>
      <w:r w:rsidRPr="001F6828">
        <w:rPr>
          <w:rFonts w:asciiTheme="minorHAnsi" w:hAnsiTheme="minorHAnsi"/>
          <w:sz w:val="22"/>
          <w:szCs w:val="22"/>
        </w:rPr>
        <w:t xml:space="preserve"> program</w:t>
      </w:r>
      <w:r w:rsidR="00E63BA7">
        <w:rPr>
          <w:rFonts w:asciiTheme="minorHAnsi" w:hAnsiTheme="minorHAnsi"/>
          <w:sz w:val="22"/>
          <w:szCs w:val="22"/>
        </w:rPr>
        <w:t>. All</w:t>
      </w:r>
      <w:r w:rsidR="001A07AC">
        <w:rPr>
          <w:rFonts w:asciiTheme="minorHAnsi" w:hAnsiTheme="minorHAnsi"/>
          <w:sz w:val="22"/>
          <w:szCs w:val="22"/>
        </w:rPr>
        <w:t xml:space="preserve"> APP</w:t>
      </w:r>
      <w:r w:rsidR="00E63BA7">
        <w:rPr>
          <w:rFonts w:asciiTheme="minorHAnsi" w:hAnsiTheme="minorHAnsi"/>
          <w:sz w:val="22"/>
          <w:szCs w:val="22"/>
        </w:rPr>
        <w:t xml:space="preserve"> partners</w:t>
      </w:r>
      <w:r w:rsidR="0096466D">
        <w:rPr>
          <w:rFonts w:asciiTheme="minorHAnsi" w:hAnsiTheme="minorHAnsi"/>
          <w:sz w:val="22"/>
          <w:szCs w:val="22"/>
        </w:rPr>
        <w:t xml:space="preserve"> have </w:t>
      </w:r>
      <w:r w:rsidR="00267068">
        <w:rPr>
          <w:rFonts w:asciiTheme="minorHAnsi" w:hAnsiTheme="minorHAnsi"/>
          <w:sz w:val="22"/>
          <w:szCs w:val="22"/>
        </w:rPr>
        <w:t>Conflict Sensitive Gender Action Plans (CSGAPs)</w:t>
      </w:r>
      <w:r w:rsidR="0001587B">
        <w:rPr>
          <w:rFonts w:asciiTheme="minorHAnsi" w:hAnsiTheme="minorHAnsi"/>
          <w:sz w:val="22"/>
          <w:szCs w:val="22"/>
        </w:rPr>
        <w:t xml:space="preserve">, with varying levels of </w:t>
      </w:r>
      <w:r w:rsidR="00E12C0B">
        <w:rPr>
          <w:rFonts w:asciiTheme="minorHAnsi" w:hAnsiTheme="minorHAnsi"/>
          <w:sz w:val="22"/>
          <w:szCs w:val="22"/>
        </w:rPr>
        <w:t>interaction</w:t>
      </w:r>
      <w:r w:rsidR="0001587B">
        <w:rPr>
          <w:rFonts w:asciiTheme="minorHAnsi" w:hAnsiTheme="minorHAnsi"/>
          <w:sz w:val="22"/>
          <w:szCs w:val="22"/>
        </w:rPr>
        <w:t xml:space="preserve"> with the National Action Plan on Women, Peace and Security</w:t>
      </w:r>
      <w:r w:rsidR="008C1EEE">
        <w:rPr>
          <w:rFonts w:asciiTheme="minorHAnsi" w:hAnsiTheme="minorHAnsi"/>
          <w:sz w:val="22"/>
          <w:szCs w:val="22"/>
        </w:rPr>
        <w:t xml:space="preserve"> supporting UN Security Council Resolution 1325</w:t>
      </w:r>
      <w:r w:rsidR="0001587B" w:rsidRPr="001F6828">
        <w:rPr>
          <w:rFonts w:asciiTheme="minorHAnsi" w:hAnsiTheme="minorHAnsi"/>
          <w:sz w:val="22"/>
          <w:szCs w:val="22"/>
        </w:rPr>
        <w:t>.</w:t>
      </w:r>
      <w:r w:rsidR="0096466D">
        <w:rPr>
          <w:rFonts w:asciiTheme="minorHAnsi" w:hAnsiTheme="minorHAnsi"/>
          <w:sz w:val="22"/>
          <w:szCs w:val="22"/>
        </w:rPr>
        <w:t xml:space="preserve"> This has led to collection of sex-disaggregated data and ensuring that</w:t>
      </w:r>
      <w:r w:rsidRPr="001F6828">
        <w:rPr>
          <w:rFonts w:asciiTheme="minorHAnsi" w:hAnsiTheme="minorHAnsi"/>
          <w:sz w:val="22"/>
          <w:szCs w:val="22"/>
        </w:rPr>
        <w:t xml:space="preserve"> a good proportion of </w:t>
      </w:r>
      <w:r w:rsidR="00914741">
        <w:rPr>
          <w:rFonts w:asciiTheme="minorHAnsi" w:hAnsiTheme="minorHAnsi"/>
          <w:sz w:val="22"/>
          <w:szCs w:val="22"/>
        </w:rPr>
        <w:t>participants and actors</w:t>
      </w:r>
      <w:r w:rsidRPr="001F6828">
        <w:rPr>
          <w:rFonts w:asciiTheme="minorHAnsi" w:hAnsiTheme="minorHAnsi"/>
          <w:sz w:val="22"/>
          <w:szCs w:val="22"/>
        </w:rPr>
        <w:t xml:space="preserve"> </w:t>
      </w:r>
      <w:r w:rsidR="00914741">
        <w:rPr>
          <w:rFonts w:asciiTheme="minorHAnsi" w:hAnsiTheme="minorHAnsi"/>
          <w:sz w:val="22"/>
          <w:szCs w:val="22"/>
        </w:rPr>
        <w:t xml:space="preserve">for all activities </w:t>
      </w:r>
      <w:r w:rsidR="001A07AC">
        <w:rPr>
          <w:rFonts w:asciiTheme="minorHAnsi" w:hAnsiTheme="minorHAnsi"/>
          <w:sz w:val="22"/>
          <w:szCs w:val="22"/>
        </w:rPr>
        <w:t xml:space="preserve">at all levels </w:t>
      </w:r>
      <w:r w:rsidRPr="001F6828">
        <w:rPr>
          <w:rFonts w:asciiTheme="minorHAnsi" w:hAnsiTheme="minorHAnsi"/>
          <w:sz w:val="22"/>
          <w:szCs w:val="22"/>
        </w:rPr>
        <w:t>are women</w:t>
      </w:r>
      <w:r w:rsidR="00563A8C">
        <w:rPr>
          <w:rFonts w:asciiTheme="minorHAnsi" w:hAnsiTheme="minorHAnsi"/>
          <w:sz w:val="22"/>
          <w:szCs w:val="22"/>
        </w:rPr>
        <w:t>, including the new BTA Ministers of Parliament (MPs)</w:t>
      </w:r>
      <w:r w:rsidR="0001587B">
        <w:rPr>
          <w:rFonts w:asciiTheme="minorHAnsi" w:hAnsiTheme="minorHAnsi"/>
          <w:sz w:val="22"/>
          <w:szCs w:val="22"/>
        </w:rPr>
        <w:t>.</w:t>
      </w:r>
      <w:r w:rsidR="00914741">
        <w:rPr>
          <w:rFonts w:asciiTheme="minorHAnsi" w:hAnsiTheme="minorHAnsi"/>
          <w:sz w:val="22"/>
          <w:szCs w:val="22"/>
        </w:rPr>
        <w:t xml:space="preserve"> Key APP investments include the formulation of the law creating the new BARMM Bangsamoro Women Commission, and engagement with female IDPs, women affected by ‘black flag’ </w:t>
      </w:r>
      <w:r w:rsidR="00585D39">
        <w:rPr>
          <w:rFonts w:asciiTheme="minorHAnsi" w:hAnsiTheme="minorHAnsi"/>
          <w:sz w:val="22"/>
          <w:szCs w:val="22"/>
        </w:rPr>
        <w:t>actors</w:t>
      </w:r>
      <w:r w:rsidR="00914741">
        <w:rPr>
          <w:rFonts w:asciiTheme="minorHAnsi" w:hAnsiTheme="minorHAnsi"/>
          <w:sz w:val="22"/>
          <w:szCs w:val="22"/>
        </w:rPr>
        <w:t xml:space="preserve">, including spouses of former </w:t>
      </w:r>
      <w:proofErr w:type="spellStart"/>
      <w:r w:rsidR="00914741">
        <w:rPr>
          <w:rFonts w:asciiTheme="minorHAnsi" w:hAnsiTheme="minorHAnsi"/>
          <w:sz w:val="22"/>
          <w:szCs w:val="22"/>
        </w:rPr>
        <w:t>Maute</w:t>
      </w:r>
      <w:proofErr w:type="spellEnd"/>
      <w:r w:rsidR="00914741">
        <w:rPr>
          <w:rFonts w:asciiTheme="minorHAnsi" w:hAnsiTheme="minorHAnsi"/>
          <w:sz w:val="22"/>
          <w:szCs w:val="22"/>
        </w:rPr>
        <w:t xml:space="preserve"> and A</w:t>
      </w:r>
      <w:r w:rsidR="00875209">
        <w:rPr>
          <w:rFonts w:asciiTheme="minorHAnsi" w:hAnsiTheme="minorHAnsi"/>
          <w:sz w:val="22"/>
          <w:szCs w:val="22"/>
        </w:rPr>
        <w:t xml:space="preserve">bu </w:t>
      </w:r>
      <w:r w:rsidR="00914741">
        <w:rPr>
          <w:rFonts w:asciiTheme="minorHAnsi" w:hAnsiTheme="minorHAnsi"/>
          <w:sz w:val="22"/>
          <w:szCs w:val="22"/>
        </w:rPr>
        <w:t>S</w:t>
      </w:r>
      <w:r w:rsidR="00875209">
        <w:rPr>
          <w:rFonts w:asciiTheme="minorHAnsi" w:hAnsiTheme="minorHAnsi"/>
          <w:sz w:val="22"/>
          <w:szCs w:val="22"/>
        </w:rPr>
        <w:t xml:space="preserve">ayyaf </w:t>
      </w:r>
      <w:r w:rsidR="00914741">
        <w:rPr>
          <w:rFonts w:asciiTheme="minorHAnsi" w:hAnsiTheme="minorHAnsi"/>
          <w:sz w:val="22"/>
          <w:szCs w:val="22"/>
        </w:rPr>
        <w:lastRenderedPageBreak/>
        <w:t>G</w:t>
      </w:r>
      <w:r w:rsidR="00875209">
        <w:rPr>
          <w:rFonts w:asciiTheme="minorHAnsi" w:hAnsiTheme="minorHAnsi"/>
          <w:sz w:val="22"/>
          <w:szCs w:val="22"/>
        </w:rPr>
        <w:t>roup (ASG)</w:t>
      </w:r>
      <w:r w:rsidR="00914741">
        <w:rPr>
          <w:rFonts w:asciiTheme="minorHAnsi" w:hAnsiTheme="minorHAnsi"/>
          <w:sz w:val="22"/>
          <w:szCs w:val="22"/>
        </w:rPr>
        <w:t xml:space="preserve"> fighters, as well as members of the MILF’s Social Welfare Committee and </w:t>
      </w:r>
      <w:r w:rsidR="00EA7EDE">
        <w:rPr>
          <w:rFonts w:asciiTheme="minorHAnsi" w:hAnsiTheme="minorHAnsi"/>
          <w:sz w:val="22"/>
          <w:szCs w:val="22"/>
        </w:rPr>
        <w:t xml:space="preserve">the MILF </w:t>
      </w:r>
      <w:r w:rsidR="00914741">
        <w:rPr>
          <w:rFonts w:asciiTheme="minorHAnsi" w:hAnsiTheme="minorHAnsi"/>
          <w:sz w:val="22"/>
          <w:szCs w:val="22"/>
        </w:rPr>
        <w:t xml:space="preserve">Bangsamoro Islamic Women’s Auxiliary Brigade.  As the peace process shifts to implementation, efforts will need to move beyond collecting sex-disaggregated data and </w:t>
      </w:r>
      <w:r w:rsidR="00290B58">
        <w:rPr>
          <w:rFonts w:asciiTheme="minorHAnsi" w:hAnsiTheme="minorHAnsi"/>
          <w:sz w:val="22"/>
          <w:szCs w:val="22"/>
        </w:rPr>
        <w:t xml:space="preserve">ensuring </w:t>
      </w:r>
      <w:r w:rsidR="00914741">
        <w:rPr>
          <w:rFonts w:asciiTheme="minorHAnsi" w:hAnsiTheme="minorHAnsi"/>
          <w:sz w:val="22"/>
          <w:szCs w:val="22"/>
        </w:rPr>
        <w:t>basic participation to aiming for positive development outcomes for women in the Bangsamoro</w:t>
      </w:r>
      <w:r w:rsidR="00563A8C">
        <w:rPr>
          <w:rFonts w:asciiTheme="minorHAnsi" w:hAnsiTheme="minorHAnsi"/>
          <w:sz w:val="22"/>
          <w:szCs w:val="22"/>
        </w:rPr>
        <w:t xml:space="preserve"> and continue to address power imbalances and inequalities for </w:t>
      </w:r>
      <w:r w:rsidR="00914741">
        <w:rPr>
          <w:rFonts w:asciiTheme="minorHAnsi" w:hAnsiTheme="minorHAnsi"/>
          <w:sz w:val="22"/>
          <w:szCs w:val="22"/>
        </w:rPr>
        <w:t>widows and</w:t>
      </w:r>
      <w:r w:rsidR="00563A8C">
        <w:rPr>
          <w:rFonts w:asciiTheme="minorHAnsi" w:hAnsiTheme="minorHAnsi"/>
          <w:sz w:val="22"/>
          <w:szCs w:val="22"/>
        </w:rPr>
        <w:t xml:space="preserve"> non-elite,</w:t>
      </w:r>
      <w:r w:rsidR="00914741">
        <w:rPr>
          <w:rFonts w:asciiTheme="minorHAnsi" w:hAnsiTheme="minorHAnsi"/>
          <w:sz w:val="22"/>
          <w:szCs w:val="22"/>
        </w:rPr>
        <w:t xml:space="preserve"> female-headed households</w:t>
      </w:r>
      <w:r w:rsidR="00563A8C">
        <w:rPr>
          <w:rFonts w:asciiTheme="minorHAnsi" w:hAnsiTheme="minorHAnsi"/>
          <w:sz w:val="22"/>
          <w:szCs w:val="22"/>
        </w:rPr>
        <w:t>.</w:t>
      </w:r>
    </w:p>
    <w:p w14:paraId="246A2E42" w14:textId="77777777" w:rsidR="00A330F0" w:rsidRPr="001F6828" w:rsidRDefault="00A330F0" w:rsidP="00B3216F">
      <w:pPr>
        <w:jc w:val="both"/>
        <w:rPr>
          <w:rFonts w:asciiTheme="minorHAnsi" w:hAnsiTheme="minorHAnsi"/>
          <w:sz w:val="22"/>
          <w:szCs w:val="22"/>
        </w:rPr>
      </w:pPr>
    </w:p>
    <w:p w14:paraId="187D5A6B" w14:textId="77777777" w:rsidR="00A330F0" w:rsidRPr="00D058C1" w:rsidRDefault="00A330F0" w:rsidP="00B3216F">
      <w:pPr>
        <w:jc w:val="both"/>
        <w:rPr>
          <w:rFonts w:ascii="Cambria" w:hAnsi="Cambria"/>
          <w:b/>
          <w:bCs/>
          <w:i/>
          <w:iCs/>
          <w:sz w:val="22"/>
          <w:szCs w:val="22"/>
          <w:u w:val="single"/>
        </w:rPr>
      </w:pPr>
      <w:r w:rsidRPr="00D058C1">
        <w:rPr>
          <w:rFonts w:ascii="Cambria" w:hAnsi="Cambria"/>
          <w:b/>
          <w:bCs/>
          <w:i/>
          <w:iCs/>
          <w:sz w:val="22"/>
          <w:szCs w:val="22"/>
          <w:u w:val="single"/>
        </w:rPr>
        <w:t xml:space="preserve">On Disability inclusion </w:t>
      </w:r>
    </w:p>
    <w:p w14:paraId="7CBB060B" w14:textId="77777777" w:rsidR="00AC19B7" w:rsidRDefault="00AC19B7" w:rsidP="00B3216F">
      <w:pPr>
        <w:jc w:val="both"/>
        <w:rPr>
          <w:rFonts w:ascii="Cambria" w:hAnsi="Cambria"/>
          <w:sz w:val="22"/>
          <w:szCs w:val="22"/>
        </w:rPr>
      </w:pPr>
    </w:p>
    <w:p w14:paraId="313171A2" w14:textId="594F6B69" w:rsidR="00AC19B7" w:rsidRDefault="00A330F0" w:rsidP="00B3216F">
      <w:pPr>
        <w:jc w:val="both"/>
        <w:rPr>
          <w:rFonts w:ascii="Cambria" w:hAnsi="Cambria"/>
          <w:sz w:val="22"/>
          <w:szCs w:val="22"/>
        </w:rPr>
      </w:pPr>
      <w:r w:rsidRPr="009F552A">
        <w:rPr>
          <w:rFonts w:ascii="Cambria" w:hAnsi="Cambria"/>
          <w:sz w:val="22"/>
          <w:szCs w:val="22"/>
        </w:rPr>
        <w:t>While conscious of the need to promote participation of persons with disability (PWD)</w:t>
      </w:r>
      <w:r w:rsidR="003F1F01">
        <w:rPr>
          <w:rFonts w:ascii="Cambria" w:hAnsi="Cambria"/>
          <w:sz w:val="22"/>
          <w:szCs w:val="22"/>
        </w:rPr>
        <w:t xml:space="preserve"> particularly in the case of Oxfam’s drafting of a disability inclusion plan and IA’s </w:t>
      </w:r>
      <w:r w:rsidR="005C0B36">
        <w:rPr>
          <w:rFonts w:ascii="Cambria" w:hAnsi="Cambria"/>
          <w:sz w:val="22"/>
          <w:szCs w:val="22"/>
        </w:rPr>
        <w:t xml:space="preserve">communications </w:t>
      </w:r>
      <w:r w:rsidR="00B90122">
        <w:rPr>
          <w:rFonts w:ascii="Cambria" w:hAnsi="Cambria"/>
          <w:sz w:val="22"/>
          <w:szCs w:val="22"/>
        </w:rPr>
        <w:t>accessibility policies</w:t>
      </w:r>
      <w:r w:rsidR="003F1F01">
        <w:rPr>
          <w:rFonts w:ascii="Cambria" w:hAnsi="Cambria"/>
          <w:sz w:val="22"/>
          <w:szCs w:val="22"/>
        </w:rPr>
        <w:t>,</w:t>
      </w:r>
      <w:r w:rsidRPr="009F552A">
        <w:rPr>
          <w:rFonts w:ascii="Cambria" w:hAnsi="Cambria"/>
          <w:sz w:val="22"/>
          <w:szCs w:val="22"/>
        </w:rPr>
        <w:t xml:space="preserve"> there has been no deliberate effort yet on the part of the APP </w:t>
      </w:r>
      <w:r w:rsidR="00CF1A90">
        <w:rPr>
          <w:rFonts w:ascii="Cambria" w:hAnsi="Cambria"/>
          <w:sz w:val="22"/>
          <w:szCs w:val="22"/>
        </w:rPr>
        <w:t xml:space="preserve">and implementing </w:t>
      </w:r>
      <w:r w:rsidRPr="009F552A">
        <w:rPr>
          <w:rFonts w:ascii="Cambria" w:hAnsi="Cambria"/>
          <w:sz w:val="22"/>
          <w:szCs w:val="22"/>
        </w:rPr>
        <w:t xml:space="preserve">partners to </w:t>
      </w:r>
      <w:r w:rsidR="003F1F01">
        <w:rPr>
          <w:rFonts w:ascii="Cambria" w:hAnsi="Cambria"/>
          <w:sz w:val="22"/>
          <w:szCs w:val="22"/>
        </w:rPr>
        <w:t>design specific interventions for</w:t>
      </w:r>
      <w:r w:rsidRPr="009F552A">
        <w:rPr>
          <w:rFonts w:ascii="Cambria" w:hAnsi="Cambria"/>
          <w:sz w:val="22"/>
          <w:szCs w:val="22"/>
        </w:rPr>
        <w:t xml:space="preserve"> th</w:t>
      </w:r>
      <w:r w:rsidR="00B3216F">
        <w:rPr>
          <w:rFonts w:ascii="Cambria" w:hAnsi="Cambria"/>
          <w:sz w:val="22"/>
          <w:szCs w:val="22"/>
        </w:rPr>
        <w:t>is cohort</w:t>
      </w:r>
      <w:r w:rsidRPr="009F552A">
        <w:rPr>
          <w:rFonts w:ascii="Cambria" w:hAnsi="Cambria"/>
          <w:sz w:val="22"/>
          <w:szCs w:val="22"/>
        </w:rPr>
        <w:t xml:space="preserve">. </w:t>
      </w:r>
      <w:r w:rsidR="00B3216F">
        <w:rPr>
          <w:rFonts w:ascii="Cambria" w:hAnsi="Cambria"/>
          <w:sz w:val="22"/>
          <w:szCs w:val="22"/>
        </w:rPr>
        <w:t xml:space="preserve">This can be partially rooted in </w:t>
      </w:r>
      <w:r w:rsidRPr="009F552A">
        <w:rPr>
          <w:rFonts w:ascii="Cambria" w:hAnsi="Cambria"/>
          <w:sz w:val="22"/>
          <w:szCs w:val="22"/>
        </w:rPr>
        <w:t>cultural norms</w:t>
      </w:r>
      <w:r w:rsidR="00B3216F">
        <w:rPr>
          <w:rFonts w:ascii="Cambria" w:hAnsi="Cambria"/>
          <w:sz w:val="22"/>
          <w:szCs w:val="22"/>
        </w:rPr>
        <w:t>, which</w:t>
      </w:r>
      <w:r w:rsidRPr="009F552A">
        <w:rPr>
          <w:rFonts w:ascii="Cambria" w:hAnsi="Cambria"/>
          <w:sz w:val="22"/>
          <w:szCs w:val="22"/>
        </w:rPr>
        <w:t xml:space="preserve"> discourage families or the revolutionary groups in general from admitting that they have members with disabilities (whether physical or related to psycho-social trauma). </w:t>
      </w:r>
      <w:r w:rsidR="009F552A">
        <w:rPr>
          <w:rFonts w:ascii="Cambria" w:hAnsi="Cambria"/>
          <w:sz w:val="22"/>
          <w:szCs w:val="22"/>
        </w:rPr>
        <w:t xml:space="preserve"> </w:t>
      </w:r>
      <w:r w:rsidRPr="009F552A">
        <w:rPr>
          <w:rFonts w:ascii="Cambria" w:hAnsi="Cambria"/>
          <w:sz w:val="22"/>
          <w:szCs w:val="22"/>
        </w:rPr>
        <w:t>A second hurdle is the thinking that PWDs are more the concern of humanitarian programs or agencies rather than development workers or agencies</w:t>
      </w:r>
      <w:r w:rsidR="00914741">
        <w:rPr>
          <w:rFonts w:ascii="Cambria" w:hAnsi="Cambria"/>
          <w:sz w:val="22"/>
          <w:szCs w:val="22"/>
        </w:rPr>
        <w:t>.</w:t>
      </w:r>
      <w:r w:rsidRPr="009F552A">
        <w:rPr>
          <w:rFonts w:ascii="Cambria" w:hAnsi="Cambria"/>
          <w:sz w:val="22"/>
          <w:szCs w:val="22"/>
        </w:rPr>
        <w:t xml:space="preserve"> </w:t>
      </w:r>
      <w:r w:rsidR="00FB7377">
        <w:rPr>
          <w:rFonts w:ascii="Cambria" w:hAnsi="Cambria"/>
          <w:sz w:val="22"/>
          <w:szCs w:val="22"/>
        </w:rPr>
        <w:t xml:space="preserve">The next phase of investment is an opportunity to engage this issue. </w:t>
      </w:r>
    </w:p>
    <w:p w14:paraId="0C62231B" w14:textId="77777777" w:rsidR="00B3216F" w:rsidRDefault="00B3216F" w:rsidP="00B3216F">
      <w:pPr>
        <w:jc w:val="both"/>
        <w:rPr>
          <w:rFonts w:ascii="Cambria" w:hAnsi="Cambria"/>
          <w:sz w:val="22"/>
          <w:szCs w:val="22"/>
        </w:rPr>
      </w:pPr>
    </w:p>
    <w:p w14:paraId="6919D21F" w14:textId="507B2BFE" w:rsidR="00B3216F" w:rsidRDefault="00B3216F" w:rsidP="00B3216F">
      <w:pPr>
        <w:jc w:val="both"/>
        <w:rPr>
          <w:rFonts w:ascii="Cambria" w:hAnsi="Cambria"/>
          <w:b/>
          <w:bCs/>
          <w:i/>
          <w:iCs/>
          <w:sz w:val="22"/>
          <w:szCs w:val="22"/>
        </w:rPr>
      </w:pPr>
      <w:r w:rsidRPr="00B3216F">
        <w:rPr>
          <w:rFonts w:ascii="Cambria" w:hAnsi="Cambria"/>
          <w:b/>
          <w:bCs/>
          <w:i/>
          <w:iCs/>
          <w:sz w:val="22"/>
          <w:szCs w:val="22"/>
          <w:u w:val="single"/>
        </w:rPr>
        <w:t>On</w:t>
      </w:r>
      <w:r w:rsidR="00FB4AB9">
        <w:rPr>
          <w:rFonts w:ascii="Cambria" w:hAnsi="Cambria"/>
          <w:b/>
          <w:bCs/>
          <w:i/>
          <w:iCs/>
          <w:sz w:val="22"/>
          <w:szCs w:val="22"/>
          <w:u w:val="single"/>
        </w:rPr>
        <w:t xml:space="preserve"> inclusion of</w:t>
      </w:r>
      <w:r w:rsidRPr="00B3216F">
        <w:rPr>
          <w:rFonts w:ascii="Cambria" w:hAnsi="Cambria"/>
          <w:b/>
          <w:bCs/>
          <w:i/>
          <w:iCs/>
          <w:sz w:val="22"/>
          <w:szCs w:val="22"/>
          <w:u w:val="single"/>
        </w:rPr>
        <w:t xml:space="preserve"> </w:t>
      </w:r>
      <w:r w:rsidR="00A330F0" w:rsidRPr="00B3216F">
        <w:rPr>
          <w:rFonts w:ascii="Cambria" w:hAnsi="Cambria"/>
          <w:b/>
          <w:bCs/>
          <w:i/>
          <w:iCs/>
          <w:sz w:val="22"/>
          <w:szCs w:val="22"/>
          <w:u w:val="single"/>
        </w:rPr>
        <w:t>Indigenous People</w:t>
      </w:r>
      <w:r w:rsidRPr="00B3216F">
        <w:rPr>
          <w:rFonts w:ascii="Cambria" w:hAnsi="Cambria"/>
          <w:b/>
          <w:bCs/>
          <w:i/>
          <w:iCs/>
          <w:sz w:val="22"/>
          <w:szCs w:val="22"/>
          <w:u w:val="single"/>
        </w:rPr>
        <w:t>s</w:t>
      </w:r>
      <w:r w:rsidR="00FB4AB9">
        <w:rPr>
          <w:rFonts w:ascii="Cambria" w:hAnsi="Cambria"/>
          <w:b/>
          <w:bCs/>
          <w:i/>
          <w:iCs/>
          <w:sz w:val="22"/>
          <w:szCs w:val="22"/>
          <w:u w:val="single"/>
        </w:rPr>
        <w:t xml:space="preserve"> and other vulnerable sectors</w:t>
      </w:r>
      <w:r w:rsidR="00A330F0" w:rsidRPr="009F552A">
        <w:rPr>
          <w:rFonts w:ascii="Cambria" w:hAnsi="Cambria"/>
          <w:b/>
          <w:bCs/>
          <w:i/>
          <w:iCs/>
          <w:sz w:val="22"/>
          <w:szCs w:val="22"/>
        </w:rPr>
        <w:t xml:space="preserve"> </w:t>
      </w:r>
    </w:p>
    <w:p w14:paraId="504A5170" w14:textId="77777777" w:rsidR="00B3216F" w:rsidRDefault="00B3216F" w:rsidP="00B3216F">
      <w:pPr>
        <w:jc w:val="both"/>
        <w:rPr>
          <w:rFonts w:ascii="Cambria" w:hAnsi="Cambria"/>
          <w:b/>
          <w:bCs/>
          <w:i/>
          <w:iCs/>
          <w:sz w:val="22"/>
          <w:szCs w:val="22"/>
        </w:rPr>
      </w:pPr>
    </w:p>
    <w:p w14:paraId="4157495E" w14:textId="7A8B9235" w:rsidR="00952156" w:rsidRPr="00FE2977" w:rsidRDefault="00A330F0" w:rsidP="00FE2977">
      <w:pPr>
        <w:jc w:val="both"/>
        <w:rPr>
          <w:rFonts w:ascii="Cambria" w:hAnsi="Cambria"/>
          <w:sz w:val="22"/>
          <w:szCs w:val="22"/>
        </w:rPr>
      </w:pPr>
      <w:r w:rsidRPr="009F552A">
        <w:rPr>
          <w:rFonts w:ascii="Cambria" w:hAnsi="Cambria"/>
          <w:sz w:val="22"/>
          <w:szCs w:val="22"/>
        </w:rPr>
        <w:t xml:space="preserve">There was deliberate effort on the part of APP </w:t>
      </w:r>
      <w:r w:rsidR="00165520">
        <w:rPr>
          <w:rFonts w:ascii="Cambria" w:hAnsi="Cambria"/>
          <w:sz w:val="22"/>
          <w:szCs w:val="22"/>
        </w:rPr>
        <w:t>and</w:t>
      </w:r>
      <w:r w:rsidR="001F6828">
        <w:rPr>
          <w:rFonts w:ascii="Cambria" w:hAnsi="Cambria"/>
          <w:sz w:val="22"/>
          <w:szCs w:val="22"/>
        </w:rPr>
        <w:t xml:space="preserve"> multilateral</w:t>
      </w:r>
      <w:r w:rsidR="00165520">
        <w:rPr>
          <w:rFonts w:ascii="Cambria" w:hAnsi="Cambria"/>
          <w:sz w:val="22"/>
          <w:szCs w:val="22"/>
        </w:rPr>
        <w:t xml:space="preserve"> implementing </w:t>
      </w:r>
      <w:r w:rsidRPr="009F552A">
        <w:rPr>
          <w:rFonts w:ascii="Cambria" w:hAnsi="Cambria"/>
          <w:sz w:val="22"/>
          <w:szCs w:val="22"/>
        </w:rPr>
        <w:t>partners</w:t>
      </w:r>
      <w:r w:rsidR="009F552A">
        <w:rPr>
          <w:rFonts w:ascii="Cambria" w:hAnsi="Cambria"/>
          <w:sz w:val="22"/>
          <w:szCs w:val="22"/>
        </w:rPr>
        <w:t xml:space="preserve"> </w:t>
      </w:r>
      <w:r w:rsidRPr="009F552A">
        <w:rPr>
          <w:rFonts w:ascii="Cambria" w:hAnsi="Cambria"/>
          <w:sz w:val="22"/>
          <w:szCs w:val="22"/>
        </w:rPr>
        <w:t xml:space="preserve">to reach out to IP communities to ensure their voices are heard in BARMM and the trajectory of the peace process. </w:t>
      </w:r>
      <w:r w:rsidR="00876E3F">
        <w:rPr>
          <w:rFonts w:ascii="Cambria" w:hAnsi="Cambria"/>
          <w:sz w:val="22"/>
          <w:szCs w:val="22"/>
        </w:rPr>
        <w:t xml:space="preserve">This includes direct support to </w:t>
      </w:r>
      <w:r w:rsidR="00E52196">
        <w:rPr>
          <w:rFonts w:ascii="Cambria" w:hAnsi="Cambria"/>
          <w:sz w:val="22"/>
          <w:szCs w:val="22"/>
        </w:rPr>
        <w:t>key IP regional voices, leading up to the creation of the</w:t>
      </w:r>
      <w:r w:rsidR="00876E3F">
        <w:rPr>
          <w:rFonts w:ascii="Cambria" w:hAnsi="Cambria"/>
          <w:sz w:val="22"/>
          <w:szCs w:val="22"/>
        </w:rPr>
        <w:t xml:space="preserve"> BARMM Ministry of Indigenous Peoples’ Affairs</w:t>
      </w:r>
      <w:r w:rsidR="00E52196">
        <w:rPr>
          <w:rFonts w:ascii="Cambria" w:hAnsi="Cambria"/>
          <w:sz w:val="22"/>
          <w:szCs w:val="22"/>
        </w:rPr>
        <w:t xml:space="preserve"> (MIPA).</w:t>
      </w:r>
      <w:r w:rsidR="00876E3F">
        <w:rPr>
          <w:rFonts w:ascii="Cambria" w:hAnsi="Cambria"/>
          <w:sz w:val="22"/>
          <w:szCs w:val="22"/>
        </w:rPr>
        <w:t xml:space="preserve"> </w:t>
      </w:r>
      <w:r w:rsidRPr="009F552A">
        <w:rPr>
          <w:rFonts w:ascii="Cambria" w:hAnsi="Cambria"/>
          <w:sz w:val="22"/>
          <w:szCs w:val="22"/>
        </w:rPr>
        <w:t xml:space="preserve">While there is sensitivity over the issue </w:t>
      </w:r>
      <w:r w:rsidR="00B3216F">
        <w:rPr>
          <w:rFonts w:ascii="Cambria" w:hAnsi="Cambria"/>
          <w:sz w:val="22"/>
          <w:szCs w:val="22"/>
        </w:rPr>
        <w:t>due to unresolved land claims</w:t>
      </w:r>
      <w:r w:rsidR="00876E3F">
        <w:rPr>
          <w:rFonts w:ascii="Cambria" w:hAnsi="Cambria"/>
          <w:sz w:val="22"/>
          <w:szCs w:val="22"/>
        </w:rPr>
        <w:t xml:space="preserve"> particularly in Maguindanao</w:t>
      </w:r>
      <w:r w:rsidR="00B3216F">
        <w:rPr>
          <w:rFonts w:ascii="Cambria" w:hAnsi="Cambria"/>
          <w:sz w:val="22"/>
          <w:szCs w:val="22"/>
        </w:rPr>
        <w:t xml:space="preserve">, </w:t>
      </w:r>
      <w:r w:rsidRPr="009F552A">
        <w:rPr>
          <w:rFonts w:ascii="Cambria" w:hAnsi="Cambria"/>
          <w:sz w:val="22"/>
          <w:szCs w:val="22"/>
        </w:rPr>
        <w:t xml:space="preserve">the APP </w:t>
      </w:r>
      <w:r w:rsidR="00CF1A90">
        <w:rPr>
          <w:rFonts w:ascii="Cambria" w:hAnsi="Cambria"/>
          <w:sz w:val="22"/>
          <w:szCs w:val="22"/>
        </w:rPr>
        <w:t xml:space="preserve">and implementing </w:t>
      </w:r>
      <w:r w:rsidRPr="009F552A">
        <w:rPr>
          <w:rFonts w:ascii="Cambria" w:hAnsi="Cambria"/>
          <w:sz w:val="22"/>
          <w:szCs w:val="22"/>
        </w:rPr>
        <w:t>partners made sure that I</w:t>
      </w:r>
      <w:r w:rsidR="008D49F9">
        <w:rPr>
          <w:rFonts w:ascii="Cambria" w:hAnsi="Cambria"/>
          <w:sz w:val="22"/>
          <w:szCs w:val="22"/>
        </w:rPr>
        <w:t>P</w:t>
      </w:r>
      <w:r w:rsidRPr="009F552A">
        <w:rPr>
          <w:rFonts w:ascii="Cambria" w:hAnsi="Cambria"/>
          <w:sz w:val="22"/>
          <w:szCs w:val="22"/>
        </w:rPr>
        <w:t xml:space="preserve"> forums are held and I</w:t>
      </w:r>
      <w:r w:rsidR="008D49F9">
        <w:rPr>
          <w:rFonts w:ascii="Cambria" w:hAnsi="Cambria"/>
          <w:sz w:val="22"/>
          <w:szCs w:val="22"/>
        </w:rPr>
        <w:t>Ps</w:t>
      </w:r>
      <w:r w:rsidRPr="009F552A">
        <w:rPr>
          <w:rFonts w:ascii="Cambria" w:hAnsi="Cambria"/>
          <w:sz w:val="22"/>
          <w:szCs w:val="22"/>
        </w:rPr>
        <w:t xml:space="preserve"> are invited in various forums that they sponsored and organized to discuss how the BARMM government can respond to the varying needs of the IP communities within the Bangsamoro region.   </w:t>
      </w:r>
      <w:r w:rsidR="00B3216F">
        <w:rPr>
          <w:rFonts w:ascii="Cambria" w:hAnsi="Cambria"/>
          <w:sz w:val="22"/>
          <w:szCs w:val="22"/>
        </w:rPr>
        <w:t>Effort will be required to ensure that IP inclusion</w:t>
      </w:r>
      <w:r w:rsidR="00FE2977">
        <w:rPr>
          <w:rFonts w:ascii="Cambria" w:hAnsi="Cambria"/>
          <w:sz w:val="22"/>
          <w:szCs w:val="22"/>
        </w:rPr>
        <w:t>—as well as the inclusion of other vulnerable sectors, including orphans, widows, and internally-displaced persons</w:t>
      </w:r>
      <w:r w:rsidR="008E7989">
        <w:rPr>
          <w:rFonts w:ascii="Cambria" w:hAnsi="Cambria"/>
          <w:sz w:val="22"/>
          <w:szCs w:val="22"/>
        </w:rPr>
        <w:t>–</w:t>
      </w:r>
      <w:r w:rsidR="00B3216F">
        <w:rPr>
          <w:rFonts w:ascii="Cambria" w:hAnsi="Cambria"/>
          <w:sz w:val="22"/>
          <w:szCs w:val="22"/>
        </w:rPr>
        <w:t xml:space="preserve">goes beyond checklist representation and into substantial and substantive participation. </w:t>
      </w:r>
    </w:p>
    <w:p w14:paraId="7C0F5F8C" w14:textId="77777777" w:rsidR="00952156" w:rsidRPr="00F11FA7" w:rsidRDefault="00952156" w:rsidP="003714E0">
      <w:pPr>
        <w:rPr>
          <w:rFonts w:asciiTheme="minorHAnsi" w:hAnsiTheme="minorHAnsi"/>
          <w:b/>
          <w:sz w:val="22"/>
          <w:szCs w:val="22"/>
        </w:rPr>
      </w:pPr>
    </w:p>
    <w:p w14:paraId="34A5FA39" w14:textId="222FB2CE" w:rsidR="00405069" w:rsidRPr="00D058C1" w:rsidRDefault="00405069" w:rsidP="00405069">
      <w:pPr>
        <w:jc w:val="both"/>
      </w:pPr>
      <w:r w:rsidRPr="00405069">
        <w:rPr>
          <w:rFonts w:ascii="Cambria" w:hAnsi="Cambria"/>
          <w:sz w:val="22"/>
          <w:szCs w:val="22"/>
        </w:rPr>
        <w:t>Although not explicitly included in the Australian DFAT portfolio design for Mindanao, early-stage initiatives that acknowledge the link between climate change adaptation and disaster risk reduction and management (CCA/DRRM) and armed conflict were implemented by UNDP, International Alert, and TAF.</w:t>
      </w:r>
      <w:r w:rsidR="00E52196">
        <w:rPr>
          <w:rFonts w:ascii="Cambria" w:hAnsi="Cambria"/>
          <w:sz w:val="22"/>
          <w:szCs w:val="22"/>
        </w:rPr>
        <w:t xml:space="preserve"> This will be important given the multiple levels of vulnerabilities exposed by the ongoing pandemic. </w:t>
      </w:r>
    </w:p>
    <w:p w14:paraId="3817E5EC" w14:textId="77777777" w:rsidR="00FB462D" w:rsidRDefault="00FB462D" w:rsidP="003714E0">
      <w:pPr>
        <w:rPr>
          <w:rFonts w:asciiTheme="minorHAnsi" w:hAnsiTheme="minorHAnsi"/>
          <w:b/>
          <w:sz w:val="22"/>
          <w:szCs w:val="22"/>
        </w:rPr>
      </w:pPr>
    </w:p>
    <w:p w14:paraId="49D0483A" w14:textId="0078DF37" w:rsidR="00952156" w:rsidRPr="00F11FA7" w:rsidRDefault="00952156" w:rsidP="003714E0">
      <w:pPr>
        <w:rPr>
          <w:rFonts w:asciiTheme="minorHAnsi" w:hAnsiTheme="minorHAnsi"/>
          <w:sz w:val="22"/>
          <w:szCs w:val="22"/>
        </w:rPr>
      </w:pPr>
      <w:r w:rsidRPr="00F11FA7">
        <w:rPr>
          <w:rFonts w:asciiTheme="minorHAnsi" w:hAnsiTheme="minorHAnsi"/>
          <w:b/>
          <w:sz w:val="22"/>
          <w:szCs w:val="22"/>
        </w:rPr>
        <w:t>Recommendations:</w:t>
      </w:r>
    </w:p>
    <w:p w14:paraId="1C0E9CFF" w14:textId="77777777" w:rsidR="00966B06" w:rsidRPr="00F11FA7" w:rsidRDefault="00966B06" w:rsidP="003714E0">
      <w:pPr>
        <w:rPr>
          <w:rFonts w:asciiTheme="minorHAnsi" w:hAnsiTheme="minorHAnsi"/>
          <w:sz w:val="22"/>
          <w:szCs w:val="22"/>
        </w:rPr>
      </w:pPr>
    </w:p>
    <w:p w14:paraId="693BD4EB" w14:textId="01157B14" w:rsidR="00966B06" w:rsidRPr="00F11FA7" w:rsidRDefault="00B830F6" w:rsidP="003714E0">
      <w:pPr>
        <w:rPr>
          <w:rFonts w:asciiTheme="minorHAnsi" w:hAnsiTheme="minorHAnsi"/>
          <w:b/>
          <w:sz w:val="22"/>
          <w:szCs w:val="22"/>
        </w:rPr>
      </w:pPr>
      <w:r w:rsidRPr="00047BA2">
        <w:rPr>
          <w:rFonts w:asciiTheme="minorHAnsi" w:hAnsiTheme="minorHAnsi"/>
          <w:b/>
          <w:sz w:val="22"/>
          <w:szCs w:val="22"/>
        </w:rPr>
        <w:t>Working better together to sustain peace:</w:t>
      </w:r>
    </w:p>
    <w:p w14:paraId="16796B7C" w14:textId="77777777" w:rsidR="00B830F6" w:rsidRPr="00F11FA7" w:rsidRDefault="00B830F6" w:rsidP="003714E0">
      <w:pPr>
        <w:rPr>
          <w:rFonts w:asciiTheme="minorHAnsi" w:hAnsiTheme="minorHAnsi"/>
          <w:sz w:val="22"/>
          <w:szCs w:val="22"/>
        </w:rPr>
      </w:pPr>
    </w:p>
    <w:p w14:paraId="473CB8F1" w14:textId="5774E5E0" w:rsidR="00966B06" w:rsidRPr="001F6828" w:rsidRDefault="00966B06" w:rsidP="001F6828">
      <w:pPr>
        <w:pStyle w:val="ListParagraph"/>
        <w:numPr>
          <w:ilvl w:val="0"/>
          <w:numId w:val="96"/>
        </w:numPr>
        <w:rPr>
          <w:rFonts w:asciiTheme="minorHAnsi" w:hAnsiTheme="minorHAnsi"/>
          <w:sz w:val="22"/>
          <w:szCs w:val="22"/>
        </w:rPr>
      </w:pPr>
      <w:r w:rsidRPr="001F6828">
        <w:rPr>
          <w:rFonts w:asciiTheme="minorHAnsi" w:hAnsiTheme="minorHAnsi"/>
          <w:bCs/>
          <w:sz w:val="22"/>
          <w:szCs w:val="22"/>
        </w:rPr>
        <w:t>Strengthen coordination among APP, WB</w:t>
      </w:r>
      <w:r w:rsidR="00770CDC">
        <w:rPr>
          <w:rFonts w:asciiTheme="minorHAnsi" w:hAnsiTheme="minorHAnsi"/>
          <w:bCs/>
          <w:sz w:val="22"/>
          <w:szCs w:val="22"/>
        </w:rPr>
        <w:t xml:space="preserve">, </w:t>
      </w:r>
      <w:r w:rsidRPr="001F6828">
        <w:rPr>
          <w:rFonts w:asciiTheme="minorHAnsi" w:hAnsiTheme="minorHAnsi"/>
          <w:bCs/>
          <w:sz w:val="22"/>
          <w:szCs w:val="22"/>
        </w:rPr>
        <w:t>UNDP</w:t>
      </w:r>
      <w:r w:rsidR="00770CDC">
        <w:rPr>
          <w:rFonts w:asciiTheme="minorHAnsi" w:hAnsiTheme="minorHAnsi"/>
          <w:bCs/>
          <w:sz w:val="22"/>
          <w:szCs w:val="22"/>
        </w:rPr>
        <w:t xml:space="preserve">, and </w:t>
      </w:r>
      <w:r w:rsidR="00770CDC" w:rsidRPr="00C356D6">
        <w:rPr>
          <w:rFonts w:asciiTheme="minorHAnsi" w:eastAsiaTheme="minorEastAsia" w:hAnsiTheme="minorHAnsi" w:cs="AppleSystemUIFont"/>
          <w:sz w:val="22"/>
          <w:szCs w:val="22"/>
          <w:lang w:val="en-GB" w:eastAsia="en-US"/>
        </w:rPr>
        <w:t xml:space="preserve">Flexible Peace and Stability Fund </w:t>
      </w:r>
      <w:r w:rsidR="00770CDC">
        <w:rPr>
          <w:rFonts w:asciiTheme="minorHAnsi" w:eastAsiaTheme="minorEastAsia" w:hAnsiTheme="minorHAnsi" w:cs="AppleSystemUIFont"/>
          <w:sz w:val="22"/>
          <w:szCs w:val="22"/>
          <w:lang w:val="en-GB" w:eastAsia="en-US"/>
        </w:rPr>
        <w:t xml:space="preserve">partners </w:t>
      </w:r>
      <w:r w:rsidRPr="001F6828">
        <w:rPr>
          <w:rFonts w:asciiTheme="minorHAnsi" w:hAnsiTheme="minorHAnsi"/>
          <w:bCs/>
          <w:sz w:val="22"/>
          <w:szCs w:val="22"/>
        </w:rPr>
        <w:t>and across the Australian Mindanao program</w:t>
      </w:r>
      <w:r w:rsidR="00770CDC">
        <w:rPr>
          <w:rFonts w:asciiTheme="minorHAnsi" w:hAnsiTheme="minorHAnsi"/>
          <w:bCs/>
          <w:sz w:val="22"/>
          <w:szCs w:val="22"/>
        </w:rPr>
        <w:t>.</w:t>
      </w:r>
    </w:p>
    <w:p w14:paraId="7E66B1B3" w14:textId="77777777" w:rsidR="00966B06" w:rsidRPr="00F11FA7" w:rsidRDefault="00966B06" w:rsidP="003714E0">
      <w:pPr>
        <w:rPr>
          <w:rFonts w:asciiTheme="minorHAnsi" w:hAnsiTheme="minorHAnsi"/>
          <w:sz w:val="22"/>
          <w:szCs w:val="22"/>
        </w:rPr>
      </w:pPr>
    </w:p>
    <w:p w14:paraId="508699FA" w14:textId="3AA3AE7F" w:rsidR="00966B06" w:rsidRPr="001F6828" w:rsidRDefault="00966B06" w:rsidP="001F6828">
      <w:pPr>
        <w:pStyle w:val="ListParagraph"/>
        <w:numPr>
          <w:ilvl w:val="0"/>
          <w:numId w:val="96"/>
        </w:numPr>
        <w:rPr>
          <w:rFonts w:asciiTheme="minorHAnsi" w:hAnsiTheme="minorHAnsi"/>
          <w:sz w:val="22"/>
          <w:szCs w:val="22"/>
        </w:rPr>
      </w:pPr>
      <w:r w:rsidRPr="001F6828">
        <w:rPr>
          <w:rFonts w:asciiTheme="minorHAnsi" w:hAnsiTheme="minorHAnsi"/>
          <w:bCs/>
          <w:sz w:val="22"/>
          <w:szCs w:val="22"/>
        </w:rPr>
        <w:t>Assist in improving coordination amongst donors, national, regional and local governments involved in the peace process</w:t>
      </w:r>
      <w:r w:rsidR="002C2AF5">
        <w:rPr>
          <w:rFonts w:asciiTheme="minorHAnsi" w:hAnsiTheme="minorHAnsi"/>
          <w:bCs/>
          <w:sz w:val="22"/>
          <w:szCs w:val="22"/>
        </w:rPr>
        <w:t xml:space="preserve"> to support BARMM operations</w:t>
      </w:r>
      <w:r w:rsidR="00751F3D">
        <w:rPr>
          <w:rFonts w:asciiTheme="minorHAnsi" w:hAnsiTheme="minorHAnsi"/>
          <w:bCs/>
          <w:sz w:val="22"/>
          <w:szCs w:val="22"/>
        </w:rPr>
        <w:t xml:space="preserve">, </w:t>
      </w:r>
      <w:r w:rsidR="002C2AF5">
        <w:rPr>
          <w:rFonts w:asciiTheme="minorHAnsi" w:hAnsiTheme="minorHAnsi"/>
          <w:bCs/>
          <w:sz w:val="22"/>
          <w:szCs w:val="22"/>
        </w:rPr>
        <w:t>the full implementation of the CAB</w:t>
      </w:r>
      <w:r w:rsidR="00751F3D">
        <w:rPr>
          <w:rFonts w:asciiTheme="minorHAnsi" w:hAnsiTheme="minorHAnsi"/>
          <w:bCs/>
          <w:sz w:val="22"/>
          <w:szCs w:val="22"/>
        </w:rPr>
        <w:t>, and the rehabilitation and reconstruction of Marawi City.</w:t>
      </w:r>
    </w:p>
    <w:p w14:paraId="7EC0F162" w14:textId="77777777" w:rsidR="008E7989" w:rsidRDefault="008E7989" w:rsidP="00A928D6">
      <w:pPr>
        <w:pStyle w:val="ListParagraph"/>
        <w:rPr>
          <w:rFonts w:asciiTheme="minorHAnsi" w:hAnsiTheme="minorHAnsi"/>
          <w:sz w:val="22"/>
          <w:szCs w:val="22"/>
        </w:rPr>
      </w:pPr>
    </w:p>
    <w:p w14:paraId="7AC7D4D7" w14:textId="77777777" w:rsidR="00966B06" w:rsidRPr="00F11FA7" w:rsidRDefault="00966B06" w:rsidP="003714E0">
      <w:pPr>
        <w:rPr>
          <w:rFonts w:asciiTheme="minorHAnsi" w:hAnsiTheme="minorHAnsi"/>
          <w:sz w:val="22"/>
          <w:szCs w:val="22"/>
        </w:rPr>
      </w:pPr>
    </w:p>
    <w:p w14:paraId="2E3DA9B5" w14:textId="469C6EA2" w:rsidR="00966B06" w:rsidRPr="001F6828" w:rsidRDefault="00966B06" w:rsidP="001F6828">
      <w:pPr>
        <w:pStyle w:val="ListParagraph"/>
        <w:numPr>
          <w:ilvl w:val="0"/>
          <w:numId w:val="96"/>
        </w:numPr>
        <w:rPr>
          <w:rFonts w:asciiTheme="minorHAnsi" w:hAnsiTheme="minorHAnsi"/>
          <w:sz w:val="22"/>
          <w:szCs w:val="22"/>
        </w:rPr>
      </w:pPr>
      <w:r w:rsidRPr="001F6828">
        <w:rPr>
          <w:rFonts w:asciiTheme="minorHAnsi" w:hAnsiTheme="minorHAnsi"/>
          <w:bCs/>
          <w:sz w:val="22"/>
          <w:szCs w:val="22"/>
        </w:rPr>
        <w:t>Strengthen gender sensitive plan and install PWD sensitivity plan</w:t>
      </w:r>
      <w:r w:rsidR="000824CB">
        <w:rPr>
          <w:rFonts w:asciiTheme="minorHAnsi" w:hAnsiTheme="minorHAnsi"/>
          <w:bCs/>
          <w:sz w:val="22"/>
          <w:szCs w:val="22"/>
        </w:rPr>
        <w:t>s</w:t>
      </w:r>
      <w:r w:rsidRPr="001F6828">
        <w:rPr>
          <w:rFonts w:asciiTheme="minorHAnsi" w:hAnsiTheme="minorHAnsi"/>
          <w:bCs/>
          <w:sz w:val="22"/>
          <w:szCs w:val="22"/>
        </w:rPr>
        <w:t xml:space="preserve"> in the work program of APP</w:t>
      </w:r>
      <w:r w:rsidR="00165520" w:rsidRPr="001F6828">
        <w:rPr>
          <w:rFonts w:asciiTheme="minorHAnsi" w:hAnsiTheme="minorHAnsi"/>
          <w:bCs/>
          <w:sz w:val="22"/>
          <w:szCs w:val="22"/>
        </w:rPr>
        <w:t xml:space="preserve"> and implementing</w:t>
      </w:r>
      <w:r w:rsidRPr="001F6828">
        <w:rPr>
          <w:rFonts w:asciiTheme="minorHAnsi" w:hAnsiTheme="minorHAnsi"/>
          <w:bCs/>
          <w:sz w:val="22"/>
          <w:szCs w:val="22"/>
        </w:rPr>
        <w:t xml:space="preserve"> partners</w:t>
      </w:r>
      <w:r w:rsidR="00770CDC">
        <w:rPr>
          <w:rFonts w:asciiTheme="minorHAnsi" w:hAnsiTheme="minorHAnsi"/>
          <w:bCs/>
          <w:sz w:val="22"/>
          <w:szCs w:val="22"/>
        </w:rPr>
        <w:t xml:space="preserve">, </w:t>
      </w:r>
      <w:r w:rsidRPr="001F6828">
        <w:rPr>
          <w:rFonts w:asciiTheme="minorHAnsi" w:hAnsiTheme="minorHAnsi"/>
          <w:sz w:val="22"/>
          <w:szCs w:val="22"/>
        </w:rPr>
        <w:t xml:space="preserve">including </w:t>
      </w:r>
      <w:r w:rsidR="00770CDC">
        <w:rPr>
          <w:rFonts w:asciiTheme="minorHAnsi" w:hAnsiTheme="minorHAnsi"/>
          <w:sz w:val="22"/>
          <w:szCs w:val="22"/>
        </w:rPr>
        <w:t>support to</w:t>
      </w:r>
      <w:r w:rsidR="000824CB">
        <w:rPr>
          <w:rFonts w:asciiTheme="minorHAnsi" w:hAnsiTheme="minorHAnsi"/>
          <w:sz w:val="22"/>
          <w:szCs w:val="22"/>
        </w:rPr>
        <w:t xml:space="preserve"> meaningful implementation of</w:t>
      </w:r>
      <w:r w:rsidR="00770CDC">
        <w:rPr>
          <w:rFonts w:asciiTheme="minorHAnsi" w:hAnsiTheme="minorHAnsi"/>
          <w:sz w:val="22"/>
          <w:szCs w:val="22"/>
        </w:rPr>
        <w:t xml:space="preserve"> the National Action Plan on </w:t>
      </w:r>
      <w:r w:rsidRPr="001F6828">
        <w:rPr>
          <w:rFonts w:asciiTheme="minorHAnsi" w:hAnsiTheme="minorHAnsi"/>
          <w:sz w:val="22"/>
          <w:szCs w:val="22"/>
        </w:rPr>
        <w:t>Women</w:t>
      </w:r>
      <w:r w:rsidR="00770CDC">
        <w:rPr>
          <w:rFonts w:asciiTheme="minorHAnsi" w:hAnsiTheme="minorHAnsi"/>
          <w:sz w:val="22"/>
          <w:szCs w:val="22"/>
        </w:rPr>
        <w:t xml:space="preserve">, </w:t>
      </w:r>
      <w:r w:rsidRPr="001F6828">
        <w:rPr>
          <w:rFonts w:asciiTheme="minorHAnsi" w:hAnsiTheme="minorHAnsi"/>
          <w:sz w:val="22"/>
          <w:szCs w:val="22"/>
        </w:rPr>
        <w:t>Peace and Security</w:t>
      </w:r>
      <w:r w:rsidR="00770CDC">
        <w:rPr>
          <w:rFonts w:asciiTheme="minorHAnsi" w:hAnsiTheme="minorHAnsi"/>
          <w:sz w:val="22"/>
          <w:szCs w:val="22"/>
        </w:rPr>
        <w:t xml:space="preserve">. </w:t>
      </w:r>
    </w:p>
    <w:p w14:paraId="4AF9316A" w14:textId="77777777" w:rsidR="008E7989" w:rsidRDefault="008E7989" w:rsidP="00A928D6">
      <w:pPr>
        <w:pStyle w:val="ListParagraph"/>
        <w:rPr>
          <w:rFonts w:asciiTheme="minorHAnsi" w:hAnsiTheme="minorHAnsi"/>
          <w:sz w:val="22"/>
          <w:szCs w:val="22"/>
        </w:rPr>
      </w:pPr>
    </w:p>
    <w:p w14:paraId="41796842" w14:textId="77777777" w:rsidR="00966B06" w:rsidRPr="00F11FA7" w:rsidRDefault="00966B06" w:rsidP="003714E0">
      <w:pPr>
        <w:rPr>
          <w:rFonts w:asciiTheme="minorHAnsi" w:hAnsiTheme="minorHAnsi"/>
          <w:sz w:val="22"/>
          <w:szCs w:val="22"/>
        </w:rPr>
      </w:pPr>
    </w:p>
    <w:p w14:paraId="7493FF32" w14:textId="2354DAC9" w:rsidR="00966B06" w:rsidRPr="001F6828" w:rsidRDefault="00D86E2F" w:rsidP="001F6828">
      <w:pPr>
        <w:pStyle w:val="ListParagraph"/>
        <w:numPr>
          <w:ilvl w:val="0"/>
          <w:numId w:val="96"/>
        </w:numPr>
        <w:rPr>
          <w:rFonts w:asciiTheme="minorHAnsi" w:hAnsiTheme="minorHAnsi"/>
          <w:sz w:val="22"/>
          <w:szCs w:val="22"/>
        </w:rPr>
      </w:pPr>
      <w:r w:rsidRPr="001F6828">
        <w:rPr>
          <w:rFonts w:asciiTheme="minorHAnsi" w:hAnsiTheme="minorHAnsi"/>
          <w:bCs/>
          <w:sz w:val="22"/>
          <w:szCs w:val="22"/>
        </w:rPr>
        <w:t xml:space="preserve">Develop a framework for P/CVE activities of APP </w:t>
      </w:r>
      <w:r w:rsidR="00CF1A90" w:rsidRPr="001F6828">
        <w:rPr>
          <w:rFonts w:asciiTheme="minorHAnsi" w:hAnsiTheme="minorHAnsi"/>
          <w:bCs/>
          <w:sz w:val="22"/>
          <w:szCs w:val="22"/>
        </w:rPr>
        <w:t xml:space="preserve">and implementing </w:t>
      </w:r>
      <w:r w:rsidRPr="001F6828">
        <w:rPr>
          <w:rFonts w:asciiTheme="minorHAnsi" w:hAnsiTheme="minorHAnsi"/>
          <w:bCs/>
          <w:sz w:val="22"/>
          <w:szCs w:val="22"/>
        </w:rPr>
        <w:t>partners and link it with the larger efforts on this concern</w:t>
      </w:r>
      <w:r w:rsidR="00770CDC">
        <w:rPr>
          <w:rFonts w:asciiTheme="minorHAnsi" w:hAnsiTheme="minorHAnsi"/>
          <w:bCs/>
          <w:sz w:val="22"/>
          <w:szCs w:val="22"/>
        </w:rPr>
        <w:t xml:space="preserve">, aligned with </w:t>
      </w:r>
      <w:r w:rsidR="008B082B">
        <w:rPr>
          <w:rFonts w:asciiTheme="minorHAnsi" w:hAnsiTheme="minorHAnsi"/>
          <w:bCs/>
          <w:sz w:val="22"/>
          <w:szCs w:val="22"/>
        </w:rPr>
        <w:t xml:space="preserve">the </w:t>
      </w:r>
      <w:r w:rsidR="00770CDC">
        <w:rPr>
          <w:rFonts w:asciiTheme="minorHAnsi" w:hAnsiTheme="minorHAnsi"/>
          <w:bCs/>
          <w:sz w:val="22"/>
          <w:szCs w:val="22"/>
        </w:rPr>
        <w:t>National Action Plan on</w:t>
      </w:r>
      <w:r w:rsidR="00770CDC">
        <w:rPr>
          <w:rFonts w:asciiTheme="minorHAnsi" w:hAnsiTheme="minorHAnsi"/>
          <w:sz w:val="22"/>
          <w:szCs w:val="22"/>
        </w:rPr>
        <w:t xml:space="preserve"> P/CVE.</w:t>
      </w:r>
      <w:r w:rsidR="00F905B6">
        <w:rPr>
          <w:rFonts w:asciiTheme="minorHAnsi" w:hAnsiTheme="minorHAnsi"/>
          <w:sz w:val="22"/>
          <w:szCs w:val="22"/>
        </w:rPr>
        <w:t xml:space="preserve"> This will support cohesion while retaining flexibility for programming through the FPSF and adjustments with the APP and multilateral portfolio.</w:t>
      </w:r>
    </w:p>
    <w:p w14:paraId="105D8D77" w14:textId="77777777" w:rsidR="00D86E2F" w:rsidRPr="00F11FA7" w:rsidRDefault="00D86E2F" w:rsidP="003714E0">
      <w:pPr>
        <w:rPr>
          <w:rFonts w:asciiTheme="minorHAnsi" w:hAnsiTheme="minorHAnsi"/>
          <w:sz w:val="22"/>
          <w:szCs w:val="22"/>
        </w:rPr>
      </w:pPr>
    </w:p>
    <w:p w14:paraId="00A0047C" w14:textId="7365BD17" w:rsidR="00D86E2F" w:rsidRPr="001F6828" w:rsidRDefault="00D86E2F" w:rsidP="001F6828">
      <w:pPr>
        <w:pStyle w:val="ListParagraph"/>
        <w:numPr>
          <w:ilvl w:val="0"/>
          <w:numId w:val="96"/>
        </w:numPr>
        <w:rPr>
          <w:rFonts w:asciiTheme="minorHAnsi" w:hAnsiTheme="minorHAnsi"/>
          <w:sz w:val="22"/>
          <w:szCs w:val="22"/>
        </w:rPr>
      </w:pPr>
      <w:r w:rsidRPr="001F6828">
        <w:rPr>
          <w:rFonts w:asciiTheme="minorHAnsi" w:hAnsiTheme="minorHAnsi"/>
          <w:bCs/>
          <w:sz w:val="22"/>
          <w:szCs w:val="22"/>
        </w:rPr>
        <w:t>Assist in strengthening voices of CSOs, I</w:t>
      </w:r>
      <w:r w:rsidR="008D49F9">
        <w:rPr>
          <w:rFonts w:asciiTheme="minorHAnsi" w:hAnsiTheme="minorHAnsi"/>
          <w:bCs/>
          <w:sz w:val="22"/>
          <w:szCs w:val="22"/>
        </w:rPr>
        <w:t>P</w:t>
      </w:r>
      <w:r w:rsidRPr="001F6828">
        <w:rPr>
          <w:rFonts w:asciiTheme="minorHAnsi" w:hAnsiTheme="minorHAnsi"/>
          <w:bCs/>
          <w:sz w:val="22"/>
          <w:szCs w:val="22"/>
        </w:rPr>
        <w:t>s</w:t>
      </w:r>
      <w:r w:rsidR="00770CDC">
        <w:rPr>
          <w:rFonts w:asciiTheme="minorHAnsi" w:hAnsiTheme="minorHAnsi"/>
          <w:bCs/>
          <w:sz w:val="22"/>
          <w:szCs w:val="22"/>
        </w:rPr>
        <w:t>,</w:t>
      </w:r>
      <w:r w:rsidRPr="001F6828">
        <w:rPr>
          <w:rFonts w:asciiTheme="minorHAnsi" w:hAnsiTheme="minorHAnsi"/>
          <w:bCs/>
          <w:sz w:val="22"/>
          <w:szCs w:val="22"/>
        </w:rPr>
        <w:t xml:space="preserve"> </w:t>
      </w:r>
      <w:proofErr w:type="gramStart"/>
      <w:r w:rsidR="00770CDC">
        <w:rPr>
          <w:rFonts w:asciiTheme="minorHAnsi" w:hAnsiTheme="minorHAnsi"/>
          <w:bCs/>
          <w:sz w:val="22"/>
          <w:szCs w:val="22"/>
        </w:rPr>
        <w:t>internally-displaced</w:t>
      </w:r>
      <w:proofErr w:type="gramEnd"/>
      <w:r w:rsidR="00770CDC">
        <w:rPr>
          <w:rFonts w:asciiTheme="minorHAnsi" w:hAnsiTheme="minorHAnsi"/>
          <w:bCs/>
          <w:sz w:val="22"/>
          <w:szCs w:val="22"/>
        </w:rPr>
        <w:t xml:space="preserve"> persons,</w:t>
      </w:r>
      <w:r w:rsidR="00C657BF">
        <w:rPr>
          <w:rFonts w:asciiTheme="minorHAnsi" w:hAnsiTheme="minorHAnsi"/>
          <w:bCs/>
          <w:sz w:val="22"/>
          <w:szCs w:val="22"/>
        </w:rPr>
        <w:t xml:space="preserve"> orphans, widows,</w:t>
      </w:r>
      <w:r w:rsidR="00770CDC">
        <w:rPr>
          <w:rFonts w:asciiTheme="minorHAnsi" w:hAnsiTheme="minorHAnsi"/>
          <w:bCs/>
          <w:sz w:val="22"/>
          <w:szCs w:val="22"/>
        </w:rPr>
        <w:t xml:space="preserve"> </w:t>
      </w:r>
      <w:r w:rsidRPr="001F6828">
        <w:rPr>
          <w:rFonts w:asciiTheme="minorHAnsi" w:hAnsiTheme="minorHAnsi"/>
          <w:bCs/>
          <w:sz w:val="22"/>
          <w:szCs w:val="22"/>
        </w:rPr>
        <w:t>and other marginalized sector</w:t>
      </w:r>
      <w:r w:rsidR="00770CDC">
        <w:rPr>
          <w:rFonts w:asciiTheme="minorHAnsi" w:hAnsiTheme="minorHAnsi"/>
          <w:bCs/>
          <w:sz w:val="22"/>
          <w:szCs w:val="22"/>
        </w:rPr>
        <w:t>s</w:t>
      </w:r>
      <w:r w:rsidRPr="001F6828">
        <w:rPr>
          <w:rFonts w:asciiTheme="minorHAnsi" w:hAnsiTheme="minorHAnsi"/>
          <w:bCs/>
          <w:sz w:val="22"/>
          <w:szCs w:val="22"/>
        </w:rPr>
        <w:t xml:space="preserve"> in policy formulation and decision making within BARMM</w:t>
      </w:r>
      <w:r w:rsidR="002A375E">
        <w:rPr>
          <w:rFonts w:asciiTheme="minorHAnsi" w:hAnsiTheme="minorHAnsi"/>
          <w:bCs/>
          <w:sz w:val="22"/>
          <w:szCs w:val="22"/>
        </w:rPr>
        <w:t>, including focused efforts to help prevent or manage communal and resource-based conflicts</w:t>
      </w:r>
      <w:r w:rsidR="00770CDC">
        <w:rPr>
          <w:rFonts w:asciiTheme="minorHAnsi" w:hAnsiTheme="minorHAnsi"/>
          <w:bCs/>
          <w:sz w:val="22"/>
          <w:szCs w:val="22"/>
        </w:rPr>
        <w:t>.</w:t>
      </w:r>
    </w:p>
    <w:p w14:paraId="01D244FF" w14:textId="77777777" w:rsidR="008E7989" w:rsidRDefault="008E7989" w:rsidP="008E7989">
      <w:pPr>
        <w:pStyle w:val="ListParagraph"/>
        <w:rPr>
          <w:rFonts w:asciiTheme="minorHAnsi" w:hAnsiTheme="minorHAnsi"/>
          <w:sz w:val="22"/>
          <w:szCs w:val="22"/>
        </w:rPr>
      </w:pPr>
    </w:p>
    <w:p w14:paraId="377315F7" w14:textId="2E9ED2A6" w:rsidR="001F6828" w:rsidRPr="00A928D6" w:rsidRDefault="001F6828" w:rsidP="00A928D6">
      <w:pPr>
        <w:rPr>
          <w:rFonts w:asciiTheme="minorHAnsi" w:hAnsiTheme="minorHAnsi"/>
          <w:sz w:val="22"/>
          <w:szCs w:val="22"/>
        </w:rPr>
      </w:pPr>
    </w:p>
    <w:p w14:paraId="4F64FFC5" w14:textId="551E640C" w:rsidR="001F6828" w:rsidRPr="001F6828" w:rsidRDefault="001F6828" w:rsidP="001F6828">
      <w:pPr>
        <w:rPr>
          <w:rFonts w:asciiTheme="minorHAnsi" w:hAnsiTheme="minorHAnsi"/>
          <w:sz w:val="22"/>
          <w:szCs w:val="22"/>
        </w:rPr>
      </w:pPr>
      <w:r w:rsidRPr="00047BA2">
        <w:rPr>
          <w:rFonts w:asciiTheme="minorHAnsi" w:hAnsiTheme="minorHAnsi"/>
          <w:b/>
          <w:sz w:val="22"/>
          <w:szCs w:val="22"/>
        </w:rPr>
        <w:t>Building Stronger Institutions and the Peace Dividend</w:t>
      </w:r>
    </w:p>
    <w:p w14:paraId="00D45347" w14:textId="77777777" w:rsidR="00D86E2F" w:rsidRPr="00F11FA7" w:rsidRDefault="00D86E2F" w:rsidP="00F11FA7">
      <w:pPr>
        <w:pStyle w:val="ListParagraph"/>
        <w:rPr>
          <w:rFonts w:asciiTheme="minorHAnsi" w:hAnsiTheme="minorHAnsi"/>
          <w:sz w:val="22"/>
          <w:szCs w:val="22"/>
        </w:rPr>
      </w:pPr>
    </w:p>
    <w:p w14:paraId="7B8C33C3" w14:textId="60F5E8D8" w:rsidR="00D86E2F" w:rsidRPr="00F11FA7" w:rsidRDefault="00D86E2F" w:rsidP="00F11FA7">
      <w:pPr>
        <w:pStyle w:val="ListParagraph"/>
        <w:numPr>
          <w:ilvl w:val="0"/>
          <w:numId w:val="93"/>
        </w:numPr>
        <w:rPr>
          <w:rFonts w:asciiTheme="minorHAnsi" w:hAnsiTheme="minorHAnsi"/>
          <w:sz w:val="22"/>
          <w:szCs w:val="22"/>
        </w:rPr>
      </w:pPr>
      <w:r w:rsidRPr="00F11FA7">
        <w:rPr>
          <w:rFonts w:asciiTheme="minorHAnsi" w:hAnsiTheme="minorHAnsi"/>
          <w:bCs/>
          <w:sz w:val="22"/>
          <w:szCs w:val="22"/>
        </w:rPr>
        <w:t xml:space="preserve">Formulate a Mindanao Strategy for DFAT </w:t>
      </w:r>
      <w:r w:rsidR="00F11FA7">
        <w:rPr>
          <w:rFonts w:asciiTheme="minorHAnsi" w:hAnsiTheme="minorHAnsi"/>
          <w:bCs/>
          <w:sz w:val="22"/>
          <w:szCs w:val="22"/>
        </w:rPr>
        <w:t xml:space="preserve">Manila </w:t>
      </w:r>
      <w:r w:rsidRPr="00F11FA7">
        <w:rPr>
          <w:rFonts w:asciiTheme="minorHAnsi" w:hAnsiTheme="minorHAnsi"/>
          <w:bCs/>
          <w:sz w:val="22"/>
          <w:szCs w:val="22"/>
        </w:rPr>
        <w:t>engagement across programs</w:t>
      </w:r>
      <w:r w:rsidRPr="002B2E5C">
        <w:rPr>
          <w:rFonts w:asciiTheme="minorHAnsi" w:hAnsiTheme="minorHAnsi"/>
          <w:sz w:val="22"/>
          <w:szCs w:val="22"/>
        </w:rPr>
        <w:t xml:space="preserve"> </w:t>
      </w:r>
      <w:r w:rsidRPr="00F11FA7">
        <w:rPr>
          <w:rFonts w:asciiTheme="minorHAnsi" w:hAnsiTheme="minorHAnsi"/>
          <w:bCs/>
          <w:sz w:val="22"/>
          <w:szCs w:val="22"/>
        </w:rPr>
        <w:t>and recruitment of a Local Peace and Development Adviser</w:t>
      </w:r>
      <w:r w:rsidR="00770CDC">
        <w:rPr>
          <w:rFonts w:asciiTheme="minorHAnsi" w:hAnsiTheme="minorHAnsi"/>
          <w:bCs/>
          <w:sz w:val="22"/>
          <w:szCs w:val="22"/>
        </w:rPr>
        <w:t>.</w:t>
      </w:r>
    </w:p>
    <w:p w14:paraId="555F7884" w14:textId="77777777" w:rsidR="00D86E2F" w:rsidRPr="00F11FA7" w:rsidRDefault="00D86E2F" w:rsidP="00F11FA7">
      <w:pPr>
        <w:pStyle w:val="ListParagraph"/>
        <w:rPr>
          <w:rFonts w:asciiTheme="minorHAnsi" w:hAnsiTheme="minorHAnsi"/>
          <w:sz w:val="22"/>
          <w:szCs w:val="22"/>
        </w:rPr>
      </w:pPr>
    </w:p>
    <w:p w14:paraId="374E083F" w14:textId="7B82EAAA" w:rsidR="00D86E2F" w:rsidRPr="008265AE" w:rsidRDefault="008265AE" w:rsidP="00F11FA7">
      <w:pPr>
        <w:pStyle w:val="ListParagraph"/>
        <w:numPr>
          <w:ilvl w:val="1"/>
          <w:numId w:val="93"/>
        </w:numPr>
        <w:rPr>
          <w:rFonts w:asciiTheme="minorHAnsi" w:hAnsiTheme="minorHAnsi"/>
          <w:sz w:val="22"/>
          <w:szCs w:val="22"/>
        </w:rPr>
      </w:pPr>
      <w:r w:rsidRPr="00047BA2">
        <w:rPr>
          <w:rFonts w:asciiTheme="minorHAnsi" w:hAnsiTheme="minorHAnsi"/>
          <w:bCs/>
          <w:sz w:val="22"/>
          <w:szCs w:val="22"/>
        </w:rPr>
        <w:t>Strengthen</w:t>
      </w:r>
      <w:r w:rsidR="00D86E2F" w:rsidRPr="00F11FA7">
        <w:rPr>
          <w:rFonts w:asciiTheme="minorHAnsi" w:hAnsiTheme="minorHAnsi"/>
          <w:bCs/>
          <w:sz w:val="22"/>
          <w:szCs w:val="22"/>
        </w:rPr>
        <w:t xml:space="preserve"> coordination between DFAT Manila and DFAT Canberra</w:t>
      </w:r>
      <w:r w:rsidR="00770CDC">
        <w:rPr>
          <w:rFonts w:asciiTheme="minorHAnsi" w:hAnsiTheme="minorHAnsi"/>
          <w:bCs/>
          <w:sz w:val="22"/>
          <w:szCs w:val="22"/>
        </w:rPr>
        <w:t>.</w:t>
      </w:r>
    </w:p>
    <w:p w14:paraId="7F7E1488" w14:textId="7023C14D" w:rsidR="008265AE" w:rsidRPr="00F11FA7" w:rsidRDefault="008265AE" w:rsidP="00F11FA7">
      <w:pPr>
        <w:rPr>
          <w:rFonts w:asciiTheme="minorHAnsi" w:hAnsiTheme="minorHAnsi"/>
          <w:b/>
          <w:sz w:val="22"/>
          <w:szCs w:val="22"/>
        </w:rPr>
      </w:pPr>
    </w:p>
    <w:p w14:paraId="1C4D1961" w14:textId="68716328" w:rsidR="008265AE" w:rsidRDefault="008265AE" w:rsidP="00F11FA7">
      <w:pPr>
        <w:pStyle w:val="ListParagraph"/>
        <w:numPr>
          <w:ilvl w:val="1"/>
          <w:numId w:val="93"/>
        </w:numPr>
        <w:rPr>
          <w:rFonts w:asciiTheme="minorHAnsi" w:hAnsiTheme="minorHAnsi"/>
          <w:sz w:val="22"/>
          <w:szCs w:val="22"/>
        </w:rPr>
      </w:pPr>
      <w:r w:rsidRPr="00495CB3">
        <w:rPr>
          <w:rFonts w:asciiTheme="minorHAnsi" w:hAnsiTheme="minorHAnsi"/>
          <w:sz w:val="22"/>
          <w:szCs w:val="22"/>
        </w:rPr>
        <w:t>Retain bilateral activities for flexibility</w:t>
      </w:r>
      <w:r w:rsidR="00770CDC">
        <w:rPr>
          <w:rFonts w:asciiTheme="minorHAnsi" w:hAnsiTheme="minorHAnsi"/>
          <w:sz w:val="22"/>
          <w:szCs w:val="22"/>
        </w:rPr>
        <w:t>.</w:t>
      </w:r>
    </w:p>
    <w:p w14:paraId="755BA107" w14:textId="72FE46FA" w:rsidR="008265AE" w:rsidRPr="00F11FA7" w:rsidRDefault="008265AE" w:rsidP="00F11FA7">
      <w:pPr>
        <w:rPr>
          <w:rFonts w:asciiTheme="minorHAnsi" w:hAnsiTheme="minorHAnsi"/>
          <w:sz w:val="22"/>
          <w:szCs w:val="22"/>
        </w:rPr>
      </w:pPr>
    </w:p>
    <w:p w14:paraId="4A9FA161" w14:textId="7A473EE6" w:rsidR="008265AE" w:rsidRPr="00AE0B1E" w:rsidRDefault="008265AE" w:rsidP="00F11FA7">
      <w:pPr>
        <w:pStyle w:val="ListParagraph"/>
        <w:numPr>
          <w:ilvl w:val="1"/>
          <w:numId w:val="93"/>
        </w:numPr>
        <w:rPr>
          <w:rFonts w:asciiTheme="minorHAnsi" w:hAnsiTheme="minorHAnsi"/>
          <w:sz w:val="22"/>
          <w:szCs w:val="22"/>
        </w:rPr>
      </w:pPr>
      <w:r w:rsidRPr="00F11FA7">
        <w:rPr>
          <w:rFonts w:asciiTheme="minorHAnsi" w:hAnsiTheme="minorHAnsi"/>
          <w:bCs/>
          <w:sz w:val="22"/>
          <w:szCs w:val="22"/>
        </w:rPr>
        <w:t xml:space="preserve">Ensuring geographic balance </w:t>
      </w:r>
      <w:r w:rsidR="00770CDC">
        <w:rPr>
          <w:rFonts w:asciiTheme="minorHAnsi" w:hAnsiTheme="minorHAnsi"/>
          <w:bCs/>
          <w:sz w:val="22"/>
          <w:szCs w:val="22"/>
        </w:rPr>
        <w:t xml:space="preserve">and tailoring of interventions to local needs </w:t>
      </w:r>
      <w:r w:rsidR="00FD3566">
        <w:rPr>
          <w:rFonts w:asciiTheme="minorHAnsi" w:hAnsiTheme="minorHAnsi"/>
          <w:bCs/>
          <w:sz w:val="22"/>
          <w:szCs w:val="22"/>
        </w:rPr>
        <w:t xml:space="preserve">for both archipelagic and mainland BARMM </w:t>
      </w:r>
      <w:r w:rsidRPr="00F11FA7">
        <w:rPr>
          <w:rFonts w:asciiTheme="minorHAnsi" w:hAnsiTheme="minorHAnsi"/>
          <w:bCs/>
          <w:sz w:val="22"/>
          <w:szCs w:val="22"/>
        </w:rPr>
        <w:t>will be important to support inclusivity and legitimacy</w:t>
      </w:r>
      <w:r w:rsidR="00770CDC">
        <w:rPr>
          <w:rFonts w:asciiTheme="minorHAnsi" w:hAnsiTheme="minorHAnsi"/>
          <w:bCs/>
          <w:sz w:val="22"/>
          <w:szCs w:val="22"/>
        </w:rPr>
        <w:t>.</w:t>
      </w:r>
    </w:p>
    <w:p w14:paraId="7C343AF2" w14:textId="77777777" w:rsidR="00564051" w:rsidRPr="00A928D6" w:rsidRDefault="00564051" w:rsidP="00A928D6">
      <w:pPr>
        <w:rPr>
          <w:rFonts w:asciiTheme="minorHAnsi" w:hAnsiTheme="minorHAnsi"/>
          <w:sz w:val="22"/>
          <w:szCs w:val="22"/>
        </w:rPr>
      </w:pPr>
    </w:p>
    <w:p w14:paraId="68AAD181" w14:textId="21141F75" w:rsidR="00564051" w:rsidRPr="00F11FA7" w:rsidRDefault="00564051" w:rsidP="00F11FA7">
      <w:pPr>
        <w:pStyle w:val="ListParagraph"/>
        <w:numPr>
          <w:ilvl w:val="1"/>
          <w:numId w:val="93"/>
        </w:numPr>
        <w:rPr>
          <w:rFonts w:asciiTheme="minorHAnsi" w:hAnsiTheme="minorHAnsi"/>
          <w:sz w:val="22"/>
          <w:szCs w:val="22"/>
        </w:rPr>
      </w:pPr>
      <w:r>
        <w:rPr>
          <w:rFonts w:asciiTheme="minorHAnsi" w:hAnsiTheme="minorHAnsi"/>
          <w:sz w:val="22"/>
          <w:szCs w:val="22"/>
        </w:rPr>
        <w:t xml:space="preserve">Continue engagement with provincial and </w:t>
      </w:r>
      <w:r w:rsidR="00124052">
        <w:rPr>
          <w:rFonts w:asciiTheme="minorHAnsi" w:hAnsiTheme="minorHAnsi"/>
          <w:sz w:val="22"/>
          <w:szCs w:val="22"/>
        </w:rPr>
        <w:t>city/</w:t>
      </w:r>
      <w:r>
        <w:rPr>
          <w:rFonts w:asciiTheme="minorHAnsi" w:hAnsiTheme="minorHAnsi"/>
          <w:sz w:val="22"/>
          <w:szCs w:val="22"/>
        </w:rPr>
        <w:t xml:space="preserve">municipal governments to </w:t>
      </w:r>
      <w:r w:rsidR="008D49F9">
        <w:rPr>
          <w:rFonts w:asciiTheme="minorHAnsi" w:hAnsiTheme="minorHAnsi"/>
          <w:sz w:val="22"/>
          <w:szCs w:val="22"/>
        </w:rPr>
        <w:t>up</w:t>
      </w:r>
      <w:r>
        <w:rPr>
          <w:rFonts w:asciiTheme="minorHAnsi" w:hAnsiTheme="minorHAnsi"/>
          <w:sz w:val="22"/>
          <w:szCs w:val="22"/>
        </w:rPr>
        <w:t xml:space="preserve">scale </w:t>
      </w:r>
      <w:r w:rsidRPr="009F552A">
        <w:rPr>
          <w:rFonts w:ascii="Cambria" w:hAnsi="Cambria" w:cstheme="majorBidi"/>
          <w:sz w:val="22"/>
          <w:szCs w:val="22"/>
        </w:rPr>
        <w:t xml:space="preserve">local </w:t>
      </w:r>
      <w:r>
        <w:rPr>
          <w:rFonts w:ascii="Cambria" w:hAnsi="Cambria" w:cstheme="majorBidi"/>
          <w:sz w:val="22"/>
          <w:szCs w:val="22"/>
        </w:rPr>
        <w:t xml:space="preserve">conflict </w:t>
      </w:r>
      <w:r w:rsidRPr="009F552A">
        <w:rPr>
          <w:rFonts w:ascii="Cambria" w:hAnsi="Cambria" w:cstheme="majorBidi"/>
          <w:sz w:val="22"/>
          <w:szCs w:val="22"/>
        </w:rPr>
        <w:t>management tools</w:t>
      </w:r>
      <w:r>
        <w:rPr>
          <w:rFonts w:ascii="Cambria" w:hAnsi="Cambria" w:cstheme="majorBidi"/>
          <w:sz w:val="22"/>
          <w:szCs w:val="22"/>
        </w:rPr>
        <w:t xml:space="preserve">, </w:t>
      </w:r>
      <w:r w:rsidRPr="009F552A">
        <w:rPr>
          <w:rFonts w:ascii="Cambria" w:hAnsi="Cambria" w:cstheme="majorBidi"/>
          <w:sz w:val="22"/>
          <w:szCs w:val="22"/>
        </w:rPr>
        <w:t>mechanisms</w:t>
      </w:r>
      <w:r>
        <w:rPr>
          <w:rFonts w:ascii="Cambria" w:hAnsi="Cambria" w:cstheme="majorBidi"/>
          <w:sz w:val="22"/>
          <w:szCs w:val="22"/>
        </w:rPr>
        <w:t xml:space="preserve">, and best practices, and support integration with regular operations </w:t>
      </w:r>
      <w:r w:rsidR="002A375E">
        <w:rPr>
          <w:rFonts w:ascii="Cambria" w:hAnsi="Cambria" w:cstheme="majorBidi"/>
          <w:sz w:val="22"/>
          <w:szCs w:val="22"/>
        </w:rPr>
        <w:t xml:space="preserve">of the </w:t>
      </w:r>
      <w:r>
        <w:rPr>
          <w:rFonts w:ascii="Cambria" w:hAnsi="Cambria" w:cstheme="majorBidi"/>
          <w:sz w:val="22"/>
          <w:szCs w:val="22"/>
        </w:rPr>
        <w:t xml:space="preserve">Bangsamoro Government. </w:t>
      </w:r>
    </w:p>
    <w:p w14:paraId="20F54484" w14:textId="77777777" w:rsidR="00B830F6" w:rsidRPr="00C657BF" w:rsidRDefault="00B830F6" w:rsidP="00C657BF">
      <w:pPr>
        <w:rPr>
          <w:rFonts w:asciiTheme="minorHAnsi" w:hAnsiTheme="minorHAnsi"/>
          <w:sz w:val="22"/>
          <w:szCs w:val="22"/>
        </w:rPr>
      </w:pPr>
    </w:p>
    <w:p w14:paraId="036236BB" w14:textId="64A6C8CC" w:rsidR="00B830F6" w:rsidRPr="00ED030A" w:rsidRDefault="00B830F6" w:rsidP="00B830F6">
      <w:pPr>
        <w:pStyle w:val="ListParagraph"/>
        <w:numPr>
          <w:ilvl w:val="0"/>
          <w:numId w:val="93"/>
        </w:numPr>
        <w:rPr>
          <w:rFonts w:asciiTheme="minorHAnsi" w:hAnsiTheme="minorHAnsi"/>
          <w:sz w:val="22"/>
          <w:szCs w:val="22"/>
        </w:rPr>
      </w:pPr>
      <w:r w:rsidRPr="00ED030A">
        <w:rPr>
          <w:rFonts w:asciiTheme="minorHAnsi" w:hAnsiTheme="minorHAnsi"/>
          <w:sz w:val="22"/>
          <w:szCs w:val="22"/>
        </w:rPr>
        <w:t>BARMM</w:t>
      </w:r>
      <w:r w:rsidR="00770CDC">
        <w:rPr>
          <w:rFonts w:asciiTheme="minorHAnsi" w:hAnsiTheme="minorHAnsi"/>
          <w:sz w:val="22"/>
          <w:szCs w:val="22"/>
        </w:rPr>
        <w:t xml:space="preserve"> </w:t>
      </w:r>
      <w:r w:rsidRPr="00ED030A">
        <w:rPr>
          <w:rFonts w:asciiTheme="minorHAnsi" w:hAnsiTheme="minorHAnsi"/>
          <w:sz w:val="22"/>
          <w:szCs w:val="22"/>
        </w:rPr>
        <w:t xml:space="preserve">will need to recruit new individuals with a different set of skills and competence that are able to respond to the many governance challenges of the region, foremost of which is the delivery of basic services to the Bangsamoro people. </w:t>
      </w:r>
    </w:p>
    <w:p w14:paraId="4AE3E83A" w14:textId="77777777" w:rsidR="00D86E2F" w:rsidRPr="00F11FA7" w:rsidRDefault="00D86E2F" w:rsidP="00F11FA7">
      <w:pPr>
        <w:pStyle w:val="ListParagraph"/>
        <w:rPr>
          <w:rFonts w:asciiTheme="minorHAnsi" w:hAnsiTheme="minorHAnsi"/>
          <w:sz w:val="22"/>
          <w:szCs w:val="22"/>
        </w:rPr>
      </w:pPr>
    </w:p>
    <w:p w14:paraId="7E81D091" w14:textId="13A3A3D2" w:rsidR="00D86E2F" w:rsidRPr="00FB11D8" w:rsidRDefault="00B830F6" w:rsidP="00DC3D79">
      <w:pPr>
        <w:pStyle w:val="ListParagraph"/>
        <w:numPr>
          <w:ilvl w:val="1"/>
          <w:numId w:val="93"/>
        </w:numPr>
        <w:rPr>
          <w:rFonts w:asciiTheme="minorHAnsi" w:hAnsiTheme="minorHAnsi"/>
          <w:sz w:val="22"/>
          <w:szCs w:val="22"/>
        </w:rPr>
      </w:pPr>
      <w:r w:rsidRPr="00FB11D8">
        <w:rPr>
          <w:rFonts w:asciiTheme="minorHAnsi" w:hAnsiTheme="minorHAnsi"/>
          <w:bCs/>
          <w:sz w:val="22"/>
          <w:szCs w:val="22"/>
        </w:rPr>
        <w:t xml:space="preserve">Support </w:t>
      </w:r>
      <w:r w:rsidR="00D86E2F" w:rsidRPr="00FB11D8">
        <w:rPr>
          <w:rFonts w:asciiTheme="minorHAnsi" w:hAnsiTheme="minorHAnsi"/>
          <w:bCs/>
          <w:sz w:val="22"/>
          <w:szCs w:val="22"/>
        </w:rPr>
        <w:t xml:space="preserve">Technical Advisory </w:t>
      </w:r>
      <w:r w:rsidRPr="00FB11D8">
        <w:rPr>
          <w:rFonts w:asciiTheme="minorHAnsi" w:hAnsiTheme="minorHAnsi"/>
          <w:bCs/>
          <w:sz w:val="22"/>
          <w:szCs w:val="22"/>
        </w:rPr>
        <w:t>capacity</w:t>
      </w:r>
      <w:r w:rsidR="00D86E2F" w:rsidRPr="00FB11D8">
        <w:rPr>
          <w:rFonts w:asciiTheme="minorHAnsi" w:hAnsiTheme="minorHAnsi"/>
          <w:bCs/>
          <w:sz w:val="22"/>
          <w:szCs w:val="22"/>
        </w:rPr>
        <w:t xml:space="preserve"> at BARMM and OPAPP levels (embed Senior Advisor)</w:t>
      </w:r>
      <w:r w:rsidR="00FB11D8">
        <w:rPr>
          <w:rFonts w:asciiTheme="minorHAnsi" w:hAnsiTheme="minorHAnsi"/>
          <w:bCs/>
          <w:sz w:val="22"/>
          <w:szCs w:val="22"/>
        </w:rPr>
        <w:t>.</w:t>
      </w:r>
    </w:p>
    <w:p w14:paraId="07D075A7" w14:textId="77777777" w:rsidR="00FB11D8" w:rsidRPr="00FB11D8" w:rsidRDefault="00FB11D8" w:rsidP="00FB11D8">
      <w:pPr>
        <w:pStyle w:val="ListParagraph"/>
        <w:ind w:left="1440"/>
        <w:rPr>
          <w:rFonts w:asciiTheme="minorHAnsi" w:hAnsiTheme="minorHAnsi"/>
          <w:sz w:val="22"/>
          <w:szCs w:val="22"/>
        </w:rPr>
      </w:pPr>
    </w:p>
    <w:p w14:paraId="425E7756" w14:textId="4ECFC7CA" w:rsidR="00D86E2F" w:rsidRPr="00F11FA7" w:rsidRDefault="008265AE" w:rsidP="00F11FA7">
      <w:pPr>
        <w:pStyle w:val="ListParagraph"/>
        <w:numPr>
          <w:ilvl w:val="1"/>
          <w:numId w:val="93"/>
        </w:numPr>
        <w:rPr>
          <w:rFonts w:asciiTheme="minorHAnsi" w:hAnsiTheme="minorHAnsi"/>
          <w:sz w:val="22"/>
          <w:szCs w:val="22"/>
        </w:rPr>
      </w:pPr>
      <w:r w:rsidRPr="00047BA2">
        <w:rPr>
          <w:rFonts w:asciiTheme="minorHAnsi" w:hAnsiTheme="minorHAnsi"/>
          <w:bCs/>
          <w:sz w:val="22"/>
          <w:szCs w:val="22"/>
        </w:rPr>
        <w:t>Develop</w:t>
      </w:r>
      <w:r>
        <w:rPr>
          <w:rFonts w:asciiTheme="minorHAnsi" w:hAnsiTheme="minorHAnsi"/>
          <w:bCs/>
          <w:sz w:val="22"/>
          <w:szCs w:val="22"/>
        </w:rPr>
        <w:t xml:space="preserve"> t</w:t>
      </w:r>
      <w:r w:rsidR="00D86E2F" w:rsidRPr="00F11FA7">
        <w:rPr>
          <w:rFonts w:asciiTheme="minorHAnsi" w:hAnsiTheme="minorHAnsi"/>
          <w:bCs/>
          <w:sz w:val="22"/>
          <w:szCs w:val="22"/>
        </w:rPr>
        <w:t xml:space="preserve">raining programs and scholarships, particularly among Bangsamoro youth, </w:t>
      </w:r>
      <w:r w:rsidR="00165520">
        <w:rPr>
          <w:rFonts w:asciiTheme="minorHAnsi" w:hAnsiTheme="minorHAnsi"/>
          <w:bCs/>
          <w:sz w:val="22"/>
          <w:szCs w:val="22"/>
        </w:rPr>
        <w:t xml:space="preserve">that </w:t>
      </w:r>
      <w:r w:rsidR="00D86E2F" w:rsidRPr="00F11FA7">
        <w:rPr>
          <w:rFonts w:asciiTheme="minorHAnsi" w:hAnsiTheme="minorHAnsi"/>
          <w:bCs/>
          <w:sz w:val="22"/>
          <w:szCs w:val="22"/>
        </w:rPr>
        <w:t xml:space="preserve">prioritize skills needed in reconstructing and developing </w:t>
      </w:r>
      <w:r w:rsidR="00165520">
        <w:rPr>
          <w:rFonts w:asciiTheme="minorHAnsi" w:hAnsiTheme="minorHAnsi"/>
          <w:bCs/>
          <w:sz w:val="22"/>
          <w:szCs w:val="22"/>
        </w:rPr>
        <w:t xml:space="preserve">the </w:t>
      </w:r>
      <w:r w:rsidR="00D86E2F" w:rsidRPr="00F11FA7">
        <w:rPr>
          <w:rFonts w:asciiTheme="minorHAnsi" w:hAnsiTheme="minorHAnsi"/>
          <w:bCs/>
          <w:sz w:val="22"/>
          <w:szCs w:val="22"/>
        </w:rPr>
        <w:t>Bangsamoro economy</w:t>
      </w:r>
      <w:r w:rsidR="00770CDC">
        <w:rPr>
          <w:rFonts w:asciiTheme="minorHAnsi" w:hAnsiTheme="minorHAnsi"/>
          <w:bCs/>
          <w:sz w:val="22"/>
          <w:szCs w:val="22"/>
        </w:rPr>
        <w:t>.</w:t>
      </w:r>
    </w:p>
    <w:p w14:paraId="4D1265E0" w14:textId="77777777" w:rsidR="008E7989" w:rsidRDefault="008E7989" w:rsidP="00A928D6">
      <w:pPr>
        <w:pStyle w:val="ListParagraph"/>
        <w:rPr>
          <w:rFonts w:asciiTheme="minorHAnsi" w:hAnsiTheme="minorHAnsi"/>
          <w:sz w:val="22"/>
          <w:szCs w:val="22"/>
        </w:rPr>
      </w:pPr>
    </w:p>
    <w:p w14:paraId="2CFEC1BA" w14:textId="77777777" w:rsidR="00704390" w:rsidRPr="00704390" w:rsidRDefault="00704390" w:rsidP="00704390">
      <w:pPr>
        <w:rPr>
          <w:rFonts w:asciiTheme="minorHAnsi" w:hAnsiTheme="minorHAnsi"/>
          <w:sz w:val="22"/>
          <w:szCs w:val="22"/>
        </w:rPr>
      </w:pPr>
    </w:p>
    <w:p w14:paraId="63D47347" w14:textId="14307AB6" w:rsidR="00D86E2F" w:rsidRPr="00F11FA7" w:rsidRDefault="00D86E2F" w:rsidP="00F11FA7">
      <w:pPr>
        <w:pStyle w:val="ListParagraph"/>
        <w:numPr>
          <w:ilvl w:val="0"/>
          <w:numId w:val="93"/>
        </w:numPr>
        <w:rPr>
          <w:rFonts w:asciiTheme="minorHAnsi" w:hAnsiTheme="minorHAnsi"/>
          <w:sz w:val="22"/>
          <w:szCs w:val="22"/>
        </w:rPr>
      </w:pPr>
      <w:r w:rsidRPr="00F11FA7">
        <w:rPr>
          <w:rFonts w:asciiTheme="minorHAnsi" w:hAnsiTheme="minorHAnsi"/>
          <w:bCs/>
          <w:sz w:val="22"/>
          <w:szCs w:val="22"/>
        </w:rPr>
        <w:lastRenderedPageBreak/>
        <w:t>Strengthen coalition for reforms and the peace process among CSOs and other stakeholders, particularly if the high expectations of the BARMM is not met and if deadlock on Marawi reconstruction continues</w:t>
      </w:r>
      <w:r w:rsidR="00770CDC">
        <w:rPr>
          <w:rFonts w:asciiTheme="minorHAnsi" w:hAnsiTheme="minorHAnsi"/>
          <w:bCs/>
          <w:sz w:val="22"/>
          <w:szCs w:val="22"/>
        </w:rPr>
        <w:t>.</w:t>
      </w:r>
    </w:p>
    <w:p w14:paraId="26CF189C" w14:textId="77777777" w:rsidR="00D86E2F" w:rsidRPr="00F11FA7" w:rsidRDefault="00D86E2F" w:rsidP="00F11FA7">
      <w:pPr>
        <w:pStyle w:val="ListParagraph"/>
        <w:rPr>
          <w:rFonts w:asciiTheme="minorHAnsi" w:hAnsiTheme="minorHAnsi"/>
          <w:sz w:val="22"/>
          <w:szCs w:val="22"/>
        </w:rPr>
      </w:pPr>
    </w:p>
    <w:p w14:paraId="3134749A" w14:textId="7D816792" w:rsidR="00704390" w:rsidRPr="00704390" w:rsidRDefault="00D86E2F" w:rsidP="003601F8">
      <w:pPr>
        <w:pStyle w:val="ListParagraph"/>
        <w:numPr>
          <w:ilvl w:val="1"/>
          <w:numId w:val="93"/>
        </w:numPr>
        <w:jc w:val="both"/>
        <w:rPr>
          <w:rFonts w:asciiTheme="minorHAnsi" w:hAnsiTheme="minorHAnsi"/>
          <w:sz w:val="22"/>
          <w:szCs w:val="22"/>
        </w:rPr>
      </w:pPr>
      <w:r w:rsidRPr="00F11FA7">
        <w:rPr>
          <w:rFonts w:asciiTheme="minorHAnsi" w:hAnsiTheme="minorHAnsi"/>
          <w:sz w:val="22"/>
          <w:szCs w:val="22"/>
        </w:rPr>
        <w:t>Assist in shifting</w:t>
      </w:r>
      <w:r w:rsidR="003D5646">
        <w:rPr>
          <w:rFonts w:asciiTheme="minorHAnsi" w:hAnsiTheme="minorHAnsi"/>
          <w:sz w:val="22"/>
          <w:szCs w:val="22"/>
        </w:rPr>
        <w:t xml:space="preserve"> donor</w:t>
      </w:r>
      <w:r w:rsidRPr="00F11FA7">
        <w:rPr>
          <w:rFonts w:asciiTheme="minorHAnsi" w:hAnsiTheme="minorHAnsi"/>
          <w:sz w:val="22"/>
          <w:szCs w:val="22"/>
        </w:rPr>
        <w:t xml:space="preserve"> support from confidence building measures to socio-economic </w:t>
      </w:r>
      <w:r w:rsidRPr="00704390">
        <w:rPr>
          <w:rFonts w:asciiTheme="minorHAnsi" w:hAnsiTheme="minorHAnsi"/>
          <w:sz w:val="22"/>
          <w:szCs w:val="22"/>
        </w:rPr>
        <w:t>devel</w:t>
      </w:r>
      <w:r w:rsidR="002D43E9" w:rsidRPr="00704390">
        <w:rPr>
          <w:rFonts w:asciiTheme="minorHAnsi" w:hAnsiTheme="minorHAnsi"/>
          <w:sz w:val="22"/>
          <w:szCs w:val="22"/>
        </w:rPr>
        <w:t>opment</w:t>
      </w:r>
      <w:r w:rsidR="00770CDC" w:rsidRPr="00704390">
        <w:rPr>
          <w:rFonts w:asciiTheme="minorHAnsi" w:hAnsiTheme="minorHAnsi"/>
          <w:sz w:val="22"/>
          <w:szCs w:val="22"/>
        </w:rPr>
        <w:t>.</w:t>
      </w:r>
      <w:r w:rsidR="00704390" w:rsidRPr="00704390">
        <w:rPr>
          <w:rFonts w:asciiTheme="minorHAnsi" w:hAnsiTheme="minorHAnsi"/>
          <w:sz w:val="22"/>
          <w:szCs w:val="22"/>
        </w:rPr>
        <w:t xml:space="preserve"> </w:t>
      </w:r>
      <w:r w:rsidR="003601F8">
        <w:rPr>
          <w:rFonts w:asciiTheme="minorHAnsi" w:hAnsiTheme="minorHAnsi"/>
          <w:sz w:val="22"/>
          <w:szCs w:val="22"/>
        </w:rPr>
        <w:t>Balanci</w:t>
      </w:r>
      <w:r w:rsidR="008B082B">
        <w:rPr>
          <w:rFonts w:asciiTheme="minorHAnsi" w:hAnsiTheme="minorHAnsi"/>
          <w:sz w:val="22"/>
          <w:szCs w:val="22"/>
        </w:rPr>
        <w:t>n</w:t>
      </w:r>
      <w:r w:rsidR="003601F8">
        <w:rPr>
          <w:rFonts w:asciiTheme="minorHAnsi" w:hAnsiTheme="minorHAnsi"/>
          <w:sz w:val="22"/>
          <w:szCs w:val="22"/>
        </w:rPr>
        <w:t xml:space="preserve">g </w:t>
      </w:r>
      <w:r w:rsidR="00704390" w:rsidRPr="00704390">
        <w:rPr>
          <w:rFonts w:asciiTheme="minorHAnsi" w:hAnsiTheme="minorHAnsi"/>
          <w:sz w:val="22"/>
          <w:szCs w:val="22"/>
        </w:rPr>
        <w:t>‘</w:t>
      </w:r>
      <w:r w:rsidR="00704390" w:rsidRPr="00704390">
        <w:rPr>
          <w:rFonts w:ascii="Cambria" w:hAnsi="Cambria" w:cstheme="majorBidi"/>
          <w:sz w:val="22"/>
          <w:szCs w:val="22"/>
        </w:rPr>
        <w:t>soft’ policy interventions such as planning workshops and capacity-building trainings with concrete delivery of socio-economic, governance, and security-related packages is crucial particularly for P/CVE and normalization workstreams.</w:t>
      </w:r>
      <w:r w:rsidR="00704390">
        <w:rPr>
          <w:rFonts w:ascii="Cambria" w:hAnsi="Cambria" w:cstheme="majorBidi"/>
          <w:b/>
          <w:bCs/>
          <w:sz w:val="22"/>
          <w:szCs w:val="22"/>
        </w:rPr>
        <w:t xml:space="preserve"> </w:t>
      </w:r>
    </w:p>
    <w:p w14:paraId="7D960F1C" w14:textId="77777777" w:rsidR="00332AD4" w:rsidRPr="00704390" w:rsidRDefault="00332AD4" w:rsidP="00704390">
      <w:pPr>
        <w:rPr>
          <w:rFonts w:asciiTheme="minorHAnsi" w:hAnsiTheme="minorHAnsi"/>
          <w:sz w:val="22"/>
          <w:szCs w:val="22"/>
        </w:rPr>
      </w:pPr>
    </w:p>
    <w:p w14:paraId="5CB5FAD3" w14:textId="1C0787F9" w:rsidR="00733107" w:rsidRDefault="00733107" w:rsidP="00770CDC">
      <w:pPr>
        <w:pStyle w:val="ListParagraph"/>
        <w:numPr>
          <w:ilvl w:val="1"/>
          <w:numId w:val="93"/>
        </w:numPr>
        <w:rPr>
          <w:rFonts w:asciiTheme="minorHAnsi" w:hAnsiTheme="minorHAnsi"/>
          <w:sz w:val="22"/>
          <w:szCs w:val="22"/>
        </w:rPr>
      </w:pPr>
      <w:r>
        <w:rPr>
          <w:rFonts w:asciiTheme="minorHAnsi" w:hAnsiTheme="minorHAnsi"/>
          <w:sz w:val="22"/>
          <w:szCs w:val="22"/>
        </w:rPr>
        <w:t>Adjust monitoring and evaluation metrics to more household-level outcomes that can be tangibly felt by cons</w:t>
      </w:r>
      <w:r w:rsidR="00D2646D">
        <w:rPr>
          <w:rFonts w:asciiTheme="minorHAnsi" w:hAnsiTheme="minorHAnsi"/>
          <w:sz w:val="22"/>
          <w:szCs w:val="22"/>
        </w:rPr>
        <w:t>tituents (e</w:t>
      </w:r>
      <w:r w:rsidR="008D49F9">
        <w:rPr>
          <w:rFonts w:asciiTheme="minorHAnsi" w:hAnsiTheme="minorHAnsi"/>
          <w:sz w:val="22"/>
          <w:szCs w:val="22"/>
        </w:rPr>
        <w:t>.g.,</w:t>
      </w:r>
      <w:r w:rsidR="00D2646D">
        <w:rPr>
          <w:rFonts w:asciiTheme="minorHAnsi" w:hAnsiTheme="minorHAnsi"/>
          <w:sz w:val="22"/>
          <w:szCs w:val="22"/>
        </w:rPr>
        <w:t xml:space="preserve"> increase in</w:t>
      </w:r>
      <w:r w:rsidR="002C2AF5">
        <w:rPr>
          <w:rFonts w:asciiTheme="minorHAnsi" w:hAnsiTheme="minorHAnsi"/>
          <w:sz w:val="22"/>
          <w:szCs w:val="22"/>
        </w:rPr>
        <w:t xml:space="preserve"> household</w:t>
      </w:r>
      <w:r w:rsidR="00D2646D">
        <w:rPr>
          <w:rFonts w:asciiTheme="minorHAnsi" w:hAnsiTheme="minorHAnsi"/>
          <w:sz w:val="22"/>
          <w:szCs w:val="22"/>
        </w:rPr>
        <w:t xml:space="preserve"> income, increase in knowledge about and quality of interaction with the Bangsamoro Government)</w:t>
      </w:r>
      <w:r w:rsidR="00751F3D">
        <w:rPr>
          <w:rFonts w:asciiTheme="minorHAnsi" w:hAnsiTheme="minorHAnsi"/>
          <w:sz w:val="22"/>
          <w:szCs w:val="22"/>
        </w:rPr>
        <w:t>.</w:t>
      </w:r>
    </w:p>
    <w:p w14:paraId="4C645D99" w14:textId="77777777" w:rsidR="00733107" w:rsidRPr="00A928D6" w:rsidRDefault="00733107" w:rsidP="00A928D6">
      <w:pPr>
        <w:rPr>
          <w:rFonts w:asciiTheme="minorHAnsi" w:hAnsiTheme="minorHAnsi"/>
          <w:sz w:val="22"/>
          <w:szCs w:val="22"/>
        </w:rPr>
      </w:pPr>
    </w:p>
    <w:p w14:paraId="4B2EB1B2" w14:textId="0974B0F9" w:rsidR="00952156" w:rsidRPr="00770CDC" w:rsidRDefault="00770CDC" w:rsidP="00770CDC">
      <w:pPr>
        <w:pStyle w:val="ListParagraph"/>
        <w:numPr>
          <w:ilvl w:val="1"/>
          <w:numId w:val="93"/>
        </w:numPr>
        <w:rPr>
          <w:rFonts w:asciiTheme="minorHAnsi" w:hAnsiTheme="minorHAnsi"/>
          <w:sz w:val="22"/>
          <w:szCs w:val="22"/>
        </w:rPr>
      </w:pPr>
      <w:r>
        <w:rPr>
          <w:rFonts w:asciiTheme="minorHAnsi" w:hAnsiTheme="minorHAnsi"/>
          <w:sz w:val="22"/>
          <w:szCs w:val="22"/>
        </w:rPr>
        <w:t xml:space="preserve">Adjust operating </w:t>
      </w:r>
      <w:r w:rsidR="00E9203E">
        <w:rPr>
          <w:rFonts w:asciiTheme="minorHAnsi" w:hAnsiTheme="minorHAnsi"/>
          <w:sz w:val="22"/>
          <w:szCs w:val="22"/>
        </w:rPr>
        <w:t xml:space="preserve">procedures </w:t>
      </w:r>
      <w:r w:rsidR="00332AD4">
        <w:rPr>
          <w:rFonts w:asciiTheme="minorHAnsi" w:hAnsiTheme="minorHAnsi"/>
          <w:sz w:val="22"/>
          <w:szCs w:val="22"/>
        </w:rPr>
        <w:t xml:space="preserve">to </w:t>
      </w:r>
      <w:r w:rsidR="00FB11D8">
        <w:rPr>
          <w:rFonts w:asciiTheme="minorHAnsi" w:hAnsiTheme="minorHAnsi"/>
          <w:sz w:val="22"/>
          <w:szCs w:val="22"/>
        </w:rPr>
        <w:t>COVID-19 social distancing and mobility restrictions</w:t>
      </w:r>
      <w:r w:rsidR="003D5646">
        <w:rPr>
          <w:rFonts w:asciiTheme="minorHAnsi" w:hAnsiTheme="minorHAnsi"/>
          <w:sz w:val="22"/>
          <w:szCs w:val="22"/>
        </w:rPr>
        <w:t>, which will entail more localized investments</w:t>
      </w:r>
      <w:r w:rsidR="00FB11D8">
        <w:rPr>
          <w:rFonts w:asciiTheme="minorHAnsi" w:hAnsiTheme="minorHAnsi"/>
          <w:sz w:val="22"/>
          <w:szCs w:val="22"/>
        </w:rPr>
        <w:t xml:space="preserve"> </w:t>
      </w:r>
      <w:r w:rsidR="00DC3D79">
        <w:rPr>
          <w:rFonts w:asciiTheme="minorHAnsi" w:hAnsiTheme="minorHAnsi"/>
          <w:sz w:val="22"/>
          <w:szCs w:val="22"/>
        </w:rPr>
        <w:t>and partnerships</w:t>
      </w:r>
      <w:r w:rsidR="00C657BF">
        <w:rPr>
          <w:rFonts w:asciiTheme="minorHAnsi" w:hAnsiTheme="minorHAnsi"/>
          <w:sz w:val="22"/>
          <w:szCs w:val="22"/>
        </w:rPr>
        <w:t>.</w:t>
      </w:r>
      <w:r w:rsidR="00952156" w:rsidRPr="00770CDC">
        <w:rPr>
          <w:rFonts w:ascii="Cambria" w:hAnsi="Cambria"/>
        </w:rPr>
        <w:br w:type="page"/>
      </w:r>
    </w:p>
    <w:p w14:paraId="515AA136" w14:textId="77777777" w:rsidR="008E7989" w:rsidRDefault="008E7989" w:rsidP="00A928D6">
      <w:pPr>
        <w:pStyle w:val="ListParagraph"/>
        <w:rPr>
          <w:rFonts w:ascii="Cambria" w:hAnsi="Cambria"/>
          <w:b/>
          <w:sz w:val="22"/>
          <w:szCs w:val="22"/>
        </w:rPr>
      </w:pPr>
      <w:bookmarkStart w:id="4" w:name="_Toc34220974"/>
    </w:p>
    <w:p w14:paraId="09CCFA8E" w14:textId="4E877FC4" w:rsidR="00D07C51" w:rsidRPr="00D058C1" w:rsidRDefault="001D1EB2" w:rsidP="00345F33">
      <w:pPr>
        <w:pStyle w:val="Heading1"/>
        <w:numPr>
          <w:ilvl w:val="0"/>
          <w:numId w:val="79"/>
        </w:numPr>
        <w:ind w:left="567" w:hanging="567"/>
        <w:rPr>
          <w:rFonts w:ascii="Cambria" w:hAnsi="Cambria"/>
          <w:b/>
          <w:sz w:val="22"/>
          <w:szCs w:val="22"/>
        </w:rPr>
      </w:pPr>
      <w:bookmarkStart w:id="5" w:name="_Toc55309668"/>
      <w:r w:rsidRPr="00D058C1">
        <w:rPr>
          <w:rFonts w:ascii="Cambria" w:hAnsi="Cambria"/>
          <w:b/>
          <w:sz w:val="22"/>
          <w:szCs w:val="22"/>
        </w:rPr>
        <w:t>BACKGROUND</w:t>
      </w:r>
      <w:bookmarkEnd w:id="4"/>
      <w:bookmarkEnd w:id="5"/>
    </w:p>
    <w:p w14:paraId="1188984E" w14:textId="77777777" w:rsidR="007B3EF6" w:rsidRPr="00D058C1" w:rsidRDefault="007B3EF6" w:rsidP="00D07C51">
      <w:pPr>
        <w:jc w:val="both"/>
        <w:rPr>
          <w:rFonts w:ascii="Cambria" w:hAnsi="Cambria"/>
          <w:b/>
          <w:sz w:val="22"/>
          <w:szCs w:val="22"/>
        </w:rPr>
      </w:pPr>
    </w:p>
    <w:p w14:paraId="44C86030" w14:textId="4244CFB3" w:rsidR="00D03F3A" w:rsidRDefault="007B3EF6" w:rsidP="00F11FA7">
      <w:pPr>
        <w:pStyle w:val="ListParagraph"/>
        <w:numPr>
          <w:ilvl w:val="0"/>
          <w:numId w:val="77"/>
        </w:numPr>
        <w:jc w:val="both"/>
        <w:rPr>
          <w:rFonts w:ascii="Cambria" w:hAnsi="Cambria"/>
          <w:sz w:val="22"/>
          <w:szCs w:val="22"/>
        </w:rPr>
      </w:pPr>
      <w:r w:rsidRPr="00F11FA7">
        <w:rPr>
          <w:rFonts w:ascii="Cambria" w:hAnsi="Cambria"/>
          <w:sz w:val="22"/>
          <w:szCs w:val="22"/>
        </w:rPr>
        <w:t xml:space="preserve">The </w:t>
      </w:r>
      <w:r w:rsidR="006254B8">
        <w:rPr>
          <w:rFonts w:ascii="Cambria" w:hAnsi="Cambria"/>
          <w:sz w:val="22"/>
          <w:szCs w:val="22"/>
        </w:rPr>
        <w:t xml:space="preserve">Department of Foreign Affairs and Trade (DFAT) appointed a three-person </w:t>
      </w:r>
      <w:r w:rsidRPr="00F11FA7">
        <w:rPr>
          <w:rFonts w:ascii="Cambria" w:hAnsi="Cambria"/>
          <w:sz w:val="22"/>
          <w:szCs w:val="22"/>
        </w:rPr>
        <w:t>r</w:t>
      </w:r>
      <w:r w:rsidR="006254B8">
        <w:rPr>
          <w:rFonts w:ascii="Cambria" w:hAnsi="Cambria"/>
          <w:sz w:val="22"/>
          <w:szCs w:val="22"/>
        </w:rPr>
        <w:t xml:space="preserve">eview </w:t>
      </w:r>
      <w:r w:rsidRPr="00F11FA7">
        <w:rPr>
          <w:rFonts w:ascii="Cambria" w:hAnsi="Cambria"/>
          <w:sz w:val="22"/>
          <w:szCs w:val="22"/>
        </w:rPr>
        <w:t>team</w:t>
      </w:r>
      <w:r w:rsidRPr="00D058C1">
        <w:rPr>
          <w:rStyle w:val="FootnoteReference"/>
          <w:rFonts w:ascii="Cambria" w:hAnsi="Cambria"/>
          <w:sz w:val="22"/>
          <w:szCs w:val="22"/>
        </w:rPr>
        <w:footnoteReference w:id="2"/>
      </w:r>
      <w:r w:rsidRPr="00F11FA7">
        <w:rPr>
          <w:rFonts w:ascii="Cambria" w:hAnsi="Cambria"/>
          <w:sz w:val="22"/>
          <w:szCs w:val="22"/>
        </w:rPr>
        <w:t xml:space="preserve"> </w:t>
      </w:r>
      <w:r w:rsidR="006254B8">
        <w:rPr>
          <w:rFonts w:ascii="Cambria" w:hAnsi="Cambria"/>
          <w:sz w:val="22"/>
          <w:szCs w:val="22"/>
        </w:rPr>
        <w:t xml:space="preserve"> </w:t>
      </w:r>
      <w:r w:rsidRPr="00F11FA7">
        <w:rPr>
          <w:rFonts w:ascii="Cambria" w:hAnsi="Cambria"/>
          <w:sz w:val="22"/>
          <w:szCs w:val="22"/>
        </w:rPr>
        <w:t>to</w:t>
      </w:r>
      <w:r w:rsidR="00C60DED" w:rsidRPr="00F11FA7">
        <w:rPr>
          <w:rFonts w:ascii="Cambria" w:hAnsi="Cambria"/>
          <w:sz w:val="22"/>
          <w:szCs w:val="22"/>
        </w:rPr>
        <w:t xml:space="preserve"> assess the effectiveness of Australia’s support for peace in Muslim Mindanao under the Peacebuilding in Conflict-Affected Mindanao investment (INL343) and its ongoing appropriateness in the current political context</w:t>
      </w:r>
      <w:r w:rsidR="00A6763D" w:rsidRPr="00D058C1">
        <w:rPr>
          <w:rFonts w:ascii="Cambria" w:hAnsi="Cambria"/>
          <w:sz w:val="22"/>
          <w:szCs w:val="22"/>
        </w:rPr>
        <w:t>.</w:t>
      </w:r>
      <w:r w:rsidR="00C60DED" w:rsidRPr="00F11FA7">
        <w:rPr>
          <w:rFonts w:ascii="Cambria" w:hAnsi="Cambria"/>
          <w:sz w:val="22"/>
          <w:szCs w:val="22"/>
        </w:rPr>
        <w:t xml:space="preserve"> The review </w:t>
      </w:r>
      <w:r w:rsidR="00B72493" w:rsidRPr="00F11FA7">
        <w:rPr>
          <w:rFonts w:ascii="Cambria" w:hAnsi="Cambria"/>
          <w:sz w:val="22"/>
          <w:szCs w:val="22"/>
        </w:rPr>
        <w:t>covers three modalities</w:t>
      </w:r>
      <w:r w:rsidR="00EA1631" w:rsidRPr="00D058C1">
        <w:rPr>
          <w:rFonts w:ascii="Cambria" w:hAnsi="Cambria"/>
          <w:sz w:val="22"/>
          <w:szCs w:val="22"/>
        </w:rPr>
        <w:t xml:space="preserve"> implemented from mid-2017 to mid-2019</w:t>
      </w:r>
      <w:r w:rsidR="00B72493" w:rsidRPr="00F11FA7">
        <w:rPr>
          <w:rFonts w:ascii="Cambria" w:hAnsi="Cambria"/>
          <w:sz w:val="22"/>
          <w:szCs w:val="22"/>
        </w:rPr>
        <w:t>:</w:t>
      </w:r>
      <w:r w:rsidR="00FC4BDE" w:rsidRPr="00F11FA7">
        <w:rPr>
          <w:rFonts w:ascii="Cambria" w:hAnsi="Cambria"/>
          <w:sz w:val="22"/>
          <w:szCs w:val="22"/>
        </w:rPr>
        <w:t xml:space="preserve"> a)</w:t>
      </w:r>
      <w:r w:rsidR="00B72493" w:rsidRPr="00F11FA7">
        <w:rPr>
          <w:rFonts w:ascii="Cambria" w:hAnsi="Cambria"/>
          <w:sz w:val="22"/>
          <w:szCs w:val="22"/>
        </w:rPr>
        <w:t xml:space="preserve"> </w:t>
      </w:r>
      <w:r w:rsidR="00C60DED" w:rsidRPr="00F11FA7">
        <w:rPr>
          <w:rFonts w:ascii="Cambria" w:hAnsi="Cambria"/>
          <w:sz w:val="22"/>
          <w:szCs w:val="22"/>
        </w:rPr>
        <w:t xml:space="preserve">bilateral </w:t>
      </w:r>
      <w:r w:rsidR="00B72493" w:rsidRPr="00F11FA7">
        <w:rPr>
          <w:rFonts w:ascii="Cambria" w:hAnsi="Cambria"/>
          <w:sz w:val="22"/>
          <w:szCs w:val="22"/>
        </w:rPr>
        <w:t xml:space="preserve">investments under the </w:t>
      </w:r>
      <w:r w:rsidR="00C60DED" w:rsidRPr="00F11FA7">
        <w:rPr>
          <w:rFonts w:ascii="Cambria" w:hAnsi="Cambria"/>
          <w:sz w:val="22"/>
          <w:szCs w:val="22"/>
        </w:rPr>
        <w:t>Australian Partnerships for Peace (APP) program</w:t>
      </w:r>
      <w:r w:rsidR="00B72493" w:rsidRPr="00F11FA7">
        <w:rPr>
          <w:rFonts w:ascii="Cambria" w:hAnsi="Cambria"/>
          <w:sz w:val="22"/>
          <w:szCs w:val="22"/>
        </w:rPr>
        <w:t xml:space="preserve"> (thereby serving as the APP mid-term review)</w:t>
      </w:r>
      <w:r w:rsidR="00FC4BDE" w:rsidRPr="00F11FA7">
        <w:rPr>
          <w:rFonts w:ascii="Cambria" w:hAnsi="Cambria"/>
          <w:sz w:val="22"/>
          <w:szCs w:val="22"/>
        </w:rPr>
        <w:t>; b) investments implemented by multilateral mechanisms such as the World Bank, the United Nations Development Program (UNDP), and the Global Community Engagement Resilience Fund (GCERF); and c) small-value activities delivered through the Flexible Peace and Stability</w:t>
      </w:r>
      <w:r w:rsidR="006E2DBB" w:rsidRPr="00D058C1">
        <w:rPr>
          <w:rFonts w:ascii="Cambria" w:hAnsi="Cambria"/>
          <w:sz w:val="22"/>
          <w:szCs w:val="22"/>
        </w:rPr>
        <w:t xml:space="preserve"> </w:t>
      </w:r>
      <w:r w:rsidR="006E2DBB" w:rsidRPr="00F11FA7">
        <w:rPr>
          <w:rFonts w:ascii="Cambria" w:hAnsi="Cambria"/>
          <w:sz w:val="22"/>
          <w:szCs w:val="22"/>
        </w:rPr>
        <w:t>Fund</w:t>
      </w:r>
      <w:r w:rsidR="00FC4BDE" w:rsidRPr="00F11FA7">
        <w:rPr>
          <w:rFonts w:ascii="Cambria" w:hAnsi="Cambria"/>
          <w:sz w:val="22"/>
          <w:szCs w:val="22"/>
        </w:rPr>
        <w:t xml:space="preserve"> </w:t>
      </w:r>
      <w:r w:rsidR="002D5516" w:rsidRPr="00F11FA7">
        <w:rPr>
          <w:rFonts w:ascii="Cambria" w:hAnsi="Cambria"/>
          <w:sz w:val="22"/>
          <w:szCs w:val="22"/>
        </w:rPr>
        <w:t>(FPS</w:t>
      </w:r>
      <w:r w:rsidR="00D7773A" w:rsidRPr="00D058C1">
        <w:rPr>
          <w:rFonts w:ascii="Cambria" w:hAnsi="Cambria"/>
          <w:sz w:val="22"/>
          <w:szCs w:val="22"/>
        </w:rPr>
        <w:t>F</w:t>
      </w:r>
      <w:r w:rsidR="002D5516" w:rsidRPr="00F11FA7">
        <w:rPr>
          <w:rFonts w:ascii="Cambria" w:hAnsi="Cambria"/>
          <w:sz w:val="22"/>
          <w:szCs w:val="22"/>
        </w:rPr>
        <w:t>)</w:t>
      </w:r>
      <w:r w:rsidR="00E72FF8" w:rsidRPr="00F11FA7">
        <w:rPr>
          <w:rFonts w:ascii="Cambria" w:hAnsi="Cambria"/>
          <w:sz w:val="22"/>
          <w:szCs w:val="22"/>
        </w:rPr>
        <w:t xml:space="preserve">. </w:t>
      </w:r>
      <w:r w:rsidR="00A6763D" w:rsidRPr="00D058C1">
        <w:rPr>
          <w:rFonts w:ascii="Cambria" w:hAnsi="Cambria"/>
          <w:sz w:val="22"/>
          <w:szCs w:val="22"/>
        </w:rPr>
        <w:t>U</w:t>
      </w:r>
      <w:r w:rsidR="002664DF" w:rsidRPr="00F11FA7">
        <w:rPr>
          <w:rFonts w:ascii="Cambria" w:hAnsi="Cambria"/>
          <w:sz w:val="22"/>
          <w:szCs w:val="22"/>
        </w:rPr>
        <w:t>s</w:t>
      </w:r>
      <w:r w:rsidR="00A6763D" w:rsidRPr="00D058C1">
        <w:rPr>
          <w:rFonts w:ascii="Cambria" w:hAnsi="Cambria"/>
          <w:sz w:val="22"/>
          <w:szCs w:val="22"/>
        </w:rPr>
        <w:t>ing</w:t>
      </w:r>
      <w:r w:rsidR="002664DF" w:rsidRPr="00F11FA7">
        <w:rPr>
          <w:rFonts w:ascii="Cambria" w:hAnsi="Cambria"/>
          <w:sz w:val="22"/>
          <w:szCs w:val="22"/>
        </w:rPr>
        <w:t xml:space="preserve"> a set of criteria drafted by the Australian Embassy </w:t>
      </w:r>
      <w:r w:rsidR="00254997" w:rsidRPr="00F11FA7">
        <w:rPr>
          <w:rFonts w:ascii="Cambria" w:hAnsi="Cambria"/>
          <w:sz w:val="22"/>
          <w:szCs w:val="22"/>
        </w:rPr>
        <w:t>Manila</w:t>
      </w:r>
      <w:r w:rsidR="000F0F32">
        <w:rPr>
          <w:rFonts w:ascii="Cambria" w:hAnsi="Cambria"/>
          <w:sz w:val="22"/>
          <w:szCs w:val="22"/>
        </w:rPr>
        <w:t>,</w:t>
      </w:r>
      <w:r w:rsidR="00254997" w:rsidRPr="00F11FA7">
        <w:rPr>
          <w:rFonts w:ascii="Cambria" w:hAnsi="Cambria"/>
          <w:sz w:val="22"/>
          <w:szCs w:val="22"/>
        </w:rPr>
        <w:t xml:space="preserve"> </w:t>
      </w:r>
      <w:r w:rsidR="008C5388" w:rsidRPr="00F11FA7">
        <w:rPr>
          <w:rFonts w:ascii="Cambria" w:hAnsi="Cambria"/>
          <w:sz w:val="22"/>
          <w:szCs w:val="22"/>
        </w:rPr>
        <w:t xml:space="preserve">set out in its </w:t>
      </w:r>
      <w:r w:rsidR="002664DF" w:rsidRPr="00F11FA7">
        <w:rPr>
          <w:rFonts w:ascii="Cambria" w:hAnsi="Cambria"/>
          <w:sz w:val="22"/>
          <w:szCs w:val="22"/>
        </w:rPr>
        <w:t>Terms of Reference (</w:t>
      </w:r>
      <w:r w:rsidR="00177BD8" w:rsidRPr="00F11FA7">
        <w:rPr>
          <w:rFonts w:ascii="Cambria" w:hAnsi="Cambria"/>
          <w:sz w:val="22"/>
          <w:szCs w:val="22"/>
        </w:rPr>
        <w:t>A</w:t>
      </w:r>
      <w:r w:rsidR="002664DF" w:rsidRPr="00F11FA7">
        <w:rPr>
          <w:rFonts w:ascii="Cambria" w:hAnsi="Cambria"/>
          <w:sz w:val="22"/>
          <w:szCs w:val="22"/>
        </w:rPr>
        <w:t xml:space="preserve">nnex </w:t>
      </w:r>
      <w:r w:rsidR="00A26A45" w:rsidRPr="00F11FA7">
        <w:rPr>
          <w:rFonts w:ascii="Cambria" w:hAnsi="Cambria"/>
          <w:sz w:val="22"/>
          <w:szCs w:val="22"/>
        </w:rPr>
        <w:t>A</w:t>
      </w:r>
      <w:r w:rsidR="002664DF" w:rsidRPr="00F11FA7">
        <w:rPr>
          <w:rFonts w:ascii="Cambria" w:hAnsi="Cambria"/>
          <w:sz w:val="22"/>
          <w:szCs w:val="22"/>
        </w:rPr>
        <w:t>)</w:t>
      </w:r>
      <w:r w:rsidR="00A6763D" w:rsidRPr="00D058C1">
        <w:rPr>
          <w:rFonts w:ascii="Cambria" w:hAnsi="Cambria"/>
          <w:sz w:val="22"/>
          <w:szCs w:val="22"/>
        </w:rPr>
        <w:t xml:space="preserve">, the review </w:t>
      </w:r>
      <w:r w:rsidR="007B5AFD">
        <w:rPr>
          <w:rFonts w:ascii="Cambria" w:hAnsi="Cambria"/>
          <w:sz w:val="22"/>
          <w:szCs w:val="22"/>
        </w:rPr>
        <w:t xml:space="preserve">also </w:t>
      </w:r>
      <w:r w:rsidR="00A6763D" w:rsidRPr="00D058C1">
        <w:rPr>
          <w:rFonts w:ascii="Cambria" w:hAnsi="Cambria"/>
          <w:sz w:val="22"/>
          <w:szCs w:val="22"/>
        </w:rPr>
        <w:t xml:space="preserve">aims to </w:t>
      </w:r>
      <w:r w:rsidR="00A6763D" w:rsidRPr="00F11FA7">
        <w:rPr>
          <w:rFonts w:ascii="Cambria" w:hAnsi="Cambria"/>
          <w:sz w:val="22"/>
          <w:szCs w:val="22"/>
        </w:rPr>
        <w:t>provide strategic advice on Australia’s wider support for peace in the region</w:t>
      </w:r>
      <w:r w:rsidR="002664DF" w:rsidRPr="00F11FA7">
        <w:rPr>
          <w:rFonts w:ascii="Cambria" w:hAnsi="Cambria"/>
          <w:sz w:val="22"/>
          <w:szCs w:val="22"/>
        </w:rPr>
        <w:t>.</w:t>
      </w:r>
      <w:r w:rsidR="006254B8">
        <w:rPr>
          <w:rFonts w:ascii="Cambria" w:hAnsi="Cambria"/>
          <w:sz w:val="22"/>
          <w:szCs w:val="22"/>
        </w:rPr>
        <w:t xml:space="preserve"> </w:t>
      </w:r>
    </w:p>
    <w:p w14:paraId="78CDB023" w14:textId="77777777" w:rsidR="00D03F3A" w:rsidRDefault="00D03F3A" w:rsidP="00A928D6">
      <w:pPr>
        <w:pStyle w:val="ListParagraph"/>
        <w:ind w:left="360"/>
        <w:jc w:val="both"/>
        <w:rPr>
          <w:rFonts w:ascii="Cambria" w:hAnsi="Cambria"/>
          <w:sz w:val="22"/>
          <w:szCs w:val="22"/>
        </w:rPr>
      </w:pPr>
    </w:p>
    <w:p w14:paraId="1CE785C3" w14:textId="6E341C3D" w:rsidR="008E7989" w:rsidRPr="00A928D6" w:rsidRDefault="006254B8" w:rsidP="00A928D6">
      <w:pPr>
        <w:pStyle w:val="ListParagraph"/>
        <w:numPr>
          <w:ilvl w:val="0"/>
          <w:numId w:val="77"/>
        </w:numPr>
        <w:jc w:val="both"/>
        <w:rPr>
          <w:rFonts w:ascii="Cambria" w:hAnsi="Cambria"/>
          <w:sz w:val="22"/>
          <w:szCs w:val="22"/>
        </w:rPr>
      </w:pPr>
      <w:r w:rsidRPr="0033507E">
        <w:rPr>
          <w:rFonts w:ascii="Cambria" w:hAnsi="Cambria"/>
          <w:sz w:val="22"/>
          <w:szCs w:val="22"/>
        </w:rPr>
        <w:t xml:space="preserve">The assessments herein are based on </w:t>
      </w:r>
      <w:r>
        <w:rPr>
          <w:rFonts w:ascii="Cambria" w:hAnsi="Cambria"/>
          <w:sz w:val="22"/>
          <w:szCs w:val="22"/>
        </w:rPr>
        <w:t>available documents</w:t>
      </w:r>
      <w:r w:rsidR="00305046">
        <w:rPr>
          <w:rStyle w:val="FootnoteReference"/>
          <w:rFonts w:ascii="Cambria" w:hAnsi="Cambria"/>
          <w:sz w:val="22"/>
          <w:szCs w:val="22"/>
        </w:rPr>
        <w:footnoteReference w:id="3"/>
      </w:r>
      <w:r>
        <w:rPr>
          <w:rFonts w:ascii="Cambria" w:hAnsi="Cambria"/>
          <w:sz w:val="22"/>
          <w:szCs w:val="22"/>
        </w:rPr>
        <w:t xml:space="preserve"> and </w:t>
      </w:r>
      <w:r w:rsidRPr="0033507E">
        <w:rPr>
          <w:rFonts w:ascii="Cambria" w:hAnsi="Cambria"/>
          <w:sz w:val="22"/>
          <w:szCs w:val="22"/>
        </w:rPr>
        <w:t>interviews with APP, multilateral, and selected F</w:t>
      </w:r>
      <w:r w:rsidR="00E20F53">
        <w:rPr>
          <w:rFonts w:ascii="Cambria" w:hAnsi="Cambria"/>
          <w:sz w:val="22"/>
          <w:szCs w:val="22"/>
        </w:rPr>
        <w:t xml:space="preserve">lexible </w:t>
      </w:r>
      <w:r w:rsidRPr="0033507E">
        <w:rPr>
          <w:rFonts w:ascii="Cambria" w:hAnsi="Cambria"/>
          <w:sz w:val="22"/>
          <w:szCs w:val="22"/>
        </w:rPr>
        <w:t>P</w:t>
      </w:r>
      <w:r w:rsidR="00E20F53">
        <w:rPr>
          <w:rFonts w:ascii="Cambria" w:hAnsi="Cambria"/>
          <w:sz w:val="22"/>
          <w:szCs w:val="22"/>
        </w:rPr>
        <w:t xml:space="preserve">eace and </w:t>
      </w:r>
      <w:r w:rsidRPr="0033507E">
        <w:rPr>
          <w:rFonts w:ascii="Cambria" w:hAnsi="Cambria"/>
          <w:sz w:val="22"/>
          <w:szCs w:val="22"/>
        </w:rPr>
        <w:t>S</w:t>
      </w:r>
      <w:r w:rsidR="00E20F53">
        <w:rPr>
          <w:rFonts w:ascii="Cambria" w:hAnsi="Cambria"/>
          <w:sz w:val="22"/>
          <w:szCs w:val="22"/>
        </w:rPr>
        <w:t xml:space="preserve">tability </w:t>
      </w:r>
      <w:r w:rsidRPr="0033507E">
        <w:rPr>
          <w:rFonts w:ascii="Cambria" w:hAnsi="Cambria"/>
          <w:sz w:val="22"/>
          <w:szCs w:val="22"/>
        </w:rPr>
        <w:t>F</w:t>
      </w:r>
      <w:r w:rsidR="00E20F53">
        <w:rPr>
          <w:rFonts w:ascii="Cambria" w:hAnsi="Cambria"/>
          <w:sz w:val="22"/>
          <w:szCs w:val="22"/>
        </w:rPr>
        <w:t>und</w:t>
      </w:r>
      <w:r w:rsidRPr="0033507E">
        <w:rPr>
          <w:rFonts w:ascii="Cambria" w:hAnsi="Cambria"/>
          <w:sz w:val="22"/>
          <w:szCs w:val="22"/>
        </w:rPr>
        <w:t xml:space="preserve"> </w:t>
      </w:r>
      <w:r w:rsidR="00FE3C48">
        <w:rPr>
          <w:rFonts w:ascii="Cambria" w:hAnsi="Cambria"/>
          <w:sz w:val="22"/>
          <w:szCs w:val="22"/>
        </w:rPr>
        <w:t xml:space="preserve">(FPSF) </w:t>
      </w:r>
      <w:r w:rsidRPr="0033507E">
        <w:rPr>
          <w:rFonts w:ascii="Cambria" w:hAnsi="Cambria"/>
          <w:sz w:val="22"/>
          <w:szCs w:val="22"/>
        </w:rPr>
        <w:t>partners,</w:t>
      </w:r>
      <w:r w:rsidR="00E20F53">
        <w:rPr>
          <w:rFonts w:ascii="Cambria" w:hAnsi="Cambria"/>
          <w:sz w:val="22"/>
          <w:szCs w:val="22"/>
        </w:rPr>
        <w:t xml:space="preserve"> </w:t>
      </w:r>
      <w:r w:rsidR="00E20F53" w:rsidRPr="0033507E">
        <w:rPr>
          <w:rFonts w:ascii="Cambria" w:hAnsi="Cambria"/>
          <w:sz w:val="22"/>
          <w:szCs w:val="22"/>
        </w:rPr>
        <w:t>government officials</w:t>
      </w:r>
      <w:r w:rsidR="00FE3C48">
        <w:rPr>
          <w:rFonts w:ascii="Cambria" w:hAnsi="Cambria"/>
          <w:sz w:val="22"/>
          <w:szCs w:val="22"/>
        </w:rPr>
        <w:t>,</w:t>
      </w:r>
      <w:r w:rsidR="00E20F53" w:rsidRPr="0033507E">
        <w:rPr>
          <w:rFonts w:ascii="Cambria" w:hAnsi="Cambria"/>
          <w:sz w:val="22"/>
          <w:szCs w:val="22"/>
        </w:rPr>
        <w:t xml:space="preserve"> </w:t>
      </w:r>
      <w:r w:rsidRPr="0033507E">
        <w:rPr>
          <w:rFonts w:ascii="Cambria" w:hAnsi="Cambria"/>
          <w:sz w:val="22"/>
          <w:szCs w:val="22"/>
        </w:rPr>
        <w:t>development partners, and key stakeholders in the BARMM</w:t>
      </w:r>
      <w:r w:rsidR="00E20F53">
        <w:rPr>
          <w:rFonts w:ascii="Cambria" w:hAnsi="Cambria"/>
          <w:sz w:val="22"/>
          <w:szCs w:val="22"/>
        </w:rPr>
        <w:t>. These interviews</w:t>
      </w:r>
      <w:r w:rsidRPr="0033507E">
        <w:rPr>
          <w:rFonts w:ascii="Cambria" w:hAnsi="Cambria"/>
          <w:sz w:val="22"/>
          <w:szCs w:val="22"/>
        </w:rPr>
        <w:t xml:space="preserve"> were conducted in in Manila and the cities of Cotabato, Iligan, Zamboanga, and Cagayan de Oro from 3-26 February 2020 (refer to Annex B for the list).  </w:t>
      </w:r>
    </w:p>
    <w:p w14:paraId="27F42270" w14:textId="77777777" w:rsidR="002664DF" w:rsidRPr="00D058C1" w:rsidRDefault="002664DF" w:rsidP="00D07C51">
      <w:pPr>
        <w:jc w:val="both"/>
        <w:rPr>
          <w:rFonts w:ascii="Cambria" w:hAnsi="Cambria"/>
          <w:sz w:val="22"/>
          <w:szCs w:val="22"/>
        </w:rPr>
      </w:pPr>
    </w:p>
    <w:p w14:paraId="790347F4" w14:textId="621F37EE" w:rsidR="008E7989" w:rsidRPr="00A928D6" w:rsidRDefault="002664DF" w:rsidP="00A928D6">
      <w:pPr>
        <w:pStyle w:val="ListParagraph"/>
        <w:numPr>
          <w:ilvl w:val="0"/>
          <w:numId w:val="77"/>
        </w:numPr>
        <w:jc w:val="both"/>
        <w:rPr>
          <w:rFonts w:ascii="Cambria" w:hAnsi="Cambria"/>
          <w:sz w:val="22"/>
          <w:szCs w:val="22"/>
        </w:rPr>
      </w:pPr>
      <w:r w:rsidRPr="00F11FA7">
        <w:rPr>
          <w:rFonts w:ascii="Cambria" w:hAnsi="Cambria"/>
          <w:sz w:val="22"/>
          <w:szCs w:val="22"/>
        </w:rPr>
        <w:t xml:space="preserve">The Australian Embassy Manila identified </w:t>
      </w:r>
      <w:r w:rsidR="00254997" w:rsidRPr="00F11FA7">
        <w:rPr>
          <w:rFonts w:ascii="Cambria" w:hAnsi="Cambria"/>
          <w:sz w:val="22"/>
          <w:szCs w:val="22"/>
        </w:rPr>
        <w:t>two key changes in context which</w:t>
      </w:r>
      <w:r w:rsidR="000F43D2" w:rsidRPr="00F11FA7">
        <w:rPr>
          <w:rFonts w:ascii="Cambria" w:hAnsi="Cambria"/>
          <w:sz w:val="22"/>
          <w:szCs w:val="22"/>
        </w:rPr>
        <w:t xml:space="preserve"> </w:t>
      </w:r>
      <w:r w:rsidR="00254997" w:rsidRPr="00F11FA7">
        <w:rPr>
          <w:rFonts w:ascii="Cambria" w:hAnsi="Cambria"/>
          <w:sz w:val="22"/>
          <w:szCs w:val="22"/>
        </w:rPr>
        <w:t>impacted</w:t>
      </w:r>
      <w:r w:rsidRPr="00F11FA7">
        <w:rPr>
          <w:rFonts w:ascii="Cambria" w:hAnsi="Cambria"/>
          <w:sz w:val="22"/>
          <w:szCs w:val="22"/>
        </w:rPr>
        <w:t xml:space="preserve"> current activities</w:t>
      </w:r>
      <w:r w:rsidR="00B05582">
        <w:rPr>
          <w:rFonts w:ascii="Cambria" w:hAnsi="Cambria"/>
          <w:sz w:val="22"/>
          <w:szCs w:val="22"/>
        </w:rPr>
        <w:t>. The first is</w:t>
      </w:r>
      <w:r w:rsidRPr="00F11FA7">
        <w:rPr>
          <w:rFonts w:ascii="Cambria" w:hAnsi="Cambria"/>
          <w:sz w:val="22"/>
          <w:szCs w:val="22"/>
        </w:rPr>
        <w:t xml:space="preserve"> the</w:t>
      </w:r>
      <w:r w:rsidR="00A93580" w:rsidRPr="00F11FA7">
        <w:rPr>
          <w:rFonts w:ascii="Cambria" w:hAnsi="Cambria"/>
          <w:sz w:val="22"/>
          <w:szCs w:val="22"/>
        </w:rPr>
        <w:t xml:space="preserve"> </w:t>
      </w:r>
      <w:r w:rsidR="008C1EEE">
        <w:rPr>
          <w:rFonts w:ascii="Cambria" w:hAnsi="Cambria"/>
          <w:sz w:val="22"/>
          <w:szCs w:val="22"/>
        </w:rPr>
        <w:t xml:space="preserve">late </w:t>
      </w:r>
      <w:r w:rsidR="00A93580" w:rsidRPr="00F11FA7">
        <w:rPr>
          <w:rFonts w:ascii="Cambria" w:hAnsi="Cambria"/>
          <w:sz w:val="22"/>
          <w:szCs w:val="22"/>
        </w:rPr>
        <w:t>201</w:t>
      </w:r>
      <w:r w:rsidR="000F0F32">
        <w:rPr>
          <w:rFonts w:ascii="Cambria" w:hAnsi="Cambria"/>
          <w:sz w:val="22"/>
          <w:szCs w:val="22"/>
        </w:rPr>
        <w:t>8</w:t>
      </w:r>
      <w:r w:rsidRPr="00F11FA7">
        <w:rPr>
          <w:rFonts w:ascii="Cambria" w:hAnsi="Cambria"/>
          <w:sz w:val="22"/>
          <w:szCs w:val="22"/>
        </w:rPr>
        <w:t xml:space="preserve"> </w:t>
      </w:r>
      <w:r w:rsidR="0039011B" w:rsidRPr="00F11FA7">
        <w:rPr>
          <w:rFonts w:ascii="Cambria" w:hAnsi="Cambria"/>
          <w:sz w:val="22"/>
          <w:szCs w:val="22"/>
        </w:rPr>
        <w:t>passage of the Bangsamoro Organic Law (BOL)</w:t>
      </w:r>
      <w:r w:rsidR="00C657BF">
        <w:rPr>
          <w:rFonts w:ascii="Cambria" w:hAnsi="Cambria"/>
          <w:sz w:val="22"/>
          <w:szCs w:val="22"/>
        </w:rPr>
        <w:t xml:space="preserve">, or </w:t>
      </w:r>
      <w:r w:rsidR="0039011B" w:rsidRPr="00F11FA7">
        <w:rPr>
          <w:rFonts w:ascii="Cambria" w:hAnsi="Cambria"/>
          <w:sz w:val="22"/>
          <w:szCs w:val="22"/>
        </w:rPr>
        <w:t xml:space="preserve">RA </w:t>
      </w:r>
      <w:r w:rsidR="00942855" w:rsidRPr="00F11FA7">
        <w:rPr>
          <w:rFonts w:ascii="Cambria" w:hAnsi="Cambria"/>
          <w:sz w:val="22"/>
          <w:szCs w:val="22"/>
        </w:rPr>
        <w:t>No. 11054</w:t>
      </w:r>
      <w:r w:rsidR="00C657BF">
        <w:rPr>
          <w:rFonts w:ascii="Cambria" w:hAnsi="Cambria"/>
          <w:sz w:val="22"/>
          <w:szCs w:val="22"/>
        </w:rPr>
        <w:t>,</w:t>
      </w:r>
      <w:r w:rsidR="0039011B" w:rsidRPr="00F11FA7">
        <w:rPr>
          <w:rFonts w:ascii="Cambria" w:hAnsi="Cambria"/>
          <w:sz w:val="22"/>
          <w:szCs w:val="22"/>
        </w:rPr>
        <w:t xml:space="preserve"> </w:t>
      </w:r>
      <w:r w:rsidR="000F0F32">
        <w:rPr>
          <w:rFonts w:ascii="Cambria" w:hAnsi="Cambria"/>
          <w:sz w:val="22"/>
          <w:szCs w:val="22"/>
        </w:rPr>
        <w:t xml:space="preserve">and its ratification in </w:t>
      </w:r>
      <w:r w:rsidR="008C1EEE">
        <w:rPr>
          <w:rFonts w:ascii="Cambria" w:hAnsi="Cambria"/>
          <w:sz w:val="22"/>
          <w:szCs w:val="22"/>
        </w:rPr>
        <w:t xml:space="preserve">early </w:t>
      </w:r>
      <w:r w:rsidR="000F0F32">
        <w:rPr>
          <w:rFonts w:ascii="Cambria" w:hAnsi="Cambria"/>
          <w:sz w:val="22"/>
          <w:szCs w:val="22"/>
        </w:rPr>
        <w:t xml:space="preserve">2019 </w:t>
      </w:r>
      <w:r w:rsidR="0039011B" w:rsidRPr="00F11FA7">
        <w:rPr>
          <w:rFonts w:ascii="Cambria" w:hAnsi="Cambria"/>
          <w:sz w:val="22"/>
          <w:szCs w:val="22"/>
        </w:rPr>
        <w:t>which triggered the following:  (</w:t>
      </w:r>
      <w:proofErr w:type="spellStart"/>
      <w:r w:rsidR="0039011B" w:rsidRPr="00F11FA7">
        <w:rPr>
          <w:rFonts w:ascii="Cambria" w:hAnsi="Cambria"/>
          <w:sz w:val="22"/>
          <w:szCs w:val="22"/>
        </w:rPr>
        <w:t>i</w:t>
      </w:r>
      <w:proofErr w:type="spellEnd"/>
      <w:r w:rsidR="0039011B" w:rsidRPr="00F11FA7">
        <w:rPr>
          <w:rFonts w:ascii="Cambria" w:hAnsi="Cambria"/>
          <w:sz w:val="22"/>
          <w:szCs w:val="22"/>
        </w:rPr>
        <w:t>) establishment of the new Bangsamoro Autonomous Region in Muslim Mindanao (BARMM)</w:t>
      </w:r>
      <w:r w:rsidR="00B05582">
        <w:rPr>
          <w:rFonts w:ascii="Cambria" w:hAnsi="Cambria"/>
          <w:sz w:val="22"/>
          <w:szCs w:val="22"/>
        </w:rPr>
        <w:t>;</w:t>
      </w:r>
      <w:r w:rsidR="0039011B" w:rsidRPr="00F11FA7">
        <w:rPr>
          <w:rFonts w:ascii="Cambria" w:hAnsi="Cambria"/>
          <w:sz w:val="22"/>
          <w:szCs w:val="22"/>
        </w:rPr>
        <w:t xml:space="preserve"> (ii) the challenge of effective governance on the newly-established BARMM</w:t>
      </w:r>
      <w:r w:rsidR="004C2A51" w:rsidRPr="00F11FA7">
        <w:rPr>
          <w:rFonts w:ascii="Cambria" w:hAnsi="Cambria"/>
          <w:sz w:val="22"/>
          <w:szCs w:val="22"/>
        </w:rPr>
        <w:t xml:space="preserve"> to strengthen its legitimacy</w:t>
      </w:r>
      <w:r w:rsidR="00B05582">
        <w:rPr>
          <w:rFonts w:ascii="Cambria" w:hAnsi="Cambria"/>
          <w:sz w:val="22"/>
          <w:szCs w:val="22"/>
        </w:rPr>
        <w:t>;</w:t>
      </w:r>
      <w:r w:rsidR="0039011B" w:rsidRPr="00F11FA7">
        <w:rPr>
          <w:rFonts w:ascii="Cambria" w:hAnsi="Cambria"/>
          <w:sz w:val="22"/>
          <w:szCs w:val="22"/>
        </w:rPr>
        <w:t xml:space="preserve"> (iii) decommissioning of the remaining MILF combatants and the transformation of MILF camps into prosperous communities</w:t>
      </w:r>
      <w:r w:rsidR="00B05582">
        <w:rPr>
          <w:rFonts w:ascii="Cambria" w:hAnsi="Cambria"/>
          <w:sz w:val="22"/>
          <w:szCs w:val="22"/>
        </w:rPr>
        <w:t>;</w:t>
      </w:r>
      <w:r w:rsidR="0039011B" w:rsidRPr="00F11FA7">
        <w:rPr>
          <w:rFonts w:ascii="Cambria" w:hAnsi="Cambria"/>
          <w:sz w:val="22"/>
          <w:szCs w:val="22"/>
        </w:rPr>
        <w:t xml:space="preserve"> and (iv) transformation of the MILF from</w:t>
      </w:r>
      <w:r w:rsidR="007B5AFD">
        <w:rPr>
          <w:rFonts w:ascii="Cambria" w:hAnsi="Cambria"/>
          <w:sz w:val="22"/>
          <w:szCs w:val="22"/>
        </w:rPr>
        <w:t xml:space="preserve"> a</w:t>
      </w:r>
      <w:r w:rsidR="0039011B" w:rsidRPr="00F11FA7">
        <w:rPr>
          <w:rFonts w:ascii="Cambria" w:hAnsi="Cambria"/>
          <w:sz w:val="22"/>
          <w:szCs w:val="22"/>
        </w:rPr>
        <w:t xml:space="preserve">  revolutionary</w:t>
      </w:r>
      <w:r w:rsidR="00C657BF">
        <w:rPr>
          <w:rFonts w:ascii="Cambria" w:hAnsi="Cambria"/>
          <w:sz w:val="22"/>
          <w:szCs w:val="22"/>
        </w:rPr>
        <w:t xml:space="preserve"> non-state armed group</w:t>
      </w:r>
      <w:r w:rsidR="0039011B" w:rsidRPr="00F11FA7">
        <w:rPr>
          <w:rFonts w:ascii="Cambria" w:hAnsi="Cambria"/>
          <w:sz w:val="22"/>
          <w:szCs w:val="22"/>
        </w:rPr>
        <w:t xml:space="preserve"> to a social and political movement</w:t>
      </w:r>
      <w:r w:rsidR="00B05582">
        <w:rPr>
          <w:rFonts w:ascii="Cambria" w:hAnsi="Cambria"/>
          <w:sz w:val="22"/>
          <w:szCs w:val="22"/>
        </w:rPr>
        <w:t xml:space="preserve">. The second is </w:t>
      </w:r>
      <w:r w:rsidR="004C2A51" w:rsidRPr="00F11FA7">
        <w:rPr>
          <w:rFonts w:ascii="Cambria" w:hAnsi="Cambria"/>
          <w:sz w:val="22"/>
          <w:szCs w:val="22"/>
        </w:rPr>
        <w:t xml:space="preserve">the </w:t>
      </w:r>
      <w:r w:rsidR="00A93580" w:rsidRPr="00F11FA7">
        <w:rPr>
          <w:rFonts w:ascii="Cambria" w:hAnsi="Cambria"/>
          <w:sz w:val="22"/>
          <w:szCs w:val="22"/>
        </w:rPr>
        <w:t xml:space="preserve">2017 </w:t>
      </w:r>
      <w:r w:rsidR="004C2A51" w:rsidRPr="00F11FA7">
        <w:rPr>
          <w:rFonts w:ascii="Cambria" w:hAnsi="Cambria"/>
          <w:sz w:val="22"/>
          <w:szCs w:val="22"/>
        </w:rPr>
        <w:t xml:space="preserve">assault and occupation of Marawi City by violent extremist (VE) groups whose defeat resulted in a new set of problems:  (a) the </w:t>
      </w:r>
      <w:r w:rsidR="00B10D1D" w:rsidRPr="00F11FA7">
        <w:rPr>
          <w:rFonts w:ascii="Cambria" w:hAnsi="Cambria"/>
          <w:sz w:val="22"/>
          <w:szCs w:val="22"/>
        </w:rPr>
        <w:t xml:space="preserve">destruction and </w:t>
      </w:r>
      <w:r w:rsidR="004C2A51" w:rsidRPr="00F11FA7">
        <w:rPr>
          <w:rFonts w:ascii="Cambria" w:hAnsi="Cambria"/>
          <w:sz w:val="22"/>
          <w:szCs w:val="22"/>
        </w:rPr>
        <w:t>delayed reconstruction of Marawi City</w:t>
      </w:r>
      <w:r w:rsidR="00B10D1D" w:rsidRPr="00F11FA7">
        <w:rPr>
          <w:rFonts w:ascii="Cambria" w:hAnsi="Cambria"/>
          <w:sz w:val="22"/>
          <w:szCs w:val="22"/>
        </w:rPr>
        <w:t>’s urban core</w:t>
      </w:r>
      <w:r w:rsidR="00B05582">
        <w:rPr>
          <w:rFonts w:ascii="Cambria" w:hAnsi="Cambria"/>
          <w:sz w:val="22"/>
          <w:szCs w:val="22"/>
        </w:rPr>
        <w:t>;</w:t>
      </w:r>
      <w:r w:rsidR="004C2A51" w:rsidRPr="00F11FA7">
        <w:rPr>
          <w:rFonts w:ascii="Cambria" w:hAnsi="Cambria"/>
          <w:sz w:val="22"/>
          <w:szCs w:val="22"/>
        </w:rPr>
        <w:t xml:space="preserve"> (b) addressing the needs of Marawi residents who have </w:t>
      </w:r>
      <w:r w:rsidR="00052E40" w:rsidRPr="00F11FA7">
        <w:rPr>
          <w:rFonts w:ascii="Cambria" w:hAnsi="Cambria"/>
          <w:sz w:val="22"/>
          <w:szCs w:val="22"/>
        </w:rPr>
        <w:t xml:space="preserve">been </w:t>
      </w:r>
      <w:r w:rsidR="004C2A51" w:rsidRPr="00F11FA7">
        <w:rPr>
          <w:rFonts w:ascii="Cambria" w:hAnsi="Cambria"/>
          <w:sz w:val="22"/>
          <w:szCs w:val="22"/>
        </w:rPr>
        <w:t xml:space="preserve">displaced for </w:t>
      </w:r>
      <w:r w:rsidR="00E62CD9">
        <w:rPr>
          <w:rFonts w:ascii="Cambria" w:hAnsi="Cambria"/>
          <w:sz w:val="22"/>
          <w:szCs w:val="22"/>
        </w:rPr>
        <w:t xml:space="preserve">almost three </w:t>
      </w:r>
      <w:r w:rsidR="004C2A51" w:rsidRPr="00F11FA7">
        <w:rPr>
          <w:rFonts w:ascii="Cambria" w:hAnsi="Cambria"/>
          <w:sz w:val="22"/>
          <w:szCs w:val="22"/>
        </w:rPr>
        <w:t>years</w:t>
      </w:r>
      <w:r w:rsidR="007B5AFD">
        <w:rPr>
          <w:rFonts w:ascii="Cambria" w:hAnsi="Cambria"/>
          <w:sz w:val="22"/>
          <w:szCs w:val="22"/>
        </w:rPr>
        <w:t xml:space="preserve"> </w:t>
      </w:r>
      <w:r w:rsidR="00E62CD9">
        <w:rPr>
          <w:rFonts w:ascii="Cambria" w:hAnsi="Cambria"/>
          <w:sz w:val="22"/>
          <w:szCs w:val="22"/>
        </w:rPr>
        <w:t>and counting</w:t>
      </w:r>
      <w:r w:rsidR="00B05582">
        <w:rPr>
          <w:rFonts w:ascii="Cambria" w:hAnsi="Cambria"/>
          <w:sz w:val="22"/>
          <w:szCs w:val="22"/>
        </w:rPr>
        <w:t>;</w:t>
      </w:r>
      <w:r w:rsidR="004C2A51" w:rsidRPr="00F11FA7">
        <w:rPr>
          <w:rFonts w:ascii="Cambria" w:hAnsi="Cambria"/>
          <w:sz w:val="22"/>
          <w:szCs w:val="22"/>
        </w:rPr>
        <w:t xml:space="preserve"> and (c) the continuing challenge of VE groups within and outside the Bangsamoro region.   </w:t>
      </w:r>
    </w:p>
    <w:p w14:paraId="2DED5F68" w14:textId="41A8B04B" w:rsidR="00254997" w:rsidRPr="00D058C1" w:rsidRDefault="0049700F" w:rsidP="0049700F">
      <w:pPr>
        <w:tabs>
          <w:tab w:val="left" w:pos="6343"/>
        </w:tabs>
        <w:jc w:val="both"/>
        <w:rPr>
          <w:rFonts w:ascii="Cambria" w:hAnsi="Cambria"/>
          <w:sz w:val="22"/>
          <w:szCs w:val="22"/>
        </w:rPr>
      </w:pPr>
      <w:r w:rsidRPr="00D058C1">
        <w:rPr>
          <w:rFonts w:ascii="Cambria" w:hAnsi="Cambria"/>
          <w:sz w:val="22"/>
          <w:szCs w:val="22"/>
        </w:rPr>
        <w:tab/>
      </w:r>
    </w:p>
    <w:p w14:paraId="5B89E58A" w14:textId="08917F18" w:rsidR="00254997" w:rsidRPr="00A928D6" w:rsidRDefault="00254997" w:rsidP="006254B8">
      <w:pPr>
        <w:pStyle w:val="ListParagraph"/>
        <w:numPr>
          <w:ilvl w:val="0"/>
          <w:numId w:val="77"/>
        </w:numPr>
        <w:tabs>
          <w:tab w:val="left" w:pos="709"/>
          <w:tab w:val="left" w:pos="6096"/>
        </w:tabs>
        <w:jc w:val="both"/>
        <w:rPr>
          <w:rFonts w:ascii="Cambria" w:hAnsi="Cambria"/>
          <w:sz w:val="22"/>
          <w:szCs w:val="22"/>
        </w:rPr>
      </w:pPr>
      <w:r w:rsidRPr="00F11FA7">
        <w:rPr>
          <w:rFonts w:ascii="Cambria" w:hAnsi="Cambria"/>
          <w:sz w:val="22"/>
          <w:szCs w:val="22"/>
        </w:rPr>
        <w:t xml:space="preserve">The </w:t>
      </w:r>
      <w:r w:rsidR="001F57F5">
        <w:rPr>
          <w:rFonts w:ascii="Cambria" w:hAnsi="Cambria"/>
          <w:sz w:val="22"/>
          <w:szCs w:val="22"/>
        </w:rPr>
        <w:t xml:space="preserve">review team presented its initial findings at a meeting with the Australian Embassy, chaired by Deputy Head of Mission Richard Sisson on 10 March 2020. </w:t>
      </w:r>
      <w:r w:rsidR="001F57F5" w:rsidRPr="00A928D6">
        <w:rPr>
          <w:rFonts w:ascii="Cambria" w:hAnsi="Cambria"/>
          <w:sz w:val="22"/>
          <w:szCs w:val="22"/>
        </w:rPr>
        <w:t xml:space="preserve">This Report </w:t>
      </w:r>
      <w:r w:rsidR="006556B1" w:rsidRPr="00A928D6">
        <w:rPr>
          <w:rFonts w:ascii="Cambria" w:hAnsi="Cambria"/>
          <w:sz w:val="22"/>
          <w:szCs w:val="22"/>
        </w:rPr>
        <w:t xml:space="preserve">elaborates on the team’s initial assessments, addressing comments made by Australian Embassy staff during and after the presentation. </w:t>
      </w:r>
      <w:r w:rsidR="00D473AA" w:rsidRPr="00A928D6">
        <w:rPr>
          <w:rFonts w:ascii="Cambria" w:hAnsi="Cambria"/>
          <w:sz w:val="22"/>
          <w:szCs w:val="22"/>
        </w:rPr>
        <w:t>The findings and recommendations have been enriched by the knowledge and insights of the team members</w:t>
      </w:r>
      <w:r w:rsidR="00534285" w:rsidRPr="00A928D6">
        <w:rPr>
          <w:rFonts w:ascii="Cambria" w:hAnsi="Cambria"/>
          <w:sz w:val="22"/>
          <w:szCs w:val="22"/>
        </w:rPr>
        <w:t>, each of</w:t>
      </w:r>
      <w:r w:rsidR="00D473AA" w:rsidRPr="00A928D6">
        <w:rPr>
          <w:rFonts w:ascii="Cambria" w:hAnsi="Cambria"/>
          <w:sz w:val="22"/>
          <w:szCs w:val="22"/>
        </w:rPr>
        <w:t xml:space="preserve"> who</w:t>
      </w:r>
      <w:r w:rsidR="00534285" w:rsidRPr="00A928D6">
        <w:rPr>
          <w:rFonts w:ascii="Cambria" w:hAnsi="Cambria"/>
          <w:sz w:val="22"/>
          <w:szCs w:val="22"/>
        </w:rPr>
        <w:t>m</w:t>
      </w:r>
      <w:r w:rsidR="00D473AA" w:rsidRPr="00A928D6">
        <w:rPr>
          <w:rFonts w:ascii="Cambria" w:hAnsi="Cambria"/>
          <w:sz w:val="22"/>
          <w:szCs w:val="22"/>
        </w:rPr>
        <w:t xml:space="preserve"> ha</w:t>
      </w:r>
      <w:r w:rsidR="00534285" w:rsidRPr="00A928D6">
        <w:rPr>
          <w:rFonts w:ascii="Cambria" w:hAnsi="Cambria"/>
          <w:sz w:val="22"/>
          <w:szCs w:val="22"/>
        </w:rPr>
        <w:t>s</w:t>
      </w:r>
      <w:r w:rsidR="00D473AA" w:rsidRPr="00A928D6">
        <w:rPr>
          <w:rFonts w:ascii="Cambria" w:hAnsi="Cambria"/>
          <w:sz w:val="22"/>
          <w:szCs w:val="22"/>
        </w:rPr>
        <w:t xml:space="preserve"> more than a decade </w:t>
      </w:r>
      <w:r w:rsidR="00A81D5D" w:rsidRPr="00A928D6">
        <w:rPr>
          <w:rFonts w:ascii="Cambria" w:hAnsi="Cambria"/>
          <w:sz w:val="22"/>
          <w:szCs w:val="22"/>
        </w:rPr>
        <w:t xml:space="preserve">of </w:t>
      </w:r>
      <w:r w:rsidR="00D473AA" w:rsidRPr="00A928D6">
        <w:rPr>
          <w:rFonts w:ascii="Cambria" w:hAnsi="Cambria"/>
          <w:sz w:val="22"/>
          <w:szCs w:val="22"/>
        </w:rPr>
        <w:t xml:space="preserve">experience </w:t>
      </w:r>
      <w:r w:rsidR="00A81D5D" w:rsidRPr="00A928D6">
        <w:rPr>
          <w:rFonts w:ascii="Cambria" w:hAnsi="Cambria"/>
          <w:sz w:val="22"/>
          <w:szCs w:val="22"/>
        </w:rPr>
        <w:t>working o</w:t>
      </w:r>
      <w:r w:rsidR="00D473AA" w:rsidRPr="00A928D6">
        <w:rPr>
          <w:rFonts w:ascii="Cambria" w:hAnsi="Cambria"/>
          <w:sz w:val="22"/>
          <w:szCs w:val="22"/>
        </w:rPr>
        <w:t xml:space="preserve">n the Bangsamoro peace process and the region’s major development challenges. </w:t>
      </w:r>
    </w:p>
    <w:p w14:paraId="0DEC4BBD" w14:textId="77777777" w:rsidR="008E7989" w:rsidRDefault="008E7989" w:rsidP="00A928D6">
      <w:pPr>
        <w:pStyle w:val="ListParagraph"/>
        <w:rPr>
          <w:rFonts w:ascii="Cambria" w:hAnsi="Cambria"/>
          <w:sz w:val="22"/>
          <w:szCs w:val="22"/>
        </w:rPr>
      </w:pPr>
    </w:p>
    <w:p w14:paraId="444D10F3" w14:textId="50C57D94" w:rsidR="00A70467" w:rsidRPr="00D058C1" w:rsidRDefault="002664DF" w:rsidP="00490155">
      <w:pPr>
        <w:pStyle w:val="Heading1"/>
        <w:rPr>
          <w:rFonts w:ascii="Cambria" w:hAnsi="Cambria"/>
          <w:b/>
          <w:sz w:val="22"/>
          <w:szCs w:val="22"/>
        </w:rPr>
      </w:pPr>
      <w:r w:rsidRPr="00D058C1">
        <w:rPr>
          <w:rFonts w:ascii="Cambria" w:hAnsi="Cambria"/>
          <w:sz w:val="22"/>
          <w:szCs w:val="22"/>
        </w:rPr>
        <w:lastRenderedPageBreak/>
        <w:t xml:space="preserve"> </w:t>
      </w:r>
      <w:bookmarkStart w:id="6" w:name="_Toc40867968"/>
      <w:bookmarkStart w:id="7" w:name="_Toc34220975"/>
      <w:bookmarkStart w:id="8" w:name="_Toc55309669"/>
      <w:bookmarkEnd w:id="6"/>
      <w:r w:rsidR="00A70467" w:rsidRPr="00D058C1">
        <w:rPr>
          <w:rFonts w:ascii="Cambria" w:hAnsi="Cambria"/>
          <w:b/>
          <w:sz w:val="22"/>
          <w:szCs w:val="22"/>
        </w:rPr>
        <w:t xml:space="preserve">II.  </w:t>
      </w:r>
      <w:r w:rsidR="00842065" w:rsidRPr="00D058C1">
        <w:rPr>
          <w:rFonts w:ascii="Cambria" w:hAnsi="Cambria"/>
          <w:b/>
          <w:sz w:val="22"/>
          <w:szCs w:val="22"/>
        </w:rPr>
        <w:tab/>
      </w:r>
      <w:r w:rsidR="00A70467" w:rsidRPr="00D058C1">
        <w:rPr>
          <w:rFonts w:ascii="Cambria" w:hAnsi="Cambria"/>
          <w:b/>
          <w:sz w:val="22"/>
          <w:szCs w:val="22"/>
        </w:rPr>
        <w:t>Mission Findings</w:t>
      </w:r>
      <w:bookmarkEnd w:id="7"/>
      <w:bookmarkEnd w:id="8"/>
    </w:p>
    <w:p w14:paraId="6434B800" w14:textId="39F5D666" w:rsidR="003645E5" w:rsidRPr="00D058C1" w:rsidRDefault="003645E5" w:rsidP="00A70467">
      <w:pPr>
        <w:tabs>
          <w:tab w:val="left" w:pos="284"/>
        </w:tabs>
        <w:jc w:val="both"/>
        <w:rPr>
          <w:rFonts w:ascii="Cambria" w:hAnsi="Cambria"/>
          <w:b/>
          <w:i/>
          <w:iCs/>
          <w:sz w:val="22"/>
          <w:szCs w:val="22"/>
        </w:rPr>
      </w:pPr>
    </w:p>
    <w:p w14:paraId="02112F40" w14:textId="591ABE81" w:rsidR="00994F23" w:rsidRPr="00F11FA7" w:rsidRDefault="008C5388" w:rsidP="00F11FA7">
      <w:pPr>
        <w:pStyle w:val="ListParagraph"/>
        <w:numPr>
          <w:ilvl w:val="0"/>
          <w:numId w:val="77"/>
        </w:numPr>
        <w:tabs>
          <w:tab w:val="left" w:pos="709"/>
        </w:tabs>
        <w:jc w:val="both"/>
        <w:rPr>
          <w:rFonts w:ascii="Cambria" w:hAnsi="Cambria"/>
          <w:sz w:val="22"/>
          <w:szCs w:val="22"/>
        </w:rPr>
      </w:pPr>
      <w:r w:rsidRPr="00F11FA7">
        <w:rPr>
          <w:rFonts w:ascii="Cambria" w:hAnsi="Cambria"/>
          <w:sz w:val="22"/>
          <w:szCs w:val="22"/>
        </w:rPr>
        <w:t xml:space="preserve"> </w:t>
      </w:r>
      <w:r w:rsidR="00534285" w:rsidRPr="00F11FA7">
        <w:rPr>
          <w:rFonts w:ascii="Cambria" w:hAnsi="Cambria"/>
          <w:sz w:val="22"/>
          <w:szCs w:val="22"/>
        </w:rPr>
        <w:t xml:space="preserve">The review team notes </w:t>
      </w:r>
      <w:r w:rsidR="00177BD8" w:rsidRPr="00F11FA7">
        <w:rPr>
          <w:rFonts w:ascii="Cambria" w:hAnsi="Cambria"/>
          <w:sz w:val="22"/>
          <w:szCs w:val="22"/>
        </w:rPr>
        <w:t>t</w:t>
      </w:r>
      <w:r w:rsidR="00534285" w:rsidRPr="00F11FA7">
        <w:rPr>
          <w:rFonts w:ascii="Cambria" w:hAnsi="Cambria"/>
          <w:sz w:val="22"/>
          <w:szCs w:val="22"/>
        </w:rPr>
        <w:t xml:space="preserve">he </w:t>
      </w:r>
      <w:r w:rsidR="00177BD8" w:rsidRPr="00F11FA7">
        <w:rPr>
          <w:rFonts w:ascii="Cambria" w:hAnsi="Cambria"/>
          <w:sz w:val="22"/>
          <w:szCs w:val="22"/>
        </w:rPr>
        <w:t>importan</w:t>
      </w:r>
      <w:r w:rsidR="00534285" w:rsidRPr="00F11FA7">
        <w:rPr>
          <w:rFonts w:ascii="Cambria" w:hAnsi="Cambria"/>
          <w:sz w:val="22"/>
          <w:szCs w:val="22"/>
        </w:rPr>
        <w:t>ce</w:t>
      </w:r>
      <w:r w:rsidR="00177BD8" w:rsidRPr="00F11FA7">
        <w:rPr>
          <w:rFonts w:ascii="Cambria" w:hAnsi="Cambria"/>
          <w:sz w:val="22"/>
          <w:szCs w:val="22"/>
        </w:rPr>
        <w:t xml:space="preserve"> </w:t>
      </w:r>
      <w:r w:rsidR="00534285" w:rsidRPr="00F11FA7">
        <w:rPr>
          <w:rFonts w:ascii="Cambria" w:hAnsi="Cambria"/>
          <w:sz w:val="22"/>
          <w:szCs w:val="22"/>
        </w:rPr>
        <w:t>of</w:t>
      </w:r>
      <w:r w:rsidR="00177BD8" w:rsidRPr="00F11FA7">
        <w:rPr>
          <w:rFonts w:ascii="Cambria" w:hAnsi="Cambria"/>
          <w:sz w:val="22"/>
          <w:szCs w:val="22"/>
        </w:rPr>
        <w:t xml:space="preserve"> hav</w:t>
      </w:r>
      <w:r w:rsidR="00534285" w:rsidRPr="00F11FA7">
        <w:rPr>
          <w:rFonts w:ascii="Cambria" w:hAnsi="Cambria"/>
          <w:sz w:val="22"/>
          <w:szCs w:val="22"/>
        </w:rPr>
        <w:t>ing</w:t>
      </w:r>
      <w:r w:rsidR="00177BD8" w:rsidRPr="00F11FA7">
        <w:rPr>
          <w:rFonts w:ascii="Cambria" w:hAnsi="Cambria"/>
          <w:sz w:val="22"/>
          <w:szCs w:val="22"/>
        </w:rPr>
        <w:t xml:space="preserve"> an u</w:t>
      </w:r>
      <w:r w:rsidR="00280782" w:rsidRPr="00F11FA7">
        <w:rPr>
          <w:rFonts w:ascii="Cambria" w:hAnsi="Cambria"/>
          <w:sz w:val="22"/>
          <w:szCs w:val="22"/>
        </w:rPr>
        <w:t>nderstand</w:t>
      </w:r>
      <w:r w:rsidR="00177BD8" w:rsidRPr="00F11FA7">
        <w:rPr>
          <w:rFonts w:ascii="Cambria" w:hAnsi="Cambria"/>
          <w:sz w:val="22"/>
          <w:szCs w:val="22"/>
        </w:rPr>
        <w:t>ing</w:t>
      </w:r>
      <w:r w:rsidR="00C93D1D" w:rsidRPr="00F11FA7">
        <w:rPr>
          <w:rFonts w:ascii="Cambria" w:hAnsi="Cambria"/>
          <w:sz w:val="22"/>
          <w:szCs w:val="22"/>
        </w:rPr>
        <w:t xml:space="preserve"> of</w:t>
      </w:r>
      <w:r w:rsidR="00177BD8" w:rsidRPr="00F11FA7">
        <w:rPr>
          <w:rFonts w:ascii="Cambria" w:hAnsi="Cambria"/>
          <w:sz w:val="22"/>
          <w:szCs w:val="22"/>
        </w:rPr>
        <w:t xml:space="preserve"> </w:t>
      </w:r>
      <w:r w:rsidR="00280782" w:rsidRPr="00F11FA7">
        <w:rPr>
          <w:rFonts w:ascii="Cambria" w:hAnsi="Cambria"/>
          <w:sz w:val="22"/>
          <w:szCs w:val="22"/>
        </w:rPr>
        <w:t>the prevailing situation during the project implementation phase (2017-2</w:t>
      </w:r>
      <w:r w:rsidR="00764D60" w:rsidRPr="00F11FA7">
        <w:rPr>
          <w:rFonts w:ascii="Cambria" w:hAnsi="Cambria"/>
          <w:sz w:val="22"/>
          <w:szCs w:val="22"/>
        </w:rPr>
        <w:t>0</w:t>
      </w:r>
      <w:r w:rsidR="00280782" w:rsidRPr="00F11FA7">
        <w:rPr>
          <w:rFonts w:ascii="Cambria" w:hAnsi="Cambria"/>
          <w:sz w:val="22"/>
          <w:szCs w:val="22"/>
        </w:rPr>
        <w:t>19</w:t>
      </w:r>
      <w:r w:rsidR="00177BD8" w:rsidRPr="00F11FA7">
        <w:rPr>
          <w:rFonts w:ascii="Cambria" w:hAnsi="Cambria"/>
          <w:sz w:val="22"/>
          <w:szCs w:val="22"/>
        </w:rPr>
        <w:t>)</w:t>
      </w:r>
      <w:r w:rsidR="00280782" w:rsidRPr="00F11FA7">
        <w:rPr>
          <w:rFonts w:ascii="Cambria" w:hAnsi="Cambria"/>
          <w:sz w:val="22"/>
          <w:szCs w:val="22"/>
        </w:rPr>
        <w:t xml:space="preserve"> in</w:t>
      </w:r>
      <w:r w:rsidR="00177BD8" w:rsidRPr="00F11FA7">
        <w:rPr>
          <w:rFonts w:ascii="Cambria" w:hAnsi="Cambria"/>
          <w:sz w:val="22"/>
          <w:szCs w:val="22"/>
        </w:rPr>
        <w:t xml:space="preserve"> </w:t>
      </w:r>
      <w:r w:rsidR="00280782" w:rsidRPr="00F11FA7">
        <w:rPr>
          <w:rFonts w:ascii="Cambria" w:hAnsi="Cambria"/>
          <w:sz w:val="22"/>
          <w:szCs w:val="22"/>
        </w:rPr>
        <w:t>assess</w:t>
      </w:r>
      <w:r w:rsidR="00177BD8" w:rsidRPr="00F11FA7">
        <w:rPr>
          <w:rFonts w:ascii="Cambria" w:hAnsi="Cambria"/>
          <w:sz w:val="22"/>
          <w:szCs w:val="22"/>
        </w:rPr>
        <w:t xml:space="preserve">ing the </w:t>
      </w:r>
      <w:r w:rsidR="00280782" w:rsidRPr="00F11FA7">
        <w:rPr>
          <w:rFonts w:ascii="Cambria" w:hAnsi="Cambria"/>
          <w:sz w:val="22"/>
          <w:szCs w:val="22"/>
        </w:rPr>
        <w:t>performance</w:t>
      </w:r>
      <w:r w:rsidR="00177BD8" w:rsidRPr="00F11FA7">
        <w:rPr>
          <w:rFonts w:ascii="Cambria" w:hAnsi="Cambria"/>
          <w:sz w:val="22"/>
          <w:szCs w:val="22"/>
        </w:rPr>
        <w:t xml:space="preserve"> of the APP</w:t>
      </w:r>
      <w:r w:rsidR="00CF1A90">
        <w:rPr>
          <w:rFonts w:ascii="Cambria" w:hAnsi="Cambria"/>
          <w:sz w:val="22"/>
          <w:szCs w:val="22"/>
        </w:rPr>
        <w:t xml:space="preserve"> and implementing</w:t>
      </w:r>
      <w:r w:rsidR="00177BD8" w:rsidRPr="00F11FA7">
        <w:rPr>
          <w:rFonts w:ascii="Cambria" w:hAnsi="Cambria"/>
          <w:sz w:val="22"/>
          <w:szCs w:val="22"/>
        </w:rPr>
        <w:t xml:space="preserve"> partners</w:t>
      </w:r>
      <w:r w:rsidR="00280782" w:rsidRPr="00F11FA7">
        <w:rPr>
          <w:rFonts w:ascii="Cambria" w:hAnsi="Cambria"/>
          <w:sz w:val="22"/>
          <w:szCs w:val="22"/>
        </w:rPr>
        <w:t xml:space="preserve"> based on the evaluation criteria (i.e., effectiveness, efficiency, relevance, </w:t>
      </w:r>
      <w:r w:rsidR="00994F23" w:rsidRPr="00F11FA7">
        <w:rPr>
          <w:rFonts w:ascii="Cambria" w:hAnsi="Cambria"/>
          <w:sz w:val="22"/>
          <w:szCs w:val="22"/>
        </w:rPr>
        <w:t>gender equality, and disability inclusion</w:t>
      </w:r>
      <w:r w:rsidR="00280782" w:rsidRPr="00F11FA7">
        <w:rPr>
          <w:rFonts w:ascii="Cambria" w:hAnsi="Cambria"/>
          <w:sz w:val="22"/>
          <w:szCs w:val="22"/>
        </w:rPr>
        <w:t xml:space="preserve">) provided in the TOR.  </w:t>
      </w:r>
      <w:r w:rsidR="00764D60" w:rsidRPr="00F11FA7">
        <w:rPr>
          <w:rFonts w:ascii="Cambria" w:hAnsi="Cambria"/>
          <w:sz w:val="22"/>
          <w:szCs w:val="22"/>
        </w:rPr>
        <w:t>Annex C</w:t>
      </w:r>
      <w:r w:rsidR="00534285" w:rsidRPr="00F11FA7">
        <w:rPr>
          <w:rFonts w:ascii="Cambria" w:hAnsi="Cambria"/>
          <w:sz w:val="22"/>
          <w:szCs w:val="22"/>
        </w:rPr>
        <w:t xml:space="preserve"> </w:t>
      </w:r>
      <w:r w:rsidR="00177BD8" w:rsidRPr="00F11FA7">
        <w:rPr>
          <w:rFonts w:ascii="Cambria" w:hAnsi="Cambria"/>
          <w:sz w:val="22"/>
          <w:szCs w:val="22"/>
        </w:rPr>
        <w:t>identifies the significant changes that occurred</w:t>
      </w:r>
      <w:r w:rsidR="00994F23" w:rsidRPr="00F11FA7">
        <w:rPr>
          <w:rFonts w:ascii="Cambria" w:hAnsi="Cambria"/>
          <w:sz w:val="22"/>
          <w:szCs w:val="22"/>
        </w:rPr>
        <w:t xml:space="preserve"> before,</w:t>
      </w:r>
      <w:r w:rsidR="00177BD8" w:rsidRPr="00F11FA7">
        <w:rPr>
          <w:rFonts w:ascii="Cambria" w:hAnsi="Cambria"/>
          <w:sz w:val="22"/>
          <w:szCs w:val="22"/>
        </w:rPr>
        <w:t xml:space="preserve"> during</w:t>
      </w:r>
      <w:r w:rsidR="00994F23" w:rsidRPr="00F11FA7">
        <w:rPr>
          <w:rFonts w:ascii="Cambria" w:hAnsi="Cambria"/>
          <w:sz w:val="22"/>
          <w:szCs w:val="22"/>
        </w:rPr>
        <w:t>, and after the implementation</w:t>
      </w:r>
      <w:r w:rsidR="00177BD8" w:rsidRPr="00F11FA7">
        <w:rPr>
          <w:rFonts w:ascii="Cambria" w:hAnsi="Cambria"/>
          <w:sz w:val="22"/>
          <w:szCs w:val="22"/>
        </w:rPr>
        <w:t xml:space="preserve"> period</w:t>
      </w:r>
      <w:r w:rsidR="00994F23" w:rsidRPr="00F11FA7">
        <w:rPr>
          <w:rFonts w:ascii="Cambria" w:hAnsi="Cambria"/>
          <w:sz w:val="22"/>
          <w:szCs w:val="22"/>
        </w:rPr>
        <w:t xml:space="preserve">, from the initial portfolio design in 2016, to the declaration of Martial Law after the Marawi crisis in 2017, to the passage of the BOL in </w:t>
      </w:r>
      <w:r w:rsidR="00A1299E" w:rsidRPr="00F11FA7">
        <w:rPr>
          <w:rFonts w:ascii="Cambria" w:hAnsi="Cambria"/>
          <w:sz w:val="22"/>
          <w:szCs w:val="22"/>
        </w:rPr>
        <w:t xml:space="preserve">early </w:t>
      </w:r>
      <w:r w:rsidR="00994F23" w:rsidRPr="00F11FA7">
        <w:rPr>
          <w:rFonts w:ascii="Cambria" w:hAnsi="Cambria"/>
          <w:sz w:val="22"/>
          <w:szCs w:val="22"/>
        </w:rPr>
        <w:t xml:space="preserve">2019. We also discuss how </w:t>
      </w:r>
      <w:r w:rsidR="00177BD8" w:rsidRPr="00F11FA7">
        <w:rPr>
          <w:rFonts w:ascii="Cambria" w:hAnsi="Cambria"/>
          <w:sz w:val="22"/>
          <w:szCs w:val="22"/>
        </w:rPr>
        <w:t>peace efforts transitioned within a relatively short period of time from advoca</w:t>
      </w:r>
      <w:r w:rsidR="00994F23" w:rsidRPr="00F11FA7">
        <w:rPr>
          <w:rFonts w:ascii="Cambria" w:hAnsi="Cambria"/>
          <w:sz w:val="22"/>
          <w:szCs w:val="22"/>
        </w:rPr>
        <w:t>ting the</w:t>
      </w:r>
      <w:r w:rsidR="00177BD8" w:rsidRPr="00F11FA7">
        <w:rPr>
          <w:rFonts w:ascii="Cambria" w:hAnsi="Cambria"/>
          <w:sz w:val="22"/>
          <w:szCs w:val="22"/>
        </w:rPr>
        <w:t xml:space="preserve"> passage of the BOL to addressing the governance challenges faced by the </w:t>
      </w:r>
      <w:r w:rsidR="00345F33" w:rsidRPr="00F11FA7">
        <w:rPr>
          <w:rFonts w:ascii="Cambria" w:hAnsi="Cambria"/>
          <w:sz w:val="22"/>
          <w:szCs w:val="22"/>
        </w:rPr>
        <w:t>newly established</w:t>
      </w:r>
      <w:r w:rsidR="00177BD8" w:rsidRPr="00F11FA7">
        <w:rPr>
          <w:rFonts w:ascii="Cambria" w:hAnsi="Cambria"/>
          <w:sz w:val="22"/>
          <w:szCs w:val="22"/>
        </w:rPr>
        <w:t xml:space="preserve"> BARMM </w:t>
      </w:r>
      <w:r w:rsidR="00994F23" w:rsidRPr="00F11FA7">
        <w:rPr>
          <w:rFonts w:ascii="Cambria" w:hAnsi="Cambria"/>
          <w:sz w:val="22"/>
          <w:szCs w:val="22"/>
        </w:rPr>
        <w:t xml:space="preserve">as well as the </w:t>
      </w:r>
      <w:r w:rsidR="00177BD8" w:rsidRPr="00F11FA7">
        <w:rPr>
          <w:rFonts w:ascii="Cambria" w:hAnsi="Cambria"/>
          <w:sz w:val="22"/>
          <w:szCs w:val="22"/>
        </w:rPr>
        <w:t xml:space="preserve">threat of VE groups </w:t>
      </w:r>
      <w:r w:rsidR="00DF7F25" w:rsidRPr="00F11FA7">
        <w:rPr>
          <w:rFonts w:ascii="Cambria" w:hAnsi="Cambria"/>
          <w:sz w:val="22"/>
          <w:szCs w:val="22"/>
        </w:rPr>
        <w:t>across the region</w:t>
      </w:r>
      <w:r w:rsidR="00177BD8" w:rsidRPr="00F11FA7">
        <w:rPr>
          <w:rFonts w:ascii="Cambria" w:hAnsi="Cambria"/>
          <w:sz w:val="22"/>
          <w:szCs w:val="22"/>
        </w:rPr>
        <w:t xml:space="preserve">. </w:t>
      </w:r>
    </w:p>
    <w:p w14:paraId="6E71B072" w14:textId="77777777" w:rsidR="005A2CB9" w:rsidRPr="00D058C1" w:rsidRDefault="005A2CB9" w:rsidP="007B479F">
      <w:pPr>
        <w:tabs>
          <w:tab w:val="left" w:pos="709"/>
        </w:tabs>
        <w:jc w:val="both"/>
        <w:rPr>
          <w:rFonts w:ascii="Cambria" w:hAnsi="Cambria"/>
          <w:sz w:val="22"/>
          <w:szCs w:val="22"/>
        </w:rPr>
      </w:pPr>
    </w:p>
    <w:p w14:paraId="688123A8" w14:textId="029E8954" w:rsidR="008E7989" w:rsidRPr="00A928D6" w:rsidRDefault="000803B2" w:rsidP="00A928D6">
      <w:pPr>
        <w:pStyle w:val="ListParagraph"/>
        <w:numPr>
          <w:ilvl w:val="0"/>
          <w:numId w:val="77"/>
        </w:numPr>
        <w:jc w:val="both"/>
        <w:rPr>
          <w:rFonts w:ascii="Cambria" w:hAnsi="Cambria"/>
          <w:sz w:val="22"/>
          <w:szCs w:val="22"/>
        </w:rPr>
      </w:pPr>
      <w:r w:rsidRPr="00D058C1">
        <w:rPr>
          <w:rFonts w:ascii="Cambria" w:hAnsi="Cambria"/>
          <w:sz w:val="22"/>
          <w:szCs w:val="22"/>
        </w:rPr>
        <w:t>Annex C divides the</w:t>
      </w:r>
      <w:r w:rsidR="00994F23" w:rsidRPr="00F11FA7">
        <w:rPr>
          <w:rFonts w:ascii="Cambria" w:hAnsi="Cambria"/>
          <w:sz w:val="22"/>
          <w:szCs w:val="22"/>
        </w:rPr>
        <w:t xml:space="preserve"> key </w:t>
      </w:r>
      <w:r w:rsidR="00913F4A" w:rsidRPr="00F11FA7">
        <w:rPr>
          <w:rFonts w:ascii="Cambria" w:hAnsi="Cambria"/>
          <w:sz w:val="22"/>
          <w:szCs w:val="22"/>
        </w:rPr>
        <w:t xml:space="preserve">peace process </w:t>
      </w:r>
      <w:r w:rsidR="00A41AB4" w:rsidRPr="00F11FA7">
        <w:rPr>
          <w:rFonts w:ascii="Cambria" w:hAnsi="Cambria"/>
          <w:sz w:val="22"/>
          <w:szCs w:val="22"/>
        </w:rPr>
        <w:t xml:space="preserve">milestones into six aspects, </w:t>
      </w:r>
      <w:r w:rsidR="007328BF" w:rsidRPr="00F11FA7">
        <w:rPr>
          <w:rFonts w:ascii="Cambria" w:hAnsi="Cambria"/>
          <w:sz w:val="22"/>
          <w:szCs w:val="22"/>
        </w:rPr>
        <w:t>broadly</w:t>
      </w:r>
      <w:r w:rsidR="00A41AB4" w:rsidRPr="00F11FA7">
        <w:rPr>
          <w:rFonts w:ascii="Cambria" w:hAnsi="Cambria"/>
          <w:sz w:val="22"/>
          <w:szCs w:val="22"/>
        </w:rPr>
        <w:t xml:space="preserve"> corresponding to</w:t>
      </w:r>
      <w:r w:rsidR="00000DEE" w:rsidRPr="00F11FA7">
        <w:rPr>
          <w:rFonts w:ascii="Cambria" w:hAnsi="Cambria"/>
          <w:sz w:val="22"/>
          <w:szCs w:val="22"/>
        </w:rPr>
        <w:t xml:space="preserve"> the Pillar 1: Security and Stability</w:t>
      </w:r>
      <w:r w:rsidR="00F43FDB" w:rsidRPr="00F11FA7">
        <w:rPr>
          <w:rFonts w:ascii="Cambria" w:hAnsi="Cambria"/>
          <w:sz w:val="22"/>
          <w:szCs w:val="22"/>
        </w:rPr>
        <w:t xml:space="preserve"> target</w:t>
      </w:r>
      <w:r w:rsidR="00A41AB4" w:rsidRPr="00F11FA7">
        <w:rPr>
          <w:rFonts w:ascii="Cambria" w:hAnsi="Cambria"/>
          <w:sz w:val="22"/>
          <w:szCs w:val="22"/>
        </w:rPr>
        <w:t xml:space="preserve"> outcome statement</w:t>
      </w:r>
      <w:r w:rsidR="00F43FDB" w:rsidRPr="00F11FA7">
        <w:rPr>
          <w:rFonts w:ascii="Cambria" w:hAnsi="Cambria"/>
          <w:sz w:val="22"/>
          <w:szCs w:val="22"/>
        </w:rPr>
        <w:t>s</w:t>
      </w:r>
      <w:r w:rsidR="00A41AB4" w:rsidRPr="00F11FA7">
        <w:rPr>
          <w:rFonts w:ascii="Cambria" w:hAnsi="Cambria"/>
          <w:sz w:val="22"/>
          <w:szCs w:val="22"/>
        </w:rPr>
        <w:t xml:space="preserve"> in the</w:t>
      </w:r>
      <w:r w:rsidR="00913F4A" w:rsidRPr="00F11FA7">
        <w:rPr>
          <w:rFonts w:ascii="Cambria" w:hAnsi="Cambria"/>
          <w:sz w:val="22"/>
          <w:szCs w:val="22"/>
        </w:rPr>
        <w:t xml:space="preserve"> current</w:t>
      </w:r>
      <w:r w:rsidR="00A41AB4" w:rsidRPr="00F11FA7">
        <w:rPr>
          <w:rFonts w:ascii="Cambria" w:hAnsi="Cambria"/>
          <w:sz w:val="22"/>
          <w:szCs w:val="22"/>
        </w:rPr>
        <w:t xml:space="preserve"> Australian </w:t>
      </w:r>
      <w:r w:rsidR="00F43FDB" w:rsidRPr="00F11FA7">
        <w:rPr>
          <w:rFonts w:ascii="Cambria" w:hAnsi="Cambria"/>
          <w:sz w:val="22"/>
          <w:szCs w:val="22"/>
        </w:rPr>
        <w:t>Government’s Annual Investment Program (AIP): a) political</w:t>
      </w:r>
      <w:r w:rsidR="007B48C9" w:rsidRPr="00F11FA7">
        <w:rPr>
          <w:rFonts w:ascii="Cambria" w:hAnsi="Cambria"/>
          <w:sz w:val="22"/>
          <w:szCs w:val="22"/>
        </w:rPr>
        <w:t xml:space="preserve">; </w:t>
      </w:r>
      <w:r w:rsidR="00F43FDB" w:rsidRPr="00F11FA7">
        <w:rPr>
          <w:rFonts w:ascii="Cambria" w:hAnsi="Cambria"/>
          <w:sz w:val="22"/>
          <w:szCs w:val="22"/>
        </w:rPr>
        <w:t>b) administrative</w:t>
      </w:r>
      <w:r w:rsidR="007B48C9" w:rsidRPr="00F11FA7">
        <w:rPr>
          <w:rFonts w:ascii="Cambria" w:hAnsi="Cambria"/>
          <w:sz w:val="22"/>
          <w:szCs w:val="22"/>
        </w:rPr>
        <w:t xml:space="preserve">; c) planning, budgeting, and fiscal policy; </w:t>
      </w:r>
      <w:r w:rsidR="00192BAA" w:rsidRPr="00F11FA7">
        <w:rPr>
          <w:rFonts w:ascii="Cambria" w:hAnsi="Cambria"/>
          <w:sz w:val="22"/>
          <w:szCs w:val="22"/>
        </w:rPr>
        <w:t xml:space="preserve">d) security and stability; e) </w:t>
      </w:r>
      <w:r w:rsidR="00913F4A" w:rsidRPr="00F11FA7">
        <w:rPr>
          <w:rFonts w:ascii="Cambria" w:hAnsi="Cambria"/>
          <w:sz w:val="22"/>
          <w:szCs w:val="22"/>
        </w:rPr>
        <w:t xml:space="preserve">economic development and confidence-building; and f) transitional justice and reconciliation. </w:t>
      </w:r>
      <w:r w:rsidR="00654904" w:rsidRPr="00F11FA7">
        <w:rPr>
          <w:rFonts w:ascii="Cambria" w:hAnsi="Cambria"/>
          <w:sz w:val="22"/>
          <w:szCs w:val="22"/>
        </w:rPr>
        <w:t xml:space="preserve">The </w:t>
      </w:r>
      <w:r w:rsidR="00D100CE" w:rsidRPr="00F11FA7">
        <w:rPr>
          <w:rFonts w:ascii="Cambria" w:hAnsi="Cambria"/>
          <w:sz w:val="22"/>
          <w:szCs w:val="22"/>
        </w:rPr>
        <w:t>table</w:t>
      </w:r>
      <w:r w:rsidR="001C4F83" w:rsidRPr="00F11FA7">
        <w:rPr>
          <w:rFonts w:ascii="Cambria" w:hAnsi="Cambria"/>
          <w:sz w:val="22"/>
          <w:szCs w:val="22"/>
        </w:rPr>
        <w:t xml:space="preserve"> notes</w:t>
      </w:r>
      <w:r w:rsidR="00654904" w:rsidRPr="00F11FA7">
        <w:rPr>
          <w:rFonts w:ascii="Cambria" w:hAnsi="Cambria"/>
          <w:sz w:val="22"/>
          <w:szCs w:val="22"/>
        </w:rPr>
        <w:t xml:space="preserve"> which development actors are currently operating in the space</w:t>
      </w:r>
      <w:r w:rsidR="00F401F3" w:rsidRPr="00F11FA7">
        <w:rPr>
          <w:rFonts w:ascii="Cambria" w:hAnsi="Cambria"/>
          <w:sz w:val="22"/>
          <w:szCs w:val="22"/>
        </w:rPr>
        <w:t xml:space="preserve">, whether funded by DFAT or otherwise. </w:t>
      </w:r>
      <w:proofErr w:type="gramStart"/>
      <w:r w:rsidR="005A2CB9" w:rsidRPr="00F11FA7">
        <w:rPr>
          <w:rFonts w:ascii="Cambria" w:hAnsi="Cambria"/>
          <w:sz w:val="22"/>
          <w:szCs w:val="22"/>
        </w:rPr>
        <w:t>The manner by which</w:t>
      </w:r>
      <w:proofErr w:type="gramEnd"/>
      <w:r w:rsidR="005A2CB9" w:rsidRPr="00F11FA7">
        <w:rPr>
          <w:rFonts w:ascii="Cambria" w:hAnsi="Cambria"/>
          <w:sz w:val="22"/>
          <w:szCs w:val="22"/>
        </w:rPr>
        <w:t xml:space="preserve"> partners respond to the fast-changing political economy context in the Bangsamoro region is a major determinant of how they perfor</w:t>
      </w:r>
      <w:r w:rsidR="00A36378" w:rsidRPr="00F11FA7">
        <w:rPr>
          <w:rFonts w:ascii="Cambria" w:hAnsi="Cambria"/>
          <w:sz w:val="22"/>
          <w:szCs w:val="22"/>
        </w:rPr>
        <w:t>m</w:t>
      </w:r>
      <w:r w:rsidR="006811DE" w:rsidRPr="00F11FA7">
        <w:rPr>
          <w:rFonts w:ascii="Cambria" w:hAnsi="Cambria"/>
          <w:sz w:val="22"/>
          <w:szCs w:val="22"/>
        </w:rPr>
        <w:t>ed during the evaluation period</w:t>
      </w:r>
      <w:r w:rsidRPr="00D058C1">
        <w:rPr>
          <w:rFonts w:ascii="Cambria" w:hAnsi="Cambria"/>
          <w:sz w:val="22"/>
          <w:szCs w:val="22"/>
        </w:rPr>
        <w:t xml:space="preserve">. </w:t>
      </w:r>
      <w:r w:rsidR="000C45C6" w:rsidRPr="00F11FA7">
        <w:rPr>
          <w:rFonts w:ascii="Cambria" w:hAnsi="Cambria"/>
          <w:sz w:val="22"/>
          <w:szCs w:val="22"/>
        </w:rPr>
        <w:t xml:space="preserve">The table </w:t>
      </w:r>
      <w:r w:rsidR="0051709C" w:rsidRPr="00F11FA7">
        <w:rPr>
          <w:rFonts w:ascii="Cambria" w:hAnsi="Cambria"/>
          <w:sz w:val="22"/>
          <w:szCs w:val="22"/>
        </w:rPr>
        <w:t xml:space="preserve">further notes the projected target tasks for 2020 until the first elections of the Bangsamoro parliament in May 2022, as well as </w:t>
      </w:r>
      <w:r w:rsidR="006811DE" w:rsidRPr="00F11FA7">
        <w:rPr>
          <w:rFonts w:ascii="Cambria" w:hAnsi="Cambria"/>
          <w:sz w:val="22"/>
          <w:szCs w:val="22"/>
        </w:rPr>
        <w:t>likely risks and mitigating measures</w:t>
      </w:r>
      <w:r w:rsidR="003C4566" w:rsidRPr="00D058C1">
        <w:rPr>
          <w:rFonts w:ascii="Cambria" w:hAnsi="Cambria"/>
          <w:sz w:val="22"/>
          <w:szCs w:val="22"/>
        </w:rPr>
        <w:t xml:space="preserve"> that should be factored into future programming</w:t>
      </w:r>
      <w:r w:rsidR="006811DE" w:rsidRPr="00F11FA7">
        <w:rPr>
          <w:rFonts w:ascii="Cambria" w:hAnsi="Cambria"/>
          <w:sz w:val="22"/>
          <w:szCs w:val="22"/>
        </w:rPr>
        <w:t xml:space="preserve">. </w:t>
      </w:r>
    </w:p>
    <w:p w14:paraId="05837E12" w14:textId="77777777" w:rsidR="002175AA" w:rsidRPr="00A928D6" w:rsidRDefault="002175AA" w:rsidP="00A928D6">
      <w:pPr>
        <w:pStyle w:val="ListParagraph"/>
        <w:rPr>
          <w:rFonts w:ascii="Cambria" w:hAnsi="Cambria"/>
          <w:sz w:val="22"/>
          <w:szCs w:val="22"/>
        </w:rPr>
      </w:pPr>
    </w:p>
    <w:p w14:paraId="377458E8" w14:textId="68F64CB6" w:rsidR="002175AA" w:rsidRPr="00A928D6" w:rsidRDefault="007B2973" w:rsidP="002175AA">
      <w:pPr>
        <w:pStyle w:val="ListParagraph"/>
        <w:numPr>
          <w:ilvl w:val="0"/>
          <w:numId w:val="77"/>
        </w:numPr>
        <w:jc w:val="both"/>
        <w:rPr>
          <w:rFonts w:ascii="Cambria" w:hAnsi="Cambria"/>
          <w:sz w:val="22"/>
          <w:szCs w:val="22"/>
        </w:rPr>
      </w:pPr>
      <w:r>
        <w:rPr>
          <w:rFonts w:ascii="Cambria" w:hAnsi="Cambria"/>
          <w:sz w:val="22"/>
          <w:szCs w:val="22"/>
        </w:rPr>
        <w:t>Th</w:t>
      </w:r>
      <w:r w:rsidR="002A3B20">
        <w:rPr>
          <w:rFonts w:ascii="Cambria" w:hAnsi="Cambria"/>
          <w:sz w:val="22"/>
          <w:szCs w:val="22"/>
        </w:rPr>
        <w:t>ese milestones</w:t>
      </w:r>
      <w:r>
        <w:rPr>
          <w:rFonts w:ascii="Cambria" w:hAnsi="Cambria"/>
          <w:sz w:val="22"/>
          <w:szCs w:val="22"/>
        </w:rPr>
        <w:t xml:space="preserve"> </w:t>
      </w:r>
      <w:r w:rsidR="002C032D">
        <w:rPr>
          <w:rFonts w:ascii="Cambria" w:hAnsi="Cambria"/>
          <w:sz w:val="22"/>
          <w:szCs w:val="22"/>
        </w:rPr>
        <w:t xml:space="preserve">contextualize the </w:t>
      </w:r>
      <w:r w:rsidR="00354C03">
        <w:rPr>
          <w:rFonts w:ascii="Cambria" w:hAnsi="Cambria"/>
          <w:sz w:val="22"/>
          <w:szCs w:val="22"/>
        </w:rPr>
        <w:t xml:space="preserve">Evaluation Matrices </w:t>
      </w:r>
      <w:r w:rsidR="002C032D">
        <w:rPr>
          <w:rFonts w:ascii="Cambria" w:hAnsi="Cambria"/>
          <w:sz w:val="22"/>
          <w:szCs w:val="22"/>
        </w:rPr>
        <w:t xml:space="preserve">that </w:t>
      </w:r>
      <w:r w:rsidR="00354C03">
        <w:rPr>
          <w:rFonts w:ascii="Cambria" w:hAnsi="Cambria"/>
          <w:sz w:val="22"/>
          <w:szCs w:val="22"/>
        </w:rPr>
        <w:t>track</w:t>
      </w:r>
      <w:r w:rsidR="002C032D">
        <w:rPr>
          <w:rFonts w:ascii="Cambria" w:hAnsi="Cambria"/>
          <w:sz w:val="22"/>
          <w:szCs w:val="22"/>
        </w:rPr>
        <w:t xml:space="preserve"> </w:t>
      </w:r>
      <w:r w:rsidR="00354C03">
        <w:rPr>
          <w:rFonts w:ascii="Cambria" w:hAnsi="Cambria"/>
          <w:sz w:val="22"/>
          <w:szCs w:val="22"/>
        </w:rPr>
        <w:t xml:space="preserve">the </w:t>
      </w:r>
      <w:r w:rsidR="00555A8F">
        <w:rPr>
          <w:rFonts w:ascii="Cambria" w:hAnsi="Cambria"/>
          <w:sz w:val="22"/>
          <w:szCs w:val="22"/>
        </w:rPr>
        <w:t>performance of APP and multilateral partners against the review criteria</w:t>
      </w:r>
      <w:r w:rsidR="002C032D">
        <w:rPr>
          <w:rFonts w:ascii="Cambria" w:hAnsi="Cambria"/>
          <w:sz w:val="22"/>
          <w:szCs w:val="22"/>
        </w:rPr>
        <w:t xml:space="preserve"> (see Annex D)</w:t>
      </w:r>
      <w:r w:rsidR="00555A8F">
        <w:rPr>
          <w:rFonts w:ascii="Cambria" w:hAnsi="Cambria"/>
          <w:sz w:val="22"/>
          <w:szCs w:val="22"/>
        </w:rPr>
        <w:t xml:space="preserve">. Given the number and varying scope and scale of the projects supported by the Flexible Peace and Stability Fund, the </w:t>
      </w:r>
      <w:r w:rsidR="00743305">
        <w:rPr>
          <w:rFonts w:ascii="Cambria" w:hAnsi="Cambria"/>
          <w:sz w:val="22"/>
          <w:szCs w:val="22"/>
        </w:rPr>
        <w:t>FPSF modality was</w:t>
      </w:r>
      <w:r w:rsidR="00555A8F">
        <w:rPr>
          <w:rFonts w:ascii="Cambria" w:hAnsi="Cambria"/>
          <w:sz w:val="22"/>
          <w:szCs w:val="22"/>
        </w:rPr>
        <w:t xml:space="preserve"> reviewed as a w</w:t>
      </w:r>
      <w:r w:rsidR="00D40FBE">
        <w:rPr>
          <w:rFonts w:ascii="Cambria" w:hAnsi="Cambria"/>
          <w:sz w:val="22"/>
          <w:szCs w:val="22"/>
        </w:rPr>
        <w:t>hole</w:t>
      </w:r>
      <w:r w:rsidR="00743305">
        <w:rPr>
          <w:rFonts w:ascii="Cambria" w:hAnsi="Cambria"/>
          <w:sz w:val="22"/>
          <w:szCs w:val="22"/>
        </w:rPr>
        <w:t xml:space="preserve">, although notable </w:t>
      </w:r>
      <w:r w:rsidR="006467A5">
        <w:rPr>
          <w:rFonts w:ascii="Cambria" w:hAnsi="Cambria"/>
          <w:sz w:val="22"/>
          <w:szCs w:val="22"/>
        </w:rPr>
        <w:t xml:space="preserve">FPSF-funded </w:t>
      </w:r>
      <w:r w:rsidR="00743305">
        <w:rPr>
          <w:rFonts w:ascii="Cambria" w:hAnsi="Cambria"/>
          <w:sz w:val="22"/>
          <w:szCs w:val="22"/>
        </w:rPr>
        <w:t>projects are discussed throughout this Report.</w:t>
      </w:r>
    </w:p>
    <w:p w14:paraId="3D41C8BC" w14:textId="77777777" w:rsidR="008E7989" w:rsidRDefault="008E7989" w:rsidP="00A928D6">
      <w:pPr>
        <w:pStyle w:val="ListParagraph"/>
        <w:rPr>
          <w:rFonts w:ascii="Cambria" w:hAnsi="Cambria"/>
          <w:b/>
          <w:i/>
          <w:iCs/>
          <w:sz w:val="22"/>
          <w:szCs w:val="22"/>
        </w:rPr>
      </w:pPr>
    </w:p>
    <w:p w14:paraId="4E64F801" w14:textId="77777777" w:rsidR="00DB33FA" w:rsidRDefault="00DB33FA" w:rsidP="00A928D6">
      <w:pPr>
        <w:rPr>
          <w:rFonts w:ascii="Cambria" w:hAnsi="Cambria"/>
          <w:b/>
          <w:i/>
          <w:iCs/>
          <w:sz w:val="22"/>
          <w:szCs w:val="22"/>
        </w:rPr>
      </w:pPr>
    </w:p>
    <w:p w14:paraId="4045838C" w14:textId="4C6EB6BB" w:rsidR="00083B7E" w:rsidRPr="00D058C1" w:rsidRDefault="00083B7E" w:rsidP="00083B7E">
      <w:pPr>
        <w:pStyle w:val="Heading2"/>
        <w:rPr>
          <w:rFonts w:ascii="Cambria" w:hAnsi="Cambria" w:cs="Times New Roman"/>
          <w:b/>
          <w:i/>
          <w:iCs/>
          <w:sz w:val="22"/>
          <w:szCs w:val="22"/>
        </w:rPr>
      </w:pPr>
      <w:bookmarkStart w:id="9" w:name="_Toc55309670"/>
      <w:r w:rsidRPr="00D058C1">
        <w:rPr>
          <w:rFonts w:ascii="Cambria" w:hAnsi="Cambria" w:cs="Times New Roman"/>
          <w:b/>
          <w:i/>
          <w:iCs/>
          <w:sz w:val="22"/>
          <w:szCs w:val="22"/>
        </w:rPr>
        <w:t>On Effectiveness</w:t>
      </w:r>
      <w:bookmarkEnd w:id="9"/>
    </w:p>
    <w:p w14:paraId="72AEAB0A" w14:textId="4BCE45C7" w:rsidR="00177BD8" w:rsidRPr="00D058C1" w:rsidRDefault="003A799D" w:rsidP="00FA6737">
      <w:pPr>
        <w:pStyle w:val="NormalWeb"/>
        <w:outlineLvl w:val="2"/>
      </w:pPr>
      <w:bookmarkStart w:id="10" w:name="_Toc55309671"/>
      <w:r>
        <w:rPr>
          <w:rFonts w:ascii="Cambria" w:hAnsi="Cambria"/>
          <w:bCs/>
          <w:i/>
          <w:iCs/>
          <w:sz w:val="22"/>
          <w:szCs w:val="22"/>
        </w:rPr>
        <w:t xml:space="preserve">A. </w:t>
      </w:r>
      <w:r w:rsidR="00083B7E" w:rsidRPr="00D058C1">
        <w:rPr>
          <w:rFonts w:ascii="Cambria" w:hAnsi="Cambria"/>
          <w:bCs/>
          <w:i/>
          <w:iCs/>
          <w:sz w:val="22"/>
          <w:szCs w:val="22"/>
        </w:rPr>
        <w:t>Attaining</w:t>
      </w:r>
      <w:r w:rsidR="00083B7E" w:rsidRPr="00D058C1">
        <w:rPr>
          <w:rFonts w:ascii="Cambria" w:hAnsi="Cambria"/>
          <w:bCs/>
          <w:sz w:val="22"/>
          <w:szCs w:val="22"/>
        </w:rPr>
        <w:t xml:space="preserve"> </w:t>
      </w:r>
      <w:r w:rsidR="00083B7E" w:rsidRPr="00D058C1">
        <w:rPr>
          <w:rFonts w:ascii="Cambria" w:hAnsi="Cambria"/>
          <w:i/>
          <w:iCs/>
          <w:sz w:val="22"/>
          <w:szCs w:val="22"/>
        </w:rPr>
        <w:t>objectives and adjusting to the changing context</w:t>
      </w:r>
      <w:bookmarkEnd w:id="10"/>
    </w:p>
    <w:p w14:paraId="3FF8F7C9" w14:textId="0E10B1E4" w:rsidR="00451E44" w:rsidRPr="00D058C1" w:rsidRDefault="00177BD8" w:rsidP="00451E44">
      <w:pPr>
        <w:pStyle w:val="ListParagraph"/>
        <w:numPr>
          <w:ilvl w:val="0"/>
          <w:numId w:val="77"/>
        </w:numPr>
        <w:tabs>
          <w:tab w:val="left" w:pos="284"/>
          <w:tab w:val="left" w:pos="709"/>
        </w:tabs>
        <w:jc w:val="both"/>
        <w:rPr>
          <w:rFonts w:ascii="Cambria" w:hAnsi="Cambria"/>
          <w:sz w:val="22"/>
          <w:szCs w:val="22"/>
        </w:rPr>
      </w:pPr>
      <w:r w:rsidRPr="00F11FA7">
        <w:rPr>
          <w:rFonts w:ascii="Cambria" w:hAnsi="Cambria"/>
          <w:b/>
          <w:bCs/>
          <w:sz w:val="22"/>
          <w:szCs w:val="22"/>
        </w:rPr>
        <w:t xml:space="preserve">The </w:t>
      </w:r>
      <w:r w:rsidR="009B5944">
        <w:rPr>
          <w:rFonts w:ascii="Cambria" w:hAnsi="Cambria"/>
          <w:b/>
          <w:bCs/>
          <w:sz w:val="22"/>
          <w:szCs w:val="22"/>
        </w:rPr>
        <w:t xml:space="preserve">APP and </w:t>
      </w:r>
      <w:r w:rsidR="00147647" w:rsidRPr="00F11FA7">
        <w:rPr>
          <w:rFonts w:ascii="Cambria" w:hAnsi="Cambria"/>
          <w:b/>
          <w:bCs/>
          <w:sz w:val="22"/>
          <w:szCs w:val="22"/>
        </w:rPr>
        <w:t>implement</w:t>
      </w:r>
      <w:r w:rsidR="009B5944">
        <w:rPr>
          <w:rFonts w:ascii="Cambria" w:hAnsi="Cambria"/>
          <w:b/>
          <w:bCs/>
          <w:sz w:val="22"/>
          <w:szCs w:val="22"/>
        </w:rPr>
        <w:t>ing</w:t>
      </w:r>
      <w:r w:rsidR="00147647" w:rsidRPr="00F11FA7">
        <w:rPr>
          <w:rFonts w:ascii="Cambria" w:hAnsi="Cambria"/>
          <w:b/>
          <w:bCs/>
          <w:sz w:val="22"/>
          <w:szCs w:val="22"/>
        </w:rPr>
        <w:t xml:space="preserve"> </w:t>
      </w:r>
      <w:r w:rsidRPr="00F11FA7">
        <w:rPr>
          <w:rFonts w:ascii="Cambria" w:hAnsi="Cambria"/>
          <w:b/>
          <w:bCs/>
          <w:sz w:val="22"/>
          <w:szCs w:val="22"/>
        </w:rPr>
        <w:t>partners were</w:t>
      </w:r>
      <w:r w:rsidR="003F551B" w:rsidRPr="00F11FA7">
        <w:rPr>
          <w:rFonts w:ascii="Cambria" w:hAnsi="Cambria"/>
          <w:b/>
          <w:bCs/>
          <w:sz w:val="22"/>
          <w:szCs w:val="22"/>
        </w:rPr>
        <w:t xml:space="preserve"> </w:t>
      </w:r>
      <w:r w:rsidR="009E0A54" w:rsidRPr="00F11FA7">
        <w:rPr>
          <w:rFonts w:ascii="Cambria" w:hAnsi="Cambria"/>
          <w:b/>
          <w:bCs/>
          <w:sz w:val="22"/>
          <w:szCs w:val="22"/>
        </w:rPr>
        <w:t>general</w:t>
      </w:r>
      <w:r w:rsidR="003F551B" w:rsidRPr="00F11FA7">
        <w:rPr>
          <w:rFonts w:ascii="Cambria" w:hAnsi="Cambria"/>
          <w:b/>
          <w:bCs/>
          <w:sz w:val="22"/>
          <w:szCs w:val="22"/>
        </w:rPr>
        <w:t>ly</w:t>
      </w:r>
      <w:r w:rsidR="009E0A54" w:rsidRPr="00F11FA7">
        <w:rPr>
          <w:rFonts w:ascii="Cambria" w:hAnsi="Cambria"/>
          <w:b/>
          <w:bCs/>
          <w:sz w:val="22"/>
          <w:szCs w:val="22"/>
        </w:rPr>
        <w:t xml:space="preserve"> </w:t>
      </w:r>
      <w:r w:rsidRPr="00F11FA7">
        <w:rPr>
          <w:rFonts w:ascii="Cambria" w:hAnsi="Cambria"/>
          <w:b/>
          <w:bCs/>
          <w:sz w:val="22"/>
          <w:szCs w:val="22"/>
        </w:rPr>
        <w:t xml:space="preserve">successful </w:t>
      </w:r>
      <w:r w:rsidR="009E0A54" w:rsidRPr="00F11FA7">
        <w:rPr>
          <w:rFonts w:ascii="Cambria" w:hAnsi="Cambria"/>
          <w:b/>
          <w:bCs/>
          <w:sz w:val="22"/>
          <w:szCs w:val="22"/>
        </w:rPr>
        <w:t>in achieving their expected outputs and outcomes</w:t>
      </w:r>
      <w:r w:rsidR="00E26CD3" w:rsidRPr="00D058C1">
        <w:rPr>
          <w:rFonts w:ascii="Cambria" w:hAnsi="Cambria"/>
          <w:b/>
          <w:bCs/>
          <w:sz w:val="22"/>
          <w:szCs w:val="22"/>
        </w:rPr>
        <w:t xml:space="preserve"> from 2017-2019</w:t>
      </w:r>
      <w:r w:rsidR="009E0A54" w:rsidRPr="00F11FA7">
        <w:rPr>
          <w:rFonts w:ascii="Cambria" w:hAnsi="Cambria"/>
          <w:b/>
          <w:bCs/>
          <w:sz w:val="22"/>
          <w:szCs w:val="22"/>
        </w:rPr>
        <w:t xml:space="preserve">.  </w:t>
      </w:r>
      <w:r w:rsidR="009E0A54" w:rsidRPr="00F11FA7">
        <w:rPr>
          <w:rFonts w:ascii="Cambria" w:hAnsi="Cambria"/>
          <w:sz w:val="22"/>
          <w:szCs w:val="22"/>
        </w:rPr>
        <w:t xml:space="preserve">A clear manifestation is the passage of the BOL by the Philippine Congress in </w:t>
      </w:r>
      <w:r w:rsidR="00083B7E">
        <w:rPr>
          <w:rFonts w:ascii="Cambria" w:hAnsi="Cambria"/>
          <w:sz w:val="22"/>
          <w:szCs w:val="22"/>
        </w:rPr>
        <w:t>mid</w:t>
      </w:r>
      <w:r w:rsidR="009B5944">
        <w:rPr>
          <w:rFonts w:ascii="Cambria" w:hAnsi="Cambria"/>
          <w:sz w:val="22"/>
          <w:szCs w:val="22"/>
        </w:rPr>
        <w:t>-</w:t>
      </w:r>
      <w:r w:rsidR="009E0A54" w:rsidRPr="00F11FA7">
        <w:rPr>
          <w:rFonts w:ascii="Cambria" w:hAnsi="Cambria"/>
          <w:sz w:val="22"/>
          <w:szCs w:val="22"/>
        </w:rPr>
        <w:t>201</w:t>
      </w:r>
      <w:r w:rsidR="003E6D23" w:rsidRPr="00F11FA7">
        <w:rPr>
          <w:rFonts w:ascii="Cambria" w:hAnsi="Cambria"/>
          <w:sz w:val="22"/>
          <w:szCs w:val="22"/>
        </w:rPr>
        <w:t>8, and the successful plebiscites in January and February 2019</w:t>
      </w:r>
      <w:r w:rsidR="009E0A54" w:rsidRPr="00F11FA7">
        <w:rPr>
          <w:rFonts w:ascii="Cambria" w:hAnsi="Cambria"/>
          <w:sz w:val="22"/>
          <w:szCs w:val="22"/>
        </w:rPr>
        <w:t xml:space="preserve">. </w:t>
      </w:r>
      <w:r w:rsidR="00361DBE" w:rsidRPr="00F11FA7">
        <w:rPr>
          <w:rFonts w:ascii="Cambria" w:hAnsi="Cambria"/>
          <w:sz w:val="22"/>
          <w:szCs w:val="22"/>
        </w:rPr>
        <w:t>The</w:t>
      </w:r>
      <w:r w:rsidR="009E0A54" w:rsidRPr="00F11FA7">
        <w:rPr>
          <w:rFonts w:ascii="Cambria" w:hAnsi="Cambria"/>
          <w:sz w:val="22"/>
          <w:szCs w:val="22"/>
        </w:rPr>
        <w:t xml:space="preserve"> APP partner</w:t>
      </w:r>
      <w:r w:rsidR="00861CC2" w:rsidRPr="00D058C1">
        <w:rPr>
          <w:rFonts w:ascii="Cambria" w:hAnsi="Cambria"/>
          <w:sz w:val="22"/>
          <w:szCs w:val="22"/>
        </w:rPr>
        <w:t xml:space="preserve"> activities</w:t>
      </w:r>
      <w:r w:rsidR="003645E5" w:rsidRPr="00D058C1">
        <w:rPr>
          <w:rFonts w:ascii="Cambria" w:hAnsi="Cambria"/>
          <w:sz w:val="22"/>
          <w:szCs w:val="22"/>
        </w:rPr>
        <w:t xml:space="preserve"> </w:t>
      </w:r>
      <w:r w:rsidR="003C4566" w:rsidRPr="00D058C1">
        <w:rPr>
          <w:rFonts w:ascii="Cambria" w:hAnsi="Cambria"/>
          <w:sz w:val="22"/>
          <w:szCs w:val="22"/>
        </w:rPr>
        <w:t xml:space="preserve">such as IAG’s </w:t>
      </w:r>
      <w:r w:rsidR="003C4566" w:rsidRPr="00D058C1">
        <w:rPr>
          <w:rFonts w:ascii="Cambria" w:hAnsi="Cambria"/>
          <w:color w:val="000000" w:themeColor="text1"/>
          <w:sz w:val="22"/>
          <w:szCs w:val="22"/>
        </w:rPr>
        <w:t>ENPOLD Bangsamoro</w:t>
      </w:r>
      <w:r w:rsidR="0092419C" w:rsidRPr="00D058C1">
        <w:rPr>
          <w:rFonts w:ascii="Cambria" w:hAnsi="Cambria"/>
          <w:sz w:val="22"/>
          <w:szCs w:val="22"/>
        </w:rPr>
        <w:t>, OXFAM’s WELD-PEACE</w:t>
      </w:r>
      <w:r w:rsidR="001D230B" w:rsidRPr="00D058C1">
        <w:rPr>
          <w:rFonts w:ascii="Cambria" w:hAnsi="Cambria"/>
          <w:sz w:val="22"/>
          <w:szCs w:val="22"/>
        </w:rPr>
        <w:t>,</w:t>
      </w:r>
      <w:r w:rsidR="003C4566" w:rsidRPr="00D058C1">
        <w:rPr>
          <w:rFonts w:ascii="Cambria" w:hAnsi="Cambria"/>
          <w:sz w:val="22"/>
          <w:szCs w:val="22"/>
        </w:rPr>
        <w:t xml:space="preserve"> </w:t>
      </w:r>
      <w:r w:rsidR="001D230B" w:rsidRPr="00D058C1">
        <w:rPr>
          <w:rFonts w:ascii="Cambria" w:hAnsi="Cambria"/>
          <w:sz w:val="22"/>
          <w:szCs w:val="22"/>
        </w:rPr>
        <w:t>the joint M</w:t>
      </w:r>
      <w:r w:rsidR="00704390">
        <w:rPr>
          <w:rFonts w:ascii="Cambria" w:hAnsi="Cambria"/>
          <w:sz w:val="22"/>
          <w:szCs w:val="22"/>
        </w:rPr>
        <w:t>ILF</w:t>
      </w:r>
      <w:r w:rsidR="001D230B" w:rsidRPr="00D058C1">
        <w:rPr>
          <w:rFonts w:ascii="Cambria" w:hAnsi="Cambria"/>
          <w:sz w:val="22"/>
          <w:szCs w:val="22"/>
        </w:rPr>
        <w:t>-MN</w:t>
      </w:r>
      <w:r w:rsidR="00704390">
        <w:rPr>
          <w:rFonts w:ascii="Cambria" w:hAnsi="Cambria"/>
          <w:sz w:val="22"/>
          <w:szCs w:val="22"/>
        </w:rPr>
        <w:t>LF</w:t>
      </w:r>
      <w:r w:rsidR="001D230B" w:rsidRPr="00D058C1">
        <w:rPr>
          <w:rFonts w:ascii="Cambria" w:hAnsi="Cambria"/>
          <w:sz w:val="22"/>
          <w:szCs w:val="22"/>
        </w:rPr>
        <w:t xml:space="preserve"> dialogues hosted by </w:t>
      </w:r>
      <w:r w:rsidR="003C4566" w:rsidRPr="00D058C1">
        <w:rPr>
          <w:rFonts w:ascii="Cambria" w:hAnsi="Cambria"/>
          <w:sz w:val="22"/>
          <w:szCs w:val="22"/>
        </w:rPr>
        <w:t xml:space="preserve">TAF-CARE </w:t>
      </w:r>
      <w:r w:rsidR="001D230B" w:rsidRPr="00D058C1">
        <w:rPr>
          <w:rFonts w:ascii="Cambria" w:hAnsi="Cambria"/>
          <w:sz w:val="22"/>
          <w:szCs w:val="22"/>
        </w:rPr>
        <w:t xml:space="preserve">and CHD </w:t>
      </w:r>
      <w:r w:rsidR="003645E5" w:rsidRPr="00D058C1">
        <w:rPr>
          <w:rFonts w:ascii="Cambria" w:hAnsi="Cambria"/>
          <w:sz w:val="22"/>
          <w:szCs w:val="22"/>
        </w:rPr>
        <w:t xml:space="preserve">as well as </w:t>
      </w:r>
      <w:r w:rsidR="00A20960" w:rsidRPr="00D058C1">
        <w:rPr>
          <w:rFonts w:ascii="Cambria" w:hAnsi="Cambria"/>
          <w:sz w:val="22"/>
          <w:szCs w:val="22"/>
        </w:rPr>
        <w:t>conversations</w:t>
      </w:r>
      <w:r w:rsidR="003645E5" w:rsidRPr="00D058C1">
        <w:rPr>
          <w:rFonts w:ascii="Cambria" w:hAnsi="Cambria"/>
          <w:sz w:val="22"/>
          <w:szCs w:val="22"/>
        </w:rPr>
        <w:t xml:space="preserve"> facilitated under PRIME-Bangsamoro</w:t>
      </w:r>
      <w:r w:rsidR="009E0A54" w:rsidRPr="00F11FA7">
        <w:rPr>
          <w:rFonts w:ascii="Cambria" w:hAnsi="Cambria"/>
          <w:sz w:val="22"/>
          <w:szCs w:val="22"/>
        </w:rPr>
        <w:t xml:space="preserve"> ensured broad participation of key stakeholders inside and outside the Bangsamoro region in the deliberation</w:t>
      </w:r>
      <w:r w:rsidR="00861CC2" w:rsidRPr="00D058C1">
        <w:rPr>
          <w:rFonts w:ascii="Cambria" w:hAnsi="Cambria"/>
          <w:sz w:val="22"/>
          <w:szCs w:val="22"/>
        </w:rPr>
        <w:t xml:space="preserve"> of</w:t>
      </w:r>
      <w:r w:rsidR="009E0A54" w:rsidRPr="00F11FA7">
        <w:rPr>
          <w:rFonts w:ascii="Cambria" w:hAnsi="Cambria"/>
          <w:sz w:val="22"/>
          <w:szCs w:val="22"/>
        </w:rPr>
        <w:t xml:space="preserve"> the various provisions of the BOL.  Among the stakeholders engaged by the APP partners were the MILF and national government officials, </w:t>
      </w:r>
      <w:r w:rsidR="00DC3F0C" w:rsidRPr="00F11FA7">
        <w:rPr>
          <w:rFonts w:ascii="Cambria" w:hAnsi="Cambria"/>
          <w:sz w:val="22"/>
          <w:szCs w:val="22"/>
        </w:rPr>
        <w:t xml:space="preserve">MNLF, </w:t>
      </w:r>
      <w:r w:rsidR="009E0A54" w:rsidRPr="00F11FA7">
        <w:rPr>
          <w:rFonts w:ascii="Cambria" w:hAnsi="Cambria"/>
          <w:sz w:val="22"/>
          <w:szCs w:val="22"/>
        </w:rPr>
        <w:t>LGU officials, women’s groups, I</w:t>
      </w:r>
      <w:r w:rsidR="008D3331">
        <w:rPr>
          <w:rFonts w:ascii="Cambria" w:hAnsi="Cambria"/>
          <w:sz w:val="22"/>
          <w:szCs w:val="22"/>
        </w:rPr>
        <w:t>P communities</w:t>
      </w:r>
      <w:r w:rsidR="009E0A54" w:rsidRPr="00F11FA7">
        <w:rPr>
          <w:rFonts w:ascii="Cambria" w:hAnsi="Cambria"/>
          <w:sz w:val="22"/>
          <w:szCs w:val="22"/>
        </w:rPr>
        <w:t>, youth groups,</w:t>
      </w:r>
      <w:r w:rsidR="00DC3F0C" w:rsidRPr="00F11FA7">
        <w:rPr>
          <w:rFonts w:ascii="Cambria" w:hAnsi="Cambria"/>
          <w:sz w:val="22"/>
          <w:szCs w:val="22"/>
        </w:rPr>
        <w:t xml:space="preserve"> academe, Christian settlers, media and those residing in the island provinces concerned with their role in the proposed BARMM government. The combined effort of the APP partners, the national government, MILF</w:t>
      </w:r>
      <w:r w:rsidR="00B46993" w:rsidRPr="00D058C1">
        <w:rPr>
          <w:rFonts w:ascii="Cambria" w:hAnsi="Cambria"/>
          <w:sz w:val="22"/>
          <w:szCs w:val="22"/>
        </w:rPr>
        <w:t>,</w:t>
      </w:r>
      <w:r w:rsidR="00DC3F0C" w:rsidRPr="00F11FA7">
        <w:rPr>
          <w:rFonts w:ascii="Cambria" w:hAnsi="Cambria"/>
          <w:sz w:val="22"/>
          <w:szCs w:val="22"/>
        </w:rPr>
        <w:t xml:space="preserve"> and other allies of the peace process led to the ratification of the BOL</w:t>
      </w:r>
      <w:r w:rsidR="009C3D69" w:rsidRPr="00D058C1">
        <w:rPr>
          <w:rFonts w:ascii="Cambria" w:hAnsi="Cambria"/>
          <w:sz w:val="22"/>
          <w:szCs w:val="22"/>
        </w:rPr>
        <w:t>,</w:t>
      </w:r>
      <w:r w:rsidR="00DC3F0C" w:rsidRPr="00F11FA7">
        <w:rPr>
          <w:rFonts w:ascii="Cambria" w:hAnsi="Cambria"/>
          <w:sz w:val="22"/>
          <w:szCs w:val="22"/>
        </w:rPr>
        <w:t xml:space="preserve"> the inclusion of </w:t>
      </w:r>
      <w:r w:rsidR="00DC3F0C" w:rsidRPr="00F11FA7">
        <w:rPr>
          <w:rFonts w:ascii="Cambria" w:hAnsi="Cambria"/>
          <w:sz w:val="22"/>
          <w:szCs w:val="22"/>
        </w:rPr>
        <w:lastRenderedPageBreak/>
        <w:t>additional territories (i.e., Cotabato City and 39 barangays in North Cotabato) under the new BARMM</w:t>
      </w:r>
      <w:r w:rsidR="009C3D69" w:rsidRPr="00D058C1">
        <w:rPr>
          <w:rFonts w:ascii="Cambria" w:hAnsi="Cambria"/>
          <w:sz w:val="22"/>
          <w:szCs w:val="22"/>
        </w:rPr>
        <w:t xml:space="preserve">, and the establishment of the Bangsamoro Transition Authority (BTA) as the interim regional government </w:t>
      </w:r>
      <w:r w:rsidR="00E26CD3" w:rsidRPr="00D058C1">
        <w:rPr>
          <w:rFonts w:ascii="Cambria" w:hAnsi="Cambria"/>
          <w:sz w:val="22"/>
          <w:szCs w:val="22"/>
        </w:rPr>
        <w:t xml:space="preserve">for less than three years </w:t>
      </w:r>
      <w:r w:rsidR="009C3D69" w:rsidRPr="00D058C1">
        <w:rPr>
          <w:rFonts w:ascii="Cambria" w:hAnsi="Cambria"/>
          <w:sz w:val="22"/>
          <w:szCs w:val="22"/>
        </w:rPr>
        <w:t>until the first formal elections of the Bangsamoro Parliament in May 2022</w:t>
      </w:r>
      <w:r w:rsidR="00DC3F0C" w:rsidRPr="00F11FA7">
        <w:rPr>
          <w:rFonts w:ascii="Cambria" w:hAnsi="Cambria"/>
          <w:sz w:val="22"/>
          <w:szCs w:val="22"/>
        </w:rPr>
        <w:t xml:space="preserve">.  </w:t>
      </w:r>
    </w:p>
    <w:p w14:paraId="2BAE3943" w14:textId="77777777" w:rsidR="00451E44" w:rsidRPr="00D058C1" w:rsidRDefault="00451E44" w:rsidP="00451E44">
      <w:pPr>
        <w:pStyle w:val="ListParagraph"/>
        <w:tabs>
          <w:tab w:val="left" w:pos="284"/>
          <w:tab w:val="left" w:pos="709"/>
        </w:tabs>
        <w:jc w:val="both"/>
        <w:rPr>
          <w:rFonts w:ascii="Cambria" w:hAnsi="Cambria"/>
          <w:sz w:val="22"/>
          <w:szCs w:val="22"/>
        </w:rPr>
      </w:pPr>
    </w:p>
    <w:p w14:paraId="347F2BC4" w14:textId="5EFA6890" w:rsidR="00FA6737" w:rsidRPr="00D058C1" w:rsidRDefault="00E26CD3" w:rsidP="00A928D6">
      <w:pPr>
        <w:pStyle w:val="ListParagraph"/>
        <w:numPr>
          <w:ilvl w:val="0"/>
          <w:numId w:val="77"/>
        </w:numPr>
        <w:jc w:val="both"/>
      </w:pPr>
      <w:r w:rsidRPr="00A928D6">
        <w:rPr>
          <w:rFonts w:ascii="Cambria" w:hAnsi="Cambria"/>
          <w:b/>
          <w:bCs/>
          <w:sz w:val="22"/>
          <w:szCs w:val="22"/>
        </w:rPr>
        <w:t xml:space="preserve">However, the speed by which the passage and ratification of the BOL and the establishment of new BARMM government took place brought in a new set of challenges for the APP </w:t>
      </w:r>
      <w:r w:rsidR="00CF1A90" w:rsidRPr="00A928D6">
        <w:rPr>
          <w:rFonts w:ascii="Cambria" w:hAnsi="Cambria"/>
          <w:b/>
          <w:bCs/>
          <w:sz w:val="22"/>
          <w:szCs w:val="22"/>
        </w:rPr>
        <w:t xml:space="preserve">and implementing </w:t>
      </w:r>
      <w:r w:rsidRPr="00A928D6">
        <w:rPr>
          <w:rFonts w:ascii="Cambria" w:hAnsi="Cambria"/>
          <w:b/>
          <w:bCs/>
          <w:sz w:val="22"/>
          <w:szCs w:val="22"/>
        </w:rPr>
        <w:t>partners.</w:t>
      </w:r>
      <w:r w:rsidRPr="00A928D6">
        <w:rPr>
          <w:rFonts w:ascii="Cambria" w:hAnsi="Cambria"/>
          <w:sz w:val="22"/>
          <w:szCs w:val="22"/>
        </w:rPr>
        <w:t xml:space="preserve">   As the multitude of activities pursued for the advocacy on the passage and ratification of the BOL w</w:t>
      </w:r>
      <w:r w:rsidR="005402CD" w:rsidRPr="00A928D6">
        <w:rPr>
          <w:rFonts w:ascii="Cambria" w:hAnsi="Cambria"/>
          <w:sz w:val="22"/>
          <w:szCs w:val="22"/>
        </w:rPr>
        <w:t>ere</w:t>
      </w:r>
      <w:r w:rsidRPr="00A928D6">
        <w:rPr>
          <w:rFonts w:ascii="Cambria" w:hAnsi="Cambria"/>
          <w:sz w:val="22"/>
          <w:szCs w:val="22"/>
        </w:rPr>
        <w:t xml:space="preserve"> </w:t>
      </w:r>
      <w:r w:rsidR="00670275" w:rsidRPr="00A928D6">
        <w:rPr>
          <w:rFonts w:ascii="Cambria" w:hAnsi="Cambria"/>
          <w:sz w:val="22"/>
          <w:szCs w:val="22"/>
        </w:rPr>
        <w:t>completed</w:t>
      </w:r>
      <w:r w:rsidRPr="00A928D6">
        <w:rPr>
          <w:rFonts w:ascii="Cambria" w:hAnsi="Cambria"/>
          <w:sz w:val="22"/>
          <w:szCs w:val="22"/>
        </w:rPr>
        <w:t xml:space="preserve">, there was an immediate need to shift efforts and resources to the successful installation of the instrumentalities of the new BARMM government and in ensuring that the new government will deliver on promises made to the Bangsamoro people. </w:t>
      </w:r>
    </w:p>
    <w:p w14:paraId="4CB5C20F" w14:textId="77777777" w:rsidR="00E26CD3" w:rsidRPr="00A928D6" w:rsidRDefault="00E26CD3" w:rsidP="00A928D6">
      <w:pPr>
        <w:pStyle w:val="ListParagraph"/>
        <w:tabs>
          <w:tab w:val="left" w:pos="284"/>
          <w:tab w:val="left" w:pos="709"/>
        </w:tabs>
        <w:ind w:left="360"/>
        <w:jc w:val="both"/>
        <w:rPr>
          <w:rFonts w:ascii="Cambria" w:hAnsi="Cambria"/>
          <w:sz w:val="22"/>
          <w:szCs w:val="22"/>
        </w:rPr>
      </w:pPr>
    </w:p>
    <w:p w14:paraId="756B9526" w14:textId="615EC37A" w:rsidR="00E26CD3" w:rsidRPr="00D058C1" w:rsidRDefault="00E26CD3" w:rsidP="00E26CD3">
      <w:pPr>
        <w:pStyle w:val="ListParagraph"/>
        <w:numPr>
          <w:ilvl w:val="0"/>
          <w:numId w:val="77"/>
        </w:numPr>
        <w:tabs>
          <w:tab w:val="left" w:pos="284"/>
          <w:tab w:val="left" w:pos="709"/>
        </w:tabs>
        <w:jc w:val="both"/>
        <w:rPr>
          <w:rFonts w:ascii="Cambria" w:hAnsi="Cambria"/>
          <w:sz w:val="22"/>
          <w:szCs w:val="22"/>
        </w:rPr>
      </w:pPr>
      <w:r w:rsidRPr="00D058C1">
        <w:rPr>
          <w:rFonts w:ascii="Cambria" w:hAnsi="Cambria"/>
          <w:sz w:val="22"/>
          <w:szCs w:val="22"/>
        </w:rPr>
        <w:t>Selected APP partners, particularly TAF and IAG, responded to the governance challenge</w:t>
      </w:r>
      <w:r w:rsidR="00506B53">
        <w:rPr>
          <w:rFonts w:ascii="Cambria" w:hAnsi="Cambria"/>
          <w:sz w:val="22"/>
          <w:szCs w:val="22"/>
        </w:rPr>
        <w:t>s</w:t>
      </w:r>
      <w:r w:rsidRPr="00D058C1">
        <w:rPr>
          <w:rFonts w:ascii="Cambria" w:hAnsi="Cambria"/>
          <w:sz w:val="22"/>
          <w:szCs w:val="22"/>
        </w:rPr>
        <w:t xml:space="preserve"> of the new BARMM government.   Technical assistance support was extended in crafting key legislations (i.e., </w:t>
      </w:r>
      <w:r w:rsidR="00696BA0">
        <w:rPr>
          <w:rFonts w:ascii="Cambria" w:hAnsi="Cambria"/>
          <w:sz w:val="22"/>
          <w:szCs w:val="22"/>
        </w:rPr>
        <w:t xml:space="preserve">Civil Service, </w:t>
      </w:r>
      <w:r w:rsidRPr="00D058C1">
        <w:rPr>
          <w:rFonts w:ascii="Cambria" w:hAnsi="Cambria"/>
          <w:sz w:val="22"/>
          <w:szCs w:val="22"/>
        </w:rPr>
        <w:t>Education, Administrative, Revenue</w:t>
      </w:r>
      <w:r w:rsidR="00D058C1" w:rsidRPr="00D058C1">
        <w:rPr>
          <w:rFonts w:ascii="Cambria" w:hAnsi="Cambria"/>
          <w:sz w:val="22"/>
          <w:szCs w:val="22"/>
        </w:rPr>
        <w:t>,</w:t>
      </w:r>
      <w:r w:rsidRPr="00D058C1">
        <w:rPr>
          <w:rFonts w:ascii="Cambria" w:hAnsi="Cambria"/>
          <w:sz w:val="22"/>
          <w:szCs w:val="22"/>
        </w:rPr>
        <w:t xml:space="preserve"> and Election Codes) that are needed to ensure that the shift to the parliamentary system </w:t>
      </w:r>
      <w:r w:rsidR="00D058C1" w:rsidRPr="00D058C1">
        <w:rPr>
          <w:rFonts w:ascii="Cambria" w:hAnsi="Cambria"/>
          <w:sz w:val="22"/>
          <w:szCs w:val="22"/>
          <w:shd w:val="clear" w:color="auto" w:fill="FFFFFF"/>
          <w:lang w:val="en-US"/>
        </w:rPr>
        <w:t xml:space="preserve">from the unitary form of government previously present in ARMM </w:t>
      </w:r>
      <w:r w:rsidRPr="00D058C1">
        <w:rPr>
          <w:rFonts w:ascii="Cambria" w:hAnsi="Cambria"/>
          <w:sz w:val="22"/>
          <w:szCs w:val="22"/>
        </w:rPr>
        <w:t xml:space="preserve">becomes a smooth one.  Limited capacity building programs were also offered to provide key BARMM officials and staff knowledge and insights on how to efficiently run their respective ministries. </w:t>
      </w:r>
      <w:r w:rsidR="00506B53">
        <w:rPr>
          <w:rFonts w:ascii="Cambria" w:hAnsi="Cambria"/>
          <w:sz w:val="22"/>
          <w:szCs w:val="22"/>
        </w:rPr>
        <w:t xml:space="preserve">Efforts to establish </w:t>
      </w:r>
      <w:r w:rsidR="00506B53" w:rsidRPr="00D058C1">
        <w:rPr>
          <w:rFonts w:ascii="Cambria" w:hAnsi="Cambria"/>
          <w:sz w:val="22"/>
          <w:szCs w:val="22"/>
        </w:rPr>
        <w:t>structures, systems, and rules for the new BARMM</w:t>
      </w:r>
      <w:r w:rsidR="00506B53">
        <w:rPr>
          <w:rFonts w:ascii="Cambria" w:hAnsi="Cambria"/>
          <w:sz w:val="22"/>
          <w:szCs w:val="22"/>
        </w:rPr>
        <w:t xml:space="preserve"> as envisioned in the CAB and BOL are expected to continue even beyond 2022.</w:t>
      </w:r>
    </w:p>
    <w:p w14:paraId="5D8F485A" w14:textId="77777777" w:rsidR="00E26CD3" w:rsidRPr="00D058C1" w:rsidRDefault="00E26CD3" w:rsidP="00E26CD3">
      <w:pPr>
        <w:rPr>
          <w:rFonts w:ascii="Cambria" w:hAnsi="Cambria"/>
          <w:sz w:val="22"/>
          <w:szCs w:val="22"/>
        </w:rPr>
      </w:pPr>
    </w:p>
    <w:p w14:paraId="3E02AAE5" w14:textId="203D3A73" w:rsidR="00451E44" w:rsidRPr="00D058C1" w:rsidRDefault="00B46993" w:rsidP="00436D76">
      <w:pPr>
        <w:pStyle w:val="ListParagraph"/>
        <w:numPr>
          <w:ilvl w:val="0"/>
          <w:numId w:val="77"/>
        </w:numPr>
        <w:tabs>
          <w:tab w:val="left" w:pos="284"/>
          <w:tab w:val="left" w:pos="709"/>
        </w:tabs>
        <w:jc w:val="both"/>
        <w:rPr>
          <w:rStyle w:val="normaltextrun"/>
          <w:rFonts w:ascii="Cambria" w:hAnsi="Cambria" w:cstheme="majorBidi"/>
          <w:sz w:val="22"/>
          <w:szCs w:val="22"/>
        </w:rPr>
      </w:pPr>
      <w:r w:rsidRPr="00D058C1">
        <w:rPr>
          <w:rFonts w:ascii="Cambria" w:hAnsi="Cambria"/>
          <w:sz w:val="22"/>
          <w:szCs w:val="22"/>
        </w:rPr>
        <w:t>Support to normalization activities continued through the e</w:t>
      </w:r>
      <w:r w:rsidR="002B7F20" w:rsidRPr="00D058C1">
        <w:rPr>
          <w:rFonts w:ascii="Cambria" w:hAnsi="Cambria"/>
          <w:sz w:val="22"/>
          <w:szCs w:val="22"/>
        </w:rPr>
        <w:t xml:space="preserve">xtension of the </w:t>
      </w:r>
      <w:r w:rsidR="00E26CD3" w:rsidRPr="00D058C1">
        <w:rPr>
          <w:rFonts w:ascii="Cambria" w:hAnsi="Cambria"/>
          <w:sz w:val="22"/>
          <w:szCs w:val="22"/>
        </w:rPr>
        <w:t xml:space="preserve">World Bank’s </w:t>
      </w:r>
      <w:r w:rsidR="002B7F20" w:rsidRPr="00D058C1">
        <w:rPr>
          <w:rFonts w:ascii="Cambria" w:hAnsi="Cambria"/>
          <w:sz w:val="22"/>
          <w:szCs w:val="22"/>
        </w:rPr>
        <w:t xml:space="preserve">Mindanao Trust Fund </w:t>
      </w:r>
      <w:r w:rsidR="008E7989">
        <w:rPr>
          <w:rFonts w:ascii="Cambria" w:hAnsi="Cambria"/>
          <w:sz w:val="22"/>
          <w:szCs w:val="22"/>
        </w:rPr>
        <w:t>–</w:t>
      </w:r>
      <w:r w:rsidR="009B5944">
        <w:rPr>
          <w:rFonts w:ascii="Cambria" w:hAnsi="Cambria"/>
          <w:sz w:val="22"/>
          <w:szCs w:val="22"/>
        </w:rPr>
        <w:t xml:space="preserve"> </w:t>
      </w:r>
      <w:r w:rsidR="002B7F20" w:rsidRPr="00D058C1">
        <w:rPr>
          <w:rFonts w:ascii="Cambria" w:hAnsi="Cambria"/>
          <w:sz w:val="22"/>
          <w:szCs w:val="22"/>
        </w:rPr>
        <w:t>Reconstruction and Development Program 2 (MTF-RDP2) in the six acknowledged MILF camps in Central Mindanao</w:t>
      </w:r>
      <w:r w:rsidRPr="00D058C1">
        <w:rPr>
          <w:rFonts w:ascii="Cambria" w:hAnsi="Cambria"/>
          <w:sz w:val="22"/>
          <w:szCs w:val="22"/>
        </w:rPr>
        <w:t xml:space="preserve">, </w:t>
      </w:r>
      <w:r w:rsidR="00FA5540" w:rsidRPr="00D058C1">
        <w:rPr>
          <w:rFonts w:ascii="Cambria" w:hAnsi="Cambria"/>
          <w:sz w:val="22"/>
          <w:szCs w:val="22"/>
        </w:rPr>
        <w:t xml:space="preserve">and </w:t>
      </w:r>
      <w:r w:rsidR="009B5944">
        <w:rPr>
          <w:rFonts w:ascii="Cambria" w:hAnsi="Cambria"/>
          <w:sz w:val="22"/>
          <w:szCs w:val="22"/>
        </w:rPr>
        <w:t xml:space="preserve">the </w:t>
      </w:r>
      <w:r w:rsidR="00E26CD3" w:rsidRPr="00D058C1">
        <w:rPr>
          <w:rFonts w:ascii="Cambria" w:hAnsi="Cambria"/>
          <w:sz w:val="22"/>
          <w:szCs w:val="22"/>
        </w:rPr>
        <w:t>UNDP-managed</w:t>
      </w:r>
      <w:r w:rsidRPr="00D058C1">
        <w:rPr>
          <w:rFonts w:ascii="Cambria" w:hAnsi="Cambria"/>
          <w:sz w:val="22"/>
          <w:szCs w:val="22"/>
        </w:rPr>
        <w:t xml:space="preserve"> funding for the </w:t>
      </w:r>
      <w:r w:rsidR="002B7F20" w:rsidRPr="00F11FA7">
        <w:rPr>
          <w:rFonts w:ascii="Cambria" w:hAnsi="Cambria"/>
          <w:iCs/>
          <w:sz w:val="22"/>
          <w:szCs w:val="22"/>
        </w:rPr>
        <w:t>Independent Decommissioning Body (IDB)</w:t>
      </w:r>
      <w:r w:rsidR="00FA5540" w:rsidRPr="00D058C1">
        <w:rPr>
          <w:rFonts w:ascii="Cambria" w:hAnsi="Cambria"/>
          <w:iCs/>
          <w:sz w:val="22"/>
          <w:szCs w:val="22"/>
        </w:rPr>
        <w:t>, one of the key actors s</w:t>
      </w:r>
      <w:r w:rsidRPr="00D058C1">
        <w:rPr>
          <w:rFonts w:ascii="Cambria" w:hAnsi="Cambria"/>
          <w:iCs/>
          <w:sz w:val="22"/>
          <w:szCs w:val="22"/>
        </w:rPr>
        <w:t>upport</w:t>
      </w:r>
      <w:r w:rsidR="00FA5540" w:rsidRPr="00D058C1">
        <w:rPr>
          <w:rFonts w:ascii="Cambria" w:hAnsi="Cambria"/>
          <w:iCs/>
          <w:sz w:val="22"/>
          <w:szCs w:val="22"/>
        </w:rPr>
        <w:t>ing</w:t>
      </w:r>
      <w:r w:rsidRPr="00D058C1">
        <w:rPr>
          <w:rFonts w:ascii="Cambria" w:hAnsi="Cambria"/>
          <w:iCs/>
          <w:sz w:val="22"/>
          <w:szCs w:val="22"/>
        </w:rPr>
        <w:t xml:space="preserve"> the so-called Phase 2</w:t>
      </w:r>
      <w:r w:rsidR="00C77B70" w:rsidRPr="00D058C1">
        <w:rPr>
          <w:rFonts w:ascii="Cambria" w:hAnsi="Cambria"/>
          <w:b/>
          <w:bCs/>
          <w:iCs/>
          <w:sz w:val="22"/>
          <w:szCs w:val="22"/>
        </w:rPr>
        <w:t xml:space="preserve">, </w:t>
      </w:r>
      <w:r w:rsidR="00451E44" w:rsidRPr="00D058C1">
        <w:rPr>
          <w:rStyle w:val="normaltextrun"/>
          <w:rFonts w:ascii="Cambria" w:hAnsi="Cambria"/>
          <w:sz w:val="22"/>
          <w:szCs w:val="22"/>
        </w:rPr>
        <w:t xml:space="preserve">which refers to, among others, the decommissioning of 30% of total combatants (or 12,000 individuals) of the </w:t>
      </w:r>
      <w:r w:rsidR="00451E44" w:rsidRPr="00D058C1">
        <w:rPr>
          <w:rStyle w:val="normaltextrun"/>
          <w:rFonts w:ascii="Cambria" w:hAnsi="Cambria" w:cstheme="majorBidi"/>
          <w:sz w:val="22"/>
          <w:szCs w:val="22"/>
        </w:rPr>
        <w:t>MILF’s Bangsamoro Islamic Armed Forces (BIAF)</w:t>
      </w:r>
      <w:r w:rsidR="00FD34FC" w:rsidRPr="00D058C1">
        <w:rPr>
          <w:rStyle w:val="normaltextrun"/>
          <w:rFonts w:ascii="Cambria" w:hAnsi="Cambria" w:cstheme="majorBidi"/>
          <w:sz w:val="22"/>
          <w:szCs w:val="22"/>
        </w:rPr>
        <w:t xml:space="preserve"> and its Bangsamoro Islamic Women</w:t>
      </w:r>
      <w:r w:rsidR="00704390">
        <w:rPr>
          <w:rStyle w:val="normaltextrun"/>
          <w:rFonts w:ascii="Cambria" w:hAnsi="Cambria" w:cstheme="majorBidi"/>
          <w:sz w:val="22"/>
          <w:szCs w:val="22"/>
        </w:rPr>
        <w:t>’</w:t>
      </w:r>
      <w:r w:rsidR="00FD34FC" w:rsidRPr="00D058C1">
        <w:rPr>
          <w:rStyle w:val="normaltextrun"/>
          <w:rFonts w:ascii="Cambria" w:hAnsi="Cambria" w:cstheme="majorBidi"/>
          <w:sz w:val="22"/>
          <w:szCs w:val="22"/>
        </w:rPr>
        <w:t xml:space="preserve">s </w:t>
      </w:r>
      <w:r w:rsidR="0061426F" w:rsidRPr="00D058C1">
        <w:rPr>
          <w:rStyle w:val="normaltextrun"/>
          <w:rFonts w:ascii="Cambria" w:hAnsi="Cambria" w:cstheme="majorBidi"/>
          <w:sz w:val="22"/>
          <w:szCs w:val="22"/>
        </w:rPr>
        <w:t>Auxiliary</w:t>
      </w:r>
      <w:r w:rsidR="00FD34FC" w:rsidRPr="00D058C1">
        <w:rPr>
          <w:rStyle w:val="normaltextrun"/>
          <w:rFonts w:ascii="Cambria" w:hAnsi="Cambria" w:cstheme="majorBidi"/>
          <w:sz w:val="22"/>
          <w:szCs w:val="22"/>
        </w:rPr>
        <w:t xml:space="preserve"> Brigade (BIWAB)</w:t>
      </w:r>
      <w:r w:rsidR="00451E44" w:rsidRPr="00D058C1">
        <w:rPr>
          <w:rStyle w:val="normaltextrun"/>
          <w:rFonts w:ascii="Cambria" w:hAnsi="Cambria" w:cstheme="majorBidi"/>
          <w:sz w:val="22"/>
          <w:szCs w:val="22"/>
        </w:rPr>
        <w:t xml:space="preserve">. </w:t>
      </w:r>
      <w:r w:rsidR="0060091C" w:rsidRPr="00D058C1">
        <w:rPr>
          <w:rStyle w:val="normaltextrun"/>
          <w:rFonts w:ascii="Cambria" w:hAnsi="Cambria" w:cstheme="majorBidi"/>
          <w:sz w:val="22"/>
          <w:szCs w:val="22"/>
        </w:rPr>
        <w:t xml:space="preserve">However, </w:t>
      </w:r>
      <w:r w:rsidR="00A708B2" w:rsidRPr="00D058C1">
        <w:rPr>
          <w:rStyle w:val="normaltextrun"/>
          <w:rFonts w:ascii="Cambria" w:hAnsi="Cambria" w:cstheme="majorBidi"/>
          <w:sz w:val="22"/>
          <w:szCs w:val="22"/>
        </w:rPr>
        <w:t>effe</w:t>
      </w:r>
      <w:r w:rsidR="00C83C04" w:rsidRPr="00D058C1">
        <w:rPr>
          <w:rStyle w:val="normaltextrun"/>
          <w:rFonts w:ascii="Cambria" w:hAnsi="Cambria" w:cstheme="majorBidi"/>
          <w:sz w:val="22"/>
          <w:szCs w:val="22"/>
        </w:rPr>
        <w:t xml:space="preserve">ctive implementation was hampered by exogenous factors such as the delay in the establishment of the Bangsamoro Normalization Trust Fund (BNTF). </w:t>
      </w:r>
    </w:p>
    <w:p w14:paraId="282E8162" w14:textId="77777777" w:rsidR="008E7989" w:rsidRDefault="008E7989" w:rsidP="00A928D6">
      <w:pPr>
        <w:pStyle w:val="ListParagraph"/>
        <w:rPr>
          <w:rFonts w:ascii="Cambria" w:hAnsi="Cambria" w:cstheme="majorBidi"/>
          <w:sz w:val="22"/>
          <w:szCs w:val="22"/>
        </w:rPr>
      </w:pPr>
    </w:p>
    <w:p w14:paraId="102CAC50" w14:textId="77777777" w:rsidR="002B7F20" w:rsidRPr="00D058C1" w:rsidRDefault="002B7F20" w:rsidP="00436D76">
      <w:pPr>
        <w:tabs>
          <w:tab w:val="left" w:pos="284"/>
          <w:tab w:val="left" w:pos="709"/>
        </w:tabs>
        <w:jc w:val="both"/>
        <w:rPr>
          <w:rFonts w:ascii="Cambria" w:hAnsi="Cambria" w:cstheme="majorBidi"/>
          <w:sz w:val="22"/>
          <w:szCs w:val="22"/>
        </w:rPr>
      </w:pPr>
    </w:p>
    <w:p w14:paraId="46FEA287" w14:textId="12F2E60A" w:rsidR="002A3E25" w:rsidRPr="00D058C1" w:rsidRDefault="002A3E25" w:rsidP="00436D76">
      <w:pPr>
        <w:pStyle w:val="Heading3"/>
        <w:jc w:val="both"/>
        <w:rPr>
          <w:rFonts w:ascii="Cambria" w:eastAsia="Times New Roman" w:hAnsi="Cambria"/>
          <w:sz w:val="22"/>
          <w:szCs w:val="22"/>
        </w:rPr>
      </w:pPr>
      <w:bookmarkStart w:id="11" w:name="_Toc34220978"/>
      <w:bookmarkStart w:id="12" w:name="_Toc55309672"/>
      <w:r w:rsidRPr="00D058C1">
        <w:rPr>
          <w:rFonts w:ascii="Cambria" w:eastAsia="Times New Roman" w:hAnsi="Cambria"/>
          <w:i/>
          <w:iCs/>
          <w:sz w:val="22"/>
          <w:szCs w:val="22"/>
        </w:rPr>
        <w:t>B. Addressing drivers of conflict and violence</w:t>
      </w:r>
      <w:bookmarkEnd w:id="11"/>
      <w:bookmarkEnd w:id="12"/>
      <w:r w:rsidRPr="00D058C1">
        <w:rPr>
          <w:rFonts w:ascii="Cambria" w:eastAsia="Times New Roman" w:hAnsi="Cambria"/>
          <w:i/>
          <w:iCs/>
          <w:sz w:val="22"/>
          <w:szCs w:val="22"/>
        </w:rPr>
        <w:t xml:space="preserve"> </w:t>
      </w:r>
    </w:p>
    <w:p w14:paraId="6ED60D23" w14:textId="2BB92DFF" w:rsidR="00DC3F0C" w:rsidRPr="00D058C1" w:rsidRDefault="00DC3F0C" w:rsidP="00436D76">
      <w:pPr>
        <w:tabs>
          <w:tab w:val="left" w:pos="284"/>
          <w:tab w:val="left" w:pos="709"/>
        </w:tabs>
        <w:jc w:val="both"/>
        <w:rPr>
          <w:rFonts w:ascii="Cambria" w:hAnsi="Cambria" w:cstheme="majorBidi"/>
          <w:sz w:val="22"/>
          <w:szCs w:val="22"/>
        </w:rPr>
      </w:pPr>
    </w:p>
    <w:p w14:paraId="69EA8E9B" w14:textId="4A666273" w:rsidR="00082555" w:rsidRPr="00F11FA7" w:rsidRDefault="005E43E8" w:rsidP="00436D76">
      <w:pPr>
        <w:pStyle w:val="ListParagraph"/>
        <w:numPr>
          <w:ilvl w:val="0"/>
          <w:numId w:val="77"/>
        </w:numPr>
        <w:tabs>
          <w:tab w:val="left" w:pos="284"/>
          <w:tab w:val="left" w:pos="709"/>
        </w:tabs>
        <w:jc w:val="both"/>
        <w:rPr>
          <w:rFonts w:ascii="Cambria" w:hAnsi="Cambria" w:cstheme="majorBidi"/>
          <w:sz w:val="22"/>
          <w:szCs w:val="22"/>
        </w:rPr>
      </w:pPr>
      <w:r w:rsidRPr="00A928D6">
        <w:rPr>
          <w:rFonts w:ascii="Cambria" w:hAnsi="Cambria" w:cstheme="majorBidi"/>
          <w:b/>
          <w:bCs/>
          <w:sz w:val="22"/>
          <w:szCs w:val="22"/>
        </w:rPr>
        <w:t xml:space="preserve">The APP </w:t>
      </w:r>
      <w:r w:rsidR="00CF1A90" w:rsidRPr="00A928D6">
        <w:rPr>
          <w:rFonts w:ascii="Cambria" w:hAnsi="Cambria" w:cstheme="majorBidi"/>
          <w:b/>
          <w:bCs/>
          <w:sz w:val="22"/>
          <w:szCs w:val="22"/>
        </w:rPr>
        <w:t xml:space="preserve">and implementing </w:t>
      </w:r>
      <w:r w:rsidRPr="00A928D6">
        <w:rPr>
          <w:rFonts w:ascii="Cambria" w:hAnsi="Cambria" w:cstheme="majorBidi"/>
          <w:b/>
          <w:bCs/>
          <w:sz w:val="22"/>
          <w:szCs w:val="22"/>
        </w:rPr>
        <w:t xml:space="preserve">partners </w:t>
      </w:r>
      <w:r w:rsidR="00662797">
        <w:rPr>
          <w:rFonts w:ascii="Cambria" w:hAnsi="Cambria" w:cstheme="majorBidi"/>
          <w:b/>
          <w:bCs/>
          <w:sz w:val="22"/>
          <w:szCs w:val="22"/>
        </w:rPr>
        <w:t>helped</w:t>
      </w:r>
      <w:r w:rsidR="006202D5" w:rsidRPr="00A928D6">
        <w:rPr>
          <w:rFonts w:ascii="Cambria" w:hAnsi="Cambria" w:cstheme="majorBidi"/>
          <w:b/>
          <w:bCs/>
          <w:sz w:val="22"/>
          <w:szCs w:val="22"/>
        </w:rPr>
        <w:t xml:space="preserve"> address drivers of conflict and violence by </w:t>
      </w:r>
      <w:r w:rsidR="00DE44F8" w:rsidRPr="00A928D6">
        <w:rPr>
          <w:rFonts w:ascii="Cambria" w:hAnsi="Cambria" w:cstheme="majorBidi"/>
          <w:b/>
          <w:bCs/>
          <w:sz w:val="22"/>
          <w:szCs w:val="22"/>
        </w:rPr>
        <w:t>continu</w:t>
      </w:r>
      <w:r w:rsidR="006202D5" w:rsidRPr="00A928D6">
        <w:rPr>
          <w:rFonts w:ascii="Cambria" w:hAnsi="Cambria" w:cstheme="majorBidi"/>
          <w:b/>
          <w:bCs/>
          <w:sz w:val="22"/>
          <w:szCs w:val="22"/>
        </w:rPr>
        <w:t>ing</w:t>
      </w:r>
      <w:r w:rsidR="002A3B20" w:rsidRPr="00A928D6">
        <w:rPr>
          <w:rFonts w:ascii="Cambria" w:hAnsi="Cambria" w:cstheme="majorBidi"/>
          <w:b/>
          <w:bCs/>
          <w:sz w:val="22"/>
          <w:szCs w:val="22"/>
        </w:rPr>
        <w:t xml:space="preserve"> </w:t>
      </w:r>
      <w:r w:rsidR="007E0089" w:rsidRPr="00A928D6">
        <w:rPr>
          <w:rFonts w:ascii="Cambria" w:hAnsi="Cambria" w:cstheme="majorBidi"/>
          <w:b/>
          <w:bCs/>
          <w:sz w:val="22"/>
          <w:szCs w:val="22"/>
        </w:rPr>
        <w:t xml:space="preserve">to </w:t>
      </w:r>
      <w:r w:rsidR="002A3B20" w:rsidRPr="00A928D6">
        <w:rPr>
          <w:rFonts w:ascii="Cambria" w:hAnsi="Cambria" w:cstheme="majorBidi"/>
          <w:b/>
          <w:bCs/>
          <w:sz w:val="22"/>
          <w:szCs w:val="22"/>
        </w:rPr>
        <w:t>deploy conflict monitoring, prevention, and mitigation tools at the local level, particularly on land resource management and clan conflict resolution.</w:t>
      </w:r>
      <w:r w:rsidR="00DE44F8" w:rsidRPr="00A928D6">
        <w:rPr>
          <w:rFonts w:ascii="Cambria" w:hAnsi="Cambria" w:cstheme="majorBidi"/>
          <w:b/>
          <w:bCs/>
          <w:sz w:val="22"/>
          <w:szCs w:val="22"/>
        </w:rPr>
        <w:t xml:space="preserve"> </w:t>
      </w:r>
      <w:r w:rsidR="002A3B20" w:rsidRPr="00A928D6">
        <w:rPr>
          <w:rFonts w:ascii="Cambria" w:hAnsi="Cambria" w:cstheme="majorBidi"/>
          <w:b/>
          <w:bCs/>
          <w:sz w:val="22"/>
          <w:szCs w:val="22"/>
        </w:rPr>
        <w:t>With the 2017 Marawi Siege, a key adjustment was</w:t>
      </w:r>
      <w:r w:rsidR="00CB7A14" w:rsidRPr="00A928D6">
        <w:rPr>
          <w:rFonts w:ascii="Cambria" w:hAnsi="Cambria" w:cstheme="majorBidi"/>
          <w:b/>
          <w:bCs/>
          <w:sz w:val="22"/>
          <w:szCs w:val="22"/>
        </w:rPr>
        <w:t xml:space="preserve"> to</w:t>
      </w:r>
      <w:r w:rsidR="002A3B20" w:rsidRPr="00A928D6">
        <w:rPr>
          <w:rFonts w:ascii="Cambria" w:hAnsi="Cambria" w:cstheme="majorBidi"/>
          <w:b/>
          <w:bCs/>
          <w:sz w:val="22"/>
          <w:szCs w:val="22"/>
        </w:rPr>
        <w:t xml:space="preserve"> </w:t>
      </w:r>
      <w:r w:rsidRPr="00A928D6">
        <w:rPr>
          <w:rFonts w:ascii="Cambria" w:hAnsi="Cambria" w:cstheme="majorBidi"/>
          <w:b/>
          <w:bCs/>
          <w:sz w:val="22"/>
          <w:szCs w:val="22"/>
        </w:rPr>
        <w:t>provid</w:t>
      </w:r>
      <w:r w:rsidR="006202D5" w:rsidRPr="00A928D6">
        <w:rPr>
          <w:rFonts w:ascii="Cambria" w:hAnsi="Cambria" w:cstheme="majorBidi"/>
          <w:b/>
          <w:bCs/>
          <w:sz w:val="22"/>
          <w:szCs w:val="22"/>
        </w:rPr>
        <w:t>e</w:t>
      </w:r>
      <w:r w:rsidRPr="00A928D6">
        <w:rPr>
          <w:rFonts w:ascii="Cambria" w:hAnsi="Cambria" w:cstheme="majorBidi"/>
          <w:b/>
          <w:bCs/>
          <w:sz w:val="22"/>
          <w:szCs w:val="22"/>
        </w:rPr>
        <w:t xml:space="preserve"> technical assistance</w:t>
      </w:r>
      <w:r w:rsidR="00BE227E">
        <w:rPr>
          <w:rFonts w:ascii="Cambria" w:hAnsi="Cambria" w:cstheme="majorBidi"/>
          <w:b/>
          <w:bCs/>
          <w:sz w:val="22"/>
          <w:szCs w:val="22"/>
        </w:rPr>
        <w:t xml:space="preserve"> </w:t>
      </w:r>
      <w:r w:rsidRPr="00A928D6">
        <w:rPr>
          <w:rFonts w:ascii="Cambria" w:hAnsi="Cambria" w:cstheme="majorBidi"/>
          <w:b/>
          <w:bCs/>
          <w:sz w:val="22"/>
          <w:szCs w:val="22"/>
        </w:rPr>
        <w:t xml:space="preserve">to the rehabilitation and reconstruction </w:t>
      </w:r>
      <w:r w:rsidR="00CB0E12" w:rsidRPr="00A928D6">
        <w:rPr>
          <w:rFonts w:ascii="Cambria" w:hAnsi="Cambria" w:cstheme="majorBidi"/>
          <w:b/>
          <w:bCs/>
          <w:sz w:val="22"/>
          <w:szCs w:val="22"/>
        </w:rPr>
        <w:t>of</w:t>
      </w:r>
      <w:r w:rsidRPr="00A928D6">
        <w:rPr>
          <w:rFonts w:ascii="Cambria" w:hAnsi="Cambria" w:cstheme="majorBidi"/>
          <w:b/>
          <w:bCs/>
          <w:sz w:val="22"/>
          <w:szCs w:val="22"/>
        </w:rPr>
        <w:t xml:space="preserve"> Marawi City</w:t>
      </w:r>
      <w:r w:rsidR="00BE227E">
        <w:rPr>
          <w:rFonts w:ascii="Cambria" w:hAnsi="Cambria" w:cstheme="majorBidi"/>
          <w:b/>
          <w:bCs/>
          <w:sz w:val="22"/>
          <w:szCs w:val="22"/>
        </w:rPr>
        <w:t xml:space="preserve"> while </w:t>
      </w:r>
      <w:r w:rsidR="0011232A">
        <w:rPr>
          <w:rFonts w:ascii="Cambria" w:hAnsi="Cambria" w:cstheme="majorBidi"/>
          <w:b/>
          <w:bCs/>
          <w:sz w:val="22"/>
          <w:szCs w:val="22"/>
        </w:rPr>
        <w:t>helping address</w:t>
      </w:r>
      <w:r w:rsidR="00BE227E">
        <w:rPr>
          <w:rFonts w:ascii="Cambria" w:hAnsi="Cambria" w:cstheme="majorBidi"/>
          <w:b/>
          <w:bCs/>
          <w:sz w:val="22"/>
          <w:szCs w:val="22"/>
        </w:rPr>
        <w:t xml:space="preserve"> the </w:t>
      </w:r>
      <w:r w:rsidR="0011232A">
        <w:rPr>
          <w:rFonts w:ascii="Cambria" w:hAnsi="Cambria" w:cstheme="majorBidi"/>
          <w:b/>
          <w:bCs/>
          <w:sz w:val="22"/>
          <w:szCs w:val="22"/>
        </w:rPr>
        <w:t>threat of</w:t>
      </w:r>
      <w:r w:rsidR="00BE227E">
        <w:rPr>
          <w:rFonts w:ascii="Cambria" w:hAnsi="Cambria" w:cstheme="majorBidi"/>
          <w:b/>
          <w:bCs/>
          <w:sz w:val="22"/>
          <w:szCs w:val="22"/>
        </w:rPr>
        <w:t xml:space="preserve"> violent extremism (VE) across the region</w:t>
      </w:r>
      <w:r w:rsidRPr="00A928D6">
        <w:rPr>
          <w:rFonts w:ascii="Cambria" w:hAnsi="Cambria" w:cstheme="majorBidi"/>
          <w:b/>
          <w:bCs/>
          <w:sz w:val="22"/>
          <w:szCs w:val="22"/>
        </w:rPr>
        <w:t>.</w:t>
      </w:r>
      <w:r w:rsidRPr="00F11FA7">
        <w:rPr>
          <w:rFonts w:ascii="Cambria" w:hAnsi="Cambria" w:cstheme="majorBidi"/>
          <w:sz w:val="22"/>
          <w:szCs w:val="22"/>
        </w:rPr>
        <w:t xml:space="preserve">  A series of high-level consultations and workshops with national government and LGU officials, displaced victims particularly women, NGOs, INGOs and academe on how humanitarian assistance and rehabilitation and reconstruction work should proceed were conducted under sponsorship of APP </w:t>
      </w:r>
      <w:r w:rsidR="00CF1A90">
        <w:rPr>
          <w:rFonts w:ascii="Cambria" w:hAnsi="Cambria" w:cstheme="majorBidi"/>
          <w:sz w:val="22"/>
          <w:szCs w:val="22"/>
        </w:rPr>
        <w:t xml:space="preserve">and implementing </w:t>
      </w:r>
      <w:r w:rsidRPr="00F11FA7">
        <w:rPr>
          <w:rFonts w:ascii="Cambria" w:hAnsi="Cambria" w:cstheme="majorBidi"/>
          <w:sz w:val="22"/>
          <w:szCs w:val="22"/>
        </w:rPr>
        <w:t>partners</w:t>
      </w:r>
      <w:r w:rsidR="00082555" w:rsidRPr="00F11FA7">
        <w:rPr>
          <w:rFonts w:ascii="Cambria" w:hAnsi="Cambria" w:cstheme="majorBidi"/>
          <w:sz w:val="22"/>
          <w:szCs w:val="22"/>
        </w:rPr>
        <w:t xml:space="preserve">. </w:t>
      </w:r>
      <w:r w:rsidR="00AB521F">
        <w:rPr>
          <w:rFonts w:ascii="Cambria" w:hAnsi="Cambria" w:cstheme="majorBidi"/>
          <w:sz w:val="22"/>
          <w:szCs w:val="22"/>
        </w:rPr>
        <w:t xml:space="preserve"> </w:t>
      </w:r>
      <w:r w:rsidR="00082555" w:rsidRPr="00F11FA7">
        <w:rPr>
          <w:rFonts w:ascii="Cambria" w:hAnsi="Cambria" w:cstheme="majorBidi"/>
          <w:sz w:val="22"/>
          <w:szCs w:val="22"/>
        </w:rPr>
        <w:t>R</w:t>
      </w:r>
      <w:r w:rsidR="00B568BF" w:rsidRPr="00F11FA7">
        <w:rPr>
          <w:rFonts w:ascii="Cambria" w:hAnsi="Cambria" w:cstheme="majorBidi"/>
          <w:sz w:val="22"/>
          <w:szCs w:val="22"/>
        </w:rPr>
        <w:t xml:space="preserve">esources provided to the World Bank and UNDP </w:t>
      </w:r>
      <w:r w:rsidR="00082555" w:rsidRPr="00F11FA7">
        <w:rPr>
          <w:rFonts w:ascii="Cambria" w:hAnsi="Cambria" w:cstheme="majorBidi"/>
          <w:sz w:val="22"/>
          <w:szCs w:val="22"/>
        </w:rPr>
        <w:t xml:space="preserve">were channeled </w:t>
      </w:r>
      <w:r w:rsidR="00B568BF" w:rsidRPr="00F11FA7">
        <w:rPr>
          <w:rFonts w:ascii="Cambria" w:hAnsi="Cambria" w:cstheme="majorBidi"/>
          <w:sz w:val="22"/>
          <w:szCs w:val="22"/>
        </w:rPr>
        <w:t xml:space="preserve">for support to Task Force </w:t>
      </w:r>
      <w:proofErr w:type="spellStart"/>
      <w:r w:rsidR="00B568BF" w:rsidRPr="00F11FA7">
        <w:rPr>
          <w:rFonts w:ascii="Cambria" w:hAnsi="Cambria" w:cstheme="majorBidi"/>
          <w:sz w:val="22"/>
          <w:szCs w:val="22"/>
        </w:rPr>
        <w:t>Bangon</w:t>
      </w:r>
      <w:proofErr w:type="spellEnd"/>
      <w:r w:rsidR="00B568BF" w:rsidRPr="00F11FA7">
        <w:rPr>
          <w:rFonts w:ascii="Cambria" w:hAnsi="Cambria" w:cstheme="majorBidi"/>
          <w:sz w:val="22"/>
          <w:szCs w:val="22"/>
        </w:rPr>
        <w:t xml:space="preserve"> </w:t>
      </w:r>
      <w:proofErr w:type="spellStart"/>
      <w:r w:rsidR="00B568BF" w:rsidRPr="00F11FA7">
        <w:rPr>
          <w:rFonts w:ascii="Cambria" w:hAnsi="Cambria" w:cstheme="majorBidi"/>
          <w:sz w:val="22"/>
          <w:szCs w:val="22"/>
        </w:rPr>
        <w:t>Marawi</w:t>
      </w:r>
      <w:proofErr w:type="spellEnd"/>
      <w:r w:rsidR="00B568BF" w:rsidRPr="00F11FA7">
        <w:rPr>
          <w:rFonts w:ascii="Cambria" w:hAnsi="Cambria" w:cstheme="majorBidi"/>
          <w:sz w:val="22"/>
          <w:szCs w:val="22"/>
        </w:rPr>
        <w:t xml:space="preserve"> (TFBM) and the Provincial Government of Lanao del Sur, respectively</w:t>
      </w:r>
      <w:r w:rsidRPr="00F11FA7">
        <w:rPr>
          <w:rFonts w:ascii="Cambria" w:hAnsi="Cambria" w:cstheme="majorBidi"/>
          <w:sz w:val="22"/>
          <w:szCs w:val="22"/>
        </w:rPr>
        <w:t xml:space="preserve">. </w:t>
      </w:r>
    </w:p>
    <w:p w14:paraId="6D9BDD74" w14:textId="77777777" w:rsidR="00436D76" w:rsidRPr="00D058C1" w:rsidRDefault="00436D76" w:rsidP="00436D76">
      <w:pPr>
        <w:ind w:left="360"/>
        <w:rPr>
          <w:rFonts w:ascii="Cambria" w:hAnsi="Cambria" w:cstheme="majorBidi"/>
          <w:sz w:val="22"/>
          <w:szCs w:val="22"/>
        </w:rPr>
      </w:pPr>
    </w:p>
    <w:p w14:paraId="1B2667CB" w14:textId="6E269533" w:rsidR="008E7989" w:rsidRPr="00A928D6" w:rsidRDefault="00395D24" w:rsidP="00A928D6">
      <w:pPr>
        <w:pStyle w:val="ListParagraph"/>
        <w:numPr>
          <w:ilvl w:val="0"/>
          <w:numId w:val="77"/>
        </w:numPr>
        <w:jc w:val="both"/>
        <w:rPr>
          <w:rFonts w:ascii="Cambria" w:hAnsi="Cambria" w:cstheme="majorBidi"/>
          <w:sz w:val="22"/>
          <w:szCs w:val="22"/>
        </w:rPr>
      </w:pPr>
      <w:r w:rsidRPr="00F11FA7">
        <w:rPr>
          <w:rFonts w:ascii="Cambria" w:hAnsi="Cambria" w:cstheme="majorBidi"/>
          <w:sz w:val="22"/>
          <w:szCs w:val="22"/>
        </w:rPr>
        <w:lastRenderedPageBreak/>
        <w:t>This also led to analytical and operational interventions focusing on preventing and countering violent extremism (P</w:t>
      </w:r>
      <w:r w:rsidR="00F831DD" w:rsidRPr="00F11FA7">
        <w:rPr>
          <w:rFonts w:ascii="Cambria" w:hAnsi="Cambria" w:cstheme="majorBidi"/>
          <w:sz w:val="22"/>
          <w:szCs w:val="22"/>
        </w:rPr>
        <w:t>/</w:t>
      </w:r>
      <w:r w:rsidRPr="00F11FA7">
        <w:rPr>
          <w:rFonts w:ascii="Cambria" w:hAnsi="Cambria" w:cstheme="majorBidi"/>
          <w:sz w:val="22"/>
          <w:szCs w:val="22"/>
        </w:rPr>
        <w:t>CVE)</w:t>
      </w:r>
      <w:r w:rsidR="00436D76" w:rsidRPr="00D058C1">
        <w:rPr>
          <w:rFonts w:ascii="Cambria" w:hAnsi="Cambria" w:cstheme="majorBidi"/>
          <w:sz w:val="22"/>
          <w:szCs w:val="22"/>
        </w:rPr>
        <w:t>, m</w:t>
      </w:r>
      <w:r w:rsidR="0068063B">
        <w:rPr>
          <w:rFonts w:ascii="Cambria" w:hAnsi="Cambria" w:cstheme="majorBidi"/>
          <w:sz w:val="22"/>
          <w:szCs w:val="22"/>
        </w:rPr>
        <w:t>any</w:t>
      </w:r>
      <w:r w:rsidR="00436D76" w:rsidRPr="00D058C1">
        <w:rPr>
          <w:rFonts w:ascii="Cambria" w:hAnsi="Cambria" w:cstheme="majorBidi"/>
          <w:sz w:val="22"/>
          <w:szCs w:val="22"/>
        </w:rPr>
        <w:t xml:space="preserve"> of which attempt</w:t>
      </w:r>
      <w:r w:rsidR="00AB521F">
        <w:rPr>
          <w:rFonts w:ascii="Cambria" w:hAnsi="Cambria" w:cstheme="majorBidi"/>
          <w:sz w:val="22"/>
          <w:szCs w:val="22"/>
        </w:rPr>
        <w:t>ed</w:t>
      </w:r>
      <w:r w:rsidR="00436D76" w:rsidRPr="00D058C1">
        <w:rPr>
          <w:rFonts w:ascii="Cambria" w:hAnsi="Cambria" w:cstheme="majorBidi"/>
          <w:sz w:val="22"/>
          <w:szCs w:val="22"/>
        </w:rPr>
        <w:t xml:space="preserve"> to </w:t>
      </w:r>
      <w:r w:rsidR="00DE7626" w:rsidRPr="00D058C1">
        <w:rPr>
          <w:rFonts w:ascii="Cambria" w:hAnsi="Cambria" w:cstheme="majorBidi"/>
          <w:sz w:val="22"/>
          <w:szCs w:val="22"/>
        </w:rPr>
        <w:t>scale</w:t>
      </w:r>
      <w:r w:rsidR="00436D76" w:rsidRPr="00D058C1">
        <w:rPr>
          <w:rFonts w:ascii="Cambria" w:hAnsi="Cambria" w:cstheme="majorBidi"/>
          <w:sz w:val="22"/>
          <w:szCs w:val="22"/>
        </w:rPr>
        <w:t xml:space="preserve"> up </w:t>
      </w:r>
      <w:r w:rsidR="00EF7A91">
        <w:rPr>
          <w:rFonts w:ascii="Cambria" w:hAnsi="Cambria" w:cstheme="majorBidi"/>
          <w:sz w:val="22"/>
          <w:szCs w:val="22"/>
        </w:rPr>
        <w:t xml:space="preserve">existing </w:t>
      </w:r>
      <w:r w:rsidR="00436D76" w:rsidRPr="00D058C1">
        <w:rPr>
          <w:rFonts w:ascii="Cambria" w:hAnsi="Cambria" w:cstheme="majorBidi"/>
          <w:sz w:val="22"/>
          <w:szCs w:val="22"/>
        </w:rPr>
        <w:t xml:space="preserve">local management tools and mechanisms, including those supported by BASIC Bangsamoro prior to 2017. </w:t>
      </w:r>
      <w:r w:rsidRPr="00F11FA7">
        <w:rPr>
          <w:rFonts w:ascii="Cambria" w:hAnsi="Cambria" w:cstheme="majorBidi"/>
          <w:sz w:val="22"/>
          <w:szCs w:val="22"/>
        </w:rPr>
        <w:t>International Alert</w:t>
      </w:r>
      <w:r w:rsidR="005A34DF" w:rsidRPr="00F11FA7">
        <w:rPr>
          <w:rFonts w:ascii="Cambria" w:hAnsi="Cambria" w:cstheme="majorBidi"/>
          <w:sz w:val="22"/>
          <w:szCs w:val="22"/>
        </w:rPr>
        <w:t xml:space="preserve"> built on its conflict monitoring system </w:t>
      </w:r>
      <w:r w:rsidR="00D56B8D" w:rsidRPr="00F11FA7">
        <w:rPr>
          <w:rFonts w:ascii="Cambria" w:hAnsi="Cambria" w:cstheme="majorBidi"/>
          <w:sz w:val="22"/>
          <w:szCs w:val="22"/>
        </w:rPr>
        <w:t xml:space="preserve">to support the creation of an </w:t>
      </w:r>
      <w:r w:rsidR="00010525" w:rsidRPr="00F11FA7">
        <w:rPr>
          <w:rFonts w:ascii="Cambria" w:hAnsi="Cambria" w:cstheme="majorBidi"/>
          <w:sz w:val="22"/>
          <w:szCs w:val="22"/>
        </w:rPr>
        <w:t>Early Response Network</w:t>
      </w:r>
      <w:r w:rsidR="00D56B8D" w:rsidRPr="00F11FA7">
        <w:rPr>
          <w:rFonts w:ascii="Cambria" w:hAnsi="Cambria" w:cstheme="majorBidi"/>
          <w:sz w:val="22"/>
          <w:szCs w:val="22"/>
        </w:rPr>
        <w:t xml:space="preserve"> and a</w:t>
      </w:r>
      <w:r w:rsidR="00010525" w:rsidRPr="00F11FA7">
        <w:rPr>
          <w:rFonts w:ascii="Cambria" w:hAnsi="Cambria" w:cstheme="majorBidi"/>
          <w:sz w:val="22"/>
          <w:szCs w:val="22"/>
        </w:rPr>
        <w:t xml:space="preserve"> Critical Events Monitoring System (CEMS)</w:t>
      </w:r>
      <w:r w:rsidR="008824C3">
        <w:rPr>
          <w:rFonts w:ascii="Cambria" w:hAnsi="Cambria" w:cstheme="majorBidi"/>
          <w:sz w:val="22"/>
          <w:szCs w:val="22"/>
        </w:rPr>
        <w:t xml:space="preserve"> and </w:t>
      </w:r>
      <w:r w:rsidR="00D56B8D" w:rsidRPr="00F11FA7">
        <w:rPr>
          <w:rFonts w:ascii="Cambria" w:hAnsi="Cambria" w:cstheme="majorBidi"/>
          <w:sz w:val="22"/>
          <w:szCs w:val="22"/>
        </w:rPr>
        <w:t>conven</w:t>
      </w:r>
      <w:r w:rsidR="008824C3">
        <w:rPr>
          <w:rFonts w:ascii="Cambria" w:hAnsi="Cambria" w:cstheme="majorBidi"/>
          <w:sz w:val="22"/>
          <w:szCs w:val="22"/>
        </w:rPr>
        <w:t>ed</w:t>
      </w:r>
      <w:r w:rsidR="00D56B8D" w:rsidRPr="00F11FA7">
        <w:rPr>
          <w:rFonts w:ascii="Cambria" w:hAnsi="Cambria" w:cstheme="majorBidi"/>
          <w:sz w:val="22"/>
          <w:szCs w:val="22"/>
        </w:rPr>
        <w:t xml:space="preserve"> a third-party</w:t>
      </w:r>
      <w:r w:rsidR="0068063B">
        <w:rPr>
          <w:rFonts w:ascii="Cambria" w:hAnsi="Cambria" w:cstheme="majorBidi"/>
          <w:sz w:val="22"/>
          <w:szCs w:val="22"/>
        </w:rPr>
        <w:t xml:space="preserve"> </w:t>
      </w:r>
      <w:r w:rsidR="00084876">
        <w:rPr>
          <w:rFonts w:ascii="Cambria" w:hAnsi="Cambria" w:cstheme="majorBidi"/>
          <w:sz w:val="22"/>
          <w:szCs w:val="22"/>
        </w:rPr>
        <w:t>multi</w:t>
      </w:r>
      <w:r w:rsidR="0062221C">
        <w:rPr>
          <w:rFonts w:ascii="Cambria" w:hAnsi="Cambria" w:cstheme="majorBidi"/>
          <w:sz w:val="22"/>
          <w:szCs w:val="22"/>
        </w:rPr>
        <w:t>-</w:t>
      </w:r>
      <w:r w:rsidR="00084876">
        <w:rPr>
          <w:rFonts w:ascii="Cambria" w:hAnsi="Cambria" w:cstheme="majorBidi"/>
          <w:sz w:val="22"/>
          <w:szCs w:val="22"/>
        </w:rPr>
        <w:t xml:space="preserve">stakeholder </w:t>
      </w:r>
      <w:r w:rsidR="00010525" w:rsidRPr="00F11FA7">
        <w:rPr>
          <w:rFonts w:ascii="Cambria" w:hAnsi="Cambria" w:cstheme="majorBidi"/>
          <w:sz w:val="22"/>
          <w:szCs w:val="22"/>
        </w:rPr>
        <w:t>M</w:t>
      </w:r>
      <w:r w:rsidR="00D56B8D" w:rsidRPr="00F11FA7">
        <w:rPr>
          <w:rFonts w:ascii="Cambria" w:hAnsi="Cambria" w:cstheme="majorBidi"/>
          <w:sz w:val="22"/>
          <w:szCs w:val="22"/>
        </w:rPr>
        <w:t xml:space="preserve">arawi </w:t>
      </w:r>
      <w:r w:rsidR="00010525" w:rsidRPr="00F11FA7">
        <w:rPr>
          <w:rFonts w:ascii="Cambria" w:hAnsi="Cambria" w:cstheme="majorBidi"/>
          <w:sz w:val="22"/>
          <w:szCs w:val="22"/>
        </w:rPr>
        <w:t>R</w:t>
      </w:r>
      <w:r w:rsidR="00D56B8D" w:rsidRPr="00F11FA7">
        <w:rPr>
          <w:rFonts w:ascii="Cambria" w:hAnsi="Cambria" w:cstheme="majorBidi"/>
          <w:sz w:val="22"/>
          <w:szCs w:val="22"/>
        </w:rPr>
        <w:t xml:space="preserve">econstruction and </w:t>
      </w:r>
      <w:r w:rsidR="00010525" w:rsidRPr="00F11FA7">
        <w:rPr>
          <w:rFonts w:ascii="Cambria" w:hAnsi="Cambria" w:cstheme="majorBidi"/>
          <w:sz w:val="22"/>
          <w:szCs w:val="22"/>
        </w:rPr>
        <w:t>C</w:t>
      </w:r>
      <w:r w:rsidR="00D56B8D" w:rsidRPr="00F11FA7">
        <w:rPr>
          <w:rFonts w:ascii="Cambria" w:hAnsi="Cambria" w:cstheme="majorBidi"/>
          <w:sz w:val="22"/>
          <w:szCs w:val="22"/>
        </w:rPr>
        <w:t xml:space="preserve">onflict </w:t>
      </w:r>
      <w:r w:rsidR="00010525" w:rsidRPr="00F11FA7">
        <w:rPr>
          <w:rFonts w:ascii="Cambria" w:hAnsi="Cambria" w:cstheme="majorBidi"/>
          <w:sz w:val="22"/>
          <w:szCs w:val="22"/>
        </w:rPr>
        <w:t>W</w:t>
      </w:r>
      <w:r w:rsidR="00D56B8D" w:rsidRPr="00F11FA7">
        <w:rPr>
          <w:rFonts w:ascii="Cambria" w:hAnsi="Cambria" w:cstheme="majorBidi"/>
          <w:sz w:val="22"/>
          <w:szCs w:val="22"/>
        </w:rPr>
        <w:t>atch.</w:t>
      </w:r>
      <w:r w:rsidR="0080487C" w:rsidRPr="00F11FA7">
        <w:rPr>
          <w:rFonts w:ascii="Cambria" w:hAnsi="Cambria" w:cstheme="majorBidi"/>
          <w:sz w:val="22"/>
          <w:szCs w:val="22"/>
        </w:rPr>
        <w:t xml:space="preserve"> </w:t>
      </w:r>
      <w:r w:rsidR="00082555" w:rsidRPr="00F11FA7">
        <w:rPr>
          <w:rFonts w:ascii="Cambria" w:hAnsi="Cambria" w:cstheme="majorBidi"/>
          <w:sz w:val="22"/>
          <w:szCs w:val="22"/>
        </w:rPr>
        <w:t>L</w:t>
      </w:r>
      <w:r w:rsidRPr="00F11FA7">
        <w:rPr>
          <w:rFonts w:ascii="Cambria" w:hAnsi="Cambria" w:cstheme="majorBidi"/>
          <w:sz w:val="22"/>
          <w:szCs w:val="22"/>
        </w:rPr>
        <w:t>ocal-government focused intervention</w:t>
      </w:r>
      <w:r w:rsidR="00082555" w:rsidRPr="00F11FA7">
        <w:rPr>
          <w:rFonts w:ascii="Cambria" w:hAnsi="Cambria" w:cstheme="majorBidi"/>
          <w:sz w:val="22"/>
          <w:szCs w:val="22"/>
        </w:rPr>
        <w:t xml:space="preserve">s range from the Provincial Government of Lanao del Sur </w:t>
      </w:r>
      <w:r w:rsidR="00F831DD" w:rsidRPr="00F11FA7">
        <w:rPr>
          <w:rFonts w:ascii="Cambria" w:hAnsi="Cambria" w:cstheme="majorBidi"/>
          <w:sz w:val="22"/>
          <w:szCs w:val="22"/>
        </w:rPr>
        <w:t xml:space="preserve">P/CVE </w:t>
      </w:r>
      <w:r w:rsidR="00082555" w:rsidRPr="00F11FA7">
        <w:rPr>
          <w:rFonts w:ascii="Cambria" w:hAnsi="Cambria" w:cstheme="majorBidi"/>
          <w:sz w:val="22"/>
          <w:szCs w:val="22"/>
        </w:rPr>
        <w:t>T</w:t>
      </w:r>
      <w:r w:rsidR="009A3408">
        <w:rPr>
          <w:rFonts w:ascii="Cambria" w:hAnsi="Cambria" w:cstheme="majorBidi"/>
          <w:sz w:val="22"/>
          <w:szCs w:val="22"/>
        </w:rPr>
        <w:t xml:space="preserve">echnical </w:t>
      </w:r>
      <w:r w:rsidR="00082555" w:rsidRPr="00F11FA7">
        <w:rPr>
          <w:rFonts w:ascii="Cambria" w:hAnsi="Cambria" w:cstheme="majorBidi"/>
          <w:sz w:val="22"/>
          <w:szCs w:val="22"/>
        </w:rPr>
        <w:t>W</w:t>
      </w:r>
      <w:r w:rsidR="009A3408">
        <w:rPr>
          <w:rFonts w:ascii="Cambria" w:hAnsi="Cambria" w:cstheme="majorBidi"/>
          <w:sz w:val="22"/>
          <w:szCs w:val="22"/>
        </w:rPr>
        <w:t xml:space="preserve">orking </w:t>
      </w:r>
      <w:r w:rsidR="00082555" w:rsidRPr="00F11FA7">
        <w:rPr>
          <w:rFonts w:ascii="Cambria" w:hAnsi="Cambria" w:cstheme="majorBidi"/>
          <w:sz w:val="22"/>
          <w:szCs w:val="22"/>
        </w:rPr>
        <w:t>G</w:t>
      </w:r>
      <w:r w:rsidR="009A3408">
        <w:rPr>
          <w:rFonts w:ascii="Cambria" w:hAnsi="Cambria" w:cstheme="majorBidi"/>
          <w:sz w:val="22"/>
          <w:szCs w:val="22"/>
        </w:rPr>
        <w:t xml:space="preserve">roup </w:t>
      </w:r>
      <w:r w:rsidR="00082555" w:rsidRPr="00F11FA7">
        <w:rPr>
          <w:rFonts w:ascii="Cambria" w:hAnsi="Cambria" w:cstheme="majorBidi"/>
          <w:sz w:val="22"/>
          <w:szCs w:val="22"/>
        </w:rPr>
        <w:t xml:space="preserve">pilot </w:t>
      </w:r>
      <w:r w:rsidRPr="00F11FA7">
        <w:rPr>
          <w:rFonts w:ascii="Cambria" w:hAnsi="Cambria" w:cstheme="majorBidi"/>
          <w:sz w:val="22"/>
          <w:szCs w:val="22"/>
        </w:rPr>
        <w:t>supported by UNDP START-PEACE</w:t>
      </w:r>
      <w:r w:rsidR="003C5B86">
        <w:rPr>
          <w:rFonts w:ascii="Cambria" w:hAnsi="Cambria" w:cstheme="majorBidi"/>
          <w:sz w:val="22"/>
          <w:szCs w:val="22"/>
        </w:rPr>
        <w:t>,</w:t>
      </w:r>
      <w:r w:rsidRPr="00F11FA7">
        <w:rPr>
          <w:rFonts w:ascii="Cambria" w:hAnsi="Cambria" w:cstheme="majorBidi"/>
          <w:sz w:val="22"/>
          <w:szCs w:val="22"/>
        </w:rPr>
        <w:t xml:space="preserve"> </w:t>
      </w:r>
      <w:r w:rsidR="00B902F2">
        <w:rPr>
          <w:rFonts w:ascii="Cambria" w:hAnsi="Cambria" w:cstheme="majorBidi"/>
          <w:sz w:val="22"/>
          <w:szCs w:val="22"/>
        </w:rPr>
        <w:t>to</w:t>
      </w:r>
      <w:r w:rsidR="00F831DD" w:rsidRPr="00F11FA7">
        <w:rPr>
          <w:rFonts w:ascii="Cambria" w:hAnsi="Cambria" w:cstheme="majorBidi"/>
          <w:sz w:val="22"/>
          <w:szCs w:val="22"/>
        </w:rPr>
        <w:t xml:space="preserve"> </w:t>
      </w:r>
      <w:r w:rsidRPr="00F11FA7">
        <w:rPr>
          <w:rFonts w:ascii="Cambria" w:hAnsi="Cambria" w:cstheme="majorBidi"/>
          <w:sz w:val="22"/>
          <w:szCs w:val="22"/>
        </w:rPr>
        <w:t xml:space="preserve">Project </w:t>
      </w:r>
      <w:r w:rsidR="00F831DD" w:rsidRPr="00F11FA7">
        <w:rPr>
          <w:rFonts w:ascii="Cambria" w:hAnsi="Cambria" w:cstheme="majorBidi"/>
          <w:sz w:val="22"/>
          <w:szCs w:val="22"/>
        </w:rPr>
        <w:t>CIRCLE, which is</w:t>
      </w:r>
      <w:r w:rsidRPr="00F11FA7">
        <w:rPr>
          <w:rFonts w:ascii="Cambria" w:hAnsi="Cambria" w:cstheme="majorBidi"/>
          <w:sz w:val="22"/>
          <w:szCs w:val="22"/>
        </w:rPr>
        <w:t xml:space="preserve"> implemented</w:t>
      </w:r>
      <w:r w:rsidR="00F831DD" w:rsidRPr="00F11FA7">
        <w:rPr>
          <w:rFonts w:ascii="Cambria" w:hAnsi="Cambria" w:cstheme="majorBidi"/>
          <w:sz w:val="22"/>
          <w:szCs w:val="22"/>
        </w:rPr>
        <w:t xml:space="preserve"> in </w:t>
      </w:r>
      <w:r w:rsidR="00E62CD9">
        <w:rPr>
          <w:rFonts w:ascii="Cambria" w:hAnsi="Cambria" w:cstheme="majorBidi"/>
          <w:sz w:val="22"/>
          <w:szCs w:val="22"/>
        </w:rPr>
        <w:t xml:space="preserve">14 </w:t>
      </w:r>
      <w:r w:rsidR="00F831DD" w:rsidRPr="00F11FA7">
        <w:rPr>
          <w:rFonts w:ascii="Cambria" w:hAnsi="Cambria" w:cstheme="majorBidi"/>
          <w:sz w:val="22"/>
          <w:szCs w:val="22"/>
        </w:rPr>
        <w:t>municipalities</w:t>
      </w:r>
      <w:r w:rsidR="00E62CD9">
        <w:rPr>
          <w:rFonts w:ascii="Cambria" w:hAnsi="Cambria" w:cstheme="majorBidi"/>
          <w:sz w:val="22"/>
          <w:szCs w:val="22"/>
        </w:rPr>
        <w:t xml:space="preserve"> and cities</w:t>
      </w:r>
      <w:r w:rsidR="00F831DD" w:rsidRPr="00F11FA7">
        <w:rPr>
          <w:rFonts w:ascii="Cambria" w:hAnsi="Cambria" w:cstheme="majorBidi"/>
          <w:sz w:val="22"/>
          <w:szCs w:val="22"/>
        </w:rPr>
        <w:t xml:space="preserve"> across </w:t>
      </w:r>
      <w:r w:rsidR="00E62CD9">
        <w:rPr>
          <w:rFonts w:ascii="Cambria" w:hAnsi="Cambria" w:cstheme="majorBidi"/>
          <w:sz w:val="22"/>
          <w:szCs w:val="22"/>
        </w:rPr>
        <w:t>Mindanao by</w:t>
      </w:r>
      <w:r w:rsidRPr="00F11FA7">
        <w:rPr>
          <w:rFonts w:ascii="Cambria" w:hAnsi="Cambria" w:cstheme="majorBidi"/>
          <w:sz w:val="22"/>
          <w:szCs w:val="22"/>
        </w:rPr>
        <w:t xml:space="preserve"> The Asia Foundation and </w:t>
      </w:r>
      <w:proofErr w:type="spellStart"/>
      <w:r w:rsidRPr="00F11FA7">
        <w:rPr>
          <w:rFonts w:ascii="Cambria" w:hAnsi="Cambria" w:cstheme="majorBidi"/>
          <w:sz w:val="22"/>
          <w:szCs w:val="22"/>
        </w:rPr>
        <w:t>Balay</w:t>
      </w:r>
      <w:proofErr w:type="spellEnd"/>
      <w:r w:rsidRPr="00F11FA7">
        <w:rPr>
          <w:rFonts w:ascii="Cambria" w:hAnsi="Cambria" w:cstheme="majorBidi"/>
          <w:sz w:val="22"/>
          <w:szCs w:val="22"/>
        </w:rPr>
        <w:t xml:space="preserve"> </w:t>
      </w:r>
      <w:proofErr w:type="spellStart"/>
      <w:r w:rsidRPr="00F11FA7">
        <w:rPr>
          <w:rFonts w:ascii="Cambria" w:hAnsi="Cambria" w:cstheme="majorBidi"/>
          <w:sz w:val="22"/>
          <w:szCs w:val="22"/>
        </w:rPr>
        <w:t>Mindana</w:t>
      </w:r>
      <w:r w:rsidR="000D73C7">
        <w:rPr>
          <w:rFonts w:ascii="Cambria" w:hAnsi="Cambria" w:cstheme="majorBidi"/>
          <w:sz w:val="22"/>
          <w:szCs w:val="22"/>
        </w:rPr>
        <w:t>w</w:t>
      </w:r>
      <w:proofErr w:type="spellEnd"/>
      <w:r w:rsidRPr="00F11FA7">
        <w:rPr>
          <w:rFonts w:ascii="Cambria" w:hAnsi="Cambria" w:cstheme="majorBidi"/>
          <w:sz w:val="22"/>
          <w:szCs w:val="22"/>
        </w:rPr>
        <w:t xml:space="preserve">. </w:t>
      </w:r>
      <w:r w:rsidR="00704390">
        <w:rPr>
          <w:rFonts w:ascii="Cambria" w:hAnsi="Cambria" w:cstheme="majorBidi"/>
          <w:sz w:val="22"/>
          <w:szCs w:val="22"/>
        </w:rPr>
        <w:t>International Alert</w:t>
      </w:r>
      <w:r w:rsidR="00E61CBF">
        <w:rPr>
          <w:rFonts w:ascii="Cambria" w:hAnsi="Cambria" w:cstheme="majorBidi"/>
          <w:sz w:val="22"/>
          <w:szCs w:val="22"/>
        </w:rPr>
        <w:t xml:space="preserve"> </w:t>
      </w:r>
      <w:r w:rsidR="006B1CA1">
        <w:rPr>
          <w:rFonts w:ascii="Cambria" w:hAnsi="Cambria" w:cstheme="majorBidi"/>
          <w:sz w:val="22"/>
          <w:szCs w:val="22"/>
        </w:rPr>
        <w:t xml:space="preserve">has </w:t>
      </w:r>
      <w:r w:rsidR="00E61CBF">
        <w:rPr>
          <w:rFonts w:ascii="Cambria" w:hAnsi="Cambria" w:cstheme="majorBidi"/>
          <w:sz w:val="22"/>
          <w:szCs w:val="22"/>
        </w:rPr>
        <w:t xml:space="preserve">also </w:t>
      </w:r>
      <w:r w:rsidR="006B1CA1">
        <w:rPr>
          <w:rFonts w:ascii="Cambria" w:hAnsi="Cambria" w:cstheme="majorBidi"/>
          <w:sz w:val="22"/>
          <w:szCs w:val="22"/>
        </w:rPr>
        <w:t xml:space="preserve">begun to </w:t>
      </w:r>
      <w:r w:rsidR="00E61CBF">
        <w:rPr>
          <w:rFonts w:ascii="Cambria" w:hAnsi="Cambria" w:cstheme="majorBidi"/>
          <w:sz w:val="22"/>
          <w:szCs w:val="22"/>
        </w:rPr>
        <w:t xml:space="preserve">engage the intersections of resource management and conflict mitigation through local development planning in </w:t>
      </w:r>
      <w:r w:rsidR="00FD23E7">
        <w:rPr>
          <w:rFonts w:ascii="Cambria" w:hAnsi="Cambria" w:cstheme="majorBidi"/>
          <w:sz w:val="22"/>
          <w:szCs w:val="22"/>
        </w:rPr>
        <w:t xml:space="preserve">selected municipalities in </w:t>
      </w:r>
      <w:r w:rsidR="00E61CBF">
        <w:rPr>
          <w:rFonts w:ascii="Cambria" w:hAnsi="Cambria" w:cstheme="majorBidi"/>
          <w:sz w:val="22"/>
          <w:szCs w:val="22"/>
        </w:rPr>
        <w:t xml:space="preserve">Maguindanao and Lanao del Sur. </w:t>
      </w:r>
      <w:r w:rsidR="00DE7626" w:rsidRPr="008B6910">
        <w:rPr>
          <w:rFonts w:ascii="Cambria" w:hAnsi="Cambria" w:cstheme="majorBidi"/>
          <w:sz w:val="22"/>
          <w:szCs w:val="22"/>
        </w:rPr>
        <w:t>While the pivot to provincial-</w:t>
      </w:r>
      <w:r w:rsidR="008F718F" w:rsidRPr="008B6910">
        <w:rPr>
          <w:rFonts w:ascii="Cambria" w:hAnsi="Cambria" w:cstheme="majorBidi"/>
          <w:sz w:val="22"/>
          <w:szCs w:val="22"/>
        </w:rPr>
        <w:t xml:space="preserve"> and municipal-</w:t>
      </w:r>
      <w:r w:rsidR="00DE7626" w:rsidRPr="008B6910">
        <w:rPr>
          <w:rFonts w:ascii="Cambria" w:hAnsi="Cambria" w:cstheme="majorBidi"/>
          <w:sz w:val="22"/>
          <w:szCs w:val="22"/>
        </w:rPr>
        <w:t>level mechanisms is positive, it is unclear if</w:t>
      </w:r>
      <w:r w:rsidR="00436D76" w:rsidRPr="008B6910">
        <w:rPr>
          <w:rFonts w:ascii="Cambria" w:hAnsi="Cambria" w:cstheme="majorBidi"/>
          <w:sz w:val="22"/>
          <w:szCs w:val="22"/>
        </w:rPr>
        <w:t xml:space="preserve"> </w:t>
      </w:r>
      <w:r w:rsidR="00EA3C1B" w:rsidRPr="008B6910">
        <w:rPr>
          <w:rFonts w:ascii="Cambria" w:hAnsi="Cambria" w:cstheme="majorBidi"/>
          <w:sz w:val="22"/>
          <w:szCs w:val="22"/>
        </w:rPr>
        <w:t xml:space="preserve">these </w:t>
      </w:r>
      <w:r w:rsidR="00DE7626" w:rsidRPr="008B6910">
        <w:rPr>
          <w:rFonts w:ascii="Cambria" w:hAnsi="Cambria" w:cstheme="majorBidi"/>
          <w:sz w:val="22"/>
          <w:szCs w:val="22"/>
        </w:rPr>
        <w:t>initiatives</w:t>
      </w:r>
      <w:r w:rsidR="00EA3C1B" w:rsidRPr="008B6910">
        <w:rPr>
          <w:rFonts w:ascii="Cambria" w:hAnsi="Cambria" w:cstheme="majorBidi"/>
          <w:sz w:val="22"/>
          <w:szCs w:val="22"/>
        </w:rPr>
        <w:t xml:space="preserve"> can be  sustainable </w:t>
      </w:r>
      <w:r w:rsidR="00E43A36" w:rsidRPr="008B6910">
        <w:rPr>
          <w:rFonts w:ascii="Cambria" w:hAnsi="Cambria" w:cstheme="majorBidi"/>
          <w:sz w:val="22"/>
          <w:szCs w:val="22"/>
        </w:rPr>
        <w:t xml:space="preserve">after </w:t>
      </w:r>
      <w:r w:rsidR="003C5B86">
        <w:rPr>
          <w:rFonts w:ascii="Cambria" w:hAnsi="Cambria" w:cstheme="majorBidi"/>
          <w:sz w:val="22"/>
          <w:szCs w:val="22"/>
        </w:rPr>
        <w:t>p</w:t>
      </w:r>
      <w:r w:rsidR="00E43A36" w:rsidRPr="008B6910">
        <w:rPr>
          <w:rFonts w:ascii="Cambria" w:hAnsi="Cambria" w:cstheme="majorBidi"/>
          <w:sz w:val="22"/>
          <w:szCs w:val="22"/>
        </w:rPr>
        <w:t>roject closure</w:t>
      </w:r>
      <w:r w:rsidR="00DE7626" w:rsidRPr="008B6910">
        <w:rPr>
          <w:rFonts w:ascii="Cambria" w:hAnsi="Cambria" w:cstheme="majorBidi"/>
          <w:sz w:val="22"/>
          <w:szCs w:val="22"/>
        </w:rPr>
        <w:t xml:space="preserve"> and  integrate</w:t>
      </w:r>
      <w:r w:rsidR="00AB521F">
        <w:rPr>
          <w:rFonts w:ascii="Cambria" w:hAnsi="Cambria" w:cstheme="majorBidi"/>
          <w:sz w:val="22"/>
          <w:szCs w:val="22"/>
        </w:rPr>
        <w:t>d</w:t>
      </w:r>
      <w:r w:rsidR="00DE7626" w:rsidRPr="008B6910">
        <w:rPr>
          <w:rFonts w:ascii="Cambria" w:hAnsi="Cambria" w:cstheme="majorBidi"/>
          <w:sz w:val="22"/>
          <w:szCs w:val="22"/>
        </w:rPr>
        <w:t xml:space="preserve"> with</w:t>
      </w:r>
      <w:r w:rsidR="00AB521F">
        <w:rPr>
          <w:rFonts w:ascii="Cambria" w:hAnsi="Cambria" w:cstheme="majorBidi"/>
          <w:sz w:val="22"/>
          <w:szCs w:val="22"/>
        </w:rPr>
        <w:t xml:space="preserve"> the</w:t>
      </w:r>
      <w:r w:rsidR="00DE7626" w:rsidRPr="008B6910">
        <w:rPr>
          <w:rFonts w:ascii="Cambria" w:hAnsi="Cambria" w:cstheme="majorBidi"/>
          <w:sz w:val="22"/>
          <w:szCs w:val="22"/>
        </w:rPr>
        <w:t xml:space="preserve"> new</w:t>
      </w:r>
      <w:r w:rsidR="008B6910">
        <w:rPr>
          <w:rFonts w:ascii="Cambria" w:hAnsi="Cambria" w:cstheme="majorBidi"/>
          <w:sz w:val="22"/>
          <w:szCs w:val="22"/>
        </w:rPr>
        <w:t>ly-created</w:t>
      </w:r>
      <w:r w:rsidR="00DE7626" w:rsidRPr="008B6910">
        <w:rPr>
          <w:rFonts w:ascii="Cambria" w:hAnsi="Cambria" w:cstheme="majorBidi"/>
          <w:sz w:val="22"/>
          <w:szCs w:val="22"/>
        </w:rPr>
        <w:t xml:space="preserve"> coordination mechanisms at </w:t>
      </w:r>
      <w:r w:rsidR="00AB521F">
        <w:rPr>
          <w:rFonts w:ascii="Cambria" w:hAnsi="Cambria" w:cstheme="majorBidi"/>
          <w:sz w:val="22"/>
          <w:szCs w:val="22"/>
        </w:rPr>
        <w:t xml:space="preserve">the </w:t>
      </w:r>
      <w:r w:rsidR="00237865">
        <w:rPr>
          <w:rFonts w:ascii="Cambria" w:hAnsi="Cambria" w:cstheme="majorBidi"/>
          <w:sz w:val="22"/>
          <w:szCs w:val="22"/>
        </w:rPr>
        <w:t xml:space="preserve">national and regional </w:t>
      </w:r>
      <w:r w:rsidR="00DE7626" w:rsidRPr="008B6910">
        <w:rPr>
          <w:rFonts w:ascii="Cambria" w:hAnsi="Cambria" w:cstheme="majorBidi"/>
          <w:sz w:val="22"/>
          <w:szCs w:val="22"/>
        </w:rPr>
        <w:t>level</w:t>
      </w:r>
      <w:r w:rsidR="00AB521F">
        <w:rPr>
          <w:rFonts w:ascii="Cambria" w:hAnsi="Cambria" w:cstheme="majorBidi"/>
          <w:sz w:val="22"/>
          <w:szCs w:val="22"/>
        </w:rPr>
        <w:t>s</w:t>
      </w:r>
      <w:r w:rsidR="00DE7626" w:rsidRPr="008B6910">
        <w:rPr>
          <w:rFonts w:ascii="Cambria" w:hAnsi="Cambria" w:cstheme="majorBidi"/>
          <w:sz w:val="22"/>
          <w:szCs w:val="22"/>
        </w:rPr>
        <w:t xml:space="preserve"> such as </w:t>
      </w:r>
      <w:r w:rsidR="00237865">
        <w:rPr>
          <w:rFonts w:ascii="Cambria" w:hAnsi="Cambria" w:cstheme="majorBidi"/>
          <w:sz w:val="22"/>
          <w:szCs w:val="22"/>
        </w:rPr>
        <w:t xml:space="preserve">the </w:t>
      </w:r>
      <w:r w:rsidR="008B6910" w:rsidRPr="008B6910">
        <w:rPr>
          <w:rFonts w:ascii="Cambria" w:hAnsi="Cambria" w:cstheme="majorBidi"/>
          <w:sz w:val="22"/>
          <w:szCs w:val="22"/>
        </w:rPr>
        <w:t xml:space="preserve">DILG’s </w:t>
      </w:r>
      <w:r w:rsidR="00E25988">
        <w:rPr>
          <w:rFonts w:ascii="Cambria" w:hAnsi="Cambria" w:cstheme="majorBidi"/>
          <w:sz w:val="22"/>
          <w:szCs w:val="22"/>
        </w:rPr>
        <w:t xml:space="preserve">drafting and </w:t>
      </w:r>
      <w:r w:rsidR="008B6910" w:rsidRPr="008B6910">
        <w:rPr>
          <w:rFonts w:ascii="Cambria" w:hAnsi="Cambria" w:cstheme="majorBidi"/>
          <w:sz w:val="22"/>
          <w:szCs w:val="22"/>
        </w:rPr>
        <w:t>interagency monitoring of the National Action Plan on P/CVE</w:t>
      </w:r>
      <w:r w:rsidR="00237865">
        <w:rPr>
          <w:rFonts w:ascii="Cambria" w:hAnsi="Cambria" w:cstheme="majorBidi"/>
          <w:sz w:val="22"/>
          <w:szCs w:val="22"/>
        </w:rPr>
        <w:t xml:space="preserve"> and </w:t>
      </w:r>
      <w:r w:rsidR="00237865" w:rsidRPr="008B6910">
        <w:rPr>
          <w:rFonts w:ascii="Cambria" w:hAnsi="Cambria" w:cstheme="majorBidi"/>
          <w:sz w:val="22"/>
          <w:szCs w:val="22"/>
        </w:rPr>
        <w:t>the creation of the Ministry of Public Order and Safety</w:t>
      </w:r>
      <w:r w:rsidR="00AB521F">
        <w:rPr>
          <w:rFonts w:ascii="Cambria" w:hAnsi="Cambria" w:cstheme="majorBidi"/>
          <w:sz w:val="22"/>
          <w:szCs w:val="22"/>
        </w:rPr>
        <w:t>, respectively</w:t>
      </w:r>
      <w:r w:rsidR="008B6910" w:rsidRPr="008B6910">
        <w:rPr>
          <w:rFonts w:ascii="Cambria" w:hAnsi="Cambria" w:cstheme="majorBidi"/>
          <w:sz w:val="22"/>
          <w:szCs w:val="22"/>
        </w:rPr>
        <w:t>.</w:t>
      </w:r>
      <w:r w:rsidR="007960E3">
        <w:rPr>
          <w:rFonts w:ascii="Cambria" w:hAnsi="Cambria" w:cstheme="majorBidi"/>
          <w:sz w:val="22"/>
          <w:szCs w:val="22"/>
        </w:rPr>
        <w:t xml:space="preserve"> </w:t>
      </w:r>
      <w:r w:rsidR="007960E3" w:rsidRPr="00D058C1">
        <w:rPr>
          <w:rFonts w:ascii="Cambria" w:hAnsi="Cambria" w:cstheme="majorBidi"/>
          <w:sz w:val="22"/>
          <w:szCs w:val="22"/>
        </w:rPr>
        <w:t>This is similarly true for CHD’s longstanding clan conflict mediation efforts in Sulu</w:t>
      </w:r>
      <w:r w:rsidR="007960E3">
        <w:rPr>
          <w:rFonts w:ascii="Cambria" w:hAnsi="Cambria" w:cstheme="majorBidi"/>
          <w:sz w:val="22"/>
          <w:szCs w:val="22"/>
        </w:rPr>
        <w:t xml:space="preserve">. </w:t>
      </w:r>
      <w:r w:rsidR="003C5B86">
        <w:rPr>
          <w:rFonts w:ascii="Cambria" w:hAnsi="Cambria" w:cstheme="majorBidi"/>
          <w:sz w:val="22"/>
          <w:szCs w:val="22"/>
        </w:rPr>
        <w:t xml:space="preserve">While </w:t>
      </w:r>
      <w:r w:rsidR="007960E3" w:rsidRPr="00D058C1">
        <w:rPr>
          <w:rFonts w:ascii="Cambria" w:hAnsi="Cambria" w:cstheme="majorBidi"/>
          <w:sz w:val="22"/>
          <w:szCs w:val="22"/>
        </w:rPr>
        <w:t>GCERF</w:t>
      </w:r>
      <w:r w:rsidR="003C5B86">
        <w:rPr>
          <w:rFonts w:ascii="Cambria" w:hAnsi="Cambria" w:cstheme="majorBidi"/>
          <w:sz w:val="22"/>
          <w:szCs w:val="22"/>
        </w:rPr>
        <w:t xml:space="preserve"> is assumed to strengthen hyperlocal</w:t>
      </w:r>
      <w:r w:rsidR="00506B53">
        <w:rPr>
          <w:rFonts w:ascii="Cambria" w:hAnsi="Cambria" w:cstheme="majorBidi"/>
          <w:sz w:val="22"/>
          <w:szCs w:val="22"/>
        </w:rPr>
        <w:t xml:space="preserve"> P/CVE</w:t>
      </w:r>
      <w:r w:rsidR="003C5B86">
        <w:rPr>
          <w:rFonts w:ascii="Cambria" w:hAnsi="Cambria" w:cstheme="majorBidi"/>
          <w:sz w:val="22"/>
          <w:szCs w:val="22"/>
        </w:rPr>
        <w:t xml:space="preserve"> initiatives,</w:t>
      </w:r>
      <w:r w:rsidR="007960E3">
        <w:rPr>
          <w:rFonts w:ascii="Cambria" w:hAnsi="Cambria" w:cstheme="majorBidi"/>
          <w:sz w:val="22"/>
          <w:szCs w:val="22"/>
        </w:rPr>
        <w:t xml:space="preserve"> </w:t>
      </w:r>
      <w:r w:rsidR="003C5B86">
        <w:rPr>
          <w:rFonts w:ascii="Cambria" w:hAnsi="Cambria" w:cstheme="majorBidi"/>
          <w:sz w:val="22"/>
          <w:szCs w:val="22"/>
        </w:rPr>
        <w:t xml:space="preserve">it </w:t>
      </w:r>
      <w:r w:rsidR="007960E3">
        <w:rPr>
          <w:rFonts w:ascii="Cambria" w:hAnsi="Cambria" w:cstheme="majorBidi"/>
          <w:sz w:val="22"/>
          <w:szCs w:val="22"/>
        </w:rPr>
        <w:t>is</w:t>
      </w:r>
      <w:r w:rsidR="003C5B86">
        <w:rPr>
          <w:rFonts w:ascii="Cambria" w:hAnsi="Cambria" w:cstheme="majorBidi"/>
          <w:sz w:val="22"/>
          <w:szCs w:val="22"/>
        </w:rPr>
        <w:t xml:space="preserve"> just about to begin </w:t>
      </w:r>
      <w:r w:rsidR="007960E3">
        <w:rPr>
          <w:rFonts w:ascii="Cambria" w:hAnsi="Cambria" w:cstheme="majorBidi"/>
          <w:sz w:val="22"/>
          <w:szCs w:val="22"/>
        </w:rPr>
        <w:t xml:space="preserve">implementation for its first round of grantees and </w:t>
      </w:r>
      <w:r w:rsidR="00A23EC0">
        <w:rPr>
          <w:rFonts w:ascii="Cambria" w:hAnsi="Cambria" w:cstheme="majorBidi"/>
          <w:sz w:val="22"/>
          <w:szCs w:val="22"/>
        </w:rPr>
        <w:t xml:space="preserve">therefore </w:t>
      </w:r>
      <w:r w:rsidR="007960E3">
        <w:rPr>
          <w:rFonts w:ascii="Cambria" w:hAnsi="Cambria" w:cstheme="majorBidi"/>
          <w:sz w:val="22"/>
          <w:szCs w:val="22"/>
        </w:rPr>
        <w:t xml:space="preserve">cannot be assessed </w:t>
      </w:r>
      <w:r w:rsidR="00994B4F">
        <w:rPr>
          <w:rFonts w:ascii="Cambria" w:hAnsi="Cambria" w:cstheme="majorBidi"/>
          <w:sz w:val="22"/>
          <w:szCs w:val="22"/>
        </w:rPr>
        <w:t>during</w:t>
      </w:r>
      <w:r w:rsidR="007960E3">
        <w:rPr>
          <w:rFonts w:ascii="Cambria" w:hAnsi="Cambria" w:cstheme="majorBidi"/>
          <w:sz w:val="22"/>
          <w:szCs w:val="22"/>
        </w:rPr>
        <w:t xml:space="preserve"> this review period.</w:t>
      </w:r>
    </w:p>
    <w:p w14:paraId="3E14446E" w14:textId="602A3309" w:rsidR="009A3408" w:rsidRPr="00F11FA7" w:rsidRDefault="009A3408" w:rsidP="00F11FA7">
      <w:pPr>
        <w:rPr>
          <w:rFonts w:ascii="Cambria" w:hAnsi="Cambria" w:cstheme="majorBidi"/>
          <w:sz w:val="22"/>
          <w:szCs w:val="22"/>
        </w:rPr>
      </w:pPr>
    </w:p>
    <w:p w14:paraId="30BBAD98" w14:textId="5936AFED" w:rsidR="008B6910" w:rsidRPr="008B6910" w:rsidRDefault="008B6910" w:rsidP="00F11FA7">
      <w:pPr>
        <w:pStyle w:val="ListParagraph"/>
        <w:numPr>
          <w:ilvl w:val="0"/>
          <w:numId w:val="77"/>
        </w:numPr>
        <w:jc w:val="both"/>
        <w:rPr>
          <w:rFonts w:ascii="Cambria" w:hAnsi="Cambria" w:cstheme="majorBidi"/>
          <w:sz w:val="22"/>
          <w:szCs w:val="22"/>
        </w:rPr>
      </w:pPr>
      <w:r w:rsidRPr="00F11FA7">
        <w:rPr>
          <w:rFonts w:ascii="Cambria" w:hAnsi="Cambria" w:cstheme="majorBidi"/>
          <w:b/>
          <w:bCs/>
          <w:sz w:val="22"/>
          <w:szCs w:val="22"/>
        </w:rPr>
        <w:t xml:space="preserve">A common </w:t>
      </w:r>
      <w:r w:rsidR="00F11FA7">
        <w:rPr>
          <w:rFonts w:ascii="Cambria" w:hAnsi="Cambria" w:cstheme="majorBidi"/>
          <w:b/>
          <w:bCs/>
          <w:sz w:val="22"/>
          <w:szCs w:val="22"/>
        </w:rPr>
        <w:t xml:space="preserve">observation </w:t>
      </w:r>
      <w:r w:rsidRPr="00F11FA7">
        <w:rPr>
          <w:rFonts w:ascii="Cambria" w:hAnsi="Cambria" w:cstheme="majorBidi"/>
          <w:b/>
          <w:bCs/>
          <w:sz w:val="22"/>
          <w:szCs w:val="22"/>
        </w:rPr>
        <w:t>o</w:t>
      </w:r>
      <w:r w:rsidR="00F11FA7">
        <w:rPr>
          <w:rFonts w:ascii="Cambria" w:hAnsi="Cambria" w:cstheme="majorBidi"/>
          <w:b/>
          <w:bCs/>
          <w:sz w:val="22"/>
          <w:szCs w:val="22"/>
        </w:rPr>
        <w:t>n</w:t>
      </w:r>
      <w:r w:rsidRPr="00F11FA7">
        <w:rPr>
          <w:rFonts w:ascii="Cambria" w:hAnsi="Cambria" w:cstheme="majorBidi"/>
          <w:b/>
          <w:bCs/>
          <w:sz w:val="22"/>
          <w:szCs w:val="22"/>
        </w:rPr>
        <w:t xml:space="preserve"> P/</w:t>
      </w:r>
      <w:r w:rsidR="00236520">
        <w:rPr>
          <w:rFonts w:ascii="Cambria" w:hAnsi="Cambria" w:cstheme="majorBidi"/>
          <w:b/>
          <w:bCs/>
          <w:sz w:val="22"/>
          <w:szCs w:val="22"/>
        </w:rPr>
        <w:t>C</w:t>
      </w:r>
      <w:r w:rsidRPr="00F11FA7">
        <w:rPr>
          <w:rFonts w:ascii="Cambria" w:hAnsi="Cambria" w:cstheme="majorBidi"/>
          <w:b/>
          <w:bCs/>
          <w:sz w:val="22"/>
          <w:szCs w:val="22"/>
        </w:rPr>
        <w:t xml:space="preserve">VE programs is that they overwhelmingly support ‘soft’ policy interventions </w:t>
      </w:r>
      <w:r w:rsidR="007F3AF4" w:rsidRPr="00F11FA7">
        <w:rPr>
          <w:rFonts w:ascii="Cambria" w:hAnsi="Cambria" w:cstheme="majorBidi"/>
          <w:b/>
          <w:bCs/>
          <w:sz w:val="22"/>
          <w:szCs w:val="22"/>
        </w:rPr>
        <w:t xml:space="preserve">such as planning workshops and capacity-building trainings, with limited concrete delivery of </w:t>
      </w:r>
      <w:r w:rsidR="003543BC" w:rsidRPr="00F11FA7">
        <w:rPr>
          <w:rFonts w:ascii="Cambria" w:hAnsi="Cambria" w:cstheme="majorBidi"/>
          <w:b/>
          <w:bCs/>
          <w:sz w:val="22"/>
          <w:szCs w:val="22"/>
        </w:rPr>
        <w:t xml:space="preserve">socio-economic </w:t>
      </w:r>
      <w:r w:rsidR="007F3AF4" w:rsidRPr="00F11FA7">
        <w:rPr>
          <w:rFonts w:ascii="Cambria" w:hAnsi="Cambria" w:cstheme="majorBidi"/>
          <w:b/>
          <w:bCs/>
          <w:sz w:val="22"/>
          <w:szCs w:val="22"/>
        </w:rPr>
        <w:t>programs</w:t>
      </w:r>
      <w:r w:rsidR="007F3AF4">
        <w:rPr>
          <w:rFonts w:ascii="Cambria" w:hAnsi="Cambria" w:cstheme="majorBidi"/>
          <w:sz w:val="22"/>
          <w:szCs w:val="22"/>
        </w:rPr>
        <w:t xml:space="preserve">. </w:t>
      </w:r>
      <w:proofErr w:type="spellStart"/>
      <w:r w:rsidR="007F3AF4" w:rsidRPr="00AF3AFA">
        <w:rPr>
          <w:rFonts w:ascii="Cambria" w:hAnsi="Cambria" w:cstheme="majorBidi"/>
          <w:sz w:val="22"/>
          <w:szCs w:val="22"/>
        </w:rPr>
        <w:t>Balay</w:t>
      </w:r>
      <w:proofErr w:type="spellEnd"/>
      <w:r w:rsidR="007F3AF4" w:rsidRPr="00AF3AFA">
        <w:rPr>
          <w:rFonts w:ascii="Cambria" w:hAnsi="Cambria" w:cstheme="majorBidi"/>
          <w:sz w:val="22"/>
          <w:szCs w:val="22"/>
        </w:rPr>
        <w:t xml:space="preserve"> </w:t>
      </w:r>
      <w:proofErr w:type="spellStart"/>
      <w:r w:rsidR="007F3AF4" w:rsidRPr="00AF3AFA">
        <w:rPr>
          <w:rFonts w:ascii="Cambria" w:hAnsi="Cambria" w:cstheme="majorBidi"/>
          <w:sz w:val="22"/>
          <w:szCs w:val="22"/>
        </w:rPr>
        <w:t>Mindana</w:t>
      </w:r>
      <w:r w:rsidR="000D73C7">
        <w:rPr>
          <w:rFonts w:ascii="Cambria" w:hAnsi="Cambria" w:cstheme="majorBidi"/>
          <w:sz w:val="22"/>
          <w:szCs w:val="22"/>
        </w:rPr>
        <w:t>w</w:t>
      </w:r>
      <w:r w:rsidR="007F3AF4" w:rsidRPr="00AF3AFA">
        <w:rPr>
          <w:rFonts w:ascii="Cambria" w:hAnsi="Cambria" w:cstheme="majorBidi"/>
          <w:sz w:val="22"/>
          <w:szCs w:val="22"/>
        </w:rPr>
        <w:t>’s</w:t>
      </w:r>
      <w:proofErr w:type="spellEnd"/>
      <w:r w:rsidR="007F3AF4" w:rsidRPr="00AF3AFA">
        <w:rPr>
          <w:rFonts w:ascii="Cambria" w:hAnsi="Cambria" w:cstheme="majorBidi"/>
          <w:sz w:val="22"/>
          <w:szCs w:val="22"/>
        </w:rPr>
        <w:t xml:space="preserve"> AS2G</w:t>
      </w:r>
      <w:r w:rsidR="007F3AF4">
        <w:rPr>
          <w:rFonts w:ascii="Cambria" w:hAnsi="Cambria" w:cstheme="majorBidi"/>
          <w:sz w:val="22"/>
          <w:szCs w:val="22"/>
        </w:rPr>
        <w:t>-CARE</w:t>
      </w:r>
      <w:r w:rsidR="007F3AF4" w:rsidRPr="00AF3AFA">
        <w:rPr>
          <w:rFonts w:ascii="Cambria" w:hAnsi="Cambria" w:cstheme="majorBidi"/>
          <w:sz w:val="22"/>
          <w:szCs w:val="22"/>
        </w:rPr>
        <w:t xml:space="preserve"> in Basilan</w:t>
      </w:r>
      <w:r w:rsidR="007F3AF4">
        <w:rPr>
          <w:rFonts w:ascii="Cambria" w:hAnsi="Cambria" w:cstheme="majorBidi"/>
          <w:sz w:val="22"/>
          <w:szCs w:val="22"/>
        </w:rPr>
        <w:t xml:space="preserve">, for example, successfully avoids this issue because it complements an existing government program for former Abu Sayyaf Group </w:t>
      </w:r>
      <w:r w:rsidR="000D4E48">
        <w:rPr>
          <w:rFonts w:ascii="Cambria" w:hAnsi="Cambria" w:cstheme="majorBidi"/>
          <w:sz w:val="22"/>
          <w:szCs w:val="22"/>
        </w:rPr>
        <w:t xml:space="preserve">(ASG) </w:t>
      </w:r>
      <w:r w:rsidR="007F3AF4">
        <w:rPr>
          <w:rFonts w:ascii="Cambria" w:hAnsi="Cambria" w:cstheme="majorBidi"/>
          <w:sz w:val="22"/>
          <w:szCs w:val="22"/>
        </w:rPr>
        <w:t xml:space="preserve">fighters </w:t>
      </w:r>
      <w:r w:rsidR="0088193A">
        <w:rPr>
          <w:rFonts w:ascii="Cambria" w:hAnsi="Cambria" w:cstheme="majorBidi"/>
          <w:sz w:val="22"/>
          <w:szCs w:val="22"/>
        </w:rPr>
        <w:t xml:space="preserve">that is </w:t>
      </w:r>
      <w:r w:rsidR="007F3AF4">
        <w:rPr>
          <w:rFonts w:ascii="Cambria" w:hAnsi="Cambria" w:cstheme="majorBidi"/>
          <w:sz w:val="22"/>
          <w:szCs w:val="22"/>
        </w:rPr>
        <w:t xml:space="preserve">jointly implemented by the province, the AFP and the </w:t>
      </w:r>
      <w:r w:rsidR="00D62899">
        <w:rPr>
          <w:rFonts w:ascii="Cambria" w:hAnsi="Cambria" w:cstheme="majorBidi"/>
          <w:sz w:val="22"/>
          <w:szCs w:val="22"/>
        </w:rPr>
        <w:t xml:space="preserve">defunct </w:t>
      </w:r>
      <w:r w:rsidR="007F3AF4">
        <w:rPr>
          <w:rFonts w:ascii="Cambria" w:hAnsi="Cambria" w:cstheme="majorBidi"/>
          <w:sz w:val="22"/>
          <w:szCs w:val="22"/>
        </w:rPr>
        <w:t>ARMM Regional Government</w:t>
      </w:r>
      <w:r w:rsidR="00D62899">
        <w:rPr>
          <w:rFonts w:ascii="Cambria" w:hAnsi="Cambria" w:cstheme="majorBidi"/>
          <w:sz w:val="22"/>
          <w:szCs w:val="22"/>
        </w:rPr>
        <w:t xml:space="preserve">, particularly through the latter’s </w:t>
      </w:r>
      <w:r w:rsidR="009B57BA">
        <w:rPr>
          <w:rFonts w:ascii="Cambria" w:hAnsi="Cambria" w:cstheme="majorBidi"/>
          <w:sz w:val="22"/>
          <w:szCs w:val="22"/>
        </w:rPr>
        <w:t>comprehensive housing, livelihood, and social services program, ARMM-BRIDGE.</w:t>
      </w:r>
      <w:r w:rsidR="0088193A">
        <w:rPr>
          <w:rStyle w:val="FootnoteReference"/>
          <w:rFonts w:ascii="Cambria" w:hAnsi="Cambria" w:cstheme="majorBidi"/>
          <w:sz w:val="22"/>
          <w:szCs w:val="22"/>
        </w:rPr>
        <w:footnoteReference w:id="4"/>
      </w:r>
      <w:r w:rsidR="009B57BA">
        <w:rPr>
          <w:rFonts w:ascii="Cambria" w:hAnsi="Cambria" w:cstheme="majorBidi"/>
          <w:sz w:val="22"/>
          <w:szCs w:val="22"/>
        </w:rPr>
        <w:t xml:space="preserve"> </w:t>
      </w:r>
      <w:r w:rsidR="00AB521F">
        <w:rPr>
          <w:rFonts w:ascii="Cambria" w:hAnsi="Cambria" w:cstheme="majorBidi"/>
          <w:sz w:val="22"/>
          <w:szCs w:val="22"/>
        </w:rPr>
        <w:t xml:space="preserve"> </w:t>
      </w:r>
      <w:r w:rsidR="009B57BA">
        <w:rPr>
          <w:rFonts w:ascii="Cambria" w:hAnsi="Cambria" w:cstheme="majorBidi"/>
          <w:sz w:val="22"/>
          <w:szCs w:val="22"/>
        </w:rPr>
        <w:t xml:space="preserve">In comparison, there is no fund cover for the reintegration of more than 200 former </w:t>
      </w:r>
      <w:proofErr w:type="spellStart"/>
      <w:r w:rsidR="009B57BA">
        <w:rPr>
          <w:rFonts w:ascii="Cambria" w:hAnsi="Cambria" w:cstheme="majorBidi"/>
          <w:sz w:val="22"/>
          <w:szCs w:val="22"/>
        </w:rPr>
        <w:t>Maute</w:t>
      </w:r>
      <w:proofErr w:type="spellEnd"/>
      <w:r w:rsidR="009B57BA">
        <w:rPr>
          <w:rFonts w:ascii="Cambria" w:hAnsi="Cambria" w:cstheme="majorBidi"/>
          <w:sz w:val="22"/>
          <w:szCs w:val="22"/>
        </w:rPr>
        <w:t xml:space="preserve"> supporters who have surrendered to the AFP in Lanao del Sur. It is recommended that </w:t>
      </w:r>
      <w:r w:rsidR="003543BC">
        <w:rPr>
          <w:rFonts w:ascii="Cambria" w:hAnsi="Cambria" w:cstheme="majorBidi"/>
          <w:sz w:val="22"/>
          <w:szCs w:val="22"/>
        </w:rPr>
        <w:t>future P/CVE programming</w:t>
      </w:r>
      <w:r w:rsidR="005F22B5">
        <w:rPr>
          <w:rFonts w:ascii="Cambria" w:hAnsi="Cambria" w:cstheme="majorBidi"/>
          <w:sz w:val="22"/>
          <w:szCs w:val="22"/>
        </w:rPr>
        <w:t xml:space="preserve"> be able to</w:t>
      </w:r>
      <w:r w:rsidR="003543BC">
        <w:rPr>
          <w:rFonts w:ascii="Cambria" w:hAnsi="Cambria" w:cstheme="majorBidi"/>
          <w:sz w:val="22"/>
          <w:szCs w:val="22"/>
        </w:rPr>
        <w:t xml:space="preserve"> balance between ‘soft’ interventions and more tangible </w:t>
      </w:r>
      <w:r w:rsidR="00FB600D">
        <w:rPr>
          <w:rFonts w:ascii="Cambria" w:hAnsi="Cambria" w:cstheme="majorBidi"/>
          <w:sz w:val="22"/>
          <w:szCs w:val="22"/>
        </w:rPr>
        <w:t xml:space="preserve">grassroots-level </w:t>
      </w:r>
      <w:r w:rsidR="005F22B5">
        <w:rPr>
          <w:rFonts w:ascii="Cambria" w:hAnsi="Cambria" w:cstheme="majorBidi"/>
          <w:sz w:val="22"/>
          <w:szCs w:val="22"/>
        </w:rPr>
        <w:t>packages</w:t>
      </w:r>
      <w:r w:rsidR="00734554">
        <w:rPr>
          <w:rFonts w:ascii="Cambria" w:hAnsi="Cambria" w:cstheme="majorBidi"/>
          <w:sz w:val="22"/>
          <w:szCs w:val="22"/>
        </w:rPr>
        <w:t>,</w:t>
      </w:r>
      <w:r w:rsidR="003543BC">
        <w:rPr>
          <w:rFonts w:ascii="Cambria" w:hAnsi="Cambria" w:cstheme="majorBidi"/>
          <w:sz w:val="22"/>
          <w:szCs w:val="22"/>
        </w:rPr>
        <w:t xml:space="preserve"> </w:t>
      </w:r>
      <w:r w:rsidR="00734554">
        <w:rPr>
          <w:rFonts w:ascii="Cambria" w:hAnsi="Cambria" w:cstheme="majorBidi"/>
          <w:sz w:val="22"/>
          <w:szCs w:val="22"/>
        </w:rPr>
        <w:t xml:space="preserve">whether as socioeconomic support or </w:t>
      </w:r>
      <w:r w:rsidR="00831F69">
        <w:rPr>
          <w:rFonts w:ascii="Cambria" w:hAnsi="Cambria" w:cstheme="majorBidi"/>
          <w:sz w:val="22"/>
          <w:szCs w:val="22"/>
        </w:rPr>
        <w:t>through t</w:t>
      </w:r>
      <w:r w:rsidR="0013079C">
        <w:rPr>
          <w:rFonts w:ascii="Cambria" w:hAnsi="Cambria" w:cstheme="majorBidi"/>
          <w:sz w:val="22"/>
          <w:szCs w:val="22"/>
        </w:rPr>
        <w:t>he establishm</w:t>
      </w:r>
      <w:r w:rsidR="00595DE5">
        <w:rPr>
          <w:rFonts w:ascii="Cambria" w:hAnsi="Cambria" w:cstheme="majorBidi"/>
          <w:sz w:val="22"/>
          <w:szCs w:val="22"/>
        </w:rPr>
        <w:t>e</w:t>
      </w:r>
      <w:r w:rsidR="0013079C">
        <w:rPr>
          <w:rFonts w:ascii="Cambria" w:hAnsi="Cambria" w:cstheme="majorBidi"/>
          <w:sz w:val="22"/>
          <w:szCs w:val="22"/>
        </w:rPr>
        <w:t>nt</w:t>
      </w:r>
      <w:r w:rsidR="00831F69">
        <w:rPr>
          <w:rFonts w:ascii="Cambria" w:hAnsi="Cambria" w:cstheme="majorBidi"/>
          <w:sz w:val="22"/>
          <w:szCs w:val="22"/>
        </w:rPr>
        <w:t xml:space="preserve"> of </w:t>
      </w:r>
      <w:r w:rsidR="0013079C">
        <w:rPr>
          <w:rFonts w:ascii="Cambria" w:hAnsi="Cambria" w:cstheme="majorBidi"/>
          <w:sz w:val="22"/>
          <w:szCs w:val="22"/>
        </w:rPr>
        <w:t>security mechanisms such as barangay peace</w:t>
      </w:r>
      <w:r w:rsidR="00595DE5">
        <w:rPr>
          <w:rFonts w:ascii="Cambria" w:hAnsi="Cambria" w:cstheme="majorBidi"/>
          <w:sz w:val="22"/>
          <w:szCs w:val="22"/>
        </w:rPr>
        <w:t>keeping</w:t>
      </w:r>
      <w:r w:rsidR="0013079C">
        <w:rPr>
          <w:rFonts w:ascii="Cambria" w:hAnsi="Cambria" w:cstheme="majorBidi"/>
          <w:sz w:val="22"/>
          <w:szCs w:val="22"/>
        </w:rPr>
        <w:t xml:space="preserve"> action teams (</w:t>
      </w:r>
      <w:r w:rsidR="00831F69">
        <w:rPr>
          <w:rFonts w:ascii="Cambria" w:hAnsi="Cambria" w:cstheme="majorBidi"/>
          <w:sz w:val="22"/>
          <w:szCs w:val="22"/>
        </w:rPr>
        <w:t>BPAT</w:t>
      </w:r>
      <w:r w:rsidR="0013079C">
        <w:rPr>
          <w:rFonts w:ascii="Cambria" w:hAnsi="Cambria" w:cstheme="majorBidi"/>
          <w:sz w:val="22"/>
          <w:szCs w:val="22"/>
        </w:rPr>
        <w:t>s)</w:t>
      </w:r>
      <w:r w:rsidR="00831F69">
        <w:rPr>
          <w:rFonts w:ascii="Cambria" w:hAnsi="Cambria" w:cstheme="majorBidi"/>
          <w:sz w:val="22"/>
          <w:szCs w:val="22"/>
        </w:rPr>
        <w:t xml:space="preserve">. </w:t>
      </w:r>
      <w:r w:rsidR="00387EED">
        <w:rPr>
          <w:rFonts w:ascii="Cambria" w:hAnsi="Cambria" w:cstheme="majorBidi"/>
          <w:sz w:val="22"/>
          <w:szCs w:val="22"/>
        </w:rPr>
        <w:t xml:space="preserve"> </w:t>
      </w:r>
      <w:r w:rsidR="009039A9">
        <w:rPr>
          <w:rFonts w:ascii="Cambria" w:hAnsi="Cambria" w:cstheme="majorBidi"/>
          <w:sz w:val="22"/>
          <w:szCs w:val="22"/>
        </w:rPr>
        <w:t xml:space="preserve">In the case of </w:t>
      </w:r>
      <w:r w:rsidR="00E247C7">
        <w:rPr>
          <w:rFonts w:ascii="Cambria" w:hAnsi="Cambria" w:cstheme="majorBidi"/>
          <w:sz w:val="22"/>
          <w:szCs w:val="22"/>
        </w:rPr>
        <w:t>reintegration programs</w:t>
      </w:r>
      <w:r w:rsidR="006A1F96">
        <w:rPr>
          <w:rFonts w:ascii="Cambria" w:hAnsi="Cambria" w:cstheme="majorBidi"/>
          <w:sz w:val="22"/>
          <w:szCs w:val="22"/>
        </w:rPr>
        <w:t xml:space="preserve"> for former ‘black flag’ actors, </w:t>
      </w:r>
      <w:r w:rsidR="00E247C7">
        <w:rPr>
          <w:rFonts w:ascii="Cambria" w:hAnsi="Cambria" w:cstheme="majorBidi"/>
          <w:sz w:val="22"/>
          <w:szCs w:val="22"/>
        </w:rPr>
        <w:t>however, caution</w:t>
      </w:r>
      <w:r w:rsidR="006A1F96">
        <w:rPr>
          <w:rFonts w:ascii="Cambria" w:hAnsi="Cambria" w:cstheme="majorBidi"/>
          <w:sz w:val="22"/>
          <w:szCs w:val="22"/>
        </w:rPr>
        <w:t xml:space="preserve"> is recommended</w:t>
      </w:r>
      <w:r w:rsidR="00E247C7">
        <w:rPr>
          <w:rFonts w:ascii="Cambria" w:hAnsi="Cambria" w:cstheme="majorBidi"/>
          <w:sz w:val="22"/>
          <w:szCs w:val="22"/>
        </w:rPr>
        <w:t xml:space="preserve"> in ensuring that restorative justice is uphel</w:t>
      </w:r>
      <w:r w:rsidR="00E87785">
        <w:rPr>
          <w:rFonts w:ascii="Cambria" w:hAnsi="Cambria" w:cstheme="majorBidi"/>
          <w:sz w:val="22"/>
          <w:szCs w:val="22"/>
        </w:rPr>
        <w:t xml:space="preserve">d, and support is not seen as a negative incentive for perpetrators while providing </w:t>
      </w:r>
      <w:r w:rsidR="00662797">
        <w:rPr>
          <w:rFonts w:ascii="Cambria" w:hAnsi="Cambria" w:cstheme="majorBidi"/>
          <w:sz w:val="22"/>
          <w:szCs w:val="22"/>
        </w:rPr>
        <w:t>limited</w:t>
      </w:r>
      <w:r w:rsidR="00E87785">
        <w:rPr>
          <w:rFonts w:ascii="Cambria" w:hAnsi="Cambria" w:cstheme="majorBidi"/>
          <w:sz w:val="22"/>
          <w:szCs w:val="22"/>
        </w:rPr>
        <w:t xml:space="preserve"> support to affected communities.</w:t>
      </w:r>
      <w:r w:rsidR="00E247C7">
        <w:rPr>
          <w:rFonts w:ascii="Cambria" w:hAnsi="Cambria" w:cstheme="majorBidi"/>
          <w:sz w:val="22"/>
          <w:szCs w:val="22"/>
        </w:rPr>
        <w:t xml:space="preserve"> </w:t>
      </w:r>
    </w:p>
    <w:p w14:paraId="2B688C65" w14:textId="77777777" w:rsidR="008E7989" w:rsidRDefault="008E7989" w:rsidP="00A928D6">
      <w:pPr>
        <w:pStyle w:val="ListParagraph"/>
      </w:pPr>
    </w:p>
    <w:p w14:paraId="20DAB759" w14:textId="77777777" w:rsidR="009A3408" w:rsidRPr="009A3408" w:rsidRDefault="009A3408" w:rsidP="00F11FA7"/>
    <w:p w14:paraId="2686314F" w14:textId="419C7F50" w:rsidR="00B13417" w:rsidRPr="00D058C1" w:rsidRDefault="00B13417" w:rsidP="00B13417">
      <w:pPr>
        <w:pStyle w:val="Heading3"/>
        <w:rPr>
          <w:rFonts w:ascii="Cambria" w:eastAsia="Times New Roman" w:hAnsi="Cambria"/>
          <w:i/>
          <w:iCs/>
          <w:sz w:val="22"/>
          <w:szCs w:val="22"/>
        </w:rPr>
      </w:pPr>
      <w:bookmarkStart w:id="13" w:name="_Toc55309673"/>
      <w:r w:rsidRPr="00D058C1">
        <w:rPr>
          <w:rFonts w:ascii="Cambria" w:eastAsia="Times New Roman" w:hAnsi="Cambria"/>
          <w:i/>
          <w:iCs/>
          <w:sz w:val="22"/>
          <w:szCs w:val="22"/>
        </w:rPr>
        <w:t>C. Benefits and costs of flexibility</w:t>
      </w:r>
      <w:bookmarkEnd w:id="13"/>
    </w:p>
    <w:p w14:paraId="1DB0E677" w14:textId="0CD4700A" w:rsidR="00B13417" w:rsidRPr="00D058C1" w:rsidRDefault="00B13417" w:rsidP="007C6F66">
      <w:pPr>
        <w:tabs>
          <w:tab w:val="left" w:pos="284"/>
          <w:tab w:val="left" w:pos="709"/>
        </w:tabs>
        <w:jc w:val="both"/>
        <w:rPr>
          <w:rFonts w:ascii="Cambria" w:hAnsi="Cambria" w:cstheme="majorBidi"/>
          <w:sz w:val="22"/>
          <w:szCs w:val="22"/>
        </w:rPr>
      </w:pPr>
    </w:p>
    <w:p w14:paraId="3FD5CBF2" w14:textId="5F19A0B2" w:rsidR="005609CE" w:rsidRPr="00F11FA7" w:rsidRDefault="00305B86" w:rsidP="00F11FA7">
      <w:pPr>
        <w:pStyle w:val="ListParagraph"/>
        <w:numPr>
          <w:ilvl w:val="0"/>
          <w:numId w:val="77"/>
        </w:numPr>
        <w:jc w:val="both"/>
        <w:rPr>
          <w:rFonts w:ascii="Cambria" w:hAnsi="Cambria" w:cstheme="majorBidi"/>
          <w:sz w:val="22"/>
          <w:szCs w:val="22"/>
        </w:rPr>
      </w:pPr>
      <w:r w:rsidRPr="00D058C1">
        <w:rPr>
          <w:rFonts w:ascii="Cambria" w:hAnsi="Cambria" w:cstheme="majorBidi"/>
          <w:b/>
          <w:bCs/>
          <w:sz w:val="22"/>
          <w:szCs w:val="22"/>
        </w:rPr>
        <w:t xml:space="preserve">The APP </w:t>
      </w:r>
      <w:r w:rsidR="00236520">
        <w:rPr>
          <w:rFonts w:ascii="Cambria" w:hAnsi="Cambria" w:cstheme="majorBidi"/>
          <w:b/>
          <w:bCs/>
          <w:sz w:val="22"/>
          <w:szCs w:val="22"/>
        </w:rPr>
        <w:t xml:space="preserve">and implementing </w:t>
      </w:r>
      <w:r w:rsidRPr="00D058C1">
        <w:rPr>
          <w:rFonts w:ascii="Cambria" w:hAnsi="Cambria" w:cstheme="majorBidi"/>
          <w:b/>
          <w:bCs/>
          <w:sz w:val="22"/>
          <w:szCs w:val="22"/>
        </w:rPr>
        <w:t>partners have made efficient use of Australia’s resources despite the rapidly evolving situation in the Bangsamoro region.</w:t>
      </w:r>
      <w:r w:rsidRPr="00D058C1">
        <w:rPr>
          <w:rFonts w:ascii="Cambria" w:hAnsi="Cambria" w:cstheme="majorBidi"/>
          <w:sz w:val="22"/>
          <w:szCs w:val="22"/>
        </w:rPr>
        <w:t xml:space="preserve">   The flexible funding arrangement enabled DFAT to respond, through its APP </w:t>
      </w:r>
      <w:r w:rsidR="008B082B">
        <w:rPr>
          <w:rFonts w:ascii="Cambria" w:hAnsi="Cambria" w:cstheme="majorBidi"/>
          <w:sz w:val="22"/>
          <w:szCs w:val="22"/>
        </w:rPr>
        <w:t xml:space="preserve">and multilateral </w:t>
      </w:r>
      <w:r w:rsidRPr="00D058C1">
        <w:rPr>
          <w:rFonts w:ascii="Cambria" w:hAnsi="Cambria" w:cstheme="majorBidi"/>
          <w:sz w:val="22"/>
          <w:szCs w:val="22"/>
        </w:rPr>
        <w:t>partners</w:t>
      </w:r>
      <w:r w:rsidR="008B082B">
        <w:rPr>
          <w:rFonts w:ascii="Cambria" w:hAnsi="Cambria" w:cstheme="majorBidi"/>
          <w:sz w:val="22"/>
          <w:szCs w:val="22"/>
        </w:rPr>
        <w:t xml:space="preserve"> and their subgrantees</w:t>
      </w:r>
      <w:r w:rsidRPr="00D058C1">
        <w:rPr>
          <w:rFonts w:ascii="Cambria" w:hAnsi="Cambria" w:cstheme="majorBidi"/>
          <w:sz w:val="22"/>
          <w:szCs w:val="22"/>
        </w:rPr>
        <w:t>, to new emergent challenges</w:t>
      </w:r>
      <w:r w:rsidR="00817085" w:rsidRPr="00D058C1">
        <w:rPr>
          <w:rFonts w:ascii="Cambria" w:hAnsi="Cambria" w:cstheme="majorBidi"/>
          <w:sz w:val="22"/>
          <w:szCs w:val="22"/>
        </w:rPr>
        <w:t xml:space="preserve"> as they arise</w:t>
      </w:r>
      <w:r w:rsidR="009B19FC" w:rsidRPr="00D058C1">
        <w:rPr>
          <w:rFonts w:ascii="Cambria" w:hAnsi="Cambria" w:cstheme="majorBidi"/>
          <w:sz w:val="22"/>
          <w:szCs w:val="22"/>
        </w:rPr>
        <w:t xml:space="preserve">. </w:t>
      </w:r>
      <w:r w:rsidR="00236520">
        <w:rPr>
          <w:rFonts w:ascii="Cambria" w:hAnsi="Cambria" w:cstheme="majorBidi"/>
          <w:sz w:val="22"/>
          <w:szCs w:val="22"/>
        </w:rPr>
        <w:t xml:space="preserve"> </w:t>
      </w:r>
      <w:r w:rsidR="00691FDC" w:rsidRPr="00D058C1">
        <w:rPr>
          <w:rFonts w:ascii="Cambria" w:hAnsi="Cambria" w:cstheme="majorBidi"/>
          <w:sz w:val="22"/>
          <w:szCs w:val="22"/>
        </w:rPr>
        <w:t xml:space="preserve">Across the </w:t>
      </w:r>
      <w:r w:rsidR="00691FDC" w:rsidRPr="00D058C1">
        <w:rPr>
          <w:rFonts w:ascii="Cambria" w:hAnsi="Cambria" w:cstheme="majorBidi"/>
          <w:sz w:val="22"/>
          <w:szCs w:val="22"/>
        </w:rPr>
        <w:lastRenderedPageBreak/>
        <w:t>board, p</w:t>
      </w:r>
      <w:r w:rsidR="009B19FC" w:rsidRPr="00F11FA7">
        <w:rPr>
          <w:rFonts w:ascii="Cambria" w:hAnsi="Cambria" w:cstheme="majorBidi"/>
          <w:sz w:val="22"/>
          <w:szCs w:val="22"/>
        </w:rPr>
        <w:t xml:space="preserve">artners were very appreciative of DFAT’s adaptive programming </w:t>
      </w:r>
      <w:r w:rsidR="005609CE" w:rsidRPr="00D058C1">
        <w:rPr>
          <w:rFonts w:ascii="Cambria" w:hAnsi="Cambria" w:cstheme="majorBidi"/>
          <w:sz w:val="22"/>
          <w:szCs w:val="22"/>
        </w:rPr>
        <w:t>given the highly fluid situation prevailing on the ground.</w:t>
      </w:r>
      <w:r w:rsidR="009B19FC" w:rsidRPr="00F11FA7">
        <w:rPr>
          <w:rFonts w:ascii="Cambria" w:hAnsi="Cambria" w:cstheme="majorBidi"/>
          <w:sz w:val="22"/>
          <w:szCs w:val="22"/>
        </w:rPr>
        <w:t xml:space="preserve"> </w:t>
      </w:r>
      <w:r w:rsidR="00387EED">
        <w:rPr>
          <w:rFonts w:ascii="Cambria" w:hAnsi="Cambria" w:cstheme="majorBidi"/>
          <w:sz w:val="22"/>
          <w:szCs w:val="22"/>
        </w:rPr>
        <w:t xml:space="preserve"> </w:t>
      </w:r>
      <w:r w:rsidR="009B19FC" w:rsidRPr="00F11FA7">
        <w:rPr>
          <w:rFonts w:ascii="Cambria" w:hAnsi="Cambria" w:cstheme="majorBidi"/>
          <w:sz w:val="22"/>
          <w:szCs w:val="22"/>
        </w:rPr>
        <w:t>Example</w:t>
      </w:r>
      <w:r w:rsidR="00395D24" w:rsidRPr="00D058C1">
        <w:rPr>
          <w:rFonts w:ascii="Cambria" w:hAnsi="Cambria" w:cstheme="majorBidi"/>
          <w:sz w:val="22"/>
          <w:szCs w:val="22"/>
        </w:rPr>
        <w:t xml:space="preserve">s include: a) the </w:t>
      </w:r>
      <w:r w:rsidR="009B19FC" w:rsidRPr="00F11FA7">
        <w:rPr>
          <w:rFonts w:ascii="Cambria" w:hAnsi="Cambria" w:cstheme="majorBidi"/>
          <w:sz w:val="22"/>
          <w:szCs w:val="22"/>
        </w:rPr>
        <w:t>revision of APP objective 2 to include support for transition activities</w:t>
      </w:r>
      <w:r w:rsidR="00395D24" w:rsidRPr="00D058C1">
        <w:rPr>
          <w:rFonts w:ascii="Cambria" w:hAnsi="Cambria" w:cstheme="majorBidi"/>
          <w:sz w:val="22"/>
          <w:szCs w:val="22"/>
        </w:rPr>
        <w:t>, b) the earlier pivot of APP to post-Marawi support</w:t>
      </w:r>
      <w:r w:rsidR="0045594B" w:rsidRPr="00D058C1">
        <w:rPr>
          <w:rFonts w:ascii="Cambria" w:hAnsi="Cambria" w:cstheme="majorBidi"/>
          <w:sz w:val="22"/>
          <w:szCs w:val="22"/>
        </w:rPr>
        <w:t xml:space="preserve"> and P/CVE activities</w:t>
      </w:r>
      <w:r w:rsidR="00395D24" w:rsidRPr="00D058C1">
        <w:rPr>
          <w:rFonts w:ascii="Cambria" w:hAnsi="Cambria" w:cstheme="majorBidi"/>
          <w:sz w:val="22"/>
          <w:szCs w:val="22"/>
        </w:rPr>
        <w:t xml:space="preserve">, and c) use of the </w:t>
      </w:r>
      <w:r w:rsidR="009B19FC" w:rsidRPr="00F11FA7">
        <w:rPr>
          <w:rFonts w:ascii="Cambria" w:hAnsi="Cambria" w:cstheme="majorBidi"/>
          <w:sz w:val="22"/>
          <w:szCs w:val="22"/>
        </w:rPr>
        <w:t xml:space="preserve">Strategic Flexible Fund </w:t>
      </w:r>
      <w:r w:rsidR="00395D24" w:rsidRPr="00D058C1">
        <w:rPr>
          <w:rFonts w:ascii="Cambria" w:hAnsi="Cambria" w:cstheme="majorBidi"/>
          <w:sz w:val="22"/>
          <w:szCs w:val="22"/>
        </w:rPr>
        <w:t>to provide</w:t>
      </w:r>
      <w:r w:rsidR="009B19FC" w:rsidRPr="00F11FA7">
        <w:rPr>
          <w:rFonts w:ascii="Cambria" w:hAnsi="Cambria" w:cstheme="majorBidi"/>
          <w:sz w:val="22"/>
          <w:szCs w:val="22"/>
        </w:rPr>
        <w:t xml:space="preserve"> ad-hoc </w:t>
      </w:r>
      <w:r w:rsidR="00395D24" w:rsidRPr="00D058C1">
        <w:rPr>
          <w:rFonts w:ascii="Cambria" w:hAnsi="Cambria" w:cstheme="majorBidi"/>
          <w:sz w:val="22"/>
          <w:szCs w:val="22"/>
        </w:rPr>
        <w:t>resources</w:t>
      </w:r>
      <w:r w:rsidR="009B19FC" w:rsidRPr="00F11FA7">
        <w:rPr>
          <w:rFonts w:ascii="Cambria" w:hAnsi="Cambria" w:cstheme="majorBidi"/>
          <w:sz w:val="22"/>
          <w:szCs w:val="22"/>
        </w:rPr>
        <w:t xml:space="preserve"> for activities such as AS2G and </w:t>
      </w:r>
      <w:r w:rsidR="008B082B">
        <w:rPr>
          <w:rFonts w:ascii="Cambria" w:hAnsi="Cambria" w:cstheme="majorBidi"/>
          <w:sz w:val="22"/>
          <w:szCs w:val="22"/>
        </w:rPr>
        <w:t xml:space="preserve">Project </w:t>
      </w:r>
      <w:r w:rsidR="009B19FC" w:rsidRPr="00F11FA7">
        <w:rPr>
          <w:rFonts w:ascii="Cambria" w:hAnsi="Cambria" w:cstheme="majorBidi"/>
          <w:sz w:val="22"/>
          <w:szCs w:val="22"/>
        </w:rPr>
        <w:t>CIRCLE.</w:t>
      </w:r>
      <w:r w:rsidR="00AB76B3" w:rsidRPr="00D058C1">
        <w:rPr>
          <w:rFonts w:ascii="Cambria" w:hAnsi="Cambria" w:cstheme="majorBidi"/>
          <w:sz w:val="22"/>
          <w:szCs w:val="22"/>
        </w:rPr>
        <w:t xml:space="preserve"> </w:t>
      </w:r>
      <w:r w:rsidR="00387EED">
        <w:rPr>
          <w:rFonts w:ascii="Cambria" w:hAnsi="Cambria" w:cstheme="majorBidi"/>
          <w:sz w:val="22"/>
          <w:szCs w:val="22"/>
        </w:rPr>
        <w:t xml:space="preserve"> </w:t>
      </w:r>
      <w:r w:rsidR="00970E18" w:rsidRPr="00F11FA7">
        <w:rPr>
          <w:rFonts w:ascii="Cambria" w:hAnsi="Cambria" w:cstheme="majorBidi"/>
          <w:sz w:val="22"/>
          <w:szCs w:val="22"/>
        </w:rPr>
        <w:t xml:space="preserve">However, </w:t>
      </w:r>
      <w:r w:rsidR="00BC4B40" w:rsidRPr="00D058C1">
        <w:rPr>
          <w:rFonts w:ascii="Cambria" w:hAnsi="Cambria" w:cstheme="majorBidi"/>
          <w:sz w:val="22"/>
          <w:szCs w:val="22"/>
        </w:rPr>
        <w:t xml:space="preserve">unchecked </w:t>
      </w:r>
      <w:r w:rsidR="00C72611" w:rsidRPr="00D058C1">
        <w:rPr>
          <w:rFonts w:ascii="Cambria" w:hAnsi="Cambria" w:cstheme="majorBidi"/>
          <w:sz w:val="22"/>
          <w:szCs w:val="22"/>
        </w:rPr>
        <w:t xml:space="preserve">flexibility </w:t>
      </w:r>
      <w:r w:rsidR="00387EED">
        <w:rPr>
          <w:rFonts w:ascii="Cambria" w:hAnsi="Cambria" w:cstheme="majorBidi"/>
          <w:sz w:val="22"/>
          <w:szCs w:val="22"/>
        </w:rPr>
        <w:t>may sometime</w:t>
      </w:r>
      <w:r w:rsidR="008B082B">
        <w:rPr>
          <w:rFonts w:ascii="Cambria" w:hAnsi="Cambria" w:cstheme="majorBidi"/>
          <w:sz w:val="22"/>
          <w:szCs w:val="22"/>
        </w:rPr>
        <w:t>s</w:t>
      </w:r>
      <w:r w:rsidR="00387EED">
        <w:rPr>
          <w:rFonts w:ascii="Cambria" w:hAnsi="Cambria" w:cstheme="majorBidi"/>
          <w:sz w:val="22"/>
          <w:szCs w:val="22"/>
        </w:rPr>
        <w:t xml:space="preserve"> </w:t>
      </w:r>
      <w:r w:rsidR="00C72611" w:rsidRPr="00D058C1">
        <w:rPr>
          <w:rFonts w:ascii="Cambria" w:hAnsi="Cambria" w:cstheme="majorBidi"/>
          <w:sz w:val="22"/>
          <w:szCs w:val="22"/>
        </w:rPr>
        <w:t>come with efficiency</w:t>
      </w:r>
      <w:r w:rsidR="000128E8" w:rsidRPr="00D058C1">
        <w:rPr>
          <w:rFonts w:ascii="Cambria" w:hAnsi="Cambria" w:cstheme="majorBidi"/>
          <w:sz w:val="22"/>
          <w:szCs w:val="22"/>
        </w:rPr>
        <w:t xml:space="preserve"> costs</w:t>
      </w:r>
      <w:r w:rsidR="00C72611" w:rsidRPr="00D058C1">
        <w:rPr>
          <w:rFonts w:ascii="Cambria" w:hAnsi="Cambria" w:cstheme="majorBidi"/>
          <w:sz w:val="22"/>
          <w:szCs w:val="22"/>
        </w:rPr>
        <w:t xml:space="preserve">, as discussed in greater detail below. </w:t>
      </w:r>
    </w:p>
    <w:p w14:paraId="0D7E639D" w14:textId="08A648B6" w:rsidR="009A3805" w:rsidRPr="00D058C1" w:rsidRDefault="009A3805" w:rsidP="007C6F66">
      <w:pPr>
        <w:tabs>
          <w:tab w:val="left" w:pos="284"/>
          <w:tab w:val="left" w:pos="709"/>
        </w:tabs>
        <w:jc w:val="both"/>
        <w:rPr>
          <w:rFonts w:ascii="Cambria" w:hAnsi="Cambria"/>
          <w:sz w:val="22"/>
          <w:szCs w:val="22"/>
        </w:rPr>
      </w:pPr>
    </w:p>
    <w:p w14:paraId="5D22C03A" w14:textId="6F939BFF" w:rsidR="002A3E25" w:rsidRPr="00D058C1" w:rsidRDefault="00B13417" w:rsidP="002B7F20">
      <w:pPr>
        <w:pStyle w:val="Heading3"/>
        <w:rPr>
          <w:rFonts w:ascii="Cambria" w:eastAsia="Times New Roman" w:hAnsi="Cambria" w:cs="Times New Roman"/>
          <w:i/>
          <w:iCs/>
          <w:sz w:val="22"/>
          <w:szCs w:val="22"/>
        </w:rPr>
      </w:pPr>
      <w:bookmarkStart w:id="14" w:name="_Toc34220979"/>
      <w:bookmarkStart w:id="15" w:name="_Toc55309674"/>
      <w:r w:rsidRPr="00D058C1">
        <w:rPr>
          <w:rFonts w:ascii="Cambria" w:eastAsia="Times New Roman" w:hAnsi="Cambria" w:cs="Times New Roman"/>
          <w:i/>
          <w:iCs/>
          <w:sz w:val="22"/>
          <w:szCs w:val="22"/>
        </w:rPr>
        <w:t>D</w:t>
      </w:r>
      <w:r w:rsidR="002A3E25" w:rsidRPr="00D058C1">
        <w:rPr>
          <w:rFonts w:ascii="Cambria" w:eastAsia="Times New Roman" w:hAnsi="Cambria" w:cs="Times New Roman"/>
          <w:i/>
          <w:iCs/>
          <w:sz w:val="22"/>
          <w:szCs w:val="22"/>
        </w:rPr>
        <w:t>. Impact of research on policies and programs</w:t>
      </w:r>
      <w:bookmarkEnd w:id="14"/>
      <w:bookmarkEnd w:id="15"/>
      <w:r w:rsidR="002A3E25" w:rsidRPr="00D058C1">
        <w:rPr>
          <w:rFonts w:ascii="Cambria" w:eastAsia="Times New Roman" w:hAnsi="Cambria" w:cs="Times New Roman"/>
          <w:i/>
          <w:iCs/>
          <w:sz w:val="22"/>
          <w:szCs w:val="22"/>
        </w:rPr>
        <w:t xml:space="preserve"> </w:t>
      </w:r>
    </w:p>
    <w:p w14:paraId="2359EC6A" w14:textId="13DCC7FF" w:rsidR="002B7F20" w:rsidRPr="00D058C1" w:rsidRDefault="002B7F20" w:rsidP="002B7F20">
      <w:pPr>
        <w:rPr>
          <w:rFonts w:ascii="Cambria" w:hAnsi="Cambria"/>
        </w:rPr>
      </w:pPr>
    </w:p>
    <w:p w14:paraId="6F1B1137" w14:textId="7536B02A" w:rsidR="00430349" w:rsidRDefault="0094777C" w:rsidP="003F1256">
      <w:pPr>
        <w:pStyle w:val="ListParagraph"/>
        <w:numPr>
          <w:ilvl w:val="0"/>
          <w:numId w:val="77"/>
        </w:numPr>
        <w:jc w:val="both"/>
        <w:rPr>
          <w:rFonts w:ascii="Cambria" w:hAnsi="Cambria"/>
          <w:sz w:val="22"/>
          <w:szCs w:val="22"/>
        </w:rPr>
      </w:pPr>
      <w:r w:rsidRPr="008B082B">
        <w:rPr>
          <w:rFonts w:ascii="Cambria" w:hAnsi="Cambria"/>
          <w:b/>
          <w:bCs/>
          <w:sz w:val="22"/>
          <w:szCs w:val="22"/>
        </w:rPr>
        <w:t xml:space="preserve">Studies </w:t>
      </w:r>
      <w:r w:rsidR="0045594B" w:rsidRPr="008B082B">
        <w:rPr>
          <w:rFonts w:ascii="Cambria" w:hAnsi="Cambria"/>
          <w:b/>
          <w:bCs/>
          <w:sz w:val="22"/>
          <w:szCs w:val="22"/>
        </w:rPr>
        <w:t xml:space="preserve">conducted by the APP </w:t>
      </w:r>
      <w:r w:rsidR="00236520" w:rsidRPr="008B082B">
        <w:rPr>
          <w:rFonts w:ascii="Cambria" w:hAnsi="Cambria"/>
          <w:b/>
          <w:bCs/>
          <w:sz w:val="22"/>
          <w:szCs w:val="22"/>
        </w:rPr>
        <w:t xml:space="preserve">and implementing </w:t>
      </w:r>
      <w:r w:rsidR="0045594B" w:rsidRPr="008B082B">
        <w:rPr>
          <w:rFonts w:ascii="Cambria" w:hAnsi="Cambria"/>
          <w:b/>
          <w:bCs/>
          <w:sz w:val="22"/>
          <w:szCs w:val="22"/>
        </w:rPr>
        <w:t xml:space="preserve">partners were </w:t>
      </w:r>
      <w:r w:rsidRPr="008B082B">
        <w:rPr>
          <w:rFonts w:ascii="Cambria" w:hAnsi="Cambria"/>
          <w:b/>
          <w:bCs/>
          <w:sz w:val="22"/>
          <w:szCs w:val="22"/>
        </w:rPr>
        <w:t xml:space="preserve">generally able to identify key </w:t>
      </w:r>
      <w:r w:rsidR="001A574B" w:rsidRPr="008B082B">
        <w:rPr>
          <w:rFonts w:ascii="Cambria" w:hAnsi="Cambria"/>
          <w:b/>
          <w:bCs/>
          <w:sz w:val="22"/>
          <w:szCs w:val="22"/>
        </w:rPr>
        <w:t>analytical challenges</w:t>
      </w:r>
      <w:r w:rsidR="0029439C" w:rsidRPr="008B082B">
        <w:rPr>
          <w:rFonts w:ascii="Cambria" w:hAnsi="Cambria"/>
          <w:b/>
          <w:bCs/>
          <w:sz w:val="22"/>
          <w:szCs w:val="22"/>
        </w:rPr>
        <w:t xml:space="preserve"> in the transition and were able to complement each other’s work</w:t>
      </w:r>
      <w:r w:rsidR="0029439C" w:rsidRPr="00D058C1">
        <w:rPr>
          <w:rFonts w:ascii="Cambria" w:hAnsi="Cambria"/>
          <w:sz w:val="22"/>
          <w:szCs w:val="22"/>
        </w:rPr>
        <w:t xml:space="preserve">. However, the degree to which </w:t>
      </w:r>
      <w:r w:rsidR="003F1256">
        <w:rPr>
          <w:rFonts w:ascii="Cambria" w:hAnsi="Cambria"/>
          <w:sz w:val="22"/>
          <w:szCs w:val="22"/>
        </w:rPr>
        <w:t xml:space="preserve">the recommendations from the research have been </w:t>
      </w:r>
      <w:r w:rsidR="00387EED">
        <w:rPr>
          <w:rFonts w:ascii="Cambria" w:hAnsi="Cambria"/>
          <w:sz w:val="22"/>
          <w:szCs w:val="22"/>
        </w:rPr>
        <w:t>implemented</w:t>
      </w:r>
      <w:r w:rsidR="003F1256">
        <w:rPr>
          <w:rFonts w:ascii="Cambria" w:hAnsi="Cambria"/>
          <w:sz w:val="22"/>
          <w:szCs w:val="22"/>
        </w:rPr>
        <w:t xml:space="preserve"> by national and regional actors </w:t>
      </w:r>
      <w:r w:rsidR="005A34DF" w:rsidRPr="00D058C1">
        <w:rPr>
          <w:rFonts w:ascii="Cambria" w:hAnsi="Cambria"/>
          <w:sz w:val="22"/>
          <w:szCs w:val="22"/>
        </w:rPr>
        <w:t xml:space="preserve">is mixed. </w:t>
      </w:r>
      <w:r w:rsidR="00E61CBF" w:rsidRPr="003F1256">
        <w:rPr>
          <w:rFonts w:ascii="Cambria" w:hAnsi="Cambria"/>
          <w:sz w:val="22"/>
          <w:szCs w:val="22"/>
        </w:rPr>
        <w:t xml:space="preserve">Analytical support to the political and administrative aspects of the transition, such as those </w:t>
      </w:r>
      <w:r w:rsidR="00F416E1" w:rsidRPr="003F1256">
        <w:rPr>
          <w:rFonts w:ascii="Cambria" w:hAnsi="Cambria"/>
          <w:sz w:val="22"/>
          <w:szCs w:val="22"/>
        </w:rPr>
        <w:t>conducted by</w:t>
      </w:r>
      <w:r w:rsidR="005A34DF" w:rsidRPr="00F11FA7">
        <w:rPr>
          <w:rFonts w:ascii="Cambria" w:hAnsi="Cambria"/>
          <w:sz w:val="22"/>
          <w:szCs w:val="22"/>
        </w:rPr>
        <w:t xml:space="preserve"> </w:t>
      </w:r>
      <w:r w:rsidR="0029439C" w:rsidRPr="00F11FA7">
        <w:rPr>
          <w:rFonts w:ascii="Cambria" w:hAnsi="Cambria"/>
          <w:sz w:val="22"/>
          <w:szCs w:val="22"/>
        </w:rPr>
        <w:t xml:space="preserve">IAG </w:t>
      </w:r>
      <w:r w:rsidR="00696BA0" w:rsidRPr="00F11FA7">
        <w:rPr>
          <w:rFonts w:ascii="Cambria" w:hAnsi="Cambria"/>
          <w:sz w:val="22"/>
          <w:szCs w:val="22"/>
        </w:rPr>
        <w:t xml:space="preserve">through its </w:t>
      </w:r>
      <w:r w:rsidR="0080487C" w:rsidRPr="00F11FA7">
        <w:rPr>
          <w:rFonts w:ascii="Cambria" w:hAnsi="Cambria"/>
          <w:color w:val="000000" w:themeColor="text1"/>
          <w:sz w:val="22"/>
          <w:szCs w:val="22"/>
        </w:rPr>
        <w:t>ENPOLD Bangsamoro</w:t>
      </w:r>
      <w:r w:rsidR="0029439C" w:rsidRPr="00F11FA7">
        <w:rPr>
          <w:rFonts w:ascii="Cambria" w:hAnsi="Cambria"/>
          <w:sz w:val="22"/>
          <w:szCs w:val="22"/>
        </w:rPr>
        <w:t xml:space="preserve"> </w:t>
      </w:r>
      <w:r w:rsidR="00E61CBF" w:rsidRPr="003F1256">
        <w:rPr>
          <w:rFonts w:ascii="Cambria" w:hAnsi="Cambria"/>
          <w:sz w:val="22"/>
          <w:szCs w:val="22"/>
        </w:rPr>
        <w:t xml:space="preserve">and the abovementioned </w:t>
      </w:r>
      <w:r w:rsidR="00C636CB" w:rsidRPr="003F1256">
        <w:rPr>
          <w:rFonts w:ascii="Cambria" w:hAnsi="Cambria"/>
          <w:sz w:val="22"/>
          <w:szCs w:val="22"/>
        </w:rPr>
        <w:t>ongoing support to the drafting of the BTA priority bills</w:t>
      </w:r>
      <w:r w:rsidR="00387EED">
        <w:rPr>
          <w:rFonts w:ascii="Cambria" w:hAnsi="Cambria"/>
          <w:sz w:val="22"/>
          <w:szCs w:val="22"/>
        </w:rPr>
        <w:t>,</w:t>
      </w:r>
      <w:r w:rsidR="00C636CB" w:rsidRPr="003F1256">
        <w:rPr>
          <w:rFonts w:ascii="Cambria" w:hAnsi="Cambria"/>
          <w:sz w:val="22"/>
          <w:szCs w:val="22"/>
        </w:rPr>
        <w:t xml:space="preserve"> </w:t>
      </w:r>
      <w:r w:rsidR="00E61CBF" w:rsidRPr="003F1256">
        <w:rPr>
          <w:rFonts w:ascii="Cambria" w:hAnsi="Cambria"/>
          <w:sz w:val="22"/>
          <w:szCs w:val="22"/>
        </w:rPr>
        <w:t xml:space="preserve">are generally welcomed </w:t>
      </w:r>
      <w:r w:rsidR="00A23440">
        <w:rPr>
          <w:rFonts w:ascii="Cambria" w:hAnsi="Cambria"/>
          <w:sz w:val="22"/>
          <w:szCs w:val="22"/>
        </w:rPr>
        <w:t xml:space="preserve">and directly used </w:t>
      </w:r>
      <w:r w:rsidR="00E61CBF" w:rsidRPr="003F1256">
        <w:rPr>
          <w:rFonts w:ascii="Cambria" w:hAnsi="Cambria"/>
          <w:sz w:val="22"/>
          <w:szCs w:val="22"/>
        </w:rPr>
        <w:t xml:space="preserve">by regional and national partners. </w:t>
      </w:r>
    </w:p>
    <w:p w14:paraId="003716F7" w14:textId="77777777" w:rsidR="00430349" w:rsidRDefault="00430349" w:rsidP="00430349">
      <w:pPr>
        <w:pStyle w:val="ListParagraph"/>
        <w:jc w:val="both"/>
        <w:rPr>
          <w:rFonts w:ascii="Cambria" w:hAnsi="Cambria"/>
          <w:sz w:val="22"/>
          <w:szCs w:val="22"/>
        </w:rPr>
      </w:pPr>
    </w:p>
    <w:p w14:paraId="1493DC52" w14:textId="254B7D84" w:rsidR="00A23440" w:rsidRPr="00A36AEC" w:rsidRDefault="00E61CBF" w:rsidP="004B5A75">
      <w:pPr>
        <w:pStyle w:val="ListParagraph"/>
        <w:numPr>
          <w:ilvl w:val="0"/>
          <w:numId w:val="77"/>
        </w:numPr>
        <w:jc w:val="both"/>
      </w:pPr>
      <w:r w:rsidRPr="003F1256">
        <w:rPr>
          <w:rFonts w:ascii="Cambria" w:hAnsi="Cambria"/>
          <w:sz w:val="22"/>
          <w:szCs w:val="22"/>
        </w:rPr>
        <w:t xml:space="preserve">On the other hand, </w:t>
      </w:r>
      <w:r w:rsidR="003F1256" w:rsidRPr="003F1256">
        <w:rPr>
          <w:rFonts w:ascii="Cambria" w:hAnsi="Cambria"/>
          <w:sz w:val="22"/>
          <w:szCs w:val="22"/>
        </w:rPr>
        <w:t>research related to</w:t>
      </w:r>
      <w:r w:rsidR="00A23440">
        <w:rPr>
          <w:rFonts w:ascii="Cambria" w:hAnsi="Cambria"/>
          <w:sz w:val="22"/>
          <w:szCs w:val="22"/>
        </w:rPr>
        <w:t xml:space="preserve"> </w:t>
      </w:r>
      <w:r w:rsidR="004A0444">
        <w:rPr>
          <w:rFonts w:ascii="Cambria" w:hAnsi="Cambria"/>
          <w:sz w:val="22"/>
          <w:szCs w:val="22"/>
        </w:rPr>
        <w:t xml:space="preserve">security and </w:t>
      </w:r>
      <w:r w:rsidR="00A23440">
        <w:rPr>
          <w:rFonts w:ascii="Cambria" w:hAnsi="Cambria"/>
          <w:sz w:val="22"/>
          <w:szCs w:val="22"/>
        </w:rPr>
        <w:t>normalization</w:t>
      </w:r>
      <w:r w:rsidR="004A0444">
        <w:rPr>
          <w:rFonts w:ascii="Cambria" w:hAnsi="Cambria"/>
          <w:sz w:val="22"/>
          <w:szCs w:val="22"/>
        </w:rPr>
        <w:t xml:space="preserve">—specifically </w:t>
      </w:r>
      <w:r w:rsidR="00236520">
        <w:rPr>
          <w:rFonts w:ascii="Cambria" w:hAnsi="Cambria"/>
          <w:sz w:val="22"/>
          <w:szCs w:val="22"/>
        </w:rPr>
        <w:t>I</w:t>
      </w:r>
      <w:r w:rsidR="008B082B">
        <w:rPr>
          <w:rFonts w:ascii="Cambria" w:hAnsi="Cambria"/>
          <w:sz w:val="22"/>
          <w:szCs w:val="22"/>
        </w:rPr>
        <w:t xml:space="preserve">nternational </w:t>
      </w:r>
      <w:r w:rsidR="00236520">
        <w:rPr>
          <w:rFonts w:ascii="Cambria" w:hAnsi="Cambria"/>
          <w:sz w:val="22"/>
          <w:szCs w:val="22"/>
        </w:rPr>
        <w:t>A</w:t>
      </w:r>
      <w:r w:rsidR="008B082B">
        <w:rPr>
          <w:rFonts w:ascii="Cambria" w:hAnsi="Cambria"/>
          <w:sz w:val="22"/>
          <w:szCs w:val="22"/>
        </w:rPr>
        <w:t>lert and TAF’s</w:t>
      </w:r>
      <w:r w:rsidR="00A23440">
        <w:rPr>
          <w:rFonts w:ascii="Cambria" w:hAnsi="Cambria"/>
          <w:sz w:val="22"/>
          <w:szCs w:val="22"/>
        </w:rPr>
        <w:t xml:space="preserve"> work on small arms and light weapons (SALW), analysis from CHD, TAF, and IAG on </w:t>
      </w:r>
      <w:r w:rsidR="003F1256" w:rsidRPr="003F1256">
        <w:rPr>
          <w:rFonts w:ascii="Cambria" w:hAnsi="Cambria"/>
          <w:sz w:val="22"/>
          <w:szCs w:val="22"/>
        </w:rPr>
        <w:t>the triggers of P/CVE, vulnerabilities of Bang</w:t>
      </w:r>
      <w:r w:rsidR="00A23440">
        <w:rPr>
          <w:rFonts w:ascii="Cambria" w:hAnsi="Cambria"/>
          <w:sz w:val="22"/>
          <w:szCs w:val="22"/>
        </w:rPr>
        <w:t>s</w:t>
      </w:r>
      <w:r w:rsidR="003F1256" w:rsidRPr="003F1256">
        <w:rPr>
          <w:rFonts w:ascii="Cambria" w:hAnsi="Cambria"/>
          <w:sz w:val="22"/>
          <w:szCs w:val="22"/>
        </w:rPr>
        <w:t>amoro youth and orphans</w:t>
      </w:r>
      <w:r w:rsidR="00A23440">
        <w:rPr>
          <w:rFonts w:ascii="Cambria" w:hAnsi="Cambria"/>
          <w:sz w:val="22"/>
          <w:szCs w:val="22"/>
        </w:rPr>
        <w:t>,</w:t>
      </w:r>
      <w:r w:rsidR="003F1256" w:rsidRPr="003F1256">
        <w:rPr>
          <w:rFonts w:ascii="Cambria" w:hAnsi="Cambria"/>
          <w:sz w:val="22"/>
          <w:szCs w:val="22"/>
        </w:rPr>
        <w:t xml:space="preserve"> a</w:t>
      </w:r>
      <w:r w:rsidR="00430349">
        <w:rPr>
          <w:rFonts w:ascii="Cambria" w:hAnsi="Cambria"/>
          <w:sz w:val="22"/>
          <w:szCs w:val="22"/>
        </w:rPr>
        <w:t>s well as</w:t>
      </w:r>
      <w:r w:rsidR="003F1256" w:rsidRPr="003F1256">
        <w:rPr>
          <w:rFonts w:ascii="Cambria" w:hAnsi="Cambria"/>
          <w:sz w:val="22"/>
          <w:szCs w:val="22"/>
        </w:rPr>
        <w:t xml:space="preserve"> </w:t>
      </w:r>
      <w:r w:rsidR="00A23440">
        <w:rPr>
          <w:rFonts w:ascii="Cambria" w:hAnsi="Cambria"/>
          <w:sz w:val="22"/>
          <w:szCs w:val="22"/>
        </w:rPr>
        <w:t xml:space="preserve">options for </w:t>
      </w:r>
      <w:r w:rsidR="003F1256" w:rsidRPr="003F1256">
        <w:rPr>
          <w:rFonts w:ascii="Cambria" w:hAnsi="Cambria"/>
          <w:sz w:val="22"/>
          <w:szCs w:val="22"/>
        </w:rPr>
        <w:t>reducing land and resource-based violent conflict in Marawi and other areas</w:t>
      </w:r>
      <w:r w:rsidR="00430349">
        <w:rPr>
          <w:rFonts w:ascii="Cambria" w:hAnsi="Cambria"/>
          <w:sz w:val="22"/>
          <w:szCs w:val="22"/>
        </w:rPr>
        <w:t xml:space="preserve"> supported by IA, the World Bank, and TAF</w:t>
      </w:r>
      <w:r w:rsidR="004A0444">
        <w:rPr>
          <w:rFonts w:ascii="Cambria" w:hAnsi="Cambria"/>
          <w:sz w:val="22"/>
          <w:szCs w:val="22"/>
        </w:rPr>
        <w:t>—</w:t>
      </w:r>
      <w:r w:rsidR="003F1256" w:rsidRPr="004A0444">
        <w:rPr>
          <w:rFonts w:ascii="Cambria" w:hAnsi="Cambria"/>
          <w:sz w:val="22"/>
          <w:szCs w:val="22"/>
        </w:rPr>
        <w:t>has opened conversations but has thus far had uneven impact on national programming</w:t>
      </w:r>
      <w:r w:rsidR="00430349" w:rsidRPr="004A0444">
        <w:rPr>
          <w:rFonts w:ascii="Cambria" w:hAnsi="Cambria"/>
          <w:sz w:val="22"/>
          <w:szCs w:val="22"/>
        </w:rPr>
        <w:t>. This can be partially attributed to the outsize focus on the setup of the BTA after the passage of the BOL in 201</w:t>
      </w:r>
      <w:r w:rsidR="00083B7E">
        <w:rPr>
          <w:rFonts w:ascii="Cambria" w:hAnsi="Cambria"/>
          <w:sz w:val="22"/>
          <w:szCs w:val="22"/>
        </w:rPr>
        <w:t>8</w:t>
      </w:r>
      <w:r w:rsidR="00AB4367">
        <w:rPr>
          <w:rFonts w:ascii="Cambria" w:hAnsi="Cambria"/>
          <w:sz w:val="22"/>
          <w:szCs w:val="22"/>
        </w:rPr>
        <w:t xml:space="preserve"> and other exogenous </w:t>
      </w:r>
      <w:r w:rsidR="00651CD7">
        <w:rPr>
          <w:rFonts w:ascii="Cambria" w:hAnsi="Cambria"/>
          <w:sz w:val="22"/>
          <w:szCs w:val="22"/>
        </w:rPr>
        <w:t>events</w:t>
      </w:r>
      <w:r w:rsidR="003F1256" w:rsidRPr="004A0444">
        <w:rPr>
          <w:rFonts w:ascii="Cambria" w:hAnsi="Cambria"/>
          <w:sz w:val="22"/>
          <w:szCs w:val="22"/>
        </w:rPr>
        <w:t>.</w:t>
      </w:r>
      <w:r w:rsidR="0068024D">
        <w:rPr>
          <w:rFonts w:ascii="Cambria" w:hAnsi="Cambria"/>
          <w:sz w:val="22"/>
          <w:szCs w:val="22"/>
        </w:rPr>
        <w:t xml:space="preserve"> Nevertheless, the research has been shared with other</w:t>
      </w:r>
      <w:r w:rsidR="00240937">
        <w:rPr>
          <w:rFonts w:ascii="Cambria" w:hAnsi="Cambria"/>
          <w:sz w:val="22"/>
          <w:szCs w:val="22"/>
        </w:rPr>
        <w:t xml:space="preserve"> development</w:t>
      </w:r>
      <w:r w:rsidR="0068024D">
        <w:rPr>
          <w:rFonts w:ascii="Cambria" w:hAnsi="Cambria"/>
          <w:sz w:val="22"/>
          <w:szCs w:val="22"/>
        </w:rPr>
        <w:t xml:space="preserve"> partners and donors and has informed understanding and programming. </w:t>
      </w:r>
      <w:r w:rsidR="003F1256" w:rsidRPr="004A0444">
        <w:rPr>
          <w:rFonts w:ascii="Cambria" w:hAnsi="Cambria"/>
          <w:sz w:val="22"/>
          <w:szCs w:val="22"/>
        </w:rPr>
        <w:t xml:space="preserve"> </w:t>
      </w:r>
      <w:r w:rsidR="00387EED">
        <w:rPr>
          <w:rFonts w:ascii="Cambria" w:hAnsi="Cambria"/>
          <w:sz w:val="22"/>
          <w:szCs w:val="22"/>
        </w:rPr>
        <w:t xml:space="preserve"> </w:t>
      </w:r>
      <w:r w:rsidR="00A23440" w:rsidRPr="004A0444">
        <w:rPr>
          <w:rFonts w:ascii="Cambria" w:hAnsi="Cambria"/>
          <w:sz w:val="22"/>
          <w:szCs w:val="22"/>
        </w:rPr>
        <w:t>It is hoped that a</w:t>
      </w:r>
      <w:r w:rsidR="00430349" w:rsidRPr="004A0444">
        <w:rPr>
          <w:rFonts w:ascii="Cambria" w:hAnsi="Cambria"/>
          <w:sz w:val="22"/>
          <w:szCs w:val="22"/>
        </w:rPr>
        <w:t>s BTA operations settle in, the</w:t>
      </w:r>
      <w:r w:rsidR="00A23440" w:rsidRPr="004A0444">
        <w:rPr>
          <w:rFonts w:ascii="Cambria" w:hAnsi="Cambria"/>
          <w:sz w:val="22"/>
          <w:szCs w:val="22"/>
        </w:rPr>
        <w:t xml:space="preserve"> </w:t>
      </w:r>
      <w:r w:rsidR="00430349" w:rsidRPr="004A0444">
        <w:rPr>
          <w:rFonts w:ascii="Cambria" w:hAnsi="Cambria"/>
          <w:sz w:val="22"/>
          <w:szCs w:val="22"/>
        </w:rPr>
        <w:t>parties will be able to pivot towards normalization and broader peace and security concerns.</w:t>
      </w:r>
      <w:r w:rsidR="00A36AEC">
        <w:rPr>
          <w:rFonts w:ascii="Cambria" w:hAnsi="Cambria"/>
          <w:sz w:val="22"/>
          <w:szCs w:val="22"/>
        </w:rPr>
        <w:t xml:space="preserve"> </w:t>
      </w:r>
      <w:r w:rsidR="00A23440" w:rsidRPr="00A36AEC">
        <w:t xml:space="preserve">With the emerging threat of </w:t>
      </w:r>
      <w:r w:rsidR="00430349" w:rsidRPr="004B5A75">
        <w:t xml:space="preserve">ISIS fighters moving/returning to Southeast Asia, it is </w:t>
      </w:r>
      <w:r w:rsidR="00387EED" w:rsidRPr="004B5A75">
        <w:t>anticipated</w:t>
      </w:r>
      <w:r w:rsidR="00430349" w:rsidRPr="004B5A75">
        <w:t xml:space="preserve"> that the </w:t>
      </w:r>
      <w:r w:rsidR="00BE1366" w:rsidRPr="004B5A75">
        <w:t xml:space="preserve">small </w:t>
      </w:r>
      <w:r w:rsidR="00430349" w:rsidRPr="004B5A75">
        <w:t xml:space="preserve">subset of </w:t>
      </w:r>
      <w:r w:rsidR="00A23440" w:rsidRPr="004B5A75">
        <w:t>research on cross</w:t>
      </w:r>
      <w:r w:rsidR="00A23440" w:rsidRPr="00A928D6">
        <w:rPr>
          <w:sz w:val="22"/>
          <w:szCs w:val="22"/>
        </w:rPr>
        <w:t xml:space="preserve">-border threats in Southeast Asia, implemented by the International Contact Group and TAF Malaysia </w:t>
      </w:r>
      <w:r w:rsidR="004A0444" w:rsidRPr="00A928D6">
        <w:rPr>
          <w:sz w:val="22"/>
          <w:szCs w:val="22"/>
        </w:rPr>
        <w:t>will</w:t>
      </w:r>
      <w:r w:rsidR="00A23440" w:rsidRPr="00A928D6">
        <w:rPr>
          <w:sz w:val="22"/>
          <w:szCs w:val="22"/>
        </w:rPr>
        <w:t xml:space="preserve"> </w:t>
      </w:r>
      <w:r w:rsidR="00430349" w:rsidRPr="00A928D6">
        <w:rPr>
          <w:sz w:val="22"/>
          <w:szCs w:val="22"/>
        </w:rPr>
        <w:t>become increasingly relevant.</w:t>
      </w:r>
      <w:r w:rsidR="00A36AEC" w:rsidRPr="00A928D6">
        <w:rPr>
          <w:sz w:val="22"/>
          <w:szCs w:val="22"/>
        </w:rPr>
        <w:t xml:space="preserve"> </w:t>
      </w:r>
      <w:r w:rsidR="00A36AEC" w:rsidRPr="00A928D6">
        <w:rPr>
          <w:rFonts w:ascii="Cambria" w:eastAsiaTheme="minorEastAsia" w:hAnsi="Cambria" w:cs="AppleSystemUIFont"/>
          <w:sz w:val="22"/>
          <w:szCs w:val="22"/>
          <w:lang w:val="en-GB" w:eastAsia="en-US"/>
        </w:rPr>
        <w:t>Based on feedback from local government partners, however, the next phase of work requires a shift from analysis and coordination to direct implementation of interventions that</w:t>
      </w:r>
      <w:r w:rsidR="009178B7">
        <w:rPr>
          <w:rFonts w:ascii="Cambria" w:eastAsiaTheme="minorEastAsia" w:hAnsi="Cambria" w:cs="AppleSystemUIFont"/>
          <w:sz w:val="22"/>
          <w:szCs w:val="22"/>
          <w:lang w:val="en-GB" w:eastAsia="en-US"/>
        </w:rPr>
        <w:t xml:space="preserve"> reintegrate former fighters/supporters, strengthen community security, and</w:t>
      </w:r>
      <w:r w:rsidR="00A36AEC" w:rsidRPr="00A928D6">
        <w:rPr>
          <w:rFonts w:ascii="Cambria" w:eastAsiaTheme="minorEastAsia" w:hAnsi="Cambria" w:cs="AppleSystemUIFont"/>
          <w:sz w:val="22"/>
          <w:szCs w:val="22"/>
          <w:lang w:val="en-GB" w:eastAsia="en-US"/>
        </w:rPr>
        <w:t xml:space="preserve"> address identified community drivers of P/CVE.</w:t>
      </w:r>
    </w:p>
    <w:p w14:paraId="1C11B397" w14:textId="196F5A13" w:rsidR="00BB3E02" w:rsidRPr="00D058C1" w:rsidRDefault="00BB3E02" w:rsidP="002B7F20">
      <w:pPr>
        <w:rPr>
          <w:rFonts w:ascii="Cambria" w:hAnsi="Cambria"/>
        </w:rPr>
      </w:pPr>
    </w:p>
    <w:p w14:paraId="29925573" w14:textId="5C1B053F" w:rsidR="002A3E25" w:rsidRPr="00D058C1" w:rsidRDefault="003B157C" w:rsidP="002B7F20">
      <w:pPr>
        <w:pStyle w:val="Heading3"/>
        <w:rPr>
          <w:rFonts w:ascii="Cambria" w:eastAsia="Times New Roman" w:hAnsi="Cambria" w:cs="Times New Roman"/>
        </w:rPr>
      </w:pPr>
      <w:bookmarkStart w:id="16" w:name="_Toc34220980"/>
      <w:bookmarkStart w:id="17" w:name="_Toc55309675"/>
      <w:r>
        <w:rPr>
          <w:rFonts w:ascii="Cambria" w:eastAsia="Times New Roman" w:hAnsi="Cambria" w:cs="Times New Roman"/>
          <w:i/>
          <w:iCs/>
          <w:sz w:val="22"/>
          <w:szCs w:val="22"/>
        </w:rPr>
        <w:t xml:space="preserve">E. </w:t>
      </w:r>
      <w:r w:rsidR="002A3E25" w:rsidRPr="00D058C1">
        <w:rPr>
          <w:rFonts w:ascii="Cambria" w:eastAsia="Times New Roman" w:hAnsi="Cambria" w:cs="Times New Roman"/>
          <w:i/>
          <w:iCs/>
          <w:sz w:val="22"/>
          <w:szCs w:val="22"/>
        </w:rPr>
        <w:t xml:space="preserve"> Alignment with other Australian assistance in Mindanao</w:t>
      </w:r>
      <w:bookmarkEnd w:id="16"/>
      <w:bookmarkEnd w:id="17"/>
      <w:r w:rsidR="002A3E25" w:rsidRPr="00D058C1">
        <w:rPr>
          <w:rFonts w:ascii="Cambria" w:eastAsia="Times New Roman" w:hAnsi="Cambria" w:cs="Times New Roman"/>
          <w:i/>
          <w:iCs/>
          <w:sz w:val="22"/>
          <w:szCs w:val="22"/>
        </w:rPr>
        <w:t xml:space="preserve"> </w:t>
      </w:r>
    </w:p>
    <w:p w14:paraId="6E401CB8" w14:textId="745A434B" w:rsidR="002A3E25" w:rsidRPr="00D058C1" w:rsidRDefault="002A3E25" w:rsidP="007C6F66">
      <w:pPr>
        <w:tabs>
          <w:tab w:val="left" w:pos="284"/>
          <w:tab w:val="left" w:pos="709"/>
        </w:tabs>
        <w:jc w:val="both"/>
        <w:rPr>
          <w:rFonts w:ascii="Cambria" w:hAnsi="Cambria"/>
          <w:sz w:val="22"/>
          <w:szCs w:val="22"/>
        </w:rPr>
      </w:pPr>
    </w:p>
    <w:p w14:paraId="09F9D2EE" w14:textId="5A43DFCB" w:rsidR="006A5C3E" w:rsidRPr="00AF0869" w:rsidRDefault="008A165E" w:rsidP="00952156">
      <w:pPr>
        <w:pStyle w:val="ListParagraph"/>
        <w:numPr>
          <w:ilvl w:val="0"/>
          <w:numId w:val="77"/>
        </w:numPr>
        <w:tabs>
          <w:tab w:val="left" w:pos="284"/>
          <w:tab w:val="left" w:pos="709"/>
        </w:tabs>
        <w:jc w:val="both"/>
        <w:rPr>
          <w:rFonts w:ascii="Cambria" w:hAnsi="Cambria"/>
        </w:rPr>
      </w:pPr>
      <w:r w:rsidRPr="00F11FA7">
        <w:rPr>
          <w:rFonts w:ascii="Cambria" w:hAnsi="Cambria"/>
          <w:b/>
          <w:bCs/>
          <w:sz w:val="22"/>
          <w:szCs w:val="22"/>
        </w:rPr>
        <w:t>There is s</w:t>
      </w:r>
      <w:r w:rsidR="007F1A82" w:rsidRPr="00F11FA7">
        <w:rPr>
          <w:rFonts w:ascii="Cambria" w:hAnsi="Cambria"/>
          <w:b/>
          <w:bCs/>
          <w:sz w:val="22"/>
          <w:szCs w:val="22"/>
        </w:rPr>
        <w:t xml:space="preserve">ome overlap </w:t>
      </w:r>
      <w:r w:rsidR="00D35E6B">
        <w:rPr>
          <w:rFonts w:ascii="Cambria" w:hAnsi="Cambria"/>
          <w:b/>
          <w:bCs/>
          <w:sz w:val="22"/>
          <w:szCs w:val="22"/>
        </w:rPr>
        <w:t>among</w:t>
      </w:r>
      <w:r w:rsidR="008B082B">
        <w:rPr>
          <w:rFonts w:ascii="Cambria" w:hAnsi="Cambria"/>
          <w:b/>
          <w:bCs/>
          <w:sz w:val="22"/>
          <w:szCs w:val="22"/>
        </w:rPr>
        <w:t>st</w:t>
      </w:r>
      <w:r w:rsidR="007F1A82" w:rsidRPr="00F11FA7">
        <w:rPr>
          <w:rFonts w:ascii="Cambria" w:hAnsi="Cambria"/>
          <w:b/>
          <w:bCs/>
          <w:sz w:val="22"/>
          <w:szCs w:val="22"/>
        </w:rPr>
        <w:t xml:space="preserve"> the activities and partners engaged by the </w:t>
      </w:r>
      <w:r w:rsidR="008B082B">
        <w:rPr>
          <w:rFonts w:ascii="Cambria" w:hAnsi="Cambria"/>
          <w:b/>
          <w:bCs/>
          <w:sz w:val="22"/>
          <w:szCs w:val="22"/>
        </w:rPr>
        <w:t xml:space="preserve">DFAT </w:t>
      </w:r>
      <w:r w:rsidR="007F1A82" w:rsidRPr="00F11FA7">
        <w:rPr>
          <w:rFonts w:ascii="Cambria" w:hAnsi="Cambria"/>
          <w:b/>
          <w:bCs/>
          <w:sz w:val="22"/>
          <w:szCs w:val="22"/>
        </w:rPr>
        <w:t>Political team, the Education/Pathways team, and the Humanitarian team in the Bangsamoro.</w:t>
      </w:r>
      <w:r w:rsidR="00A363AD" w:rsidRPr="00AF0869">
        <w:rPr>
          <w:rFonts w:ascii="Cambria" w:hAnsi="Cambria"/>
          <w:sz w:val="22"/>
          <w:szCs w:val="22"/>
        </w:rPr>
        <w:t xml:space="preserve"> Although </w:t>
      </w:r>
      <w:r w:rsidR="009C3A9A" w:rsidRPr="00AF0869">
        <w:rPr>
          <w:rFonts w:ascii="Cambria" w:hAnsi="Cambria"/>
          <w:sz w:val="22"/>
          <w:szCs w:val="22"/>
        </w:rPr>
        <w:t>Pathway</w:t>
      </w:r>
      <w:r w:rsidR="00A363AD" w:rsidRPr="00AF0869">
        <w:rPr>
          <w:rFonts w:ascii="Cambria" w:hAnsi="Cambria"/>
          <w:sz w:val="22"/>
          <w:szCs w:val="22"/>
        </w:rPr>
        <w:t>s and</w:t>
      </w:r>
      <w:r w:rsidR="009C3A9A" w:rsidRPr="00AF0869">
        <w:rPr>
          <w:rFonts w:ascii="Cambria" w:hAnsi="Cambria"/>
          <w:sz w:val="22"/>
          <w:szCs w:val="22"/>
        </w:rPr>
        <w:t xml:space="preserve"> </w:t>
      </w:r>
      <w:r w:rsidR="00A363AD" w:rsidRPr="00AF0869">
        <w:rPr>
          <w:rFonts w:ascii="Cambria" w:hAnsi="Cambria"/>
          <w:sz w:val="22"/>
          <w:szCs w:val="22"/>
        </w:rPr>
        <w:t xml:space="preserve">TAF-CARE have been able to coordinate in the </w:t>
      </w:r>
      <w:r w:rsidR="009C3A9A" w:rsidRPr="00AF0869">
        <w:rPr>
          <w:rFonts w:ascii="Cambria" w:hAnsi="Cambria"/>
          <w:sz w:val="22"/>
          <w:szCs w:val="22"/>
        </w:rPr>
        <w:t xml:space="preserve">drafting of the Education </w:t>
      </w:r>
      <w:r w:rsidR="00A363AD" w:rsidRPr="00AF0869">
        <w:rPr>
          <w:rFonts w:ascii="Cambria" w:hAnsi="Cambria"/>
          <w:sz w:val="22"/>
          <w:szCs w:val="22"/>
        </w:rPr>
        <w:t>Code,</w:t>
      </w:r>
      <w:r w:rsidR="002C698A" w:rsidRPr="00AF0869">
        <w:rPr>
          <w:rFonts w:ascii="Cambria" w:hAnsi="Cambria"/>
          <w:sz w:val="22"/>
          <w:szCs w:val="22"/>
        </w:rPr>
        <w:t xml:space="preserve"> </w:t>
      </w:r>
      <w:r w:rsidR="00F9479C" w:rsidRPr="00AF0869">
        <w:rPr>
          <w:rFonts w:ascii="Cambria" w:hAnsi="Cambria"/>
          <w:sz w:val="22"/>
          <w:szCs w:val="22"/>
        </w:rPr>
        <w:t xml:space="preserve">the </w:t>
      </w:r>
      <w:r w:rsidR="009C3A9A" w:rsidRPr="00AF0869">
        <w:rPr>
          <w:rFonts w:ascii="Cambria" w:hAnsi="Cambria"/>
          <w:sz w:val="22"/>
          <w:szCs w:val="22"/>
        </w:rPr>
        <w:t>Pathways Responsive Innovation Fund</w:t>
      </w:r>
      <w:r w:rsidR="00F9479C" w:rsidRPr="00AF0869">
        <w:rPr>
          <w:rFonts w:ascii="Cambria" w:hAnsi="Cambria"/>
          <w:sz w:val="22"/>
          <w:szCs w:val="22"/>
        </w:rPr>
        <w:t xml:space="preserve"> and </w:t>
      </w:r>
      <w:r w:rsidR="00D35E6B">
        <w:rPr>
          <w:rFonts w:ascii="Cambria" w:hAnsi="Cambria"/>
          <w:sz w:val="22"/>
          <w:szCs w:val="22"/>
        </w:rPr>
        <w:t xml:space="preserve">other </w:t>
      </w:r>
      <w:r w:rsidR="00F9479C" w:rsidRPr="00AF0869">
        <w:rPr>
          <w:rFonts w:ascii="Cambria" w:hAnsi="Cambria"/>
          <w:sz w:val="22"/>
          <w:szCs w:val="22"/>
        </w:rPr>
        <w:t>APP partners share several subgrantees. Similarly, the support for TFBM through APP, the World Bank, and UNDP operates in the same space as the DFAT-supported M</w:t>
      </w:r>
      <w:r w:rsidR="008B082B">
        <w:rPr>
          <w:rFonts w:ascii="Cambria" w:hAnsi="Cambria"/>
          <w:sz w:val="22"/>
          <w:szCs w:val="22"/>
        </w:rPr>
        <w:t xml:space="preserve">arawi </w:t>
      </w:r>
      <w:r w:rsidR="00F9479C" w:rsidRPr="00AF0869">
        <w:rPr>
          <w:rFonts w:ascii="Cambria" w:hAnsi="Cambria"/>
          <w:sz w:val="22"/>
          <w:szCs w:val="22"/>
        </w:rPr>
        <w:t>R</w:t>
      </w:r>
      <w:r w:rsidR="008B082B">
        <w:rPr>
          <w:rFonts w:ascii="Cambria" w:hAnsi="Cambria"/>
          <w:sz w:val="22"/>
          <w:szCs w:val="22"/>
        </w:rPr>
        <w:t>esponse Program</w:t>
      </w:r>
      <w:r w:rsidR="00F9479C" w:rsidRPr="00AF0869">
        <w:rPr>
          <w:rFonts w:ascii="Cambria" w:hAnsi="Cambria"/>
          <w:sz w:val="22"/>
          <w:szCs w:val="22"/>
        </w:rPr>
        <w:t xml:space="preserve">, particularly in the partnerships with </w:t>
      </w:r>
      <w:r w:rsidR="009C3A9A" w:rsidRPr="00AF0869">
        <w:rPr>
          <w:rFonts w:ascii="Cambria" w:hAnsi="Cambria"/>
          <w:sz w:val="22"/>
          <w:szCs w:val="22"/>
        </w:rPr>
        <w:t>UNHCR</w:t>
      </w:r>
      <w:r w:rsidR="00F9479C" w:rsidRPr="00AF0869">
        <w:rPr>
          <w:rFonts w:ascii="Cambria" w:hAnsi="Cambria"/>
          <w:sz w:val="22"/>
          <w:szCs w:val="22"/>
        </w:rPr>
        <w:t xml:space="preserve">, </w:t>
      </w:r>
      <w:r w:rsidR="009C3A9A" w:rsidRPr="00AF0869">
        <w:rPr>
          <w:rFonts w:ascii="Cambria" w:hAnsi="Cambria"/>
          <w:sz w:val="22"/>
          <w:szCs w:val="22"/>
        </w:rPr>
        <w:t>UNFPA</w:t>
      </w:r>
      <w:r w:rsidR="00F9479C" w:rsidRPr="00AF0869">
        <w:rPr>
          <w:rFonts w:ascii="Cambria" w:hAnsi="Cambria"/>
          <w:sz w:val="22"/>
          <w:szCs w:val="22"/>
        </w:rPr>
        <w:t>, and CFSI</w:t>
      </w:r>
      <w:r w:rsidR="00AF0869" w:rsidRPr="00AF0869">
        <w:rPr>
          <w:rFonts w:ascii="Cambria" w:hAnsi="Cambria"/>
          <w:sz w:val="22"/>
          <w:szCs w:val="22"/>
        </w:rPr>
        <w:t xml:space="preserve">. </w:t>
      </w:r>
      <w:r w:rsidR="00D35E6B">
        <w:rPr>
          <w:rFonts w:ascii="Cambria" w:hAnsi="Cambria"/>
          <w:sz w:val="22"/>
          <w:szCs w:val="22"/>
        </w:rPr>
        <w:t xml:space="preserve"> </w:t>
      </w:r>
      <w:r w:rsidR="00AF0869" w:rsidRPr="00AF0869">
        <w:rPr>
          <w:rFonts w:ascii="Cambria" w:hAnsi="Cambria"/>
          <w:sz w:val="22"/>
          <w:szCs w:val="22"/>
        </w:rPr>
        <w:t>Moving forward, UNFPA will be working increasingly with the MILF’s BIWAB as well as the BTA</w:t>
      </w:r>
      <w:r w:rsidR="00D35E6B">
        <w:rPr>
          <w:rFonts w:ascii="Cambria" w:hAnsi="Cambria"/>
          <w:sz w:val="22"/>
          <w:szCs w:val="22"/>
        </w:rPr>
        <w:t>’s</w:t>
      </w:r>
      <w:r w:rsidR="00AF0869" w:rsidRPr="00AF0869">
        <w:rPr>
          <w:rFonts w:ascii="Cambria" w:hAnsi="Cambria"/>
          <w:sz w:val="22"/>
          <w:szCs w:val="22"/>
        </w:rPr>
        <w:t xml:space="preserve"> Ministry of Social Services (MS</w:t>
      </w:r>
      <w:bookmarkStart w:id="18" w:name="_Toc34220981"/>
      <w:r w:rsidR="00AF0869" w:rsidRPr="00AF0869">
        <w:rPr>
          <w:rFonts w:ascii="Cambria" w:hAnsi="Cambria"/>
          <w:sz w:val="22"/>
          <w:szCs w:val="22"/>
        </w:rPr>
        <w:t xml:space="preserve">S). </w:t>
      </w:r>
      <w:r w:rsidR="006A5C3E" w:rsidRPr="00F11FA7">
        <w:rPr>
          <w:rFonts w:ascii="Cambria" w:hAnsi="Cambria"/>
          <w:sz w:val="22"/>
          <w:szCs w:val="22"/>
        </w:rPr>
        <w:t xml:space="preserve">Although regular meetings are scheduled, </w:t>
      </w:r>
      <w:r w:rsidR="00AF0869" w:rsidRPr="00F11FA7">
        <w:rPr>
          <w:rFonts w:ascii="Cambria" w:hAnsi="Cambria"/>
          <w:sz w:val="22"/>
          <w:szCs w:val="22"/>
        </w:rPr>
        <w:lastRenderedPageBreak/>
        <w:t xml:space="preserve">these are </w:t>
      </w:r>
      <w:r w:rsidR="00D64D9B" w:rsidRPr="00F11FA7">
        <w:rPr>
          <w:rFonts w:ascii="Cambria" w:hAnsi="Cambria"/>
          <w:sz w:val="22"/>
          <w:szCs w:val="22"/>
        </w:rPr>
        <w:t xml:space="preserve">largely informal and </w:t>
      </w:r>
      <w:r w:rsidR="00A378E7" w:rsidRPr="00F11FA7">
        <w:rPr>
          <w:rFonts w:ascii="Cambria" w:hAnsi="Cambria"/>
          <w:sz w:val="22"/>
          <w:szCs w:val="22"/>
        </w:rPr>
        <w:t>often postponed</w:t>
      </w:r>
      <w:r w:rsidR="00AF0869" w:rsidRPr="00F11FA7">
        <w:rPr>
          <w:rFonts w:ascii="Cambria" w:hAnsi="Cambria"/>
          <w:sz w:val="22"/>
          <w:szCs w:val="22"/>
        </w:rPr>
        <w:t xml:space="preserve"> in the absence of s</w:t>
      </w:r>
      <w:r w:rsidR="00A378E7" w:rsidRPr="00F11FA7">
        <w:rPr>
          <w:rFonts w:ascii="Cambria" w:hAnsi="Cambria"/>
          <w:sz w:val="22"/>
          <w:szCs w:val="22"/>
        </w:rPr>
        <w:t>tructured coordination</w:t>
      </w:r>
      <w:r w:rsidR="00AF0869" w:rsidRPr="00F11FA7">
        <w:rPr>
          <w:rFonts w:ascii="Cambria" w:hAnsi="Cambria"/>
          <w:sz w:val="22"/>
          <w:szCs w:val="22"/>
        </w:rPr>
        <w:t xml:space="preserve"> guidelines</w:t>
      </w:r>
      <w:r w:rsidR="00A378E7" w:rsidRPr="00F11FA7">
        <w:rPr>
          <w:rFonts w:ascii="Cambria" w:hAnsi="Cambria"/>
          <w:sz w:val="22"/>
          <w:szCs w:val="22"/>
        </w:rPr>
        <w:t xml:space="preserve"> and </w:t>
      </w:r>
      <w:r w:rsidR="00AF0869" w:rsidRPr="00F11FA7">
        <w:rPr>
          <w:rFonts w:ascii="Cambria" w:hAnsi="Cambria"/>
          <w:sz w:val="22"/>
          <w:szCs w:val="22"/>
        </w:rPr>
        <w:t xml:space="preserve">a </w:t>
      </w:r>
      <w:r w:rsidR="00A378E7" w:rsidRPr="00F11FA7">
        <w:rPr>
          <w:rFonts w:ascii="Cambria" w:hAnsi="Cambria"/>
          <w:sz w:val="22"/>
          <w:szCs w:val="22"/>
        </w:rPr>
        <w:t>shared framework strategy for operations in Mindanao</w:t>
      </w:r>
      <w:r w:rsidR="00AF0869" w:rsidRPr="00F11FA7">
        <w:rPr>
          <w:rFonts w:ascii="Cambria" w:hAnsi="Cambria"/>
          <w:sz w:val="22"/>
          <w:szCs w:val="22"/>
        </w:rPr>
        <w:t>.</w:t>
      </w:r>
    </w:p>
    <w:p w14:paraId="7D7A41A5" w14:textId="77777777" w:rsidR="00083B7E" w:rsidRPr="00A928D6" w:rsidRDefault="00083B7E" w:rsidP="00A928D6">
      <w:pPr>
        <w:tabs>
          <w:tab w:val="left" w:pos="284"/>
          <w:tab w:val="left" w:pos="709"/>
        </w:tabs>
        <w:jc w:val="both"/>
        <w:rPr>
          <w:rFonts w:ascii="Cambria" w:hAnsi="Cambria"/>
        </w:rPr>
      </w:pPr>
    </w:p>
    <w:p w14:paraId="31FF5EDA" w14:textId="2118A256" w:rsidR="002A3E25" w:rsidRPr="00D058C1" w:rsidRDefault="003645E5" w:rsidP="002A3E25">
      <w:pPr>
        <w:pStyle w:val="Heading2"/>
        <w:rPr>
          <w:rFonts w:ascii="Cambria" w:hAnsi="Cambria"/>
          <w:sz w:val="22"/>
          <w:szCs w:val="22"/>
          <w:u w:val="single"/>
        </w:rPr>
      </w:pPr>
      <w:bookmarkStart w:id="19" w:name="_Toc55309676"/>
      <w:r w:rsidRPr="00D058C1">
        <w:rPr>
          <w:rFonts w:ascii="Cambria" w:hAnsi="Cambria"/>
          <w:b/>
          <w:bCs/>
          <w:i/>
          <w:iCs/>
          <w:sz w:val="22"/>
          <w:szCs w:val="22"/>
          <w:u w:val="single"/>
        </w:rPr>
        <w:t>On Efficiency</w:t>
      </w:r>
      <w:bookmarkEnd w:id="18"/>
      <w:bookmarkEnd w:id="19"/>
      <w:r w:rsidRPr="00D058C1" w:rsidDel="005E43E8">
        <w:rPr>
          <w:rFonts w:ascii="Cambria" w:hAnsi="Cambria"/>
          <w:sz w:val="22"/>
          <w:szCs w:val="22"/>
          <w:u w:val="single"/>
        </w:rPr>
        <w:t xml:space="preserve"> </w:t>
      </w:r>
    </w:p>
    <w:p w14:paraId="75075F17" w14:textId="36D7E24D" w:rsidR="001567B6" w:rsidRPr="00D058C1" w:rsidRDefault="001567B6" w:rsidP="0050586F">
      <w:pPr>
        <w:tabs>
          <w:tab w:val="left" w:pos="284"/>
          <w:tab w:val="left" w:pos="709"/>
        </w:tabs>
        <w:jc w:val="both"/>
        <w:rPr>
          <w:rFonts w:ascii="Cambria" w:hAnsi="Cambria"/>
          <w:sz w:val="22"/>
          <w:szCs w:val="22"/>
        </w:rPr>
      </w:pPr>
    </w:p>
    <w:p w14:paraId="0ECA6DDC" w14:textId="4F9BEB9A" w:rsidR="005E1FAF" w:rsidRPr="00A928D6" w:rsidRDefault="001567B6" w:rsidP="00A928D6">
      <w:pPr>
        <w:pStyle w:val="ListParagraph"/>
        <w:numPr>
          <w:ilvl w:val="0"/>
          <w:numId w:val="77"/>
        </w:numPr>
        <w:jc w:val="both"/>
        <w:rPr>
          <w:rFonts w:ascii="Cambria" w:hAnsi="Cambria"/>
          <w:sz w:val="22"/>
          <w:szCs w:val="22"/>
          <w:lang w:val="en-GB"/>
        </w:rPr>
      </w:pPr>
      <w:r w:rsidRPr="00A928D6">
        <w:rPr>
          <w:rFonts w:ascii="Cambria" w:hAnsi="Cambria"/>
          <w:b/>
          <w:bCs/>
          <w:sz w:val="22"/>
          <w:szCs w:val="22"/>
        </w:rPr>
        <w:t xml:space="preserve">The APP </w:t>
      </w:r>
      <w:r w:rsidR="00236520" w:rsidRPr="00A928D6">
        <w:rPr>
          <w:rFonts w:ascii="Cambria" w:hAnsi="Cambria"/>
          <w:b/>
          <w:bCs/>
          <w:sz w:val="22"/>
          <w:szCs w:val="22"/>
        </w:rPr>
        <w:t xml:space="preserve">and implementing </w:t>
      </w:r>
      <w:r w:rsidRPr="00A928D6">
        <w:rPr>
          <w:rFonts w:ascii="Cambria" w:hAnsi="Cambria"/>
          <w:b/>
          <w:bCs/>
          <w:sz w:val="22"/>
          <w:szCs w:val="22"/>
        </w:rPr>
        <w:t>partners have made efficient use of Australia’s resources despite the rapidly evolving situation in the Bangsamoro region.</w:t>
      </w:r>
      <w:r w:rsidRPr="00A928D6">
        <w:rPr>
          <w:rFonts w:ascii="Cambria" w:hAnsi="Cambria"/>
          <w:sz w:val="22"/>
          <w:szCs w:val="22"/>
        </w:rPr>
        <w:t xml:space="preserve">   The flexible funding arrangement enabled DFAT to respond, through its APP</w:t>
      </w:r>
      <w:r w:rsidR="008B082B" w:rsidRPr="00A928D6">
        <w:rPr>
          <w:rFonts w:ascii="Cambria" w:hAnsi="Cambria"/>
          <w:sz w:val="22"/>
          <w:szCs w:val="22"/>
        </w:rPr>
        <w:t xml:space="preserve"> </w:t>
      </w:r>
      <w:r w:rsidR="00D35E6B" w:rsidRPr="00A928D6">
        <w:rPr>
          <w:rFonts w:ascii="Cambria" w:hAnsi="Cambria"/>
          <w:sz w:val="22"/>
          <w:szCs w:val="22"/>
        </w:rPr>
        <w:t xml:space="preserve">and </w:t>
      </w:r>
      <w:r w:rsidR="008B082B" w:rsidRPr="00A928D6">
        <w:rPr>
          <w:rFonts w:ascii="Cambria" w:hAnsi="Cambria"/>
          <w:sz w:val="22"/>
          <w:szCs w:val="22"/>
        </w:rPr>
        <w:t xml:space="preserve">multilateral </w:t>
      </w:r>
      <w:r w:rsidR="00D35E6B" w:rsidRPr="00A928D6">
        <w:rPr>
          <w:rFonts w:ascii="Cambria" w:hAnsi="Cambria"/>
          <w:sz w:val="22"/>
          <w:szCs w:val="22"/>
        </w:rPr>
        <w:t xml:space="preserve">implementing </w:t>
      </w:r>
      <w:r w:rsidRPr="00A928D6">
        <w:rPr>
          <w:rFonts w:ascii="Cambria" w:hAnsi="Cambria"/>
          <w:sz w:val="22"/>
          <w:szCs w:val="22"/>
        </w:rPr>
        <w:t>partners</w:t>
      </w:r>
      <w:r w:rsidR="008B082B" w:rsidRPr="00A928D6">
        <w:rPr>
          <w:rFonts w:ascii="Cambria" w:hAnsi="Cambria"/>
          <w:sz w:val="22"/>
          <w:szCs w:val="22"/>
        </w:rPr>
        <w:t xml:space="preserve"> and their subgrantees</w:t>
      </w:r>
      <w:r w:rsidRPr="00A928D6">
        <w:rPr>
          <w:rFonts w:ascii="Cambria" w:hAnsi="Cambria"/>
          <w:sz w:val="22"/>
          <w:szCs w:val="22"/>
        </w:rPr>
        <w:t>, to new emergent challenges of the peace process such as the need to engage in advocacy work for the passage and ratification of the BOL, the urgent task of successfully installing the new BARMM government and its various instrumentalities, the pressing need for BARMM to deliver peace dividends particularly to the combatants, the MILF camps and base commands, and the imperative of responding to the growing threat of VE groups and the reconstruction work of Marawi City.  These events took place within the two-year time frame by which the current program is being implemented.  The ability of the A</w:t>
      </w:r>
      <w:r w:rsidR="00760F90" w:rsidRPr="00A928D6">
        <w:rPr>
          <w:rFonts w:ascii="Cambria" w:hAnsi="Cambria"/>
          <w:sz w:val="22"/>
          <w:szCs w:val="22"/>
        </w:rPr>
        <w:t>P</w:t>
      </w:r>
      <w:r w:rsidRPr="00A928D6">
        <w:rPr>
          <w:rFonts w:ascii="Cambria" w:hAnsi="Cambria"/>
          <w:sz w:val="22"/>
          <w:szCs w:val="22"/>
        </w:rPr>
        <w:t>P</w:t>
      </w:r>
      <w:r w:rsidR="00236520" w:rsidRPr="00A928D6">
        <w:rPr>
          <w:rFonts w:ascii="Cambria" w:hAnsi="Cambria"/>
          <w:sz w:val="22"/>
          <w:szCs w:val="22"/>
        </w:rPr>
        <w:t xml:space="preserve"> and implementing</w:t>
      </w:r>
      <w:r w:rsidRPr="00A928D6">
        <w:rPr>
          <w:rFonts w:ascii="Cambria" w:hAnsi="Cambria"/>
          <w:sz w:val="22"/>
          <w:szCs w:val="22"/>
        </w:rPr>
        <w:t xml:space="preserve"> partners to effectively respond to these variety of tasks and objectives clearly demonstrate that the flexible funding modality operates well in situations of fragility and conflict given the highly fluid situation prevailing on the ground</w:t>
      </w:r>
      <w:r w:rsidR="005E1FAF">
        <w:rPr>
          <w:rFonts w:ascii="Cambria" w:hAnsi="Cambria"/>
          <w:sz w:val="22"/>
          <w:szCs w:val="22"/>
        </w:rPr>
        <w:t xml:space="preserve">, </w:t>
      </w:r>
      <w:r w:rsidR="005E1FAF" w:rsidRPr="00A928D6">
        <w:rPr>
          <w:rFonts w:ascii="Cambria" w:hAnsi="Cambria"/>
          <w:sz w:val="22"/>
          <w:szCs w:val="22"/>
        </w:rPr>
        <w:t>particularly in light of delays in the setup of proposed multi</w:t>
      </w:r>
      <w:r w:rsidR="00B67A5A">
        <w:rPr>
          <w:rFonts w:ascii="Cambria" w:hAnsi="Cambria"/>
          <w:sz w:val="22"/>
          <w:szCs w:val="22"/>
        </w:rPr>
        <w:t>-</w:t>
      </w:r>
      <w:r w:rsidR="005E1FAF" w:rsidRPr="00A928D6">
        <w:rPr>
          <w:rFonts w:ascii="Cambria" w:hAnsi="Cambria"/>
          <w:sz w:val="22"/>
          <w:szCs w:val="22"/>
        </w:rPr>
        <w:t xml:space="preserve">donor mechanisms such as the BNTF and the Marawi Reconstruction Trust Fund. With the creation of the BARMM and a new phase of CAB implementation, </w:t>
      </w:r>
      <w:r w:rsidR="005E1FAF" w:rsidRPr="00A928D6">
        <w:rPr>
          <w:rFonts w:ascii="Cambria" w:hAnsi="Cambria"/>
          <w:sz w:val="22"/>
          <w:szCs w:val="22"/>
          <w:lang w:val="en-GB"/>
        </w:rPr>
        <w:t>DFAT programming should balance flexibility with clear links to national and regional government targets, particularly the BTA’s 12</w:t>
      </w:r>
      <w:r w:rsidR="000F64F3">
        <w:rPr>
          <w:rFonts w:ascii="Cambria" w:hAnsi="Cambria"/>
          <w:sz w:val="22"/>
          <w:szCs w:val="22"/>
          <w:lang w:val="en-GB"/>
        </w:rPr>
        <w:t>-</w:t>
      </w:r>
      <w:r w:rsidR="005E1FAF" w:rsidRPr="00A928D6">
        <w:rPr>
          <w:rFonts w:ascii="Cambria" w:hAnsi="Cambria"/>
          <w:sz w:val="22"/>
          <w:szCs w:val="22"/>
          <w:lang w:val="en-GB"/>
        </w:rPr>
        <w:t xml:space="preserve">Point Priority Agenda for the transition. </w:t>
      </w:r>
    </w:p>
    <w:p w14:paraId="06B0D155" w14:textId="77777777" w:rsidR="001567B6" w:rsidRPr="00A928D6" w:rsidRDefault="001567B6" w:rsidP="00A928D6">
      <w:pPr>
        <w:pStyle w:val="ListParagraph"/>
        <w:tabs>
          <w:tab w:val="left" w:pos="284"/>
          <w:tab w:val="left" w:pos="709"/>
        </w:tabs>
        <w:ind w:left="360"/>
        <w:jc w:val="both"/>
        <w:rPr>
          <w:rFonts w:ascii="Cambria" w:hAnsi="Cambria"/>
          <w:sz w:val="22"/>
          <w:szCs w:val="22"/>
        </w:rPr>
      </w:pPr>
    </w:p>
    <w:p w14:paraId="6766DDEA" w14:textId="4144B630" w:rsidR="00F56AD4" w:rsidRDefault="001567B6" w:rsidP="001D50A7">
      <w:pPr>
        <w:pStyle w:val="ListParagraph"/>
        <w:numPr>
          <w:ilvl w:val="0"/>
          <w:numId w:val="77"/>
        </w:numPr>
        <w:tabs>
          <w:tab w:val="left" w:pos="284"/>
          <w:tab w:val="left" w:pos="709"/>
        </w:tabs>
        <w:jc w:val="both"/>
        <w:rPr>
          <w:rFonts w:ascii="Cambria" w:hAnsi="Cambria"/>
          <w:sz w:val="22"/>
          <w:szCs w:val="22"/>
        </w:rPr>
      </w:pPr>
      <w:r w:rsidRPr="00F11FA7">
        <w:rPr>
          <w:rFonts w:ascii="Cambria" w:hAnsi="Cambria"/>
          <w:sz w:val="22"/>
          <w:szCs w:val="22"/>
        </w:rPr>
        <w:t>However, flexibility has also its downside</w:t>
      </w:r>
      <w:r w:rsidR="00236520">
        <w:rPr>
          <w:rFonts w:ascii="Cambria" w:hAnsi="Cambria"/>
          <w:sz w:val="22"/>
          <w:szCs w:val="22"/>
        </w:rPr>
        <w:t>.</w:t>
      </w:r>
      <w:r w:rsidR="002A039B">
        <w:rPr>
          <w:rFonts w:ascii="Cambria" w:hAnsi="Cambria"/>
          <w:sz w:val="22"/>
          <w:szCs w:val="22"/>
        </w:rPr>
        <w:t xml:space="preserve"> F</w:t>
      </w:r>
      <w:r w:rsidR="002A039B" w:rsidRPr="00D058C1">
        <w:rPr>
          <w:rFonts w:ascii="Cambria" w:hAnsi="Cambria"/>
          <w:sz w:val="22"/>
          <w:szCs w:val="22"/>
        </w:rPr>
        <w:t xml:space="preserve">lexibility without </w:t>
      </w:r>
      <w:r w:rsidR="002A039B">
        <w:rPr>
          <w:rFonts w:ascii="Cambria" w:hAnsi="Cambria"/>
          <w:sz w:val="22"/>
          <w:szCs w:val="22"/>
        </w:rPr>
        <w:t>close</w:t>
      </w:r>
      <w:r w:rsidR="002A039B" w:rsidRPr="00D058C1">
        <w:rPr>
          <w:rFonts w:ascii="Cambria" w:hAnsi="Cambria"/>
          <w:sz w:val="22"/>
          <w:szCs w:val="22"/>
        </w:rPr>
        <w:t xml:space="preserve"> coordination </w:t>
      </w:r>
      <w:r w:rsidR="002A039B">
        <w:rPr>
          <w:rFonts w:ascii="Cambria" w:hAnsi="Cambria"/>
          <w:sz w:val="22"/>
          <w:szCs w:val="22"/>
        </w:rPr>
        <w:t xml:space="preserve">among implementing partners </w:t>
      </w:r>
      <w:r w:rsidR="002A039B" w:rsidRPr="00D058C1">
        <w:rPr>
          <w:rFonts w:ascii="Cambria" w:hAnsi="Cambria"/>
          <w:sz w:val="22"/>
          <w:szCs w:val="22"/>
        </w:rPr>
        <w:t>and monitoring of</w:t>
      </w:r>
      <w:r w:rsidR="002A039B">
        <w:rPr>
          <w:rFonts w:ascii="Cambria" w:hAnsi="Cambria"/>
          <w:sz w:val="22"/>
          <w:szCs w:val="22"/>
        </w:rPr>
        <w:t xml:space="preserve"> their</w:t>
      </w:r>
      <w:r w:rsidR="002A039B" w:rsidRPr="00D058C1">
        <w:rPr>
          <w:rFonts w:ascii="Cambria" w:hAnsi="Cambria"/>
          <w:sz w:val="22"/>
          <w:szCs w:val="22"/>
        </w:rPr>
        <w:t xml:space="preserve"> impacts </w:t>
      </w:r>
      <w:r w:rsidR="002A039B">
        <w:rPr>
          <w:rFonts w:ascii="Cambria" w:hAnsi="Cambria"/>
          <w:sz w:val="22"/>
          <w:szCs w:val="22"/>
        </w:rPr>
        <w:t xml:space="preserve">can create </w:t>
      </w:r>
      <w:r w:rsidR="002A039B" w:rsidRPr="00D058C1">
        <w:rPr>
          <w:rFonts w:ascii="Cambria" w:hAnsi="Cambria"/>
          <w:sz w:val="22"/>
          <w:szCs w:val="22"/>
        </w:rPr>
        <w:t>confusion among recipients of the assistance both at the Bangsamoro government level and local communities</w:t>
      </w:r>
      <w:r w:rsidR="002A039B">
        <w:rPr>
          <w:rFonts w:ascii="Cambria" w:hAnsi="Cambria"/>
          <w:sz w:val="22"/>
          <w:szCs w:val="22"/>
        </w:rPr>
        <w:t xml:space="preserve"> and increase transaction costs</w:t>
      </w:r>
      <w:r w:rsidR="002A039B" w:rsidRPr="00D058C1">
        <w:rPr>
          <w:rFonts w:ascii="Cambria" w:hAnsi="Cambria"/>
          <w:sz w:val="22"/>
          <w:szCs w:val="22"/>
        </w:rPr>
        <w:t>.</w:t>
      </w:r>
      <w:r w:rsidRPr="00F11FA7">
        <w:rPr>
          <w:rFonts w:ascii="Cambria" w:hAnsi="Cambria"/>
          <w:sz w:val="22"/>
          <w:szCs w:val="22"/>
        </w:rPr>
        <w:t xml:space="preserve">  For one, overlaps among APP partners, WB</w:t>
      </w:r>
      <w:r w:rsidR="0032755F">
        <w:rPr>
          <w:rFonts w:ascii="Cambria" w:hAnsi="Cambria"/>
          <w:sz w:val="22"/>
          <w:szCs w:val="22"/>
        </w:rPr>
        <w:t>,</w:t>
      </w:r>
      <w:r w:rsidRPr="00F11FA7">
        <w:rPr>
          <w:rFonts w:ascii="Cambria" w:hAnsi="Cambria"/>
          <w:sz w:val="22"/>
          <w:szCs w:val="22"/>
        </w:rPr>
        <w:t xml:space="preserve"> and UNDP </w:t>
      </w:r>
      <w:r w:rsidR="002A039B">
        <w:rPr>
          <w:rFonts w:ascii="Cambria" w:hAnsi="Cambria"/>
          <w:sz w:val="22"/>
          <w:szCs w:val="22"/>
        </w:rPr>
        <w:t>are difficult to</w:t>
      </w:r>
      <w:r w:rsidRPr="00F11FA7">
        <w:rPr>
          <w:rFonts w:ascii="Cambria" w:hAnsi="Cambria"/>
          <w:sz w:val="22"/>
          <w:szCs w:val="22"/>
        </w:rPr>
        <w:t xml:space="preserve"> prevent because they are working on the same challenges and within the same geographical area</w:t>
      </w:r>
      <w:r w:rsidR="001D50A7">
        <w:rPr>
          <w:rFonts w:ascii="Cambria" w:hAnsi="Cambria"/>
          <w:sz w:val="22"/>
          <w:szCs w:val="22"/>
        </w:rPr>
        <w:t xml:space="preserve">, and therefore tend to work </w:t>
      </w:r>
      <w:r w:rsidR="001D50A7">
        <w:rPr>
          <w:rFonts w:ascii="Cambria" w:hAnsi="Cambria" w:cstheme="majorBidi"/>
          <w:sz w:val="22"/>
          <w:szCs w:val="22"/>
        </w:rPr>
        <w:t>with the same field level subgrantees.</w:t>
      </w:r>
      <w:r w:rsidRPr="001D50A7">
        <w:rPr>
          <w:rFonts w:ascii="Cambria" w:hAnsi="Cambria"/>
          <w:sz w:val="22"/>
          <w:szCs w:val="22"/>
        </w:rPr>
        <w:t xml:space="preserve"> </w:t>
      </w:r>
      <w:r w:rsidR="001D50A7">
        <w:rPr>
          <w:rFonts w:ascii="Cambria" w:hAnsi="Cambria"/>
          <w:sz w:val="22"/>
          <w:szCs w:val="22"/>
        </w:rPr>
        <w:t xml:space="preserve"> </w:t>
      </w:r>
      <w:r w:rsidRPr="001D50A7">
        <w:rPr>
          <w:rFonts w:ascii="Cambria" w:hAnsi="Cambria"/>
          <w:sz w:val="22"/>
          <w:szCs w:val="22"/>
        </w:rPr>
        <w:t>TAF, with 22 local partners</w:t>
      </w:r>
      <w:r w:rsidR="0032755F" w:rsidRPr="001D50A7">
        <w:rPr>
          <w:rFonts w:ascii="Cambria" w:hAnsi="Cambria"/>
          <w:sz w:val="22"/>
          <w:szCs w:val="22"/>
        </w:rPr>
        <w:t xml:space="preserve"> for APP-CARE</w:t>
      </w:r>
      <w:r w:rsidRPr="001D50A7">
        <w:rPr>
          <w:rFonts w:ascii="Cambria" w:hAnsi="Cambria"/>
          <w:sz w:val="22"/>
          <w:szCs w:val="22"/>
        </w:rPr>
        <w:t xml:space="preserve">, unavoidably taps the same partners as that of IA, IAG, CHD and Oxfam. </w:t>
      </w:r>
      <w:r w:rsidR="00942925" w:rsidRPr="001D50A7">
        <w:rPr>
          <w:rFonts w:ascii="Cambria" w:hAnsi="Cambria"/>
          <w:sz w:val="22"/>
          <w:szCs w:val="22"/>
        </w:rPr>
        <w:t xml:space="preserve">In the case of </w:t>
      </w:r>
      <w:r w:rsidR="00E2123B" w:rsidRPr="001D50A7">
        <w:rPr>
          <w:rFonts w:ascii="Cambria" w:hAnsi="Cambria"/>
          <w:sz w:val="22"/>
          <w:szCs w:val="22"/>
        </w:rPr>
        <w:t xml:space="preserve">P/CVE activities in </w:t>
      </w:r>
      <w:proofErr w:type="spellStart"/>
      <w:r w:rsidR="00E2123B" w:rsidRPr="001D50A7">
        <w:rPr>
          <w:rFonts w:ascii="Cambria" w:hAnsi="Cambria"/>
          <w:sz w:val="22"/>
          <w:szCs w:val="22"/>
        </w:rPr>
        <w:t>Butig</w:t>
      </w:r>
      <w:proofErr w:type="spellEnd"/>
      <w:r w:rsidR="00E2123B" w:rsidRPr="001D50A7">
        <w:rPr>
          <w:rFonts w:ascii="Cambria" w:hAnsi="Cambria"/>
          <w:sz w:val="22"/>
          <w:szCs w:val="22"/>
        </w:rPr>
        <w:t>,</w:t>
      </w:r>
      <w:r w:rsidR="003324AF" w:rsidRPr="001D50A7">
        <w:rPr>
          <w:rFonts w:ascii="Cambria" w:hAnsi="Cambria"/>
          <w:sz w:val="22"/>
          <w:szCs w:val="22"/>
        </w:rPr>
        <w:t xml:space="preserve"> Lanao del Sur,</w:t>
      </w:r>
      <w:r w:rsidR="00E2123B" w:rsidRPr="001D50A7">
        <w:rPr>
          <w:rFonts w:ascii="Cambria" w:hAnsi="Cambria"/>
          <w:sz w:val="22"/>
          <w:szCs w:val="22"/>
        </w:rPr>
        <w:t xml:space="preserve"> </w:t>
      </w:r>
      <w:r w:rsidR="009D6D63" w:rsidRPr="001D50A7">
        <w:rPr>
          <w:rFonts w:ascii="Cambria" w:hAnsi="Cambria"/>
          <w:sz w:val="22"/>
          <w:szCs w:val="22"/>
        </w:rPr>
        <w:t>the two primary NGO</w:t>
      </w:r>
      <w:r w:rsidR="000D1A88" w:rsidRPr="001D50A7">
        <w:rPr>
          <w:rFonts w:ascii="Cambria" w:hAnsi="Cambria"/>
          <w:sz w:val="22"/>
          <w:szCs w:val="22"/>
        </w:rPr>
        <w:t xml:space="preserve"> subgrantees</w:t>
      </w:r>
      <w:r w:rsidR="003324AF" w:rsidRPr="001D50A7">
        <w:rPr>
          <w:rFonts w:ascii="Cambria" w:hAnsi="Cambria"/>
          <w:sz w:val="22"/>
          <w:szCs w:val="22"/>
        </w:rPr>
        <w:t xml:space="preserve"> </w:t>
      </w:r>
      <w:r w:rsidR="00AD02E0" w:rsidRPr="001D50A7">
        <w:rPr>
          <w:rFonts w:ascii="Cambria" w:hAnsi="Cambria"/>
          <w:sz w:val="22"/>
          <w:szCs w:val="22"/>
        </w:rPr>
        <w:t xml:space="preserve">MARADECA and </w:t>
      </w:r>
      <w:proofErr w:type="spellStart"/>
      <w:r w:rsidR="00AD02E0" w:rsidRPr="001D50A7">
        <w:rPr>
          <w:rFonts w:ascii="Cambria" w:hAnsi="Cambria"/>
          <w:sz w:val="22"/>
          <w:szCs w:val="22"/>
        </w:rPr>
        <w:t>Balay</w:t>
      </w:r>
      <w:proofErr w:type="spellEnd"/>
      <w:r w:rsidR="00AD02E0" w:rsidRPr="001D50A7">
        <w:rPr>
          <w:rFonts w:ascii="Cambria" w:hAnsi="Cambria"/>
          <w:sz w:val="22"/>
          <w:szCs w:val="22"/>
        </w:rPr>
        <w:t xml:space="preserve"> </w:t>
      </w:r>
      <w:proofErr w:type="spellStart"/>
      <w:r w:rsidR="00AD02E0" w:rsidRPr="001D50A7">
        <w:rPr>
          <w:rFonts w:ascii="Cambria" w:hAnsi="Cambria"/>
          <w:sz w:val="22"/>
          <w:szCs w:val="22"/>
        </w:rPr>
        <w:t>Mindanaw</w:t>
      </w:r>
      <w:proofErr w:type="spellEnd"/>
      <w:r w:rsidR="00AD02E0" w:rsidRPr="001D50A7">
        <w:rPr>
          <w:rFonts w:ascii="Cambria" w:hAnsi="Cambria"/>
          <w:sz w:val="22"/>
          <w:szCs w:val="22"/>
        </w:rPr>
        <w:t xml:space="preserve">, </w:t>
      </w:r>
      <w:r w:rsidR="003324AF" w:rsidRPr="001D50A7">
        <w:rPr>
          <w:rFonts w:ascii="Cambria" w:hAnsi="Cambria"/>
          <w:sz w:val="22"/>
          <w:szCs w:val="22"/>
        </w:rPr>
        <w:t>are implementing at least three ‘flavors’ of DFAT-funded projects that are coursed through multiple INGOs and multilateral donors</w:t>
      </w:r>
      <w:r w:rsidR="00DB1B5C" w:rsidRPr="001D50A7">
        <w:rPr>
          <w:rFonts w:ascii="Cambria" w:hAnsi="Cambria"/>
          <w:sz w:val="22"/>
          <w:szCs w:val="22"/>
        </w:rPr>
        <w:t>, some of whom have limited the implementation period to</w:t>
      </w:r>
      <w:r w:rsidR="00780245" w:rsidRPr="001D50A7">
        <w:rPr>
          <w:rFonts w:ascii="Cambria" w:hAnsi="Cambria"/>
          <w:sz w:val="22"/>
          <w:szCs w:val="22"/>
        </w:rPr>
        <w:t xml:space="preserve"> only</w:t>
      </w:r>
      <w:r w:rsidR="00DB1B5C" w:rsidRPr="001D50A7">
        <w:rPr>
          <w:rFonts w:ascii="Cambria" w:hAnsi="Cambria"/>
          <w:sz w:val="22"/>
          <w:szCs w:val="22"/>
        </w:rPr>
        <w:t xml:space="preserve"> three (3) months. </w:t>
      </w:r>
      <w:r w:rsidR="00F56AD4">
        <w:rPr>
          <w:rFonts w:ascii="Cambria" w:hAnsi="Cambria"/>
          <w:sz w:val="22"/>
          <w:szCs w:val="22"/>
        </w:rPr>
        <w:t xml:space="preserve">Portfolio reviews at the provincial level across all modalities and subgrantees will help address some of these overlaps. </w:t>
      </w:r>
    </w:p>
    <w:p w14:paraId="4163F9B1" w14:textId="77777777" w:rsidR="001D50A7" w:rsidRPr="00BA7575" w:rsidRDefault="001D50A7" w:rsidP="00A928D6"/>
    <w:p w14:paraId="796E3BF6" w14:textId="48BB5D9B" w:rsidR="001D50A7" w:rsidRPr="001D50A7" w:rsidRDefault="001567B6" w:rsidP="001D50A7">
      <w:pPr>
        <w:pStyle w:val="NormalWeb"/>
        <w:numPr>
          <w:ilvl w:val="0"/>
          <w:numId w:val="77"/>
        </w:numPr>
        <w:spacing w:before="0" w:beforeAutospacing="0" w:after="0" w:afterAutospacing="0"/>
        <w:jc w:val="both"/>
        <w:rPr>
          <w:rFonts w:ascii="Cambria" w:hAnsi="Cambria"/>
          <w:sz w:val="22"/>
          <w:szCs w:val="22"/>
        </w:rPr>
      </w:pPr>
      <w:r w:rsidRPr="00D058C1">
        <w:rPr>
          <w:rFonts w:ascii="Cambria" w:hAnsi="Cambria"/>
          <w:sz w:val="22"/>
          <w:szCs w:val="22"/>
        </w:rPr>
        <w:t xml:space="preserve"> </w:t>
      </w:r>
      <w:r w:rsidR="002A039B">
        <w:rPr>
          <w:rFonts w:ascii="Cambria" w:hAnsi="Cambria"/>
          <w:sz w:val="22"/>
          <w:szCs w:val="22"/>
        </w:rPr>
        <w:t xml:space="preserve">There is also a </w:t>
      </w:r>
      <w:r w:rsidRPr="00D058C1">
        <w:rPr>
          <w:rFonts w:ascii="Cambria" w:hAnsi="Cambria"/>
          <w:sz w:val="22"/>
          <w:szCs w:val="22"/>
        </w:rPr>
        <w:t xml:space="preserve">tendency to push and pull Bangsamoro leaders to various directions depending on the strength of the grantee/donor.  On the other hand, local communities have been showing fatigue over consultations and forums conducted by different grantees/donors, complaining that concrete results from those activities have not been felt a year after the BTA was established and almost three years after the Marawi siege. </w:t>
      </w:r>
      <w:r w:rsidR="001D50A7" w:rsidRPr="001D50A7">
        <w:rPr>
          <w:rFonts w:ascii="Cambria" w:hAnsi="Cambria" w:cstheme="majorBidi"/>
          <w:sz w:val="22"/>
          <w:szCs w:val="22"/>
        </w:rPr>
        <w:t>Thus,</w:t>
      </w:r>
      <w:r w:rsidR="001D50A7">
        <w:rPr>
          <w:rFonts w:ascii="Cambria" w:hAnsi="Cambria" w:cstheme="majorBidi"/>
          <w:sz w:val="22"/>
          <w:szCs w:val="22"/>
        </w:rPr>
        <w:t xml:space="preserve"> maximizing portfolio</w:t>
      </w:r>
      <w:r w:rsidR="001D50A7" w:rsidRPr="001D50A7">
        <w:rPr>
          <w:rFonts w:ascii="Cambria" w:hAnsi="Cambria" w:cstheme="majorBidi"/>
          <w:sz w:val="22"/>
          <w:szCs w:val="22"/>
        </w:rPr>
        <w:t xml:space="preserve"> flexibility requires additional coordination at the subgrantee level, with a clear focus on delivering tangible outcomes in a complementary manner.</w:t>
      </w:r>
    </w:p>
    <w:p w14:paraId="38A6826E" w14:textId="77777777" w:rsidR="001D50A7" w:rsidRPr="001D50A7" w:rsidRDefault="001D50A7" w:rsidP="001D50A7">
      <w:pPr>
        <w:pStyle w:val="NormalWeb"/>
        <w:spacing w:before="0" w:beforeAutospacing="0" w:after="0" w:afterAutospacing="0"/>
        <w:jc w:val="both"/>
        <w:rPr>
          <w:rFonts w:ascii="Cambria" w:hAnsi="Cambria"/>
          <w:sz w:val="22"/>
          <w:szCs w:val="22"/>
        </w:rPr>
      </w:pPr>
    </w:p>
    <w:p w14:paraId="4AC58A9B" w14:textId="6311B22F" w:rsidR="00BA7575" w:rsidRDefault="00BA7575" w:rsidP="00F11FA7">
      <w:pPr>
        <w:pStyle w:val="NormalWeb"/>
        <w:spacing w:before="0" w:beforeAutospacing="0" w:after="0" w:afterAutospacing="0"/>
        <w:rPr>
          <w:rFonts w:ascii="Cambria" w:hAnsi="Cambria"/>
          <w:sz w:val="22"/>
          <w:szCs w:val="22"/>
        </w:rPr>
      </w:pPr>
    </w:p>
    <w:p w14:paraId="38EDA4A5" w14:textId="77777777" w:rsidR="00D67470" w:rsidRPr="00BA7575" w:rsidRDefault="00D67470" w:rsidP="00F11FA7">
      <w:pPr>
        <w:pStyle w:val="NormalWeb"/>
        <w:spacing w:before="0" w:beforeAutospacing="0" w:after="0" w:afterAutospacing="0"/>
        <w:rPr>
          <w:rFonts w:ascii="Cambria" w:hAnsi="Cambria"/>
          <w:sz w:val="22"/>
          <w:szCs w:val="22"/>
        </w:rPr>
      </w:pPr>
    </w:p>
    <w:p w14:paraId="1100637D" w14:textId="3D65388B" w:rsidR="00AD780D" w:rsidRPr="00D058C1" w:rsidRDefault="00AD780D" w:rsidP="00193062">
      <w:pPr>
        <w:pStyle w:val="Heading2"/>
        <w:rPr>
          <w:rFonts w:ascii="Cambria" w:hAnsi="Cambria"/>
          <w:b/>
          <w:bCs/>
          <w:i/>
          <w:iCs/>
          <w:sz w:val="22"/>
          <w:szCs w:val="22"/>
          <w:u w:val="single"/>
        </w:rPr>
      </w:pPr>
      <w:bookmarkStart w:id="20" w:name="_Toc34220982"/>
      <w:bookmarkStart w:id="21" w:name="_Toc55309677"/>
      <w:r w:rsidRPr="00D058C1">
        <w:rPr>
          <w:rFonts w:ascii="Cambria" w:hAnsi="Cambria"/>
          <w:b/>
          <w:bCs/>
          <w:i/>
          <w:iCs/>
          <w:sz w:val="22"/>
          <w:szCs w:val="22"/>
          <w:u w:val="single"/>
        </w:rPr>
        <w:lastRenderedPageBreak/>
        <w:t>On Relevance</w:t>
      </w:r>
      <w:bookmarkEnd w:id="20"/>
      <w:bookmarkEnd w:id="21"/>
      <w:r w:rsidRPr="00D058C1">
        <w:rPr>
          <w:rFonts w:ascii="Cambria" w:hAnsi="Cambria"/>
          <w:b/>
          <w:bCs/>
          <w:i/>
          <w:iCs/>
          <w:sz w:val="22"/>
          <w:szCs w:val="22"/>
          <w:u w:val="single"/>
        </w:rPr>
        <w:t xml:space="preserve">  </w:t>
      </w:r>
    </w:p>
    <w:p w14:paraId="77013244" w14:textId="452BE4C6" w:rsidR="00AD780D" w:rsidRPr="00D058C1" w:rsidRDefault="00AD780D" w:rsidP="00AD780D">
      <w:pPr>
        <w:tabs>
          <w:tab w:val="left" w:pos="284"/>
          <w:tab w:val="left" w:pos="709"/>
        </w:tabs>
        <w:jc w:val="both"/>
        <w:rPr>
          <w:rFonts w:ascii="Cambria" w:hAnsi="Cambria"/>
          <w:b/>
          <w:bCs/>
          <w:i/>
          <w:iCs/>
          <w:sz w:val="22"/>
          <w:szCs w:val="22"/>
        </w:rPr>
      </w:pPr>
    </w:p>
    <w:p w14:paraId="3FF46455" w14:textId="5702E16B" w:rsidR="00F20E3F" w:rsidRPr="00D058C1" w:rsidRDefault="00193830" w:rsidP="00193830">
      <w:pPr>
        <w:pStyle w:val="Heading3"/>
        <w:rPr>
          <w:rFonts w:ascii="Cambria" w:hAnsi="Cambria"/>
          <w:i/>
          <w:iCs/>
          <w:sz w:val="22"/>
          <w:szCs w:val="22"/>
        </w:rPr>
      </w:pPr>
      <w:bookmarkStart w:id="22" w:name="_Toc55309678"/>
      <w:r>
        <w:rPr>
          <w:rFonts w:ascii="Cambria" w:hAnsi="Cambria"/>
          <w:i/>
          <w:iCs/>
          <w:sz w:val="22"/>
          <w:szCs w:val="22"/>
        </w:rPr>
        <w:t xml:space="preserve">A. </w:t>
      </w:r>
      <w:r w:rsidR="00F20E3F" w:rsidRPr="00D058C1">
        <w:rPr>
          <w:rFonts w:ascii="Cambria" w:hAnsi="Cambria"/>
          <w:i/>
          <w:iCs/>
          <w:sz w:val="22"/>
          <w:szCs w:val="22"/>
        </w:rPr>
        <w:t>Adaptation to changing context in BARMM</w:t>
      </w:r>
      <w:bookmarkEnd w:id="22"/>
    </w:p>
    <w:p w14:paraId="747501AF" w14:textId="77777777" w:rsidR="00696844" w:rsidRPr="00D058C1" w:rsidRDefault="00696844" w:rsidP="0050586F">
      <w:pPr>
        <w:tabs>
          <w:tab w:val="left" w:pos="284"/>
          <w:tab w:val="left" w:pos="709"/>
        </w:tabs>
        <w:jc w:val="both"/>
        <w:rPr>
          <w:rFonts w:ascii="Cambria" w:hAnsi="Cambria"/>
          <w:sz w:val="22"/>
          <w:szCs w:val="22"/>
        </w:rPr>
      </w:pPr>
    </w:p>
    <w:p w14:paraId="0D7A2234" w14:textId="34EA9561" w:rsidR="00AE3D91" w:rsidRPr="00D058C1" w:rsidRDefault="00AD780D" w:rsidP="00B13417">
      <w:pPr>
        <w:pStyle w:val="ListParagraph"/>
        <w:numPr>
          <w:ilvl w:val="0"/>
          <w:numId w:val="77"/>
        </w:numPr>
        <w:tabs>
          <w:tab w:val="left" w:pos="284"/>
          <w:tab w:val="left" w:pos="709"/>
        </w:tabs>
        <w:jc w:val="both"/>
        <w:rPr>
          <w:rFonts w:ascii="Cambria" w:hAnsi="Cambria"/>
          <w:sz w:val="22"/>
          <w:szCs w:val="22"/>
        </w:rPr>
      </w:pPr>
      <w:r w:rsidRPr="00D058C1">
        <w:rPr>
          <w:rFonts w:ascii="Cambria" w:hAnsi="Cambria"/>
          <w:sz w:val="22"/>
          <w:szCs w:val="22"/>
        </w:rPr>
        <w:t xml:space="preserve"> </w:t>
      </w:r>
      <w:r w:rsidR="006C1D13" w:rsidRPr="00D058C1">
        <w:rPr>
          <w:rFonts w:ascii="Cambria" w:hAnsi="Cambria"/>
          <w:b/>
          <w:bCs/>
          <w:sz w:val="22"/>
          <w:szCs w:val="22"/>
        </w:rPr>
        <w:t xml:space="preserve">The </w:t>
      </w:r>
      <w:r w:rsidR="007F40F2" w:rsidRPr="00D058C1">
        <w:rPr>
          <w:rFonts w:ascii="Cambria" w:hAnsi="Cambria"/>
          <w:b/>
          <w:bCs/>
          <w:sz w:val="22"/>
          <w:szCs w:val="22"/>
        </w:rPr>
        <w:t xml:space="preserve">ability to </w:t>
      </w:r>
      <w:r w:rsidR="00DE5432" w:rsidRPr="00D058C1">
        <w:rPr>
          <w:rFonts w:ascii="Cambria" w:hAnsi="Cambria"/>
          <w:b/>
          <w:bCs/>
          <w:sz w:val="22"/>
          <w:szCs w:val="22"/>
        </w:rPr>
        <w:t xml:space="preserve">quickly </w:t>
      </w:r>
      <w:r w:rsidR="007F40F2" w:rsidRPr="00D058C1">
        <w:rPr>
          <w:rFonts w:ascii="Cambria" w:hAnsi="Cambria"/>
          <w:b/>
          <w:bCs/>
          <w:sz w:val="22"/>
          <w:szCs w:val="22"/>
        </w:rPr>
        <w:t>effect changes in objectives, activities and resource allocation priorit</w:t>
      </w:r>
      <w:r w:rsidR="00D35E6B">
        <w:rPr>
          <w:rFonts w:ascii="Cambria" w:hAnsi="Cambria"/>
          <w:b/>
          <w:bCs/>
          <w:sz w:val="22"/>
          <w:szCs w:val="22"/>
        </w:rPr>
        <w:t>ies</w:t>
      </w:r>
      <w:r w:rsidR="007F40F2" w:rsidRPr="00D058C1">
        <w:rPr>
          <w:rFonts w:ascii="Cambria" w:hAnsi="Cambria"/>
          <w:b/>
          <w:bCs/>
          <w:sz w:val="22"/>
          <w:szCs w:val="22"/>
        </w:rPr>
        <w:t xml:space="preserve"> by APP </w:t>
      </w:r>
      <w:r w:rsidR="00236520">
        <w:rPr>
          <w:rFonts w:ascii="Cambria" w:hAnsi="Cambria"/>
          <w:b/>
          <w:bCs/>
          <w:sz w:val="22"/>
          <w:szCs w:val="22"/>
        </w:rPr>
        <w:t xml:space="preserve">and </w:t>
      </w:r>
      <w:r w:rsidR="001D50A7">
        <w:rPr>
          <w:rFonts w:ascii="Cambria" w:hAnsi="Cambria"/>
          <w:b/>
          <w:bCs/>
          <w:sz w:val="22"/>
          <w:szCs w:val="22"/>
        </w:rPr>
        <w:t xml:space="preserve">multilateral </w:t>
      </w:r>
      <w:r w:rsidR="00236520">
        <w:rPr>
          <w:rFonts w:ascii="Cambria" w:hAnsi="Cambria"/>
          <w:b/>
          <w:bCs/>
          <w:sz w:val="22"/>
          <w:szCs w:val="22"/>
        </w:rPr>
        <w:t xml:space="preserve">implementing </w:t>
      </w:r>
      <w:r w:rsidR="007F40F2" w:rsidRPr="00D058C1">
        <w:rPr>
          <w:rFonts w:ascii="Cambria" w:hAnsi="Cambria"/>
          <w:b/>
          <w:bCs/>
          <w:sz w:val="22"/>
          <w:szCs w:val="22"/>
        </w:rPr>
        <w:t>partners in respon</w:t>
      </w:r>
      <w:r w:rsidR="00DE5432" w:rsidRPr="00D058C1">
        <w:rPr>
          <w:rFonts w:ascii="Cambria" w:hAnsi="Cambria"/>
          <w:b/>
          <w:bCs/>
          <w:sz w:val="22"/>
          <w:szCs w:val="22"/>
        </w:rPr>
        <w:t>se</w:t>
      </w:r>
      <w:r w:rsidR="007F40F2" w:rsidRPr="00D058C1">
        <w:rPr>
          <w:rFonts w:ascii="Cambria" w:hAnsi="Cambria"/>
          <w:b/>
          <w:bCs/>
          <w:sz w:val="22"/>
          <w:szCs w:val="22"/>
        </w:rPr>
        <w:t xml:space="preserve"> </w:t>
      </w:r>
      <w:r w:rsidR="006C1D13" w:rsidRPr="00D058C1">
        <w:rPr>
          <w:rFonts w:ascii="Cambria" w:hAnsi="Cambria"/>
          <w:b/>
          <w:bCs/>
          <w:sz w:val="22"/>
          <w:szCs w:val="22"/>
        </w:rPr>
        <w:t xml:space="preserve">to the changing political economy situation in </w:t>
      </w:r>
      <w:r w:rsidR="007F40F2" w:rsidRPr="00D058C1">
        <w:rPr>
          <w:rFonts w:ascii="Cambria" w:hAnsi="Cambria"/>
          <w:b/>
          <w:bCs/>
          <w:sz w:val="22"/>
          <w:szCs w:val="22"/>
        </w:rPr>
        <w:t>the Bangsamoro greatly enhanced relevance of the program</w:t>
      </w:r>
      <w:r w:rsidR="007F40F2" w:rsidRPr="00D058C1">
        <w:rPr>
          <w:rFonts w:ascii="Cambria" w:hAnsi="Cambria"/>
          <w:sz w:val="22"/>
          <w:szCs w:val="22"/>
        </w:rPr>
        <w:t xml:space="preserve">. </w:t>
      </w:r>
      <w:r w:rsidR="00DE5432" w:rsidRPr="00D058C1">
        <w:rPr>
          <w:rFonts w:ascii="Cambria" w:hAnsi="Cambria"/>
          <w:sz w:val="22"/>
          <w:szCs w:val="22"/>
        </w:rPr>
        <w:t xml:space="preserve"> It enabled the program to be aligned with the current needs of the BARMM government for technical assistance in formulating key </w:t>
      </w:r>
      <w:r w:rsidR="00D01B37" w:rsidRPr="00D058C1">
        <w:rPr>
          <w:rFonts w:ascii="Cambria" w:hAnsi="Cambria"/>
          <w:sz w:val="22"/>
          <w:szCs w:val="22"/>
        </w:rPr>
        <w:t xml:space="preserve">governance </w:t>
      </w:r>
      <w:r w:rsidR="00DE5432" w:rsidRPr="00D058C1">
        <w:rPr>
          <w:rFonts w:ascii="Cambria" w:hAnsi="Cambria"/>
          <w:sz w:val="22"/>
          <w:szCs w:val="22"/>
        </w:rPr>
        <w:t xml:space="preserve">codes to ensure a smooth working of the new parliamentary government.  </w:t>
      </w:r>
      <w:r w:rsidR="007F40F2" w:rsidRPr="00D058C1">
        <w:rPr>
          <w:rFonts w:ascii="Cambria" w:hAnsi="Cambria"/>
          <w:sz w:val="22"/>
          <w:szCs w:val="22"/>
        </w:rPr>
        <w:t xml:space="preserve"> </w:t>
      </w:r>
      <w:r w:rsidR="00DE5432" w:rsidRPr="00D058C1">
        <w:rPr>
          <w:rFonts w:ascii="Cambria" w:hAnsi="Cambria"/>
          <w:sz w:val="22"/>
          <w:szCs w:val="22"/>
        </w:rPr>
        <w:t xml:space="preserve">Support to normalization activities is key to achieving stability and peace in the Bangsamoro region given that the process will decommission around 40,000 MILF combatants and provide socio-economic support to MILF camps and base command.  In depth analyses of the causes and growth of VE groups and the conduct of dialogues and consultations among key stakeholders in the Bangsamoro </w:t>
      </w:r>
      <w:proofErr w:type="gramStart"/>
      <w:r w:rsidR="00DE5432" w:rsidRPr="00D058C1">
        <w:rPr>
          <w:rFonts w:ascii="Cambria" w:hAnsi="Cambria"/>
          <w:sz w:val="22"/>
          <w:szCs w:val="22"/>
        </w:rPr>
        <w:t>region  help</w:t>
      </w:r>
      <w:r w:rsidR="00DC0FF7">
        <w:rPr>
          <w:rFonts w:ascii="Cambria" w:hAnsi="Cambria"/>
          <w:sz w:val="22"/>
          <w:szCs w:val="22"/>
        </w:rPr>
        <w:t>ed</w:t>
      </w:r>
      <w:proofErr w:type="gramEnd"/>
      <w:r w:rsidR="00DE5432" w:rsidRPr="00D058C1">
        <w:rPr>
          <w:rFonts w:ascii="Cambria" w:hAnsi="Cambria"/>
          <w:sz w:val="22"/>
          <w:szCs w:val="22"/>
        </w:rPr>
        <w:t xml:space="preserve"> build the coalition to prevent further spread of the influence of VE groups.  Continuing advocacy for the reconstruction of Marawi City will significantly contribute to reducing tension and dissatisfaction among residents in the area and deprived VE groups of </w:t>
      </w:r>
      <w:r w:rsidR="00D01B37" w:rsidRPr="00D058C1">
        <w:rPr>
          <w:rFonts w:ascii="Cambria" w:hAnsi="Cambria"/>
          <w:sz w:val="22"/>
          <w:szCs w:val="22"/>
        </w:rPr>
        <w:t xml:space="preserve">the </w:t>
      </w:r>
      <w:r w:rsidR="00DE5432" w:rsidRPr="00D058C1">
        <w:rPr>
          <w:rFonts w:ascii="Cambria" w:hAnsi="Cambria"/>
          <w:sz w:val="22"/>
          <w:szCs w:val="22"/>
        </w:rPr>
        <w:t xml:space="preserve">propaganda value of the </w:t>
      </w:r>
      <w:r w:rsidR="00D01B37" w:rsidRPr="00D058C1">
        <w:rPr>
          <w:rFonts w:ascii="Cambria" w:hAnsi="Cambria"/>
          <w:sz w:val="22"/>
          <w:szCs w:val="22"/>
        </w:rPr>
        <w:t xml:space="preserve">still desolated </w:t>
      </w:r>
      <w:r w:rsidR="00DE5432" w:rsidRPr="00D058C1">
        <w:rPr>
          <w:rFonts w:ascii="Cambria" w:hAnsi="Cambria"/>
          <w:sz w:val="22"/>
          <w:szCs w:val="22"/>
        </w:rPr>
        <w:t xml:space="preserve">“only Islamic City” in the country. </w:t>
      </w:r>
    </w:p>
    <w:p w14:paraId="0A888E18" w14:textId="0AD26148" w:rsidR="00535B7E" w:rsidRDefault="00535B7E" w:rsidP="0050586F">
      <w:pPr>
        <w:tabs>
          <w:tab w:val="left" w:pos="284"/>
          <w:tab w:val="left" w:pos="709"/>
        </w:tabs>
        <w:jc w:val="both"/>
        <w:rPr>
          <w:rFonts w:ascii="Cambria" w:hAnsi="Cambria"/>
          <w:sz w:val="22"/>
          <w:szCs w:val="22"/>
        </w:rPr>
      </w:pPr>
    </w:p>
    <w:p w14:paraId="23ABC8A6" w14:textId="67E2931B" w:rsidR="008D1142" w:rsidRPr="001D50A7" w:rsidRDefault="004A5538" w:rsidP="00653669">
      <w:pPr>
        <w:pStyle w:val="ListParagraph"/>
        <w:numPr>
          <w:ilvl w:val="0"/>
          <w:numId w:val="77"/>
        </w:numPr>
        <w:jc w:val="both"/>
        <w:rPr>
          <w:rFonts w:ascii="Cambria" w:hAnsi="Cambria"/>
          <w:sz w:val="22"/>
          <w:szCs w:val="22"/>
        </w:rPr>
      </w:pPr>
      <w:r>
        <w:rPr>
          <w:rFonts w:ascii="Cambria" w:hAnsi="Cambria"/>
          <w:sz w:val="22"/>
          <w:szCs w:val="22"/>
        </w:rPr>
        <w:t xml:space="preserve">Further adaptation will be required in the coming cycles, particularly in assisting the </w:t>
      </w:r>
      <w:proofErr w:type="gramStart"/>
      <w:r>
        <w:rPr>
          <w:rFonts w:ascii="Cambria" w:hAnsi="Cambria"/>
          <w:sz w:val="22"/>
          <w:szCs w:val="22"/>
        </w:rPr>
        <w:t>newly-established</w:t>
      </w:r>
      <w:proofErr w:type="gramEnd"/>
      <w:r>
        <w:rPr>
          <w:rFonts w:ascii="Cambria" w:hAnsi="Cambria"/>
          <w:sz w:val="22"/>
          <w:szCs w:val="22"/>
        </w:rPr>
        <w:t xml:space="preserve"> BTA in fulfilling its mandates. Early efforts have focused on the drafting of the priority codes</w:t>
      </w:r>
      <w:r w:rsidR="00FD08CB">
        <w:rPr>
          <w:rFonts w:ascii="Cambria" w:hAnsi="Cambria"/>
          <w:sz w:val="22"/>
          <w:szCs w:val="22"/>
        </w:rPr>
        <w:t>. M</w:t>
      </w:r>
      <w:r>
        <w:rPr>
          <w:rFonts w:ascii="Cambria" w:hAnsi="Cambria"/>
          <w:sz w:val="22"/>
          <w:szCs w:val="22"/>
        </w:rPr>
        <w:t xml:space="preserve">oving forward, the BTA will be judged on how well it has delivered priority basic services including those publicly </w:t>
      </w:r>
      <w:r w:rsidR="001050E6">
        <w:rPr>
          <w:rFonts w:ascii="Cambria" w:hAnsi="Cambria"/>
          <w:sz w:val="22"/>
          <w:szCs w:val="22"/>
        </w:rPr>
        <w:t>identified as part of the BARMM’s 12-</w:t>
      </w:r>
      <w:r w:rsidR="001A0F6B">
        <w:rPr>
          <w:rFonts w:ascii="Cambria" w:hAnsi="Cambria"/>
          <w:sz w:val="22"/>
          <w:szCs w:val="22"/>
        </w:rPr>
        <w:t>P</w:t>
      </w:r>
      <w:r w:rsidR="001050E6">
        <w:rPr>
          <w:rFonts w:ascii="Cambria" w:hAnsi="Cambria"/>
          <w:sz w:val="22"/>
          <w:szCs w:val="22"/>
        </w:rPr>
        <w:t xml:space="preserve">oint Agenda, while operationalizing the Interim Chief Minister </w:t>
      </w:r>
      <w:proofErr w:type="spellStart"/>
      <w:r w:rsidR="001050E6">
        <w:rPr>
          <w:rFonts w:ascii="Cambria" w:hAnsi="Cambria"/>
          <w:sz w:val="22"/>
          <w:szCs w:val="22"/>
        </w:rPr>
        <w:t>Ahod</w:t>
      </w:r>
      <w:proofErr w:type="spellEnd"/>
      <w:r w:rsidR="001050E6">
        <w:rPr>
          <w:rFonts w:ascii="Cambria" w:hAnsi="Cambria"/>
          <w:sz w:val="22"/>
          <w:szCs w:val="22"/>
        </w:rPr>
        <w:t xml:space="preserve"> Ebrahim’s call for ‘moral governance’. </w:t>
      </w:r>
      <w:r w:rsidR="001050E6" w:rsidRPr="00653669">
        <w:rPr>
          <w:rFonts w:ascii="Cambria" w:hAnsi="Cambria"/>
          <w:sz w:val="22"/>
          <w:szCs w:val="22"/>
        </w:rPr>
        <w:t xml:space="preserve">This also entails assisting the BTA in efficiently utilizing the various sources of financing, </w:t>
      </w:r>
      <w:r w:rsidR="008D1142" w:rsidRPr="00F11FA7">
        <w:rPr>
          <w:rFonts w:ascii="Cambria" w:hAnsi="Cambria" w:cstheme="majorHAnsi"/>
          <w:sz w:val="22"/>
          <w:szCs w:val="22"/>
        </w:rPr>
        <w:t xml:space="preserve">which will require new processes for planning, budgeting, disbursement, and monitoring and evaluation. </w:t>
      </w:r>
      <w:r w:rsidR="001050E6" w:rsidRPr="00653669">
        <w:rPr>
          <w:rFonts w:ascii="Cambria" w:hAnsi="Cambria" w:cstheme="majorHAnsi"/>
          <w:sz w:val="22"/>
          <w:szCs w:val="22"/>
        </w:rPr>
        <w:t xml:space="preserve"> </w:t>
      </w:r>
      <w:r w:rsidR="008D1142" w:rsidRPr="00F11FA7">
        <w:rPr>
          <w:rFonts w:ascii="Cambria" w:hAnsi="Cambria" w:cstheme="majorHAnsi"/>
          <w:sz w:val="22"/>
          <w:szCs w:val="22"/>
          <w:shd w:val="clear" w:color="auto" w:fill="FFFFFF"/>
        </w:rPr>
        <w:t>Under the 2020 National Expenditure Plan (NEP), a </w:t>
      </w:r>
      <w:r w:rsidR="008D1142" w:rsidRPr="00F11FA7">
        <w:rPr>
          <w:rFonts w:ascii="Cambria" w:hAnsi="Cambria" w:cstheme="majorHAnsi"/>
          <w:color w:val="000000"/>
          <w:sz w:val="22"/>
          <w:szCs w:val="22"/>
          <w:shd w:val="clear" w:color="auto" w:fill="FFFFFF"/>
        </w:rPr>
        <w:t>total of PHP 70.6 billion will be allocated for BARMM, covering the following components: </w:t>
      </w:r>
      <w:proofErr w:type="spellStart"/>
      <w:r w:rsidR="008D1142" w:rsidRPr="00F11FA7">
        <w:rPr>
          <w:rFonts w:ascii="Cambria" w:hAnsi="Cambria" w:cstheme="majorHAnsi"/>
          <w:color w:val="000000"/>
          <w:sz w:val="22"/>
          <w:szCs w:val="22"/>
          <w:shd w:val="clear" w:color="auto" w:fill="FFFFFF"/>
        </w:rPr>
        <w:t>i</w:t>
      </w:r>
      <w:proofErr w:type="spellEnd"/>
      <w:r w:rsidR="008D1142" w:rsidRPr="00F11FA7">
        <w:rPr>
          <w:rFonts w:ascii="Cambria" w:hAnsi="Cambria" w:cstheme="majorHAnsi"/>
          <w:color w:val="000000"/>
          <w:sz w:val="22"/>
          <w:szCs w:val="22"/>
          <w:shd w:val="clear" w:color="auto" w:fill="FFFFFF"/>
        </w:rPr>
        <w:t>) the annual Block Grant of PHP 63.6 billion; ii)  a Special Development Fund of PHP 5.0 billion; and iii) P</w:t>
      </w:r>
      <w:r w:rsidR="00C641FE">
        <w:rPr>
          <w:rFonts w:ascii="Cambria" w:hAnsi="Cambria" w:cstheme="majorHAnsi"/>
          <w:color w:val="000000"/>
          <w:sz w:val="22"/>
          <w:szCs w:val="22"/>
          <w:shd w:val="clear" w:color="auto" w:fill="FFFFFF"/>
        </w:rPr>
        <w:t>HP</w:t>
      </w:r>
      <w:r w:rsidR="008D1142" w:rsidRPr="00F11FA7">
        <w:rPr>
          <w:rFonts w:ascii="Cambria" w:hAnsi="Cambria" w:cstheme="majorHAnsi"/>
          <w:color w:val="000000"/>
          <w:sz w:val="22"/>
          <w:szCs w:val="22"/>
          <w:shd w:val="clear" w:color="auto" w:fill="FFFFFF"/>
        </w:rPr>
        <w:t xml:space="preserve"> 2.0 billion as the BARMM’s share in the taxes, fees and charges collected in the region. This is almost twice higher than the PHP 31.117 billion allotted </w:t>
      </w:r>
      <w:r w:rsidR="00DC0FF7">
        <w:rPr>
          <w:rFonts w:ascii="Cambria" w:hAnsi="Cambria" w:cstheme="majorHAnsi"/>
          <w:color w:val="000000"/>
          <w:sz w:val="22"/>
          <w:szCs w:val="22"/>
          <w:shd w:val="clear" w:color="auto" w:fill="FFFFFF"/>
        </w:rPr>
        <w:t>to</w:t>
      </w:r>
      <w:r w:rsidR="008D1142" w:rsidRPr="00F11FA7">
        <w:rPr>
          <w:rFonts w:ascii="Cambria" w:hAnsi="Cambria" w:cstheme="majorHAnsi"/>
          <w:color w:val="000000"/>
          <w:sz w:val="22"/>
          <w:szCs w:val="22"/>
          <w:shd w:val="clear" w:color="auto" w:fill="FFFFFF"/>
        </w:rPr>
        <w:t xml:space="preserve"> the now-defunct ARMM’s final annual budget in 2018.</w:t>
      </w:r>
      <w:r w:rsidR="00411842">
        <w:rPr>
          <w:rStyle w:val="FootnoteReference"/>
          <w:rFonts w:ascii="Cambria" w:hAnsi="Cambria" w:cstheme="majorHAnsi"/>
          <w:color w:val="000000"/>
          <w:sz w:val="22"/>
          <w:szCs w:val="22"/>
          <w:shd w:val="clear" w:color="auto" w:fill="FFFFFF"/>
        </w:rPr>
        <w:footnoteReference w:id="5"/>
      </w:r>
      <w:r w:rsidR="008D1142" w:rsidRPr="00F11FA7">
        <w:rPr>
          <w:rFonts w:ascii="Cambria" w:hAnsi="Cambria" w:cstheme="majorHAnsi"/>
          <w:color w:val="000000"/>
          <w:sz w:val="22"/>
          <w:szCs w:val="22"/>
          <w:shd w:val="clear" w:color="auto" w:fill="FFFFFF"/>
        </w:rPr>
        <w:t> </w:t>
      </w:r>
      <w:r w:rsidR="008D1142" w:rsidRPr="00F11FA7">
        <w:rPr>
          <w:rFonts w:ascii="Cambria" w:hAnsi="Cambria" w:cstheme="majorHAnsi"/>
          <w:sz w:val="22"/>
          <w:szCs w:val="22"/>
          <w:shd w:val="clear" w:color="auto" w:fill="FFFFFF"/>
        </w:rPr>
        <w:t> </w:t>
      </w:r>
    </w:p>
    <w:p w14:paraId="43EACE90" w14:textId="77777777" w:rsidR="008D1142" w:rsidRPr="00D058C1" w:rsidRDefault="008D1142" w:rsidP="0050586F">
      <w:pPr>
        <w:tabs>
          <w:tab w:val="left" w:pos="284"/>
          <w:tab w:val="left" w:pos="709"/>
        </w:tabs>
        <w:jc w:val="both"/>
        <w:rPr>
          <w:rFonts w:ascii="Cambria" w:hAnsi="Cambria"/>
          <w:sz w:val="22"/>
          <w:szCs w:val="22"/>
        </w:rPr>
      </w:pPr>
    </w:p>
    <w:p w14:paraId="6BCE4930" w14:textId="7F1C602C" w:rsidR="00563FAD" w:rsidRPr="00D058C1" w:rsidRDefault="00F20E3F" w:rsidP="00F11FA7">
      <w:pPr>
        <w:pStyle w:val="Heading3"/>
        <w:rPr>
          <w:rFonts w:ascii="Cambria" w:hAnsi="Cambria"/>
          <w:sz w:val="22"/>
          <w:szCs w:val="22"/>
        </w:rPr>
      </w:pPr>
      <w:bookmarkStart w:id="23" w:name="_Toc55309679"/>
      <w:r w:rsidRPr="00D058C1">
        <w:rPr>
          <w:rFonts w:ascii="Cambria" w:hAnsi="Cambria"/>
          <w:i/>
          <w:iCs/>
          <w:sz w:val="22"/>
          <w:szCs w:val="22"/>
        </w:rPr>
        <w:t xml:space="preserve">B. </w:t>
      </w:r>
      <w:r w:rsidR="00563FAD" w:rsidRPr="00F11FA7">
        <w:rPr>
          <w:rFonts w:ascii="Cambria" w:hAnsi="Cambria"/>
          <w:i/>
          <w:iCs/>
          <w:sz w:val="22"/>
          <w:szCs w:val="22"/>
        </w:rPr>
        <w:t>Integration with the broader range of new initiatives</w:t>
      </w:r>
      <w:bookmarkEnd w:id="23"/>
      <w:r w:rsidR="00563FAD" w:rsidRPr="00F11FA7">
        <w:rPr>
          <w:rFonts w:ascii="Cambria" w:hAnsi="Cambria"/>
          <w:i/>
          <w:iCs/>
          <w:sz w:val="22"/>
          <w:szCs w:val="22"/>
        </w:rPr>
        <w:t xml:space="preserve"> </w:t>
      </w:r>
    </w:p>
    <w:p w14:paraId="1C86E592" w14:textId="06D7DA04" w:rsidR="00AE3D91" w:rsidRPr="00D058C1" w:rsidRDefault="00AE3D91" w:rsidP="0050586F">
      <w:pPr>
        <w:tabs>
          <w:tab w:val="left" w:pos="284"/>
          <w:tab w:val="left" w:pos="709"/>
        </w:tabs>
        <w:jc w:val="both"/>
        <w:rPr>
          <w:rFonts w:ascii="Cambria" w:hAnsi="Cambria"/>
          <w:sz w:val="22"/>
          <w:szCs w:val="22"/>
        </w:rPr>
      </w:pPr>
    </w:p>
    <w:p w14:paraId="0894E809" w14:textId="0B8BA75E" w:rsidR="00D13221" w:rsidRPr="00CF2F44" w:rsidRDefault="00653669" w:rsidP="00D13221">
      <w:pPr>
        <w:pStyle w:val="ListParagraph"/>
        <w:numPr>
          <w:ilvl w:val="0"/>
          <w:numId w:val="77"/>
        </w:numPr>
        <w:tabs>
          <w:tab w:val="left" w:pos="284"/>
          <w:tab w:val="left" w:pos="709"/>
        </w:tabs>
        <w:jc w:val="both"/>
        <w:rPr>
          <w:rFonts w:ascii="Cambria" w:hAnsi="Cambria"/>
          <w:sz w:val="22"/>
          <w:szCs w:val="22"/>
          <w:lang w:val="en-US"/>
        </w:rPr>
      </w:pPr>
      <w:r w:rsidRPr="00CF2F44">
        <w:rPr>
          <w:rFonts w:ascii="Cambria" w:hAnsi="Cambria"/>
          <w:sz w:val="22"/>
          <w:szCs w:val="22"/>
          <w:lang w:val="en-GB"/>
        </w:rPr>
        <w:t xml:space="preserve">Although it must be </w:t>
      </w:r>
      <w:r w:rsidR="00117291" w:rsidRPr="00CF2F44">
        <w:rPr>
          <w:rFonts w:ascii="Cambria" w:hAnsi="Cambria"/>
          <w:sz w:val="22"/>
          <w:szCs w:val="22"/>
          <w:lang w:val="en-GB"/>
        </w:rPr>
        <w:t>acknowledged</w:t>
      </w:r>
      <w:r w:rsidRPr="00CF2F44">
        <w:rPr>
          <w:rFonts w:ascii="Cambria" w:hAnsi="Cambria"/>
          <w:sz w:val="22"/>
          <w:szCs w:val="22"/>
          <w:lang w:val="en-GB"/>
        </w:rPr>
        <w:t xml:space="preserve"> that the </w:t>
      </w:r>
      <w:r w:rsidR="00117291" w:rsidRPr="00CF2F44">
        <w:rPr>
          <w:rFonts w:ascii="Cambria" w:hAnsi="Cambria"/>
          <w:sz w:val="22"/>
          <w:szCs w:val="22"/>
          <w:lang w:val="en-GB"/>
        </w:rPr>
        <w:t xml:space="preserve">volume of new funds now available to </w:t>
      </w:r>
      <w:proofErr w:type="gramStart"/>
      <w:r w:rsidRPr="00CF2F44">
        <w:rPr>
          <w:rFonts w:ascii="Cambria" w:hAnsi="Cambria"/>
          <w:sz w:val="22"/>
          <w:szCs w:val="22"/>
          <w:lang w:val="en-GB"/>
        </w:rPr>
        <w:t>BARMM</w:t>
      </w:r>
      <w:r w:rsidR="00117291" w:rsidRPr="00CF2F44">
        <w:rPr>
          <w:rFonts w:ascii="Cambria" w:hAnsi="Cambria"/>
          <w:sz w:val="22"/>
          <w:szCs w:val="22"/>
          <w:lang w:val="en-GB"/>
        </w:rPr>
        <w:t xml:space="preserve"> </w:t>
      </w:r>
      <w:r w:rsidRPr="00CF2F44">
        <w:rPr>
          <w:rFonts w:ascii="Cambria" w:hAnsi="Cambria"/>
          <w:sz w:val="22"/>
          <w:szCs w:val="22"/>
          <w:lang w:val="en-GB"/>
        </w:rPr>
        <w:t xml:space="preserve"> outstrips</w:t>
      </w:r>
      <w:proofErr w:type="gramEnd"/>
      <w:r w:rsidRPr="00CF2F44">
        <w:rPr>
          <w:rFonts w:ascii="Cambria" w:hAnsi="Cambria"/>
          <w:sz w:val="22"/>
          <w:szCs w:val="22"/>
          <w:lang w:val="en-GB"/>
        </w:rPr>
        <w:t xml:space="preserve"> ODA sources,</w:t>
      </w:r>
      <w:r w:rsidR="00117291" w:rsidRPr="00CF2F44">
        <w:rPr>
          <w:rFonts w:ascii="Cambria" w:hAnsi="Cambria"/>
          <w:sz w:val="22"/>
          <w:szCs w:val="22"/>
          <w:lang w:val="en-GB"/>
        </w:rPr>
        <w:t xml:space="preserve"> the</w:t>
      </w:r>
      <w:r w:rsidRPr="00CF2F44">
        <w:rPr>
          <w:rFonts w:ascii="Cambria" w:hAnsi="Cambria"/>
          <w:sz w:val="22"/>
          <w:szCs w:val="22"/>
          <w:lang w:val="en-GB"/>
        </w:rPr>
        <w:t xml:space="preserve"> </w:t>
      </w:r>
      <w:r w:rsidR="00CF0E7C" w:rsidRPr="00F11FA7">
        <w:rPr>
          <w:rFonts w:ascii="Cambria" w:hAnsi="Cambria"/>
          <w:sz w:val="22"/>
          <w:szCs w:val="22"/>
          <w:lang w:val="en-GB"/>
        </w:rPr>
        <w:t xml:space="preserve">influx of donor interest in the Bangsamoro transition necessitates strong donor coordination to avoid duplication and ensure complementation. In the absence of a formal donor coordination mechanism (which ideally should be lodged with the ICM’s office), most donors, INGOs and NGOs tend to go straight to specific ministries, </w:t>
      </w:r>
      <w:r w:rsidR="007B4BD3" w:rsidRPr="00CF2F44">
        <w:rPr>
          <w:rFonts w:ascii="Cambria" w:hAnsi="Cambria"/>
          <w:sz w:val="22"/>
          <w:szCs w:val="22"/>
          <w:lang w:val="en-GB"/>
        </w:rPr>
        <w:t xml:space="preserve">while </w:t>
      </w:r>
      <w:r w:rsidR="007B4BD3" w:rsidRPr="00F11FA7">
        <w:rPr>
          <w:rFonts w:ascii="Cambria" w:hAnsi="Cambria"/>
          <w:sz w:val="22"/>
          <w:szCs w:val="22"/>
          <w:lang w:val="en-GB"/>
        </w:rPr>
        <w:t xml:space="preserve">bilateral and multilateral </w:t>
      </w:r>
      <w:r w:rsidR="007B4BD3" w:rsidRPr="00CF2F44">
        <w:rPr>
          <w:rFonts w:ascii="Cambria" w:hAnsi="Cambria"/>
          <w:sz w:val="22"/>
          <w:szCs w:val="22"/>
          <w:lang w:val="en-GB"/>
        </w:rPr>
        <w:t>program</w:t>
      </w:r>
      <w:r w:rsidR="007B4BD3" w:rsidRPr="00F11FA7">
        <w:rPr>
          <w:rFonts w:ascii="Cambria" w:hAnsi="Cambria"/>
          <w:sz w:val="22"/>
          <w:szCs w:val="22"/>
          <w:lang w:val="en-GB"/>
        </w:rPr>
        <w:t>s are also further coursed through a number of INGOs and NGOs</w:t>
      </w:r>
      <w:r w:rsidR="007B4BD3" w:rsidRPr="00CF2F44">
        <w:rPr>
          <w:rFonts w:ascii="Cambria" w:hAnsi="Cambria"/>
          <w:sz w:val="22"/>
          <w:szCs w:val="22"/>
          <w:lang w:val="en-GB"/>
        </w:rPr>
        <w:t xml:space="preserve">, </w:t>
      </w:r>
      <w:r w:rsidR="00CF0E7C" w:rsidRPr="00F11FA7">
        <w:rPr>
          <w:rFonts w:ascii="Cambria" w:hAnsi="Cambria"/>
          <w:sz w:val="22"/>
          <w:szCs w:val="22"/>
          <w:lang w:val="en-GB"/>
        </w:rPr>
        <w:t>making the total picture difficult to track.</w:t>
      </w:r>
      <w:r w:rsidR="00D13221" w:rsidRPr="00CF2F44">
        <w:rPr>
          <w:rFonts w:ascii="Cambria" w:hAnsi="Cambria"/>
          <w:sz w:val="22"/>
          <w:szCs w:val="22"/>
          <w:lang w:val="en-GB"/>
        </w:rPr>
        <w:t xml:space="preserve"> </w:t>
      </w:r>
    </w:p>
    <w:p w14:paraId="5BC4C743" w14:textId="77777777" w:rsidR="00D13221" w:rsidRPr="00CF2F44" w:rsidRDefault="00D13221" w:rsidP="00D13221">
      <w:pPr>
        <w:pStyle w:val="ListParagraph"/>
        <w:tabs>
          <w:tab w:val="left" w:pos="284"/>
          <w:tab w:val="left" w:pos="709"/>
        </w:tabs>
        <w:jc w:val="both"/>
        <w:rPr>
          <w:rFonts w:ascii="Cambria" w:hAnsi="Cambria"/>
          <w:sz w:val="22"/>
          <w:szCs w:val="22"/>
          <w:lang w:val="en-US"/>
        </w:rPr>
      </w:pPr>
    </w:p>
    <w:p w14:paraId="49CF1852" w14:textId="5233D285" w:rsidR="00D13221" w:rsidRPr="00CF2F44" w:rsidRDefault="008D0876" w:rsidP="00D13221">
      <w:pPr>
        <w:pStyle w:val="ListParagraph"/>
        <w:numPr>
          <w:ilvl w:val="0"/>
          <w:numId w:val="77"/>
        </w:numPr>
        <w:tabs>
          <w:tab w:val="left" w:pos="284"/>
          <w:tab w:val="left" w:pos="709"/>
        </w:tabs>
        <w:jc w:val="both"/>
        <w:rPr>
          <w:rFonts w:ascii="Cambria" w:hAnsi="Cambria"/>
          <w:sz w:val="22"/>
          <w:szCs w:val="22"/>
          <w:lang w:val="en-US"/>
        </w:rPr>
      </w:pPr>
      <w:r w:rsidRPr="00CF2F44">
        <w:rPr>
          <w:rFonts w:ascii="Cambria" w:hAnsi="Cambria"/>
          <w:sz w:val="22"/>
          <w:szCs w:val="22"/>
          <w:lang w:val="en-GB"/>
        </w:rPr>
        <w:lastRenderedPageBreak/>
        <w:t xml:space="preserve">Although DFAT arguably has one of the broadest portfolios </w:t>
      </w:r>
      <w:r w:rsidR="005D0AE5" w:rsidRPr="00CF2F44">
        <w:rPr>
          <w:rFonts w:ascii="Cambria" w:hAnsi="Cambria"/>
          <w:sz w:val="22"/>
          <w:szCs w:val="22"/>
          <w:lang w:val="en-GB"/>
        </w:rPr>
        <w:t xml:space="preserve">supporting the Mindanao peace process, integration will be necessary with Japan’s </w:t>
      </w:r>
      <w:r w:rsidR="002B46FD" w:rsidRPr="00CF2F44">
        <w:rPr>
          <w:rFonts w:ascii="Cambria" w:hAnsi="Cambria"/>
          <w:sz w:val="22"/>
          <w:szCs w:val="22"/>
          <w:lang w:val="en-US"/>
        </w:rPr>
        <w:t xml:space="preserve">Capacity Development Project for the Bangsamoro (CDPB), the EU/AECID </w:t>
      </w:r>
      <w:r w:rsidR="002B46FD" w:rsidRPr="00F11FA7">
        <w:rPr>
          <w:rFonts w:ascii="Cambria" w:hAnsi="Cambria"/>
          <w:sz w:val="22"/>
          <w:szCs w:val="22"/>
        </w:rPr>
        <w:t>Technical Assistance for Support to Bangsamoro Transition (SUBATRA)</w:t>
      </w:r>
      <w:r w:rsidR="002B46FD" w:rsidRPr="00CF2F44">
        <w:rPr>
          <w:rFonts w:ascii="Cambria" w:hAnsi="Cambria"/>
          <w:sz w:val="22"/>
          <w:szCs w:val="22"/>
        </w:rPr>
        <w:t xml:space="preserve">, the UK’s </w:t>
      </w:r>
      <w:r w:rsidR="00E87785" w:rsidRPr="00CF2F44">
        <w:rPr>
          <w:rFonts w:ascii="Cambria" w:hAnsi="Cambria"/>
          <w:sz w:val="22"/>
          <w:szCs w:val="22"/>
        </w:rPr>
        <w:t>C</w:t>
      </w:r>
      <w:r w:rsidR="00C312F0" w:rsidRPr="00CF2F44">
        <w:rPr>
          <w:rFonts w:ascii="Cambria" w:hAnsi="Cambria"/>
          <w:sz w:val="22"/>
          <w:szCs w:val="22"/>
        </w:rPr>
        <w:t xml:space="preserve">onflict, </w:t>
      </w:r>
      <w:r w:rsidR="00E87785" w:rsidRPr="00CF2F44">
        <w:rPr>
          <w:rFonts w:ascii="Cambria" w:hAnsi="Cambria"/>
          <w:sz w:val="22"/>
          <w:szCs w:val="22"/>
        </w:rPr>
        <w:t>S</w:t>
      </w:r>
      <w:r w:rsidR="00C312F0" w:rsidRPr="00CF2F44">
        <w:rPr>
          <w:rFonts w:ascii="Cambria" w:hAnsi="Cambria"/>
          <w:sz w:val="22"/>
          <w:szCs w:val="22"/>
        </w:rPr>
        <w:t xml:space="preserve">tability and </w:t>
      </w:r>
      <w:r w:rsidR="00E87785" w:rsidRPr="00CF2F44">
        <w:rPr>
          <w:rFonts w:ascii="Cambria" w:hAnsi="Cambria"/>
          <w:sz w:val="22"/>
          <w:szCs w:val="22"/>
        </w:rPr>
        <w:t>S</w:t>
      </w:r>
      <w:r w:rsidR="00C312F0" w:rsidRPr="00CF2F44">
        <w:rPr>
          <w:rFonts w:ascii="Cambria" w:hAnsi="Cambria"/>
          <w:sz w:val="22"/>
          <w:szCs w:val="22"/>
        </w:rPr>
        <w:t xml:space="preserve">ecurity </w:t>
      </w:r>
      <w:r w:rsidR="00E87785" w:rsidRPr="00CF2F44">
        <w:rPr>
          <w:rFonts w:ascii="Cambria" w:hAnsi="Cambria"/>
          <w:sz w:val="22"/>
          <w:szCs w:val="22"/>
        </w:rPr>
        <w:t>F</w:t>
      </w:r>
      <w:r w:rsidR="00D826BC" w:rsidRPr="00CF2F44">
        <w:rPr>
          <w:rFonts w:ascii="Cambria" w:hAnsi="Cambria"/>
          <w:sz w:val="22"/>
          <w:szCs w:val="22"/>
        </w:rPr>
        <w:t>und (CSSF)</w:t>
      </w:r>
      <w:r w:rsidR="00E87785" w:rsidRPr="00CF2F44">
        <w:rPr>
          <w:rFonts w:ascii="Cambria" w:hAnsi="Cambria"/>
          <w:sz w:val="22"/>
          <w:szCs w:val="22"/>
        </w:rPr>
        <w:t xml:space="preserve">, and USAID’s </w:t>
      </w:r>
      <w:proofErr w:type="spellStart"/>
      <w:r w:rsidR="00E87785" w:rsidRPr="00F11FA7">
        <w:rPr>
          <w:rFonts w:ascii="Cambria" w:hAnsi="Cambria"/>
          <w:sz w:val="22"/>
          <w:szCs w:val="22"/>
        </w:rPr>
        <w:t>PeaceConnect</w:t>
      </w:r>
      <w:proofErr w:type="spellEnd"/>
      <w:r w:rsidR="00E87785" w:rsidRPr="00F11FA7">
        <w:rPr>
          <w:rFonts w:ascii="Cambria" w:hAnsi="Cambria"/>
          <w:sz w:val="22"/>
          <w:szCs w:val="22"/>
        </w:rPr>
        <w:t xml:space="preserve">, </w:t>
      </w:r>
      <w:proofErr w:type="spellStart"/>
      <w:r w:rsidR="00E87785" w:rsidRPr="00F11FA7">
        <w:rPr>
          <w:rFonts w:ascii="Cambria" w:hAnsi="Cambria"/>
          <w:sz w:val="22"/>
          <w:szCs w:val="22"/>
        </w:rPr>
        <w:t>M</w:t>
      </w:r>
      <w:r w:rsidR="00047413">
        <w:rPr>
          <w:rFonts w:ascii="Cambria" w:hAnsi="Cambria"/>
          <w:sz w:val="22"/>
          <w:szCs w:val="22"/>
        </w:rPr>
        <w:t>arawi</w:t>
      </w:r>
      <w:proofErr w:type="spellEnd"/>
      <w:r w:rsidR="00047413">
        <w:rPr>
          <w:rFonts w:ascii="Cambria" w:hAnsi="Cambria"/>
          <w:sz w:val="22"/>
          <w:szCs w:val="22"/>
        </w:rPr>
        <w:t xml:space="preserve"> </w:t>
      </w:r>
      <w:r w:rsidR="00E87785" w:rsidRPr="00F11FA7">
        <w:rPr>
          <w:rFonts w:ascii="Cambria" w:hAnsi="Cambria"/>
          <w:sz w:val="22"/>
          <w:szCs w:val="22"/>
        </w:rPr>
        <w:t>R</w:t>
      </w:r>
      <w:r w:rsidR="00047413">
        <w:rPr>
          <w:rFonts w:ascii="Cambria" w:hAnsi="Cambria"/>
          <w:sz w:val="22"/>
          <w:szCs w:val="22"/>
        </w:rPr>
        <w:t xml:space="preserve">esponse </w:t>
      </w:r>
      <w:r w:rsidR="00E87785" w:rsidRPr="00F11FA7">
        <w:rPr>
          <w:rFonts w:ascii="Cambria" w:hAnsi="Cambria"/>
          <w:sz w:val="22"/>
          <w:szCs w:val="22"/>
        </w:rPr>
        <w:t>P</w:t>
      </w:r>
      <w:r w:rsidR="00047413">
        <w:rPr>
          <w:rFonts w:ascii="Cambria" w:hAnsi="Cambria"/>
          <w:sz w:val="22"/>
          <w:szCs w:val="22"/>
        </w:rPr>
        <w:t>roject</w:t>
      </w:r>
      <w:r w:rsidR="00E87785" w:rsidRPr="00F11FA7">
        <w:rPr>
          <w:rFonts w:ascii="Cambria" w:hAnsi="Cambria"/>
          <w:sz w:val="22"/>
          <w:szCs w:val="22"/>
        </w:rPr>
        <w:t xml:space="preserve">, </w:t>
      </w:r>
      <w:r w:rsidR="00E87785" w:rsidRPr="00CF2F44">
        <w:rPr>
          <w:rFonts w:ascii="Cambria" w:hAnsi="Cambria"/>
          <w:sz w:val="22"/>
          <w:szCs w:val="22"/>
        </w:rPr>
        <w:t xml:space="preserve">and </w:t>
      </w:r>
      <w:r w:rsidR="00E87785" w:rsidRPr="00F11FA7">
        <w:rPr>
          <w:rFonts w:ascii="Cambria" w:hAnsi="Cambria"/>
          <w:sz w:val="22"/>
          <w:szCs w:val="22"/>
        </w:rPr>
        <w:t>FORWARD Bangsamoro</w:t>
      </w:r>
      <w:r w:rsidR="00D13221" w:rsidRPr="00CF2F44">
        <w:rPr>
          <w:rFonts w:ascii="Cambria" w:hAnsi="Cambria"/>
          <w:sz w:val="22"/>
          <w:szCs w:val="22"/>
        </w:rPr>
        <w:t xml:space="preserve">. </w:t>
      </w:r>
      <w:r w:rsidR="00DC0FF7">
        <w:rPr>
          <w:rFonts w:ascii="Cambria" w:hAnsi="Cambria"/>
          <w:sz w:val="22"/>
          <w:szCs w:val="22"/>
        </w:rPr>
        <w:t xml:space="preserve"> </w:t>
      </w:r>
      <w:r w:rsidR="00D13221" w:rsidRPr="00CF2F44">
        <w:rPr>
          <w:rFonts w:ascii="Cambria" w:hAnsi="Cambria"/>
          <w:sz w:val="22"/>
          <w:szCs w:val="22"/>
          <w:lang w:val="en-GB"/>
        </w:rPr>
        <w:t xml:space="preserve">Operationally, much of the coordination presently occurs at the level of the APP </w:t>
      </w:r>
      <w:r w:rsidR="00DC0FF7">
        <w:rPr>
          <w:rFonts w:ascii="Cambria" w:hAnsi="Cambria"/>
          <w:sz w:val="22"/>
          <w:szCs w:val="22"/>
          <w:lang w:val="en-GB"/>
        </w:rPr>
        <w:t xml:space="preserve">and </w:t>
      </w:r>
      <w:r w:rsidR="001D50A7">
        <w:rPr>
          <w:rFonts w:ascii="Cambria" w:hAnsi="Cambria"/>
          <w:sz w:val="22"/>
          <w:szCs w:val="22"/>
          <w:lang w:val="en-GB"/>
        </w:rPr>
        <w:t xml:space="preserve">multilateral </w:t>
      </w:r>
      <w:r w:rsidR="00DC0FF7">
        <w:rPr>
          <w:rFonts w:ascii="Cambria" w:hAnsi="Cambria"/>
          <w:sz w:val="22"/>
          <w:szCs w:val="22"/>
          <w:lang w:val="en-GB"/>
        </w:rPr>
        <w:t xml:space="preserve">implementing </w:t>
      </w:r>
      <w:r w:rsidR="00D13221" w:rsidRPr="00CF2F44">
        <w:rPr>
          <w:rFonts w:ascii="Cambria" w:hAnsi="Cambria"/>
          <w:sz w:val="22"/>
          <w:szCs w:val="22"/>
          <w:lang w:val="en-GB"/>
        </w:rPr>
        <w:t>partner</w:t>
      </w:r>
      <w:r w:rsidR="00117291" w:rsidRPr="00CF2F44">
        <w:rPr>
          <w:rFonts w:ascii="Cambria" w:hAnsi="Cambria"/>
          <w:sz w:val="22"/>
          <w:szCs w:val="22"/>
          <w:lang w:val="en-GB"/>
        </w:rPr>
        <w:t>s</w:t>
      </w:r>
      <w:r w:rsidR="00D13221" w:rsidRPr="00CF2F44">
        <w:rPr>
          <w:rFonts w:ascii="Cambria" w:hAnsi="Cambria"/>
          <w:sz w:val="22"/>
          <w:szCs w:val="22"/>
          <w:lang w:val="en-GB"/>
        </w:rPr>
        <w:t xml:space="preserve">, as in the cases of TAF, IAG, and UNDP, who manage multiple funding streams for similar activities. </w:t>
      </w:r>
      <w:r w:rsidR="001D50A7">
        <w:rPr>
          <w:rFonts w:ascii="Cambria" w:hAnsi="Cambria"/>
          <w:sz w:val="22"/>
          <w:szCs w:val="22"/>
          <w:lang w:val="en-GB"/>
        </w:rPr>
        <w:t xml:space="preserve">Similar programming complementation is conducted at the subgrantee level, as in the case of MARADECA and </w:t>
      </w:r>
      <w:proofErr w:type="spellStart"/>
      <w:r w:rsidR="001D50A7">
        <w:rPr>
          <w:rFonts w:ascii="Cambria" w:hAnsi="Cambria"/>
          <w:sz w:val="22"/>
          <w:szCs w:val="22"/>
          <w:lang w:val="en-GB"/>
        </w:rPr>
        <w:t>Balay</w:t>
      </w:r>
      <w:proofErr w:type="spellEnd"/>
      <w:r w:rsidR="001D50A7">
        <w:rPr>
          <w:rFonts w:ascii="Cambria" w:hAnsi="Cambria"/>
          <w:sz w:val="22"/>
          <w:szCs w:val="22"/>
          <w:lang w:val="en-GB"/>
        </w:rPr>
        <w:t xml:space="preserve"> </w:t>
      </w:r>
      <w:proofErr w:type="spellStart"/>
      <w:r w:rsidR="001D50A7">
        <w:rPr>
          <w:rFonts w:ascii="Cambria" w:hAnsi="Cambria"/>
          <w:sz w:val="22"/>
          <w:szCs w:val="22"/>
          <w:lang w:val="en-GB"/>
        </w:rPr>
        <w:t>Mindanaw</w:t>
      </w:r>
      <w:proofErr w:type="spellEnd"/>
      <w:r w:rsidR="001D50A7">
        <w:rPr>
          <w:rFonts w:ascii="Cambria" w:hAnsi="Cambria"/>
          <w:sz w:val="22"/>
          <w:szCs w:val="22"/>
          <w:lang w:val="en-GB"/>
        </w:rPr>
        <w:t>.</w:t>
      </w:r>
    </w:p>
    <w:p w14:paraId="48EF6CF7" w14:textId="77777777" w:rsidR="00745C9A" w:rsidRPr="00D058C1" w:rsidRDefault="00745C9A" w:rsidP="0050586F">
      <w:pPr>
        <w:tabs>
          <w:tab w:val="left" w:pos="284"/>
          <w:tab w:val="left" w:pos="709"/>
        </w:tabs>
        <w:jc w:val="both"/>
        <w:rPr>
          <w:rFonts w:ascii="Cambria" w:hAnsi="Cambria"/>
          <w:sz w:val="22"/>
          <w:szCs w:val="22"/>
        </w:rPr>
      </w:pPr>
    </w:p>
    <w:p w14:paraId="47E7E1F8" w14:textId="1EB7E154" w:rsidR="00F20E3F" w:rsidRPr="00D058C1" w:rsidRDefault="00F20E3F" w:rsidP="00F11FA7">
      <w:pPr>
        <w:pStyle w:val="Heading3"/>
        <w:rPr>
          <w:rFonts w:ascii="Cambria" w:hAnsi="Cambria"/>
          <w:i/>
          <w:iCs/>
          <w:sz w:val="22"/>
          <w:szCs w:val="22"/>
        </w:rPr>
      </w:pPr>
      <w:bookmarkStart w:id="24" w:name="_Toc55309680"/>
      <w:r w:rsidRPr="00D058C1">
        <w:rPr>
          <w:rFonts w:ascii="Cambria" w:hAnsi="Cambria"/>
          <w:i/>
          <w:iCs/>
          <w:sz w:val="22"/>
          <w:szCs w:val="22"/>
        </w:rPr>
        <w:t>C.</w:t>
      </w:r>
      <w:r w:rsidR="0044642F" w:rsidRPr="00D058C1">
        <w:rPr>
          <w:rFonts w:ascii="Cambria" w:hAnsi="Cambria"/>
          <w:i/>
          <w:iCs/>
          <w:sz w:val="22"/>
          <w:szCs w:val="22"/>
        </w:rPr>
        <w:t xml:space="preserve"> Support to regional security and economic growth</w:t>
      </w:r>
      <w:bookmarkEnd w:id="24"/>
      <w:r w:rsidR="0044642F" w:rsidRPr="00D058C1">
        <w:rPr>
          <w:rFonts w:ascii="Cambria" w:hAnsi="Cambria"/>
          <w:i/>
          <w:iCs/>
          <w:sz w:val="22"/>
          <w:szCs w:val="22"/>
        </w:rPr>
        <w:t xml:space="preserve"> </w:t>
      </w:r>
    </w:p>
    <w:p w14:paraId="46C279C3" w14:textId="77777777" w:rsidR="005755F4" w:rsidRPr="00D058C1" w:rsidRDefault="005755F4" w:rsidP="00770537">
      <w:pPr>
        <w:tabs>
          <w:tab w:val="left" w:pos="284"/>
          <w:tab w:val="left" w:pos="709"/>
        </w:tabs>
        <w:jc w:val="both"/>
        <w:rPr>
          <w:rFonts w:ascii="Cambria" w:hAnsi="Cambria"/>
          <w:sz w:val="22"/>
          <w:szCs w:val="22"/>
        </w:rPr>
      </w:pPr>
    </w:p>
    <w:p w14:paraId="5C188110" w14:textId="044DA3A9" w:rsidR="001F03B7" w:rsidRPr="00A928D6" w:rsidRDefault="003C001B" w:rsidP="001F03B7">
      <w:pPr>
        <w:pStyle w:val="ListParagraph"/>
        <w:numPr>
          <w:ilvl w:val="0"/>
          <w:numId w:val="77"/>
        </w:numPr>
        <w:tabs>
          <w:tab w:val="left" w:pos="284"/>
          <w:tab w:val="left" w:pos="709"/>
        </w:tabs>
        <w:jc w:val="both"/>
        <w:rPr>
          <w:rFonts w:ascii="Cambria" w:hAnsi="Cambria"/>
          <w:sz w:val="22"/>
          <w:szCs w:val="22"/>
        </w:rPr>
      </w:pPr>
      <w:proofErr w:type="gramStart"/>
      <w:r w:rsidRPr="00FF1D6E">
        <w:rPr>
          <w:rFonts w:ascii="Cambria" w:hAnsi="Cambria"/>
          <w:sz w:val="22"/>
          <w:szCs w:val="22"/>
        </w:rPr>
        <w:t>With the exception of</w:t>
      </w:r>
      <w:proofErr w:type="gramEnd"/>
      <w:r w:rsidRPr="00FF1D6E">
        <w:rPr>
          <w:rFonts w:ascii="Cambria" w:hAnsi="Cambria"/>
          <w:sz w:val="22"/>
          <w:szCs w:val="22"/>
        </w:rPr>
        <w:t xml:space="preserve"> community-driven development in the MILF camps th</w:t>
      </w:r>
      <w:r w:rsidR="00236520">
        <w:rPr>
          <w:rFonts w:ascii="Cambria" w:hAnsi="Cambria"/>
          <w:sz w:val="22"/>
          <w:szCs w:val="22"/>
        </w:rPr>
        <w:t>r</w:t>
      </w:r>
      <w:r w:rsidRPr="00FF1D6E">
        <w:rPr>
          <w:rFonts w:ascii="Cambria" w:hAnsi="Cambria"/>
          <w:sz w:val="22"/>
          <w:szCs w:val="22"/>
        </w:rPr>
        <w:t xml:space="preserve">ough MTF-RDP, economic-related investments were largely limited to exploratory studies and dialogues. </w:t>
      </w:r>
      <w:r w:rsidR="00DF1E1E" w:rsidRPr="00FF1D6E">
        <w:rPr>
          <w:rFonts w:ascii="Cambria" w:hAnsi="Cambria"/>
          <w:sz w:val="22"/>
          <w:szCs w:val="22"/>
        </w:rPr>
        <w:t>E</w:t>
      </w:r>
      <w:r w:rsidRPr="00FF1D6E">
        <w:rPr>
          <w:rFonts w:ascii="Cambria" w:hAnsi="Cambria"/>
          <w:sz w:val="22"/>
          <w:szCs w:val="22"/>
        </w:rPr>
        <w:t>xperiments include PBSP’s Brokering Business Investments in the Bangsamoro to Achieve Inclusive Development and Growth (</w:t>
      </w:r>
      <w:proofErr w:type="spellStart"/>
      <w:r w:rsidRPr="00FF1D6E">
        <w:rPr>
          <w:rFonts w:ascii="Cambria" w:hAnsi="Cambria"/>
          <w:sz w:val="22"/>
          <w:szCs w:val="22"/>
        </w:rPr>
        <w:t>BRIDGe</w:t>
      </w:r>
      <w:proofErr w:type="spellEnd"/>
      <w:r w:rsidRPr="00FF1D6E">
        <w:rPr>
          <w:rFonts w:ascii="Cambria" w:hAnsi="Cambria"/>
          <w:sz w:val="22"/>
          <w:szCs w:val="22"/>
        </w:rPr>
        <w:t>), as well as exploratory conversations convened by IA on private sector involvement and innovation</w:t>
      </w:r>
      <w:r w:rsidR="00DF1E1E" w:rsidRPr="00FF1D6E">
        <w:rPr>
          <w:rFonts w:ascii="Cambria" w:hAnsi="Cambria"/>
          <w:sz w:val="22"/>
          <w:szCs w:val="22"/>
        </w:rPr>
        <w:t xml:space="preserve"> for internally displaced persons. </w:t>
      </w:r>
      <w:r w:rsidR="00DC0FF7">
        <w:rPr>
          <w:rFonts w:ascii="Cambria" w:hAnsi="Cambria"/>
          <w:sz w:val="22"/>
          <w:szCs w:val="22"/>
        </w:rPr>
        <w:t xml:space="preserve"> </w:t>
      </w:r>
      <w:r w:rsidR="00DF1E1E" w:rsidRPr="00FF1D6E">
        <w:rPr>
          <w:rFonts w:ascii="Cambria" w:hAnsi="Cambria"/>
          <w:sz w:val="22"/>
          <w:szCs w:val="22"/>
        </w:rPr>
        <w:t xml:space="preserve">In contrast, it must be noted that </w:t>
      </w:r>
      <w:r w:rsidR="00914C1C" w:rsidRPr="00F11FA7">
        <w:rPr>
          <w:rFonts w:ascii="Cambria" w:hAnsi="Cambria" w:cstheme="majorHAnsi"/>
          <w:color w:val="000000" w:themeColor="text1"/>
          <w:sz w:val="22"/>
          <w:szCs w:val="22"/>
        </w:rPr>
        <w:t xml:space="preserve">eight out of </w:t>
      </w:r>
      <w:r w:rsidR="00DF1E1E" w:rsidRPr="00FF1D6E">
        <w:rPr>
          <w:rFonts w:ascii="Cambria" w:hAnsi="Cambria" w:cstheme="majorHAnsi"/>
          <w:color w:val="000000" w:themeColor="text1"/>
          <w:sz w:val="22"/>
          <w:szCs w:val="22"/>
        </w:rPr>
        <w:t xml:space="preserve">the BTA’s </w:t>
      </w:r>
      <w:r w:rsidR="00914C1C" w:rsidRPr="00F11FA7">
        <w:rPr>
          <w:rFonts w:ascii="Cambria" w:hAnsi="Cambria" w:cstheme="majorHAnsi"/>
          <w:color w:val="000000" w:themeColor="text1"/>
          <w:sz w:val="22"/>
          <w:szCs w:val="22"/>
        </w:rPr>
        <w:t>12 priorities</w:t>
      </w:r>
      <w:r w:rsidR="00DC1412" w:rsidRPr="00FF1D6E">
        <w:rPr>
          <w:rFonts w:ascii="Cambria" w:hAnsi="Cambria" w:cstheme="majorHAnsi"/>
          <w:color w:val="000000" w:themeColor="text1"/>
          <w:sz w:val="22"/>
          <w:szCs w:val="22"/>
        </w:rPr>
        <w:t xml:space="preserve"> for the transition</w:t>
      </w:r>
      <w:r w:rsidR="00914C1C" w:rsidRPr="00F11FA7">
        <w:rPr>
          <w:rFonts w:ascii="Cambria" w:hAnsi="Cambria" w:cstheme="majorHAnsi"/>
          <w:color w:val="000000" w:themeColor="text1"/>
          <w:sz w:val="22"/>
          <w:szCs w:val="22"/>
        </w:rPr>
        <w:t xml:space="preserve"> (4, 5, 6, 7, 8, 10, 11 and 12) have to do with sustainable livelihood</w:t>
      </w:r>
      <w:r w:rsidR="00DC0FF7">
        <w:rPr>
          <w:rFonts w:ascii="Cambria" w:hAnsi="Cambria" w:cstheme="majorHAnsi"/>
          <w:color w:val="000000" w:themeColor="text1"/>
          <w:sz w:val="22"/>
          <w:szCs w:val="22"/>
        </w:rPr>
        <w:t xml:space="preserve"> activities</w:t>
      </w:r>
      <w:r w:rsidR="00914C1C" w:rsidRPr="00F11FA7">
        <w:rPr>
          <w:rFonts w:ascii="Cambria" w:hAnsi="Cambria" w:cstheme="majorHAnsi"/>
          <w:color w:val="000000" w:themeColor="text1"/>
          <w:sz w:val="22"/>
          <w:szCs w:val="22"/>
        </w:rPr>
        <w:t xml:space="preserve"> and economic development. </w:t>
      </w:r>
    </w:p>
    <w:p w14:paraId="318C4716" w14:textId="77777777" w:rsidR="00A72AED" w:rsidRPr="001F03B7" w:rsidRDefault="00A72AED" w:rsidP="00A928D6">
      <w:pPr>
        <w:pStyle w:val="ListParagraph"/>
        <w:tabs>
          <w:tab w:val="left" w:pos="284"/>
          <w:tab w:val="left" w:pos="709"/>
        </w:tabs>
        <w:ind w:left="360"/>
        <w:jc w:val="both"/>
        <w:rPr>
          <w:rFonts w:ascii="Cambria" w:hAnsi="Cambria"/>
          <w:sz w:val="22"/>
          <w:szCs w:val="22"/>
        </w:rPr>
      </w:pPr>
    </w:p>
    <w:p w14:paraId="57F6D2D7" w14:textId="77777777" w:rsidR="004D7555" w:rsidRPr="001F03B7" w:rsidRDefault="00B86BEA" w:rsidP="001F03B7">
      <w:pPr>
        <w:pStyle w:val="ListParagraph"/>
        <w:numPr>
          <w:ilvl w:val="0"/>
          <w:numId w:val="77"/>
        </w:numPr>
        <w:tabs>
          <w:tab w:val="left" w:pos="284"/>
          <w:tab w:val="left" w:pos="709"/>
        </w:tabs>
        <w:jc w:val="both"/>
        <w:rPr>
          <w:rFonts w:ascii="Cambria" w:hAnsi="Cambria"/>
          <w:sz w:val="22"/>
          <w:szCs w:val="22"/>
        </w:rPr>
      </w:pPr>
      <w:r w:rsidRPr="001F03B7">
        <w:rPr>
          <w:rFonts w:ascii="Cambria" w:hAnsi="Cambria"/>
          <w:sz w:val="22"/>
          <w:szCs w:val="22"/>
        </w:rPr>
        <w:t>As illustrated in Annex C,</w:t>
      </w:r>
      <w:r w:rsidR="00BF62B3" w:rsidRPr="001F03B7">
        <w:rPr>
          <w:rFonts w:ascii="Cambria" w:hAnsi="Cambria"/>
          <w:sz w:val="22"/>
          <w:szCs w:val="22"/>
        </w:rPr>
        <w:t xml:space="preserve"> </w:t>
      </w:r>
      <w:r w:rsidR="002D44A5" w:rsidRPr="001F03B7">
        <w:rPr>
          <w:rFonts w:ascii="Cambria" w:hAnsi="Cambria"/>
          <w:sz w:val="22"/>
          <w:szCs w:val="22"/>
        </w:rPr>
        <w:t xml:space="preserve">programming </w:t>
      </w:r>
      <w:r w:rsidR="009600C9" w:rsidRPr="001F03B7">
        <w:rPr>
          <w:rFonts w:ascii="Cambria" w:hAnsi="Cambria"/>
          <w:sz w:val="22"/>
          <w:szCs w:val="22"/>
        </w:rPr>
        <w:t>ad</w:t>
      </w:r>
      <w:r w:rsidRPr="001F03B7">
        <w:rPr>
          <w:rFonts w:ascii="Cambria" w:hAnsi="Cambria"/>
          <w:sz w:val="22"/>
          <w:szCs w:val="22"/>
        </w:rPr>
        <w:t>j</w:t>
      </w:r>
      <w:r w:rsidR="009600C9" w:rsidRPr="001F03B7">
        <w:rPr>
          <w:rFonts w:ascii="Cambria" w:hAnsi="Cambria"/>
          <w:sz w:val="22"/>
          <w:szCs w:val="22"/>
        </w:rPr>
        <w:t xml:space="preserve">ustments will </w:t>
      </w:r>
      <w:r w:rsidR="00BF62B3" w:rsidRPr="001F03B7">
        <w:rPr>
          <w:rFonts w:ascii="Cambria" w:hAnsi="Cambria"/>
          <w:sz w:val="22"/>
          <w:szCs w:val="22"/>
        </w:rPr>
        <w:t xml:space="preserve">also </w:t>
      </w:r>
      <w:r w:rsidR="009600C9" w:rsidRPr="001F03B7">
        <w:rPr>
          <w:rFonts w:ascii="Cambria" w:hAnsi="Cambria"/>
          <w:sz w:val="22"/>
          <w:szCs w:val="22"/>
        </w:rPr>
        <w:t xml:space="preserve">need to be made </w:t>
      </w:r>
      <w:r w:rsidRPr="001F03B7">
        <w:rPr>
          <w:rFonts w:ascii="Cambria" w:hAnsi="Cambria"/>
          <w:sz w:val="22"/>
          <w:szCs w:val="22"/>
        </w:rPr>
        <w:t xml:space="preserve">to catch up </w:t>
      </w:r>
      <w:r w:rsidR="00BF62B3" w:rsidRPr="001F03B7">
        <w:rPr>
          <w:rFonts w:ascii="Cambria" w:hAnsi="Cambria"/>
          <w:sz w:val="22"/>
          <w:szCs w:val="22"/>
        </w:rPr>
        <w:t xml:space="preserve">on normalization-related investments to manage horizontal conflict leading up to the May 2022 elections. </w:t>
      </w:r>
      <w:r w:rsidR="00355F3F" w:rsidRPr="001F03B7">
        <w:rPr>
          <w:rFonts w:ascii="Cambria" w:hAnsi="Cambria"/>
          <w:sz w:val="22"/>
          <w:szCs w:val="22"/>
        </w:rPr>
        <w:t xml:space="preserve"> </w:t>
      </w:r>
      <w:r w:rsidR="00BF62B3" w:rsidRPr="001F03B7">
        <w:rPr>
          <w:rFonts w:ascii="Cambria" w:hAnsi="Cambria"/>
          <w:sz w:val="22"/>
          <w:szCs w:val="22"/>
        </w:rPr>
        <w:t>This includes d</w:t>
      </w:r>
      <w:r w:rsidR="004D7555" w:rsidRPr="001F03B7">
        <w:rPr>
          <w:rFonts w:ascii="Cambria" w:hAnsi="Cambria"/>
          <w:sz w:val="22"/>
          <w:szCs w:val="22"/>
        </w:rPr>
        <w:t xml:space="preserve">isbandment of private armed groups, deactivation of SCAAs, community policing efforts, firearms control and management, </w:t>
      </w:r>
      <w:r w:rsidR="00BF62B3" w:rsidRPr="001F03B7">
        <w:rPr>
          <w:rFonts w:ascii="Cambria" w:hAnsi="Cambria"/>
          <w:sz w:val="22"/>
          <w:szCs w:val="22"/>
        </w:rPr>
        <w:t>amnesties and pardons, all of which should be supported by</w:t>
      </w:r>
      <w:r w:rsidR="004D7555" w:rsidRPr="001F03B7">
        <w:rPr>
          <w:rFonts w:ascii="Cambria" w:hAnsi="Cambria"/>
          <w:sz w:val="22"/>
          <w:szCs w:val="22"/>
        </w:rPr>
        <w:t xml:space="preserve"> </w:t>
      </w:r>
      <w:r w:rsidR="00BF62B3" w:rsidRPr="001F03B7">
        <w:rPr>
          <w:rFonts w:ascii="Cambria" w:hAnsi="Cambria"/>
          <w:sz w:val="22"/>
          <w:szCs w:val="22"/>
        </w:rPr>
        <w:t xml:space="preserve">the broader </w:t>
      </w:r>
      <w:r w:rsidR="004D7555" w:rsidRPr="001F03B7">
        <w:rPr>
          <w:rFonts w:ascii="Cambria" w:hAnsi="Cambria"/>
          <w:sz w:val="22"/>
          <w:szCs w:val="22"/>
        </w:rPr>
        <w:t>transitional justice and reconciliation</w:t>
      </w:r>
      <w:r w:rsidR="00BF62B3" w:rsidRPr="001F03B7">
        <w:rPr>
          <w:rFonts w:ascii="Cambria" w:hAnsi="Cambria"/>
          <w:sz w:val="22"/>
          <w:szCs w:val="22"/>
        </w:rPr>
        <w:t xml:space="preserve"> agenda.</w:t>
      </w:r>
    </w:p>
    <w:p w14:paraId="7F404912" w14:textId="63424C5B" w:rsidR="00FE7709" w:rsidRPr="00D058C1" w:rsidRDefault="00FE7709" w:rsidP="00F11FA7"/>
    <w:p w14:paraId="2629637E" w14:textId="49A5143E" w:rsidR="005F79DC" w:rsidRPr="00D058C1" w:rsidRDefault="00483F4B" w:rsidP="00193062">
      <w:pPr>
        <w:pStyle w:val="Heading2"/>
        <w:rPr>
          <w:rFonts w:ascii="Cambria" w:hAnsi="Cambria"/>
          <w:b/>
          <w:bCs/>
          <w:i/>
          <w:iCs/>
          <w:sz w:val="22"/>
          <w:szCs w:val="22"/>
        </w:rPr>
      </w:pPr>
      <w:bookmarkStart w:id="25" w:name="_Toc55309681"/>
      <w:bookmarkStart w:id="26" w:name="_Toc34220983"/>
      <w:r w:rsidRPr="00D058C1">
        <w:rPr>
          <w:rFonts w:ascii="Cambria" w:hAnsi="Cambria"/>
          <w:b/>
          <w:bCs/>
          <w:i/>
          <w:iCs/>
          <w:sz w:val="22"/>
          <w:szCs w:val="22"/>
          <w:u w:val="single"/>
        </w:rPr>
        <w:t>On</w:t>
      </w:r>
      <w:r w:rsidRPr="00D058C1">
        <w:rPr>
          <w:rFonts w:ascii="Cambria" w:hAnsi="Cambria"/>
          <w:sz w:val="22"/>
          <w:szCs w:val="22"/>
          <w:u w:val="single"/>
        </w:rPr>
        <w:t xml:space="preserve"> </w:t>
      </w:r>
      <w:r w:rsidR="00AE3D91" w:rsidRPr="00D058C1">
        <w:rPr>
          <w:rFonts w:ascii="Cambria" w:hAnsi="Cambria"/>
          <w:b/>
          <w:bCs/>
          <w:i/>
          <w:iCs/>
          <w:sz w:val="22"/>
          <w:szCs w:val="22"/>
          <w:u w:val="single"/>
        </w:rPr>
        <w:t>Gender Equality</w:t>
      </w:r>
      <w:bookmarkEnd w:id="25"/>
      <w:r w:rsidR="00AE3D91" w:rsidRPr="00D058C1">
        <w:rPr>
          <w:rFonts w:ascii="Cambria" w:hAnsi="Cambria"/>
          <w:b/>
          <w:bCs/>
          <w:i/>
          <w:iCs/>
          <w:sz w:val="22"/>
          <w:szCs w:val="22"/>
        </w:rPr>
        <w:t xml:space="preserve"> </w:t>
      </w:r>
      <w:bookmarkEnd w:id="26"/>
    </w:p>
    <w:p w14:paraId="6FB5F38C" w14:textId="77777777" w:rsidR="00483F4B" w:rsidRPr="00D058C1" w:rsidRDefault="00483F4B" w:rsidP="0050586F">
      <w:pPr>
        <w:tabs>
          <w:tab w:val="left" w:pos="284"/>
          <w:tab w:val="left" w:pos="709"/>
        </w:tabs>
        <w:jc w:val="both"/>
        <w:rPr>
          <w:rFonts w:ascii="Cambria" w:hAnsi="Cambria"/>
          <w:b/>
          <w:bCs/>
          <w:i/>
          <w:iCs/>
          <w:sz w:val="22"/>
          <w:szCs w:val="22"/>
        </w:rPr>
      </w:pPr>
    </w:p>
    <w:p w14:paraId="5A0CE806" w14:textId="7081521E" w:rsidR="0044069B" w:rsidRPr="004A5538" w:rsidRDefault="001F6E71" w:rsidP="004A5538">
      <w:pPr>
        <w:pStyle w:val="ListParagraph"/>
        <w:numPr>
          <w:ilvl w:val="0"/>
          <w:numId w:val="77"/>
        </w:numPr>
        <w:tabs>
          <w:tab w:val="left" w:pos="284"/>
          <w:tab w:val="left" w:pos="709"/>
        </w:tabs>
        <w:jc w:val="both"/>
        <w:rPr>
          <w:sz w:val="22"/>
          <w:szCs w:val="22"/>
        </w:rPr>
      </w:pPr>
      <w:r w:rsidRPr="00F11FA7">
        <w:rPr>
          <w:b/>
          <w:bCs/>
          <w:sz w:val="22"/>
          <w:szCs w:val="22"/>
        </w:rPr>
        <w:t>While Oxfam is the only APP partner</w:t>
      </w:r>
      <w:r w:rsidR="00F1040E">
        <w:rPr>
          <w:b/>
          <w:bCs/>
          <w:sz w:val="22"/>
          <w:szCs w:val="22"/>
        </w:rPr>
        <w:t xml:space="preserve"> whose entire</w:t>
      </w:r>
      <w:r w:rsidRPr="00F11FA7">
        <w:rPr>
          <w:b/>
          <w:bCs/>
          <w:sz w:val="22"/>
          <w:szCs w:val="22"/>
        </w:rPr>
        <w:t xml:space="preserve"> program </w:t>
      </w:r>
      <w:r w:rsidR="00F1040E">
        <w:rPr>
          <w:b/>
          <w:bCs/>
          <w:sz w:val="22"/>
          <w:szCs w:val="22"/>
        </w:rPr>
        <w:t xml:space="preserve">is explicitly designed </w:t>
      </w:r>
      <w:r w:rsidRPr="00F11FA7">
        <w:rPr>
          <w:b/>
          <w:bCs/>
          <w:sz w:val="22"/>
          <w:szCs w:val="22"/>
        </w:rPr>
        <w:t>for women empowerment in the Bangsamoro area, the other</w:t>
      </w:r>
      <w:r w:rsidRPr="001F6E71">
        <w:rPr>
          <w:b/>
          <w:bCs/>
          <w:sz w:val="22"/>
          <w:szCs w:val="22"/>
        </w:rPr>
        <w:t xml:space="preserve"> APP partners have become more conscious of the need for greater women’s participation in the peace process</w:t>
      </w:r>
      <w:r w:rsidRPr="001F6E71">
        <w:rPr>
          <w:sz w:val="22"/>
          <w:szCs w:val="22"/>
        </w:rPr>
        <w:t xml:space="preserve"> </w:t>
      </w:r>
      <w:r w:rsidRPr="00A928D6">
        <w:rPr>
          <w:rFonts w:ascii="Cambria" w:hAnsi="Cambria"/>
          <w:sz w:val="22"/>
          <w:szCs w:val="22"/>
        </w:rPr>
        <w:t xml:space="preserve">compared to when they were operating under the previous </w:t>
      </w:r>
      <w:r w:rsidRPr="00A928D6">
        <w:rPr>
          <w:rFonts w:ascii="Cambria" w:hAnsi="Cambria"/>
          <w:i/>
          <w:iCs/>
          <w:sz w:val="22"/>
          <w:szCs w:val="22"/>
        </w:rPr>
        <w:t>BASIC Bangsamoro</w:t>
      </w:r>
      <w:r w:rsidRPr="00A928D6">
        <w:rPr>
          <w:rFonts w:ascii="Cambria" w:hAnsi="Cambria"/>
          <w:sz w:val="22"/>
          <w:szCs w:val="22"/>
        </w:rPr>
        <w:t xml:space="preserve"> program.  </w:t>
      </w:r>
      <w:r w:rsidR="00300E20" w:rsidRPr="00A928D6">
        <w:rPr>
          <w:rFonts w:ascii="Cambria" w:eastAsiaTheme="minorEastAsia" w:hAnsi="Cambria" w:cs="AppleSystemUIFont"/>
          <w:sz w:val="22"/>
          <w:szCs w:val="22"/>
          <w:lang w:val="en-GB" w:eastAsia="en-US"/>
        </w:rPr>
        <w:t xml:space="preserve">All APP partners have Conflict Sensitive Gender Action Plans (CSGAPs), with varying levels of interaction with the National Action Plan on Women, Peace and Security. This has led to collection of sex-disaggregated data and ensuring that a good proportion of participants and actors for all activities at all levels are women, including key Ministers of Parliament. Key APP investments include the formulation of the law creating the new BARMM Bangsamoro Women Commission, and engagement with female IDPs, women affected by ‘black flag’ actors, including spouses of former </w:t>
      </w:r>
      <w:proofErr w:type="spellStart"/>
      <w:r w:rsidR="00300E20" w:rsidRPr="00A928D6">
        <w:rPr>
          <w:rFonts w:ascii="Cambria" w:eastAsiaTheme="minorEastAsia" w:hAnsi="Cambria" w:cs="AppleSystemUIFont"/>
          <w:sz w:val="22"/>
          <w:szCs w:val="22"/>
          <w:lang w:val="en-GB" w:eastAsia="en-US"/>
        </w:rPr>
        <w:t>Maute</w:t>
      </w:r>
      <w:proofErr w:type="spellEnd"/>
      <w:r w:rsidR="00300E20" w:rsidRPr="00A928D6">
        <w:rPr>
          <w:rFonts w:ascii="Cambria" w:eastAsiaTheme="minorEastAsia" w:hAnsi="Cambria" w:cs="AppleSystemUIFont"/>
          <w:sz w:val="22"/>
          <w:szCs w:val="22"/>
          <w:lang w:val="en-GB" w:eastAsia="en-US"/>
        </w:rPr>
        <w:t xml:space="preserve"> and Abu Sayyaf Group (ASG) fighters, regional CSO coalitions of women such as WOMB, as well as members of the MILF’s Social Welfare Committee and the MILF Bangsamoro Islamic Women’s Auxiliary Brigade. As the peace process shifts to implementation, efforts will need to move beyond collecting sex-disaggregated data and ensuring basic participation to aiming for positive development outcomes for women in the Bangsamoro, particularly widows and female-headed households, and other vulnerable sectors.</w:t>
      </w:r>
      <w:r w:rsidRPr="00300E20">
        <w:rPr>
          <w:rFonts w:ascii="Cambria" w:hAnsi="Cambria"/>
          <w:sz w:val="22"/>
          <w:szCs w:val="22"/>
        </w:rPr>
        <w:t xml:space="preserve"> </w:t>
      </w:r>
    </w:p>
    <w:p w14:paraId="6ED4AD37" w14:textId="77777777" w:rsidR="005F79DC" w:rsidRPr="00F11FA7" w:rsidRDefault="005F79DC" w:rsidP="00F11FA7">
      <w:pPr>
        <w:pStyle w:val="ListParagraph"/>
        <w:tabs>
          <w:tab w:val="left" w:pos="284"/>
          <w:tab w:val="left" w:pos="709"/>
        </w:tabs>
        <w:jc w:val="both"/>
        <w:rPr>
          <w:rFonts w:ascii="Cambria" w:hAnsi="Cambria"/>
          <w:sz w:val="22"/>
          <w:szCs w:val="22"/>
        </w:rPr>
      </w:pPr>
    </w:p>
    <w:p w14:paraId="171D88B1" w14:textId="77777777" w:rsidR="00D67470" w:rsidRDefault="00D67470" w:rsidP="00172572">
      <w:pPr>
        <w:pStyle w:val="Heading2"/>
        <w:rPr>
          <w:rFonts w:ascii="Cambria" w:hAnsi="Cambria"/>
          <w:b/>
          <w:bCs/>
          <w:i/>
          <w:iCs/>
          <w:sz w:val="22"/>
          <w:szCs w:val="22"/>
          <w:u w:val="single"/>
        </w:rPr>
      </w:pPr>
      <w:bookmarkStart w:id="27" w:name="_Toc34220984"/>
    </w:p>
    <w:p w14:paraId="1B7FA257" w14:textId="385E5CDE" w:rsidR="00172572" w:rsidRPr="00D058C1" w:rsidRDefault="00483F4B" w:rsidP="00172572">
      <w:pPr>
        <w:pStyle w:val="Heading2"/>
        <w:rPr>
          <w:rFonts w:ascii="Cambria" w:hAnsi="Cambria"/>
          <w:b/>
          <w:bCs/>
          <w:i/>
          <w:iCs/>
          <w:sz w:val="22"/>
          <w:szCs w:val="22"/>
          <w:u w:val="single"/>
        </w:rPr>
      </w:pPr>
      <w:bookmarkStart w:id="28" w:name="_Toc55309682"/>
      <w:r w:rsidRPr="00D058C1">
        <w:rPr>
          <w:rFonts w:ascii="Cambria" w:hAnsi="Cambria"/>
          <w:b/>
          <w:bCs/>
          <w:i/>
          <w:iCs/>
          <w:sz w:val="22"/>
          <w:szCs w:val="22"/>
          <w:u w:val="single"/>
        </w:rPr>
        <w:t xml:space="preserve">On </w:t>
      </w:r>
      <w:r w:rsidR="0044069B" w:rsidRPr="00D058C1">
        <w:rPr>
          <w:rFonts w:ascii="Cambria" w:hAnsi="Cambria"/>
          <w:b/>
          <w:bCs/>
          <w:i/>
          <w:iCs/>
          <w:sz w:val="22"/>
          <w:szCs w:val="22"/>
          <w:u w:val="single"/>
        </w:rPr>
        <w:t>Disability inclusion</w:t>
      </w:r>
      <w:bookmarkEnd w:id="27"/>
      <w:bookmarkEnd w:id="28"/>
      <w:r w:rsidR="0044069B" w:rsidRPr="00D058C1">
        <w:rPr>
          <w:rFonts w:ascii="Cambria" w:hAnsi="Cambria"/>
          <w:b/>
          <w:bCs/>
          <w:i/>
          <w:iCs/>
          <w:sz w:val="22"/>
          <w:szCs w:val="22"/>
          <w:u w:val="single"/>
        </w:rPr>
        <w:t xml:space="preserve"> </w:t>
      </w:r>
    </w:p>
    <w:p w14:paraId="7D052914" w14:textId="77777777" w:rsidR="00640224" w:rsidRPr="00D058C1" w:rsidRDefault="00640224" w:rsidP="0050586F">
      <w:pPr>
        <w:tabs>
          <w:tab w:val="left" w:pos="284"/>
          <w:tab w:val="left" w:pos="709"/>
        </w:tabs>
        <w:jc w:val="both"/>
        <w:rPr>
          <w:rFonts w:ascii="Cambria" w:hAnsi="Cambria"/>
          <w:sz w:val="22"/>
          <w:szCs w:val="22"/>
        </w:rPr>
      </w:pPr>
    </w:p>
    <w:p w14:paraId="226FDB54" w14:textId="3C64860F" w:rsidR="003401D2" w:rsidRPr="00A928D6" w:rsidRDefault="00300E20" w:rsidP="005755F4">
      <w:pPr>
        <w:pStyle w:val="ListParagraph"/>
        <w:numPr>
          <w:ilvl w:val="0"/>
          <w:numId w:val="77"/>
        </w:numPr>
        <w:tabs>
          <w:tab w:val="left" w:pos="284"/>
          <w:tab w:val="left" w:pos="709"/>
        </w:tabs>
        <w:jc w:val="both"/>
        <w:rPr>
          <w:rFonts w:asciiTheme="minorHAnsi" w:hAnsiTheme="minorHAnsi"/>
          <w:sz w:val="22"/>
          <w:szCs w:val="22"/>
        </w:rPr>
      </w:pPr>
      <w:r w:rsidRPr="00A928D6">
        <w:rPr>
          <w:rFonts w:asciiTheme="minorHAnsi" w:eastAsiaTheme="minorEastAsia" w:hAnsiTheme="minorHAnsi" w:cs="AppleSystemUIFont"/>
          <w:sz w:val="22"/>
          <w:szCs w:val="22"/>
          <w:lang w:val="en-GB" w:eastAsia="en-US"/>
        </w:rPr>
        <w:t xml:space="preserve">While conscious of the need to promote participation of persons with disability (PWD) particularly in the case of Oxfam’s drafting of an disability inclusion plan and IA’s communications accessibility policies, </w:t>
      </w:r>
      <w:r w:rsidR="0044069B" w:rsidRPr="00A928D6">
        <w:rPr>
          <w:rFonts w:asciiTheme="minorHAnsi" w:hAnsiTheme="minorHAnsi"/>
          <w:sz w:val="22"/>
          <w:szCs w:val="22"/>
        </w:rPr>
        <w:t>there has been no deliberate effort yet on the part of the APP</w:t>
      </w:r>
      <w:r w:rsidR="00937F36" w:rsidRPr="00A928D6">
        <w:rPr>
          <w:rFonts w:asciiTheme="minorHAnsi" w:hAnsiTheme="minorHAnsi"/>
          <w:sz w:val="22"/>
          <w:szCs w:val="22"/>
        </w:rPr>
        <w:t xml:space="preserve"> </w:t>
      </w:r>
      <w:r w:rsidR="00355F3F" w:rsidRPr="00A928D6">
        <w:rPr>
          <w:rFonts w:asciiTheme="minorHAnsi" w:hAnsiTheme="minorHAnsi"/>
          <w:sz w:val="22"/>
          <w:szCs w:val="22"/>
        </w:rPr>
        <w:t xml:space="preserve">and </w:t>
      </w:r>
      <w:r w:rsidR="00937F36" w:rsidRPr="00A928D6">
        <w:rPr>
          <w:rFonts w:asciiTheme="minorHAnsi" w:hAnsiTheme="minorHAnsi"/>
          <w:sz w:val="22"/>
          <w:szCs w:val="22"/>
        </w:rPr>
        <w:t xml:space="preserve"> multilateral</w:t>
      </w:r>
      <w:r w:rsidR="00AC1CB1" w:rsidRPr="00A928D6">
        <w:rPr>
          <w:rFonts w:asciiTheme="minorHAnsi" w:hAnsiTheme="minorHAnsi"/>
          <w:sz w:val="22"/>
          <w:szCs w:val="22"/>
        </w:rPr>
        <w:t xml:space="preserve"> </w:t>
      </w:r>
      <w:r w:rsidR="00355F3F" w:rsidRPr="00A928D6">
        <w:rPr>
          <w:rFonts w:asciiTheme="minorHAnsi" w:hAnsiTheme="minorHAnsi"/>
          <w:sz w:val="22"/>
          <w:szCs w:val="22"/>
        </w:rPr>
        <w:t xml:space="preserve">implementing </w:t>
      </w:r>
      <w:r w:rsidR="0044069B" w:rsidRPr="00A928D6">
        <w:rPr>
          <w:rFonts w:asciiTheme="minorHAnsi" w:hAnsiTheme="minorHAnsi"/>
          <w:sz w:val="22"/>
          <w:szCs w:val="22"/>
        </w:rPr>
        <w:t>partners</w:t>
      </w:r>
      <w:r w:rsidRPr="00A928D6">
        <w:rPr>
          <w:rFonts w:asciiTheme="minorHAnsi" w:eastAsiaTheme="minorEastAsia" w:hAnsiTheme="minorHAnsi" w:cs="AppleSystemUIFont"/>
          <w:sz w:val="22"/>
          <w:szCs w:val="22"/>
          <w:lang w:val="en-GB" w:eastAsia="en-US"/>
        </w:rPr>
        <w:t xml:space="preserve"> to design specific interventions for this cohort.</w:t>
      </w:r>
      <w:r w:rsidR="0044069B" w:rsidRPr="00A928D6">
        <w:rPr>
          <w:rFonts w:asciiTheme="minorHAnsi" w:hAnsiTheme="minorHAnsi"/>
          <w:sz w:val="22"/>
          <w:szCs w:val="22"/>
        </w:rPr>
        <w:t xml:space="preserve">.  Part of the problem is the difficulty </w:t>
      </w:r>
      <w:r w:rsidR="00D01B37" w:rsidRPr="00A928D6">
        <w:rPr>
          <w:rFonts w:asciiTheme="minorHAnsi" w:hAnsiTheme="minorHAnsi"/>
          <w:sz w:val="22"/>
          <w:szCs w:val="22"/>
        </w:rPr>
        <w:t xml:space="preserve">in </w:t>
      </w:r>
      <w:r w:rsidR="003401D2" w:rsidRPr="00A928D6">
        <w:rPr>
          <w:rFonts w:asciiTheme="minorHAnsi" w:hAnsiTheme="minorHAnsi"/>
          <w:sz w:val="22"/>
          <w:szCs w:val="22"/>
        </w:rPr>
        <w:t>identifying them in the community as cultural norms discourage famil</w:t>
      </w:r>
      <w:r w:rsidR="004E4E9A" w:rsidRPr="00A928D6">
        <w:rPr>
          <w:rFonts w:asciiTheme="minorHAnsi" w:hAnsiTheme="minorHAnsi"/>
          <w:sz w:val="22"/>
          <w:szCs w:val="22"/>
        </w:rPr>
        <w:t>ies or the revolutionary groups in general</w:t>
      </w:r>
      <w:r w:rsidR="003401D2" w:rsidRPr="00A928D6">
        <w:rPr>
          <w:rFonts w:asciiTheme="minorHAnsi" w:hAnsiTheme="minorHAnsi"/>
          <w:sz w:val="22"/>
          <w:szCs w:val="22"/>
        </w:rPr>
        <w:t xml:space="preserve"> from admitting that they have </w:t>
      </w:r>
      <w:r w:rsidR="004E4E9A" w:rsidRPr="00A928D6">
        <w:rPr>
          <w:rFonts w:asciiTheme="minorHAnsi" w:hAnsiTheme="minorHAnsi"/>
          <w:sz w:val="22"/>
          <w:szCs w:val="22"/>
        </w:rPr>
        <w:t>members</w:t>
      </w:r>
      <w:r w:rsidR="003401D2" w:rsidRPr="00A928D6">
        <w:rPr>
          <w:rFonts w:asciiTheme="minorHAnsi" w:hAnsiTheme="minorHAnsi"/>
          <w:sz w:val="22"/>
          <w:szCs w:val="22"/>
        </w:rPr>
        <w:t xml:space="preserve"> </w:t>
      </w:r>
      <w:r w:rsidR="00881F83" w:rsidRPr="00A928D6">
        <w:rPr>
          <w:rFonts w:asciiTheme="minorHAnsi" w:hAnsiTheme="minorHAnsi"/>
          <w:sz w:val="22"/>
          <w:szCs w:val="22"/>
        </w:rPr>
        <w:t>with</w:t>
      </w:r>
      <w:r w:rsidR="003401D2" w:rsidRPr="00A928D6">
        <w:rPr>
          <w:rFonts w:asciiTheme="minorHAnsi" w:hAnsiTheme="minorHAnsi"/>
          <w:sz w:val="22"/>
          <w:szCs w:val="22"/>
        </w:rPr>
        <w:t xml:space="preserve"> disabilit</w:t>
      </w:r>
      <w:r w:rsidR="00881F83" w:rsidRPr="00A928D6">
        <w:rPr>
          <w:rFonts w:asciiTheme="minorHAnsi" w:hAnsiTheme="minorHAnsi"/>
          <w:sz w:val="22"/>
          <w:szCs w:val="22"/>
        </w:rPr>
        <w:t>ies</w:t>
      </w:r>
      <w:r w:rsidR="003401D2" w:rsidRPr="00A928D6">
        <w:rPr>
          <w:rFonts w:asciiTheme="minorHAnsi" w:hAnsiTheme="minorHAnsi"/>
          <w:sz w:val="22"/>
          <w:szCs w:val="22"/>
        </w:rPr>
        <w:t xml:space="preserve"> (</w:t>
      </w:r>
      <w:r w:rsidR="001968EC" w:rsidRPr="00A928D6">
        <w:rPr>
          <w:rFonts w:asciiTheme="minorHAnsi" w:hAnsiTheme="minorHAnsi"/>
          <w:sz w:val="22"/>
          <w:szCs w:val="22"/>
        </w:rPr>
        <w:t>whether physical or</w:t>
      </w:r>
      <w:r w:rsidR="003401D2" w:rsidRPr="00A928D6">
        <w:rPr>
          <w:rFonts w:asciiTheme="minorHAnsi" w:hAnsiTheme="minorHAnsi"/>
          <w:sz w:val="22"/>
          <w:szCs w:val="22"/>
        </w:rPr>
        <w:t xml:space="preserve"> related to psycho-social trauma)</w:t>
      </w:r>
      <w:r w:rsidR="004E4E9A" w:rsidRPr="00A928D6">
        <w:rPr>
          <w:rFonts w:asciiTheme="minorHAnsi" w:hAnsiTheme="minorHAnsi"/>
          <w:sz w:val="22"/>
          <w:szCs w:val="22"/>
        </w:rPr>
        <w:t>.</w:t>
      </w:r>
      <w:r w:rsidR="003401D2" w:rsidRPr="00A928D6">
        <w:rPr>
          <w:rFonts w:asciiTheme="minorHAnsi" w:hAnsiTheme="minorHAnsi"/>
          <w:sz w:val="22"/>
          <w:szCs w:val="22"/>
        </w:rPr>
        <w:t xml:space="preserve"> </w:t>
      </w:r>
      <w:r w:rsidR="00355F3F" w:rsidRPr="00A928D6">
        <w:rPr>
          <w:rFonts w:asciiTheme="minorHAnsi" w:hAnsiTheme="minorHAnsi"/>
          <w:sz w:val="22"/>
          <w:szCs w:val="22"/>
        </w:rPr>
        <w:t xml:space="preserve"> </w:t>
      </w:r>
      <w:r w:rsidR="003401D2" w:rsidRPr="00A928D6">
        <w:rPr>
          <w:rFonts w:asciiTheme="minorHAnsi" w:hAnsiTheme="minorHAnsi"/>
          <w:sz w:val="22"/>
          <w:szCs w:val="22"/>
        </w:rPr>
        <w:t xml:space="preserve">A second hurdle is the thinking that PWDs are more the concern of humanitarian programs or agencies rather than development workers or agencies.   Nevertheless, a </w:t>
      </w:r>
      <w:r w:rsidR="00405069" w:rsidRPr="00A928D6">
        <w:rPr>
          <w:rFonts w:asciiTheme="minorHAnsi" w:hAnsiTheme="minorHAnsi"/>
          <w:sz w:val="22"/>
          <w:szCs w:val="22"/>
        </w:rPr>
        <w:t>WB</w:t>
      </w:r>
      <w:r w:rsidR="003401D2" w:rsidRPr="00A928D6">
        <w:rPr>
          <w:rFonts w:asciiTheme="minorHAnsi" w:hAnsiTheme="minorHAnsi"/>
          <w:sz w:val="22"/>
          <w:szCs w:val="22"/>
        </w:rPr>
        <w:t xml:space="preserve"> partner, CFSI, made the effort of identifying how many PWDs are in the community using PSA data and cross-validated </w:t>
      </w:r>
      <w:r w:rsidR="00D01B37" w:rsidRPr="00A928D6">
        <w:rPr>
          <w:rFonts w:asciiTheme="minorHAnsi" w:hAnsiTheme="minorHAnsi"/>
          <w:sz w:val="22"/>
          <w:szCs w:val="22"/>
        </w:rPr>
        <w:t xml:space="preserve">it </w:t>
      </w:r>
      <w:r w:rsidR="003401D2" w:rsidRPr="00A928D6">
        <w:rPr>
          <w:rFonts w:asciiTheme="minorHAnsi" w:hAnsiTheme="minorHAnsi"/>
          <w:sz w:val="22"/>
          <w:szCs w:val="22"/>
        </w:rPr>
        <w:t xml:space="preserve">with WHO data.  It is to be noted though that the CFSI might be an exceptional case because it is involved in </w:t>
      </w:r>
      <w:r w:rsidR="002829D2" w:rsidRPr="00A928D6">
        <w:rPr>
          <w:rFonts w:asciiTheme="minorHAnsi" w:hAnsiTheme="minorHAnsi"/>
          <w:sz w:val="22"/>
          <w:szCs w:val="22"/>
        </w:rPr>
        <w:t>both</w:t>
      </w:r>
      <w:r w:rsidR="003401D2" w:rsidRPr="00A928D6">
        <w:rPr>
          <w:rFonts w:asciiTheme="minorHAnsi" w:hAnsiTheme="minorHAnsi"/>
          <w:sz w:val="22"/>
          <w:szCs w:val="22"/>
        </w:rPr>
        <w:t xml:space="preserve"> humanitarian and development work.  </w:t>
      </w:r>
      <w:r w:rsidRPr="00A928D6">
        <w:rPr>
          <w:rFonts w:asciiTheme="minorHAnsi" w:eastAsiaTheme="minorEastAsia" w:hAnsiTheme="minorHAnsi" w:cs="AppleSystemUIFont"/>
          <w:sz w:val="22"/>
          <w:szCs w:val="22"/>
          <w:lang w:val="en-GB" w:eastAsia="en-US"/>
        </w:rPr>
        <w:t>The next phase of Australian investments in Mindanao is an opportunity to engage this issue.</w:t>
      </w:r>
    </w:p>
    <w:p w14:paraId="781671F7" w14:textId="77777777" w:rsidR="00172572" w:rsidRPr="00D058C1" w:rsidRDefault="00172572" w:rsidP="0050586F">
      <w:pPr>
        <w:tabs>
          <w:tab w:val="left" w:pos="284"/>
          <w:tab w:val="left" w:pos="709"/>
        </w:tabs>
        <w:jc w:val="both"/>
        <w:rPr>
          <w:rFonts w:ascii="Cambria" w:hAnsi="Cambria"/>
          <w:sz w:val="22"/>
          <w:szCs w:val="22"/>
        </w:rPr>
      </w:pPr>
    </w:p>
    <w:p w14:paraId="139CE9C8" w14:textId="698B562D" w:rsidR="00172572" w:rsidRPr="00D058C1" w:rsidRDefault="00172572" w:rsidP="00172572">
      <w:pPr>
        <w:pStyle w:val="Heading2"/>
        <w:rPr>
          <w:rFonts w:ascii="Cambria" w:hAnsi="Cambria"/>
          <w:b/>
          <w:bCs/>
          <w:i/>
          <w:iCs/>
          <w:sz w:val="22"/>
          <w:szCs w:val="22"/>
          <w:u w:val="single"/>
        </w:rPr>
      </w:pPr>
      <w:bookmarkStart w:id="29" w:name="_Toc34220985"/>
      <w:bookmarkStart w:id="30" w:name="_Toc55309683"/>
      <w:r w:rsidRPr="00D058C1">
        <w:rPr>
          <w:rFonts w:ascii="Cambria" w:hAnsi="Cambria"/>
          <w:b/>
          <w:bCs/>
          <w:i/>
          <w:iCs/>
          <w:sz w:val="22"/>
          <w:szCs w:val="22"/>
          <w:u w:val="single"/>
        </w:rPr>
        <w:t>Other criteria</w:t>
      </w:r>
      <w:bookmarkEnd w:id="29"/>
      <w:bookmarkEnd w:id="30"/>
      <w:r w:rsidRPr="00D058C1">
        <w:rPr>
          <w:rFonts w:ascii="Cambria" w:hAnsi="Cambria"/>
          <w:b/>
          <w:bCs/>
          <w:i/>
          <w:iCs/>
          <w:sz w:val="22"/>
          <w:szCs w:val="22"/>
          <w:u w:val="single"/>
        </w:rPr>
        <w:t xml:space="preserve"> </w:t>
      </w:r>
    </w:p>
    <w:p w14:paraId="2175F5F5" w14:textId="5DE699C3" w:rsidR="00172572" w:rsidRPr="00D058C1" w:rsidRDefault="00172572" w:rsidP="00172572">
      <w:pPr>
        <w:rPr>
          <w:rFonts w:ascii="Cambria" w:hAnsi="Cambria"/>
          <w:b/>
          <w:bCs/>
          <w:i/>
          <w:iCs/>
          <w:sz w:val="22"/>
          <w:szCs w:val="22"/>
          <w:u w:val="single"/>
        </w:rPr>
      </w:pPr>
    </w:p>
    <w:p w14:paraId="7173A36D" w14:textId="3F5BAF00" w:rsidR="00405069" w:rsidRPr="00405069" w:rsidRDefault="003D05A0" w:rsidP="00405069">
      <w:pPr>
        <w:pStyle w:val="ListParagraph"/>
        <w:numPr>
          <w:ilvl w:val="0"/>
          <w:numId w:val="77"/>
        </w:numPr>
        <w:tabs>
          <w:tab w:val="left" w:pos="284"/>
          <w:tab w:val="left" w:pos="709"/>
        </w:tabs>
        <w:jc w:val="both"/>
        <w:rPr>
          <w:rFonts w:ascii="Cambria" w:hAnsi="Cambria"/>
          <w:sz w:val="22"/>
          <w:szCs w:val="22"/>
        </w:rPr>
      </w:pPr>
      <w:r w:rsidRPr="00D058C1">
        <w:rPr>
          <w:rFonts w:ascii="Cambria" w:hAnsi="Cambria"/>
          <w:b/>
          <w:bCs/>
          <w:i/>
          <w:iCs/>
          <w:sz w:val="22"/>
          <w:szCs w:val="22"/>
        </w:rPr>
        <w:t>I</w:t>
      </w:r>
      <w:r w:rsidR="00966B06">
        <w:rPr>
          <w:rFonts w:ascii="Cambria" w:hAnsi="Cambria"/>
          <w:b/>
          <w:bCs/>
          <w:i/>
          <w:iCs/>
          <w:sz w:val="22"/>
          <w:szCs w:val="22"/>
        </w:rPr>
        <w:t xml:space="preserve">ndigenous </w:t>
      </w:r>
      <w:r w:rsidRPr="00D058C1">
        <w:rPr>
          <w:rFonts w:ascii="Cambria" w:hAnsi="Cambria"/>
          <w:b/>
          <w:bCs/>
          <w:i/>
          <w:iCs/>
          <w:sz w:val="22"/>
          <w:szCs w:val="22"/>
        </w:rPr>
        <w:t>P</w:t>
      </w:r>
      <w:r w:rsidR="00966B06">
        <w:rPr>
          <w:rFonts w:ascii="Cambria" w:hAnsi="Cambria"/>
          <w:b/>
          <w:bCs/>
          <w:i/>
          <w:iCs/>
          <w:sz w:val="22"/>
          <w:szCs w:val="22"/>
        </w:rPr>
        <w:t>eople</w:t>
      </w:r>
      <w:r w:rsidRPr="00D058C1">
        <w:rPr>
          <w:rFonts w:ascii="Cambria" w:hAnsi="Cambria"/>
          <w:b/>
          <w:bCs/>
          <w:i/>
          <w:iCs/>
          <w:sz w:val="22"/>
          <w:szCs w:val="22"/>
        </w:rPr>
        <w:t xml:space="preserve"> inclusion </w:t>
      </w:r>
      <w:r w:rsidR="008E7989">
        <w:rPr>
          <w:rFonts w:ascii="Cambria" w:hAnsi="Cambria"/>
          <w:b/>
          <w:bCs/>
          <w:i/>
          <w:iCs/>
          <w:sz w:val="22"/>
          <w:szCs w:val="22"/>
        </w:rPr>
        <w:t>–</w:t>
      </w:r>
      <w:r w:rsidRPr="00D058C1">
        <w:rPr>
          <w:rFonts w:ascii="Cambria" w:hAnsi="Cambria"/>
          <w:b/>
          <w:bCs/>
          <w:i/>
          <w:iCs/>
          <w:sz w:val="22"/>
          <w:szCs w:val="22"/>
        </w:rPr>
        <w:t xml:space="preserve"> </w:t>
      </w:r>
      <w:r w:rsidRPr="00D058C1">
        <w:rPr>
          <w:rFonts w:ascii="Cambria" w:hAnsi="Cambria"/>
          <w:sz w:val="22"/>
          <w:szCs w:val="22"/>
        </w:rPr>
        <w:t xml:space="preserve">There was also deliberate effort on the part of APP </w:t>
      </w:r>
      <w:r w:rsidR="00355F3F">
        <w:rPr>
          <w:rFonts w:ascii="Cambria" w:hAnsi="Cambria"/>
          <w:sz w:val="22"/>
          <w:szCs w:val="22"/>
        </w:rPr>
        <w:t>and</w:t>
      </w:r>
      <w:r w:rsidR="00405069">
        <w:rPr>
          <w:rFonts w:ascii="Cambria" w:hAnsi="Cambria"/>
          <w:sz w:val="22"/>
          <w:szCs w:val="22"/>
        </w:rPr>
        <w:t xml:space="preserve"> </w:t>
      </w:r>
      <w:r w:rsidR="00405069" w:rsidRPr="00300E20">
        <w:rPr>
          <w:rFonts w:ascii="Cambria" w:hAnsi="Cambria"/>
          <w:sz w:val="22"/>
          <w:szCs w:val="22"/>
        </w:rPr>
        <w:t>multilateral</w:t>
      </w:r>
      <w:r w:rsidR="00355F3F" w:rsidRPr="00300E20">
        <w:rPr>
          <w:rFonts w:ascii="Cambria" w:hAnsi="Cambria"/>
          <w:sz w:val="22"/>
          <w:szCs w:val="22"/>
        </w:rPr>
        <w:t xml:space="preserve"> implementing </w:t>
      </w:r>
      <w:r w:rsidRPr="00300E20">
        <w:rPr>
          <w:rFonts w:ascii="Cambria" w:hAnsi="Cambria"/>
          <w:sz w:val="22"/>
          <w:szCs w:val="22"/>
        </w:rPr>
        <w:t>partners</w:t>
      </w:r>
      <w:r w:rsidR="00405069" w:rsidRPr="00300E20">
        <w:rPr>
          <w:rFonts w:ascii="Cambria" w:hAnsi="Cambria"/>
          <w:sz w:val="22"/>
          <w:szCs w:val="22"/>
        </w:rPr>
        <w:t xml:space="preserve"> and their subgrantees</w:t>
      </w:r>
      <w:r w:rsidRPr="00300E20">
        <w:rPr>
          <w:rFonts w:ascii="Cambria" w:hAnsi="Cambria"/>
          <w:sz w:val="22"/>
          <w:szCs w:val="22"/>
        </w:rPr>
        <w:t>, particularly TAF, IAG and IA to reach out to IP communities to ensure their voices are heard in BARMM and the trajectory of the peace process</w:t>
      </w:r>
      <w:r w:rsidR="00300E20" w:rsidRPr="00300E20">
        <w:rPr>
          <w:rFonts w:ascii="Cambria" w:hAnsi="Cambria"/>
          <w:sz w:val="22"/>
          <w:szCs w:val="22"/>
        </w:rPr>
        <w:t xml:space="preserve">, </w:t>
      </w:r>
      <w:r w:rsidR="00300E20" w:rsidRPr="00A928D6">
        <w:rPr>
          <w:rFonts w:ascii="Cambria" w:eastAsiaTheme="minorEastAsia" w:hAnsi="Cambria" w:cs="AppleSystemUIFont"/>
          <w:sz w:val="22"/>
          <w:szCs w:val="22"/>
          <w:lang w:val="en-GB" w:eastAsia="en-US"/>
        </w:rPr>
        <w:t>leading up to the creation of the BARMM Ministry of Indigenous Peoples’ Affairs (MIPA).</w:t>
      </w:r>
      <w:r w:rsidRPr="00300E20">
        <w:rPr>
          <w:rFonts w:ascii="Cambria" w:hAnsi="Cambria"/>
          <w:sz w:val="22"/>
          <w:szCs w:val="22"/>
        </w:rPr>
        <w:t xml:space="preserve"> While there is sensitivity over the issue with some BARMM officials on the matter</w:t>
      </w:r>
      <w:r w:rsidR="00937F36" w:rsidRPr="00300E20">
        <w:rPr>
          <w:rFonts w:ascii="Cambria" w:hAnsi="Cambria"/>
          <w:sz w:val="22"/>
          <w:szCs w:val="22"/>
        </w:rPr>
        <w:t xml:space="preserve"> particularly due to the outstanding land claims in Maguindanao</w:t>
      </w:r>
      <w:r w:rsidRPr="00300E20">
        <w:rPr>
          <w:rFonts w:ascii="Cambria" w:hAnsi="Cambria"/>
          <w:sz w:val="22"/>
          <w:szCs w:val="22"/>
        </w:rPr>
        <w:t xml:space="preserve">, the APP </w:t>
      </w:r>
      <w:r w:rsidR="00355F3F" w:rsidRPr="00300E20">
        <w:rPr>
          <w:rFonts w:ascii="Cambria" w:hAnsi="Cambria"/>
          <w:sz w:val="22"/>
          <w:szCs w:val="22"/>
        </w:rPr>
        <w:t xml:space="preserve">and </w:t>
      </w:r>
      <w:r w:rsidR="00937F36" w:rsidRPr="00300E20">
        <w:rPr>
          <w:rFonts w:ascii="Cambria" w:hAnsi="Cambria"/>
          <w:sz w:val="22"/>
          <w:szCs w:val="22"/>
        </w:rPr>
        <w:t xml:space="preserve">other </w:t>
      </w:r>
      <w:r w:rsidR="00355F3F" w:rsidRPr="00300E20">
        <w:rPr>
          <w:rFonts w:ascii="Cambria" w:hAnsi="Cambria"/>
          <w:sz w:val="22"/>
          <w:szCs w:val="22"/>
        </w:rPr>
        <w:t xml:space="preserve">implementing </w:t>
      </w:r>
      <w:r w:rsidRPr="00300E20">
        <w:rPr>
          <w:rFonts w:ascii="Cambria" w:hAnsi="Cambria"/>
          <w:sz w:val="22"/>
          <w:szCs w:val="22"/>
        </w:rPr>
        <w:t xml:space="preserve">partners made sure that </w:t>
      </w:r>
      <w:proofErr w:type="spellStart"/>
      <w:r w:rsidRPr="00300E20">
        <w:rPr>
          <w:rFonts w:ascii="Cambria" w:hAnsi="Cambria"/>
          <w:sz w:val="22"/>
          <w:szCs w:val="22"/>
        </w:rPr>
        <w:t>I</w:t>
      </w:r>
      <w:r w:rsidR="008E7989" w:rsidRPr="00300E20">
        <w:rPr>
          <w:rFonts w:ascii="Cambria" w:hAnsi="Cambria"/>
          <w:sz w:val="22"/>
          <w:szCs w:val="22"/>
        </w:rPr>
        <w:t>p</w:t>
      </w:r>
      <w:r w:rsidRPr="00300E20">
        <w:rPr>
          <w:rFonts w:ascii="Cambria" w:hAnsi="Cambria"/>
          <w:sz w:val="22"/>
          <w:szCs w:val="22"/>
        </w:rPr>
        <w:t>s</w:t>
      </w:r>
      <w:proofErr w:type="spellEnd"/>
      <w:r w:rsidRPr="00300E20">
        <w:rPr>
          <w:rFonts w:ascii="Cambria" w:hAnsi="Cambria"/>
          <w:sz w:val="22"/>
          <w:szCs w:val="22"/>
        </w:rPr>
        <w:t xml:space="preserve"> forums are held and </w:t>
      </w:r>
      <w:proofErr w:type="spellStart"/>
      <w:r w:rsidRPr="00300E20">
        <w:rPr>
          <w:rFonts w:ascii="Cambria" w:hAnsi="Cambria"/>
          <w:sz w:val="22"/>
          <w:szCs w:val="22"/>
        </w:rPr>
        <w:t>I</w:t>
      </w:r>
      <w:r w:rsidR="008E7989" w:rsidRPr="00300E20">
        <w:rPr>
          <w:rFonts w:ascii="Cambria" w:hAnsi="Cambria"/>
          <w:sz w:val="22"/>
          <w:szCs w:val="22"/>
        </w:rPr>
        <w:t>p</w:t>
      </w:r>
      <w:r w:rsidRPr="00300E20">
        <w:rPr>
          <w:rFonts w:ascii="Cambria" w:hAnsi="Cambria"/>
          <w:sz w:val="22"/>
          <w:szCs w:val="22"/>
        </w:rPr>
        <w:t>s</w:t>
      </w:r>
      <w:proofErr w:type="spellEnd"/>
      <w:r w:rsidRPr="00300E20">
        <w:rPr>
          <w:rFonts w:ascii="Cambria" w:hAnsi="Cambria"/>
          <w:sz w:val="22"/>
          <w:szCs w:val="22"/>
        </w:rPr>
        <w:t xml:space="preserve"> are invited in various forums that they sponsored and organized to discuss how the BARMM government can respond to the varying needs of the IP communities within the Bangsamoro region to ensure inclusivity in the peace process.   </w:t>
      </w:r>
      <w:r w:rsidR="00405069" w:rsidRPr="00300E20">
        <w:rPr>
          <w:rFonts w:ascii="Cambria" w:hAnsi="Cambria"/>
          <w:sz w:val="22"/>
          <w:szCs w:val="22"/>
        </w:rPr>
        <w:t>However, effort will be required to ensure that IP inclusion—as well as the inclusion of other vulnerable sectors, including orphans, widows, and internally-displaced persons</w:t>
      </w:r>
      <w:r w:rsidR="008E7989">
        <w:rPr>
          <w:rFonts w:ascii="Cambria" w:hAnsi="Cambria"/>
          <w:sz w:val="22"/>
          <w:szCs w:val="22"/>
        </w:rPr>
        <w:t>–</w:t>
      </w:r>
      <w:r w:rsidR="00405069" w:rsidRPr="00405069">
        <w:rPr>
          <w:rFonts w:ascii="Cambria" w:hAnsi="Cambria"/>
          <w:sz w:val="22"/>
          <w:szCs w:val="22"/>
        </w:rPr>
        <w:t xml:space="preserve">goes beyond checklist representation and into substantial and substantive participation. </w:t>
      </w:r>
    </w:p>
    <w:p w14:paraId="14CF581A" w14:textId="77777777" w:rsidR="00405069" w:rsidRPr="00D058C1" w:rsidRDefault="00405069" w:rsidP="003D05A0">
      <w:pPr>
        <w:pStyle w:val="ListParagraph"/>
        <w:tabs>
          <w:tab w:val="left" w:pos="284"/>
          <w:tab w:val="left" w:pos="709"/>
        </w:tabs>
        <w:jc w:val="both"/>
        <w:rPr>
          <w:rFonts w:ascii="Cambria" w:hAnsi="Cambria"/>
          <w:sz w:val="22"/>
          <w:szCs w:val="22"/>
        </w:rPr>
      </w:pPr>
    </w:p>
    <w:p w14:paraId="13350E37" w14:textId="4FAA571D" w:rsidR="005E7A12" w:rsidRPr="00D058C1" w:rsidRDefault="001A14A4" w:rsidP="00F11FA7">
      <w:pPr>
        <w:pStyle w:val="ListParagraph"/>
        <w:numPr>
          <w:ilvl w:val="0"/>
          <w:numId w:val="77"/>
        </w:numPr>
        <w:jc w:val="both"/>
      </w:pPr>
      <w:r>
        <w:rPr>
          <w:rFonts w:ascii="Cambria" w:hAnsi="Cambria"/>
          <w:sz w:val="22"/>
          <w:szCs w:val="22"/>
        </w:rPr>
        <w:t xml:space="preserve">Although not explicitly </w:t>
      </w:r>
      <w:r w:rsidR="00FC5BE9">
        <w:rPr>
          <w:rFonts w:ascii="Cambria" w:hAnsi="Cambria"/>
          <w:sz w:val="22"/>
          <w:szCs w:val="22"/>
        </w:rPr>
        <w:t xml:space="preserve">included in the Australian DFAT portfolio design for Mindanao, early-stage initiatives that acknowledge the link between </w:t>
      </w:r>
      <w:r w:rsidR="002376D9">
        <w:rPr>
          <w:rFonts w:ascii="Cambria" w:hAnsi="Cambria"/>
          <w:sz w:val="22"/>
          <w:szCs w:val="22"/>
        </w:rPr>
        <w:t>c</w:t>
      </w:r>
      <w:r w:rsidR="005E7A12" w:rsidRPr="00F11FA7">
        <w:rPr>
          <w:rFonts w:ascii="Cambria" w:hAnsi="Cambria"/>
          <w:sz w:val="22"/>
          <w:szCs w:val="22"/>
        </w:rPr>
        <w:t>limate change a</w:t>
      </w:r>
      <w:r w:rsidR="00405069">
        <w:rPr>
          <w:rFonts w:ascii="Cambria" w:hAnsi="Cambria"/>
          <w:sz w:val="22"/>
          <w:szCs w:val="22"/>
        </w:rPr>
        <w:t>daptation and disaster risk reduction and management (CCA/D</w:t>
      </w:r>
      <w:r w:rsidR="005E7A12" w:rsidRPr="00F11FA7">
        <w:rPr>
          <w:rFonts w:ascii="Cambria" w:hAnsi="Cambria"/>
          <w:sz w:val="22"/>
          <w:szCs w:val="22"/>
        </w:rPr>
        <w:t>RRM</w:t>
      </w:r>
      <w:r w:rsidR="00405069">
        <w:rPr>
          <w:rFonts w:ascii="Cambria" w:hAnsi="Cambria"/>
          <w:sz w:val="22"/>
          <w:szCs w:val="22"/>
        </w:rPr>
        <w:t>)</w:t>
      </w:r>
      <w:r w:rsidR="002D0A31">
        <w:rPr>
          <w:rFonts w:ascii="Cambria" w:hAnsi="Cambria"/>
          <w:sz w:val="22"/>
          <w:szCs w:val="22"/>
        </w:rPr>
        <w:t xml:space="preserve"> </w:t>
      </w:r>
      <w:r w:rsidR="00FC5BE9">
        <w:rPr>
          <w:rFonts w:ascii="Cambria" w:hAnsi="Cambria"/>
          <w:sz w:val="22"/>
          <w:szCs w:val="22"/>
        </w:rPr>
        <w:t xml:space="preserve">and </w:t>
      </w:r>
      <w:r w:rsidR="002D0A31">
        <w:rPr>
          <w:rFonts w:ascii="Cambria" w:hAnsi="Cambria"/>
          <w:sz w:val="22"/>
          <w:szCs w:val="22"/>
        </w:rPr>
        <w:t xml:space="preserve">armed conflict </w:t>
      </w:r>
      <w:r w:rsidR="00405069">
        <w:rPr>
          <w:rFonts w:ascii="Cambria" w:hAnsi="Cambria"/>
          <w:sz w:val="22"/>
          <w:szCs w:val="22"/>
        </w:rPr>
        <w:t>were</w:t>
      </w:r>
      <w:r w:rsidR="00FC5BE9">
        <w:rPr>
          <w:rFonts w:ascii="Cambria" w:hAnsi="Cambria"/>
          <w:sz w:val="22"/>
          <w:szCs w:val="22"/>
        </w:rPr>
        <w:t xml:space="preserve"> implemented by UNDP, I</w:t>
      </w:r>
      <w:r w:rsidR="005569E5">
        <w:rPr>
          <w:rFonts w:ascii="Cambria" w:hAnsi="Cambria"/>
          <w:sz w:val="22"/>
          <w:szCs w:val="22"/>
        </w:rPr>
        <w:t xml:space="preserve">nternational </w:t>
      </w:r>
      <w:r w:rsidR="00FC5BE9">
        <w:rPr>
          <w:rFonts w:ascii="Cambria" w:hAnsi="Cambria"/>
          <w:sz w:val="22"/>
          <w:szCs w:val="22"/>
        </w:rPr>
        <w:t>A</w:t>
      </w:r>
      <w:r w:rsidR="005569E5">
        <w:rPr>
          <w:rFonts w:ascii="Cambria" w:hAnsi="Cambria"/>
          <w:sz w:val="22"/>
          <w:szCs w:val="22"/>
        </w:rPr>
        <w:t>lert</w:t>
      </w:r>
      <w:r w:rsidR="00FC5BE9">
        <w:rPr>
          <w:rFonts w:ascii="Cambria" w:hAnsi="Cambria"/>
          <w:sz w:val="22"/>
          <w:szCs w:val="22"/>
        </w:rPr>
        <w:t>, and TAF.</w:t>
      </w:r>
    </w:p>
    <w:p w14:paraId="26CEEB76" w14:textId="77777777" w:rsidR="008E7989" w:rsidRDefault="008E7989" w:rsidP="00A928D6">
      <w:pPr>
        <w:pStyle w:val="ListParagraph"/>
        <w:rPr>
          <w:rFonts w:ascii="Cambria" w:hAnsi="Cambria"/>
          <w:b/>
          <w:bCs/>
          <w:sz w:val="22"/>
          <w:szCs w:val="22"/>
        </w:rPr>
      </w:pPr>
      <w:bookmarkStart w:id="31" w:name="_Toc34220986"/>
    </w:p>
    <w:p w14:paraId="4D57F67C" w14:textId="0C84D207" w:rsidR="00997E01" w:rsidRPr="00D058C1" w:rsidRDefault="00997E01" w:rsidP="00193830">
      <w:pPr>
        <w:pStyle w:val="Heading1"/>
        <w:rPr>
          <w:rFonts w:ascii="Cambria" w:hAnsi="Cambria"/>
          <w:b/>
          <w:bCs/>
          <w:sz w:val="22"/>
          <w:szCs w:val="22"/>
        </w:rPr>
      </w:pPr>
      <w:bookmarkStart w:id="32" w:name="_Toc55309684"/>
      <w:r w:rsidRPr="00D058C1">
        <w:rPr>
          <w:rFonts w:ascii="Cambria" w:hAnsi="Cambria"/>
          <w:b/>
          <w:bCs/>
          <w:sz w:val="22"/>
          <w:szCs w:val="22"/>
        </w:rPr>
        <w:t xml:space="preserve">III.   </w:t>
      </w:r>
      <w:r w:rsidRPr="00D058C1">
        <w:rPr>
          <w:rFonts w:ascii="Cambria" w:hAnsi="Cambria"/>
          <w:b/>
          <w:bCs/>
          <w:sz w:val="22"/>
          <w:szCs w:val="22"/>
        </w:rPr>
        <w:tab/>
        <w:t>Ex</w:t>
      </w:r>
      <w:r w:rsidR="00D36C79" w:rsidRPr="00D058C1">
        <w:rPr>
          <w:rFonts w:ascii="Cambria" w:hAnsi="Cambria"/>
          <w:b/>
          <w:bCs/>
          <w:sz w:val="22"/>
          <w:szCs w:val="22"/>
        </w:rPr>
        <w:t>o</w:t>
      </w:r>
      <w:r w:rsidRPr="00D058C1">
        <w:rPr>
          <w:rFonts w:ascii="Cambria" w:hAnsi="Cambria"/>
          <w:b/>
          <w:bCs/>
          <w:sz w:val="22"/>
          <w:szCs w:val="22"/>
        </w:rPr>
        <w:t>genous Factors Impacting Program Effectiveness</w:t>
      </w:r>
      <w:bookmarkEnd w:id="31"/>
      <w:bookmarkEnd w:id="32"/>
    </w:p>
    <w:p w14:paraId="4F4BCD92" w14:textId="2A1A4BB5" w:rsidR="00D36C79" w:rsidRPr="00D058C1" w:rsidRDefault="00D36C79" w:rsidP="0050586F">
      <w:pPr>
        <w:tabs>
          <w:tab w:val="left" w:pos="284"/>
          <w:tab w:val="left" w:pos="709"/>
        </w:tabs>
        <w:jc w:val="both"/>
        <w:rPr>
          <w:rFonts w:ascii="Cambria" w:hAnsi="Cambria"/>
          <w:b/>
          <w:bCs/>
          <w:sz w:val="22"/>
          <w:szCs w:val="22"/>
        </w:rPr>
      </w:pPr>
    </w:p>
    <w:p w14:paraId="4DD72749" w14:textId="07604A12" w:rsidR="00D36C79" w:rsidRPr="00D058C1" w:rsidRDefault="00D36C79" w:rsidP="005755F4">
      <w:pPr>
        <w:pStyle w:val="ListParagraph"/>
        <w:numPr>
          <w:ilvl w:val="0"/>
          <w:numId w:val="77"/>
        </w:numPr>
        <w:tabs>
          <w:tab w:val="left" w:pos="284"/>
          <w:tab w:val="left" w:pos="709"/>
        </w:tabs>
        <w:jc w:val="both"/>
        <w:rPr>
          <w:rFonts w:ascii="Cambria" w:hAnsi="Cambria"/>
          <w:sz w:val="22"/>
          <w:szCs w:val="22"/>
        </w:rPr>
      </w:pPr>
      <w:r w:rsidRPr="00D058C1">
        <w:rPr>
          <w:rFonts w:ascii="Cambria" w:hAnsi="Cambria"/>
          <w:sz w:val="22"/>
          <w:szCs w:val="22"/>
        </w:rPr>
        <w:t>The effectiveness or success of d</w:t>
      </w:r>
      <w:r w:rsidR="007A68C6" w:rsidRPr="00D058C1">
        <w:rPr>
          <w:rFonts w:ascii="Cambria" w:hAnsi="Cambria"/>
          <w:sz w:val="22"/>
          <w:szCs w:val="22"/>
        </w:rPr>
        <w:t>onor’s</w:t>
      </w:r>
      <w:r w:rsidRPr="00D058C1">
        <w:rPr>
          <w:rFonts w:ascii="Cambria" w:hAnsi="Cambria"/>
          <w:sz w:val="22"/>
          <w:szCs w:val="22"/>
        </w:rPr>
        <w:t xml:space="preserve"> assistance </w:t>
      </w:r>
      <w:r w:rsidR="007A68C6" w:rsidRPr="00D058C1">
        <w:rPr>
          <w:rFonts w:ascii="Cambria" w:hAnsi="Cambria"/>
          <w:sz w:val="22"/>
          <w:szCs w:val="22"/>
        </w:rPr>
        <w:t>i</w:t>
      </w:r>
      <w:r w:rsidRPr="00D058C1">
        <w:rPr>
          <w:rFonts w:ascii="Cambria" w:hAnsi="Cambria"/>
          <w:sz w:val="22"/>
          <w:szCs w:val="22"/>
        </w:rPr>
        <w:t>n attaining peace and stability is to a large extent determined by the policy and institutional environment within which the peace process evolved.</w:t>
      </w:r>
      <w:r w:rsidRPr="00D058C1">
        <w:rPr>
          <w:rStyle w:val="FootnoteReference"/>
          <w:rFonts w:ascii="Cambria" w:hAnsi="Cambria"/>
          <w:sz w:val="22"/>
          <w:szCs w:val="22"/>
        </w:rPr>
        <w:footnoteReference w:id="6"/>
      </w:r>
      <w:r w:rsidRPr="00D058C1">
        <w:rPr>
          <w:rFonts w:ascii="Cambria" w:hAnsi="Cambria"/>
          <w:sz w:val="22"/>
          <w:szCs w:val="22"/>
        </w:rPr>
        <w:t xml:space="preserve">  This is not surprising as d</w:t>
      </w:r>
      <w:r w:rsidR="007A68C6" w:rsidRPr="00D058C1">
        <w:rPr>
          <w:rFonts w:ascii="Cambria" w:hAnsi="Cambria"/>
          <w:sz w:val="22"/>
          <w:szCs w:val="22"/>
        </w:rPr>
        <w:t xml:space="preserve">onors </w:t>
      </w:r>
      <w:r w:rsidRPr="00D058C1">
        <w:rPr>
          <w:rFonts w:ascii="Cambria" w:hAnsi="Cambria"/>
          <w:sz w:val="22"/>
          <w:szCs w:val="22"/>
        </w:rPr>
        <w:t>are not</w:t>
      </w:r>
      <w:r w:rsidR="004B46B7" w:rsidRPr="00D058C1">
        <w:rPr>
          <w:rFonts w:ascii="Cambria" w:hAnsi="Cambria"/>
          <w:sz w:val="22"/>
          <w:szCs w:val="22"/>
        </w:rPr>
        <w:t xml:space="preserve"> the</w:t>
      </w:r>
      <w:r w:rsidRPr="00D058C1">
        <w:rPr>
          <w:rFonts w:ascii="Cambria" w:hAnsi="Cambria"/>
          <w:sz w:val="22"/>
          <w:szCs w:val="22"/>
        </w:rPr>
        <w:t xml:space="preserve"> </w:t>
      </w:r>
      <w:r w:rsidR="007A68C6" w:rsidRPr="00D058C1">
        <w:rPr>
          <w:rFonts w:ascii="Cambria" w:hAnsi="Cambria"/>
          <w:sz w:val="22"/>
          <w:szCs w:val="22"/>
        </w:rPr>
        <w:t>main</w:t>
      </w:r>
      <w:r w:rsidRPr="00D058C1">
        <w:rPr>
          <w:rFonts w:ascii="Cambria" w:hAnsi="Cambria"/>
          <w:sz w:val="22"/>
          <w:szCs w:val="22"/>
        </w:rPr>
        <w:t xml:space="preserve"> actors in the conflict; in the case of the Mindanao conflict, they are the </w:t>
      </w:r>
      <w:r w:rsidR="00D01B37" w:rsidRPr="00D058C1">
        <w:rPr>
          <w:rFonts w:ascii="Cambria" w:hAnsi="Cambria"/>
          <w:sz w:val="22"/>
          <w:szCs w:val="22"/>
        </w:rPr>
        <w:t>GPH</w:t>
      </w:r>
      <w:r w:rsidRPr="00D058C1">
        <w:rPr>
          <w:rFonts w:ascii="Cambria" w:hAnsi="Cambria"/>
          <w:sz w:val="22"/>
          <w:szCs w:val="22"/>
        </w:rPr>
        <w:t xml:space="preserve"> and the MILF.  The policy and institutional arrangements agreed and set up by both parties delineate the </w:t>
      </w:r>
      <w:r w:rsidRPr="00D058C1">
        <w:rPr>
          <w:rFonts w:ascii="Cambria" w:hAnsi="Cambria"/>
          <w:sz w:val="22"/>
          <w:szCs w:val="22"/>
        </w:rPr>
        <w:lastRenderedPageBreak/>
        <w:t>parameters within which d</w:t>
      </w:r>
      <w:r w:rsidR="007A68C6" w:rsidRPr="00D058C1">
        <w:rPr>
          <w:rFonts w:ascii="Cambria" w:hAnsi="Cambria"/>
          <w:sz w:val="22"/>
          <w:szCs w:val="22"/>
        </w:rPr>
        <w:t>onor</w:t>
      </w:r>
      <w:r w:rsidRPr="00D058C1">
        <w:rPr>
          <w:rFonts w:ascii="Cambria" w:hAnsi="Cambria"/>
          <w:sz w:val="22"/>
          <w:szCs w:val="22"/>
        </w:rPr>
        <w:t>s can engage.  A number of these policy and institutional</w:t>
      </w:r>
      <w:r w:rsidR="007A68C6" w:rsidRPr="00D058C1">
        <w:rPr>
          <w:rFonts w:ascii="Cambria" w:hAnsi="Cambria"/>
          <w:sz w:val="22"/>
          <w:szCs w:val="22"/>
        </w:rPr>
        <w:t xml:space="preserve"> bottlenecks constrained greater effectiveness of APP </w:t>
      </w:r>
      <w:r w:rsidR="00546276">
        <w:rPr>
          <w:rFonts w:ascii="Cambria" w:hAnsi="Cambria"/>
          <w:sz w:val="22"/>
          <w:szCs w:val="22"/>
        </w:rPr>
        <w:t>and</w:t>
      </w:r>
      <w:r w:rsidR="008774ED">
        <w:rPr>
          <w:rFonts w:ascii="Cambria" w:hAnsi="Cambria"/>
          <w:sz w:val="22"/>
          <w:szCs w:val="22"/>
        </w:rPr>
        <w:t xml:space="preserve"> multilateral</w:t>
      </w:r>
      <w:r w:rsidR="00546276">
        <w:rPr>
          <w:rFonts w:ascii="Cambria" w:hAnsi="Cambria"/>
          <w:sz w:val="22"/>
          <w:szCs w:val="22"/>
        </w:rPr>
        <w:t xml:space="preserve"> implementing </w:t>
      </w:r>
      <w:r w:rsidR="007A68C6" w:rsidRPr="00D058C1">
        <w:rPr>
          <w:rFonts w:ascii="Cambria" w:hAnsi="Cambria"/>
          <w:sz w:val="22"/>
          <w:szCs w:val="22"/>
        </w:rPr>
        <w:t>partners</w:t>
      </w:r>
      <w:r w:rsidR="008774ED">
        <w:rPr>
          <w:rFonts w:ascii="Cambria" w:hAnsi="Cambria"/>
          <w:sz w:val="22"/>
          <w:szCs w:val="22"/>
        </w:rPr>
        <w:t xml:space="preserve"> and their subgrantees</w:t>
      </w:r>
      <w:r w:rsidR="00534285" w:rsidRPr="00D058C1">
        <w:rPr>
          <w:rFonts w:ascii="Cambria" w:hAnsi="Cambria"/>
          <w:sz w:val="22"/>
          <w:szCs w:val="22"/>
        </w:rPr>
        <w:t>, among which are:</w:t>
      </w:r>
      <w:r w:rsidRPr="00D058C1">
        <w:rPr>
          <w:rFonts w:ascii="Cambria" w:hAnsi="Cambria"/>
          <w:sz w:val="22"/>
          <w:szCs w:val="22"/>
        </w:rPr>
        <w:t xml:space="preserve">  </w:t>
      </w:r>
    </w:p>
    <w:p w14:paraId="5C9226E0" w14:textId="6DEA498C" w:rsidR="00997E01" w:rsidRPr="00D058C1" w:rsidRDefault="00997E01" w:rsidP="0050586F">
      <w:pPr>
        <w:tabs>
          <w:tab w:val="left" w:pos="284"/>
          <w:tab w:val="left" w:pos="709"/>
        </w:tabs>
        <w:jc w:val="both"/>
        <w:rPr>
          <w:rFonts w:ascii="Cambria" w:hAnsi="Cambria"/>
          <w:b/>
          <w:bCs/>
          <w:sz w:val="22"/>
          <w:szCs w:val="22"/>
        </w:rPr>
      </w:pPr>
    </w:p>
    <w:p w14:paraId="2A7240BC" w14:textId="737FD90C" w:rsidR="00442211" w:rsidRPr="00D058C1" w:rsidRDefault="00442211" w:rsidP="007A68C6">
      <w:pPr>
        <w:pStyle w:val="ListParagraph"/>
        <w:numPr>
          <w:ilvl w:val="0"/>
          <w:numId w:val="33"/>
        </w:numPr>
        <w:tabs>
          <w:tab w:val="left" w:pos="284"/>
          <w:tab w:val="left" w:pos="709"/>
        </w:tabs>
        <w:jc w:val="both"/>
        <w:rPr>
          <w:rFonts w:ascii="Cambria" w:hAnsi="Cambria"/>
          <w:b/>
          <w:bCs/>
          <w:i/>
          <w:iCs/>
          <w:sz w:val="22"/>
          <w:szCs w:val="22"/>
        </w:rPr>
      </w:pPr>
      <w:r w:rsidRPr="00D058C1">
        <w:rPr>
          <w:rFonts w:ascii="Cambria" w:hAnsi="Cambria"/>
          <w:b/>
          <w:bCs/>
          <w:i/>
          <w:iCs/>
          <w:sz w:val="22"/>
          <w:szCs w:val="22"/>
        </w:rPr>
        <w:t xml:space="preserve">Coordination issues </w:t>
      </w:r>
    </w:p>
    <w:p w14:paraId="19761F4B" w14:textId="77777777" w:rsidR="00F04533" w:rsidRPr="00D058C1" w:rsidRDefault="00F04533" w:rsidP="00F04533">
      <w:pPr>
        <w:tabs>
          <w:tab w:val="left" w:pos="284"/>
          <w:tab w:val="left" w:pos="709"/>
        </w:tabs>
        <w:ind w:left="710"/>
        <w:jc w:val="both"/>
        <w:rPr>
          <w:rFonts w:ascii="Cambria" w:hAnsi="Cambria"/>
          <w:b/>
          <w:bCs/>
          <w:i/>
          <w:iCs/>
          <w:sz w:val="22"/>
          <w:szCs w:val="22"/>
        </w:rPr>
      </w:pPr>
    </w:p>
    <w:p w14:paraId="4001D8BC" w14:textId="747E1F3A" w:rsidR="009C4F04" w:rsidRPr="00A928D6" w:rsidRDefault="009C4F04" w:rsidP="00A928D6">
      <w:pPr>
        <w:pStyle w:val="ListParagraph"/>
        <w:tabs>
          <w:tab w:val="left" w:pos="284"/>
          <w:tab w:val="left" w:pos="709"/>
        </w:tabs>
        <w:ind w:left="709"/>
        <w:jc w:val="both"/>
        <w:rPr>
          <w:rFonts w:ascii="Cambria" w:hAnsi="Cambria"/>
          <w:b/>
          <w:bCs/>
          <w:i/>
          <w:iCs/>
          <w:sz w:val="22"/>
          <w:szCs w:val="22"/>
        </w:rPr>
      </w:pPr>
      <w:r w:rsidRPr="00A928D6">
        <w:rPr>
          <w:rFonts w:ascii="Cambria" w:hAnsi="Cambria"/>
          <w:b/>
          <w:bCs/>
          <w:i/>
          <w:iCs/>
          <w:sz w:val="22"/>
          <w:szCs w:val="22"/>
        </w:rPr>
        <w:t>(</w:t>
      </w:r>
      <w:proofErr w:type="spellStart"/>
      <w:r w:rsidRPr="00A928D6">
        <w:rPr>
          <w:rFonts w:ascii="Cambria" w:hAnsi="Cambria"/>
          <w:b/>
          <w:bCs/>
          <w:i/>
          <w:iCs/>
          <w:sz w:val="22"/>
          <w:szCs w:val="22"/>
        </w:rPr>
        <w:t>i</w:t>
      </w:r>
      <w:proofErr w:type="spellEnd"/>
      <w:r w:rsidRPr="00A928D6">
        <w:rPr>
          <w:rFonts w:ascii="Cambria" w:hAnsi="Cambria"/>
          <w:b/>
          <w:bCs/>
          <w:i/>
          <w:iCs/>
          <w:sz w:val="22"/>
          <w:szCs w:val="22"/>
        </w:rPr>
        <w:t xml:space="preserve">) Donor coordination </w:t>
      </w:r>
      <w:r w:rsidR="008E7989" w:rsidRPr="00A928D6">
        <w:rPr>
          <w:rFonts w:ascii="Cambria" w:hAnsi="Cambria"/>
          <w:b/>
          <w:bCs/>
          <w:i/>
          <w:iCs/>
          <w:sz w:val="22"/>
          <w:szCs w:val="22"/>
        </w:rPr>
        <w:t>–</w:t>
      </w:r>
      <w:r w:rsidRPr="00A928D6">
        <w:rPr>
          <w:rFonts w:ascii="Cambria" w:hAnsi="Cambria"/>
          <w:b/>
          <w:bCs/>
          <w:i/>
          <w:iCs/>
          <w:sz w:val="22"/>
          <w:szCs w:val="22"/>
        </w:rPr>
        <w:t xml:space="preserve"> </w:t>
      </w:r>
      <w:r w:rsidRPr="00A928D6">
        <w:rPr>
          <w:rFonts w:ascii="Cambria" w:hAnsi="Cambria"/>
          <w:sz w:val="22"/>
          <w:szCs w:val="22"/>
        </w:rPr>
        <w:t xml:space="preserve">Early in the administration of the Duterte administration, the Office of the Presidential Adviser on the Peace Process (OPAPP) formulated the “Mindanao Peace and Development Framework”, a government blueprint in attaining peace and development in the island and identified areas where development partners could help.   OPAPP called for a series of meetings with the development partners with the objective of sharing the framework and improving donor coordination.  However, the change of leadership in OPAPP in 2018 did not see a follow up on this effort.  The gap could have been addressed if the </w:t>
      </w:r>
      <w:proofErr w:type="gramStart"/>
      <w:r w:rsidRPr="00A928D6">
        <w:rPr>
          <w:rFonts w:ascii="Cambria" w:hAnsi="Cambria"/>
          <w:sz w:val="22"/>
          <w:szCs w:val="22"/>
        </w:rPr>
        <w:t>newly-established</w:t>
      </w:r>
      <w:proofErr w:type="gramEnd"/>
      <w:r w:rsidRPr="00A928D6">
        <w:rPr>
          <w:rFonts w:ascii="Cambria" w:hAnsi="Cambria"/>
          <w:sz w:val="22"/>
          <w:szCs w:val="22"/>
        </w:rPr>
        <w:t xml:space="preserve"> BARMM government had taken over the leadership role on this initiative.   Unfortunately, it did not.  </w:t>
      </w:r>
    </w:p>
    <w:p w14:paraId="21E47705" w14:textId="77777777" w:rsidR="009C4F04" w:rsidRPr="00D058C1" w:rsidRDefault="009C4F04" w:rsidP="009C4F04">
      <w:pPr>
        <w:pStyle w:val="ListParagraph"/>
        <w:tabs>
          <w:tab w:val="left" w:pos="284"/>
          <w:tab w:val="left" w:pos="709"/>
        </w:tabs>
        <w:ind w:left="1070"/>
        <w:jc w:val="both"/>
        <w:rPr>
          <w:rFonts w:ascii="Cambria" w:hAnsi="Cambria"/>
          <w:b/>
          <w:bCs/>
          <w:i/>
          <w:iCs/>
          <w:sz w:val="22"/>
          <w:szCs w:val="22"/>
        </w:rPr>
      </w:pPr>
    </w:p>
    <w:p w14:paraId="54B6C2AC" w14:textId="291C08CD" w:rsidR="009C4F04" w:rsidRPr="00D058C1" w:rsidRDefault="009C4F04" w:rsidP="009C4F04">
      <w:pPr>
        <w:pStyle w:val="ListParagraph"/>
        <w:tabs>
          <w:tab w:val="left" w:pos="284"/>
          <w:tab w:val="left" w:pos="709"/>
          <w:tab w:val="left" w:pos="1418"/>
        </w:tabs>
        <w:ind w:left="710"/>
        <w:jc w:val="both"/>
        <w:rPr>
          <w:rFonts w:ascii="Cambria" w:hAnsi="Cambria"/>
          <w:sz w:val="22"/>
          <w:szCs w:val="22"/>
        </w:rPr>
      </w:pPr>
      <w:r w:rsidRPr="00D058C1">
        <w:rPr>
          <w:rFonts w:ascii="Cambria" w:hAnsi="Cambria"/>
          <w:sz w:val="22"/>
          <w:szCs w:val="22"/>
        </w:rPr>
        <w:t xml:space="preserve">Donors attempted to fill the vacuum by convening donors to a regular meeting to discuss the peace process and other Mindanao concerns.  The effort was not sustained though because of conflicting schedules and views from key donors.  </w:t>
      </w:r>
      <w:proofErr w:type="gramStart"/>
      <w:r w:rsidRPr="00D058C1">
        <w:rPr>
          <w:rFonts w:ascii="Cambria" w:hAnsi="Cambria"/>
          <w:sz w:val="22"/>
          <w:szCs w:val="22"/>
        </w:rPr>
        <w:t>The end result</w:t>
      </w:r>
      <w:proofErr w:type="gramEnd"/>
      <w:r w:rsidRPr="00D058C1">
        <w:rPr>
          <w:rFonts w:ascii="Cambria" w:hAnsi="Cambria"/>
          <w:sz w:val="22"/>
          <w:szCs w:val="22"/>
        </w:rPr>
        <w:t xml:space="preserve"> was donors went on their own way in helping the new BARMM government.  It is not surprising then that they are addressing the same governance concerns of the BTA and BARMM.  For instance, given the relative inexperience of BARMM officials in governance, major donors are launching technical assistance and capacity building projects. </w:t>
      </w:r>
      <w:r w:rsidR="0060264A">
        <w:rPr>
          <w:rFonts w:ascii="Cambria" w:hAnsi="Cambria"/>
          <w:sz w:val="22"/>
          <w:szCs w:val="22"/>
        </w:rPr>
        <w:t xml:space="preserve"> </w:t>
      </w:r>
      <w:r w:rsidRPr="00D058C1">
        <w:rPr>
          <w:rFonts w:ascii="Cambria" w:hAnsi="Cambria"/>
          <w:sz w:val="22"/>
          <w:szCs w:val="22"/>
        </w:rPr>
        <w:t xml:space="preserve">Substantial overlaps in their efforts is expected, resulting in waste of scarce resources and further confusion among the recipients. </w:t>
      </w:r>
    </w:p>
    <w:p w14:paraId="025721BF" w14:textId="77777777" w:rsidR="009C4F04" w:rsidRPr="00D058C1" w:rsidRDefault="009C4F04" w:rsidP="009C4F04">
      <w:pPr>
        <w:tabs>
          <w:tab w:val="left" w:pos="284"/>
          <w:tab w:val="left" w:pos="709"/>
        </w:tabs>
        <w:jc w:val="both"/>
        <w:rPr>
          <w:rFonts w:ascii="Cambria" w:hAnsi="Cambria"/>
          <w:sz w:val="22"/>
          <w:szCs w:val="22"/>
        </w:rPr>
      </w:pPr>
    </w:p>
    <w:p w14:paraId="63B64705" w14:textId="0137074E" w:rsidR="009C4F04" w:rsidRPr="00D058C1" w:rsidRDefault="00EF1DE0" w:rsidP="00EF1DE0">
      <w:pPr>
        <w:tabs>
          <w:tab w:val="left" w:pos="284"/>
          <w:tab w:val="left" w:pos="709"/>
        </w:tabs>
        <w:ind w:left="709"/>
        <w:jc w:val="both"/>
        <w:rPr>
          <w:rFonts w:ascii="Cambria" w:hAnsi="Cambria"/>
          <w:i/>
          <w:iCs/>
          <w:sz w:val="22"/>
          <w:szCs w:val="22"/>
        </w:rPr>
      </w:pPr>
      <w:r>
        <w:rPr>
          <w:rFonts w:ascii="Cambria" w:hAnsi="Cambria"/>
          <w:b/>
          <w:bCs/>
          <w:i/>
          <w:iCs/>
          <w:sz w:val="22"/>
          <w:szCs w:val="22"/>
        </w:rPr>
        <w:tab/>
      </w:r>
      <w:r w:rsidR="009C4F04" w:rsidRPr="00D058C1">
        <w:rPr>
          <w:rFonts w:ascii="Cambria" w:hAnsi="Cambria"/>
          <w:b/>
          <w:bCs/>
          <w:i/>
          <w:iCs/>
          <w:sz w:val="22"/>
          <w:szCs w:val="22"/>
        </w:rPr>
        <w:t xml:space="preserve">(ii) Government coordination </w:t>
      </w:r>
      <w:proofErr w:type="gramStart"/>
      <w:r w:rsidR="009C4F04" w:rsidRPr="00D058C1">
        <w:rPr>
          <w:rFonts w:ascii="Cambria" w:hAnsi="Cambria"/>
          <w:b/>
          <w:bCs/>
          <w:i/>
          <w:iCs/>
          <w:sz w:val="22"/>
          <w:szCs w:val="22"/>
        </w:rPr>
        <w:t xml:space="preserve">– </w:t>
      </w:r>
      <w:r w:rsidR="009C4F04" w:rsidRPr="00D058C1">
        <w:rPr>
          <w:rFonts w:ascii="Cambria" w:hAnsi="Cambria"/>
          <w:sz w:val="22"/>
          <w:szCs w:val="22"/>
        </w:rPr>
        <w:t xml:space="preserve"> While</w:t>
      </w:r>
      <w:proofErr w:type="gramEnd"/>
      <w:r w:rsidR="009C4F04" w:rsidRPr="00D058C1">
        <w:rPr>
          <w:rFonts w:ascii="Cambria" w:hAnsi="Cambria"/>
          <w:sz w:val="22"/>
          <w:szCs w:val="22"/>
        </w:rPr>
        <w:t xml:space="preserve"> OPAPP is the national government agency leading the peace process with the MILF, it is not an implementing entity in the delivery of socio-economic services as part of the package of the normalization agenda.  OPAPP </w:t>
      </w:r>
      <w:proofErr w:type="gramStart"/>
      <w:r w:rsidR="009C4F04" w:rsidRPr="00D058C1">
        <w:rPr>
          <w:rFonts w:ascii="Cambria" w:hAnsi="Cambria"/>
          <w:sz w:val="22"/>
          <w:szCs w:val="22"/>
        </w:rPr>
        <w:t>has to</w:t>
      </w:r>
      <w:proofErr w:type="gramEnd"/>
      <w:r w:rsidR="009C4F04" w:rsidRPr="00D058C1">
        <w:rPr>
          <w:rFonts w:ascii="Cambria" w:hAnsi="Cambria"/>
          <w:sz w:val="22"/>
          <w:szCs w:val="22"/>
        </w:rPr>
        <w:t xml:space="preserve"> link with various and larger government agencies such as the DepEd when educational services are needed, DA for agricultural livelihood programs, TESDA for skills upgrading programs, </w:t>
      </w:r>
      <w:proofErr w:type="spellStart"/>
      <w:r w:rsidR="009C4F04" w:rsidRPr="00D058C1">
        <w:rPr>
          <w:rFonts w:ascii="Cambria" w:hAnsi="Cambria"/>
          <w:sz w:val="22"/>
          <w:szCs w:val="22"/>
        </w:rPr>
        <w:t>DoH</w:t>
      </w:r>
      <w:proofErr w:type="spellEnd"/>
      <w:r w:rsidR="009C4F04" w:rsidRPr="00D058C1">
        <w:rPr>
          <w:rFonts w:ascii="Cambria" w:hAnsi="Cambria"/>
          <w:sz w:val="22"/>
          <w:szCs w:val="22"/>
        </w:rPr>
        <w:t xml:space="preserve"> for health services, DILG for local government concerns, etc.   Moreover, there is also confusion regarding who is the official point person of the government on BARMM matters because the DND Secretary is the Cabinet Official assigned to BARMM and the President designated the head of </w:t>
      </w:r>
      <w:proofErr w:type="spellStart"/>
      <w:r w:rsidR="009C4F04" w:rsidRPr="00D058C1">
        <w:rPr>
          <w:rFonts w:ascii="Cambria" w:hAnsi="Cambria"/>
          <w:sz w:val="22"/>
          <w:szCs w:val="22"/>
        </w:rPr>
        <w:t>MinDA</w:t>
      </w:r>
      <w:proofErr w:type="spellEnd"/>
      <w:r w:rsidR="009C4F04" w:rsidRPr="00D058C1">
        <w:rPr>
          <w:rFonts w:ascii="Cambria" w:hAnsi="Cambria"/>
          <w:sz w:val="22"/>
          <w:szCs w:val="22"/>
        </w:rPr>
        <w:t xml:space="preserve"> as the person in-charge of BARMM.   On the other hand, the Inter-Governmental Relations (IGR) body, the entity created under the BOL to thresh out policy differences between national government agencies and BARMM ministries, is headed by the Finance Secretary and his counterpart in BARMM is the Minister of Basic, Higher and Technical Education.   </w:t>
      </w:r>
      <w:r w:rsidR="009C4F04" w:rsidRPr="00D058C1">
        <w:rPr>
          <w:rFonts w:ascii="Cambria" w:hAnsi="Cambria"/>
          <w:b/>
          <w:bCs/>
          <w:i/>
          <w:iCs/>
          <w:sz w:val="22"/>
          <w:szCs w:val="22"/>
        </w:rPr>
        <w:t xml:space="preserve"> </w:t>
      </w:r>
      <w:r w:rsidR="009C4F04" w:rsidRPr="00D058C1">
        <w:rPr>
          <w:rFonts w:ascii="Cambria" w:hAnsi="Cambria"/>
          <w:sz w:val="22"/>
          <w:szCs w:val="22"/>
        </w:rPr>
        <w:t xml:space="preserve">Moreover, the relationship between BARMM and </w:t>
      </w:r>
      <w:r w:rsidR="0060264A">
        <w:rPr>
          <w:rFonts w:ascii="Cambria" w:hAnsi="Cambria"/>
          <w:sz w:val="22"/>
          <w:szCs w:val="22"/>
        </w:rPr>
        <w:t>LGUs</w:t>
      </w:r>
      <w:r w:rsidR="009C4F04" w:rsidRPr="00D058C1">
        <w:rPr>
          <w:rFonts w:ascii="Cambria" w:hAnsi="Cambria"/>
          <w:sz w:val="22"/>
          <w:szCs w:val="22"/>
        </w:rPr>
        <w:t xml:space="preserve"> in the autonomous region is still unclear with the DILG attempting to mediate their differences, as was in the recent case of the turnover of Cotabato City to BARMM.</w:t>
      </w:r>
      <w:r w:rsidR="009C4F04" w:rsidRPr="00D058C1">
        <w:rPr>
          <w:rFonts w:ascii="Cambria" w:hAnsi="Cambria"/>
          <w:b/>
          <w:bCs/>
          <w:i/>
          <w:iCs/>
          <w:sz w:val="22"/>
          <w:szCs w:val="22"/>
        </w:rPr>
        <w:t xml:space="preserve"> </w:t>
      </w:r>
    </w:p>
    <w:p w14:paraId="6247DD1C" w14:textId="77777777" w:rsidR="00442211" w:rsidRPr="00EF1DE0" w:rsidRDefault="00442211" w:rsidP="00F11FA7">
      <w:pPr>
        <w:tabs>
          <w:tab w:val="left" w:pos="284"/>
          <w:tab w:val="left" w:pos="709"/>
        </w:tabs>
        <w:jc w:val="both"/>
        <w:rPr>
          <w:rFonts w:ascii="Cambria" w:hAnsi="Cambria"/>
          <w:b/>
          <w:bCs/>
          <w:i/>
          <w:iCs/>
          <w:sz w:val="22"/>
          <w:szCs w:val="22"/>
        </w:rPr>
      </w:pPr>
    </w:p>
    <w:p w14:paraId="7886C28F" w14:textId="2D07FB7F" w:rsidR="00EF1DE0" w:rsidRDefault="009C4F04" w:rsidP="00B74A72">
      <w:pPr>
        <w:tabs>
          <w:tab w:val="left" w:pos="284"/>
          <w:tab w:val="left" w:pos="709"/>
          <w:tab w:val="left" w:pos="1418"/>
        </w:tabs>
        <w:ind w:left="709"/>
        <w:jc w:val="both"/>
        <w:rPr>
          <w:rFonts w:ascii="Cambria" w:hAnsi="Cambria"/>
          <w:b/>
          <w:bCs/>
          <w:i/>
          <w:iCs/>
          <w:sz w:val="22"/>
          <w:szCs w:val="22"/>
        </w:rPr>
      </w:pPr>
      <w:r w:rsidRPr="00D058C1">
        <w:rPr>
          <w:rFonts w:ascii="Cambria" w:hAnsi="Cambria"/>
          <w:b/>
          <w:bCs/>
          <w:i/>
          <w:iCs/>
          <w:sz w:val="22"/>
          <w:szCs w:val="22"/>
        </w:rPr>
        <w:t xml:space="preserve">(iii) Coordination on P/CVE efforts </w:t>
      </w:r>
      <w:r w:rsidR="008E7989">
        <w:rPr>
          <w:rFonts w:ascii="Cambria" w:hAnsi="Cambria"/>
          <w:b/>
          <w:bCs/>
          <w:i/>
          <w:iCs/>
          <w:sz w:val="22"/>
          <w:szCs w:val="22"/>
        </w:rPr>
        <w:t>–</w:t>
      </w:r>
      <w:r w:rsidRPr="00D058C1">
        <w:rPr>
          <w:rFonts w:ascii="Cambria" w:hAnsi="Cambria"/>
          <w:b/>
          <w:bCs/>
          <w:i/>
          <w:iCs/>
          <w:sz w:val="22"/>
          <w:szCs w:val="22"/>
        </w:rPr>
        <w:t xml:space="preserve"> </w:t>
      </w:r>
      <w:r w:rsidRPr="00D058C1">
        <w:rPr>
          <w:rFonts w:ascii="Cambria" w:hAnsi="Cambria"/>
          <w:sz w:val="22"/>
          <w:szCs w:val="22"/>
        </w:rPr>
        <w:t>There has been a proliferation of dialogues, consultations, forums, and studies along the line of P/CVE as a result of the Marawi assault and the threat of VE groups.  While Australian DFAT and USAID attempted to coordinate these various P/CVE efforts, the</w:t>
      </w:r>
      <w:r w:rsidR="00546276">
        <w:rPr>
          <w:rFonts w:ascii="Cambria" w:hAnsi="Cambria"/>
          <w:sz w:val="22"/>
          <w:szCs w:val="22"/>
        </w:rPr>
        <w:t xml:space="preserve">ir efforts </w:t>
      </w:r>
      <w:r w:rsidRPr="00D058C1">
        <w:rPr>
          <w:rFonts w:ascii="Cambria" w:hAnsi="Cambria"/>
          <w:sz w:val="22"/>
          <w:szCs w:val="22"/>
        </w:rPr>
        <w:t xml:space="preserve"> have not been </w:t>
      </w:r>
      <w:r w:rsidR="00546276">
        <w:rPr>
          <w:rFonts w:ascii="Cambria" w:hAnsi="Cambria"/>
          <w:sz w:val="22"/>
          <w:szCs w:val="22"/>
        </w:rPr>
        <w:t xml:space="preserve">quite successful </w:t>
      </w:r>
      <w:r w:rsidRPr="00D058C1">
        <w:rPr>
          <w:rFonts w:ascii="Cambria" w:hAnsi="Cambria"/>
          <w:sz w:val="22"/>
          <w:szCs w:val="22"/>
        </w:rPr>
        <w:t xml:space="preserve">as there is no agreed framework on how donors should address the threat of VE </w:t>
      </w:r>
      <w:r w:rsidRPr="00D058C1">
        <w:rPr>
          <w:rFonts w:ascii="Cambria" w:hAnsi="Cambria"/>
          <w:sz w:val="22"/>
          <w:szCs w:val="22"/>
        </w:rPr>
        <w:lastRenderedPageBreak/>
        <w:t xml:space="preserve">groups and the areas which should be given priority by each donors, given their comparative strengths, in meeting the challenge of VE.  Also, most of the analytics on VE are anecdotal in nature rather than a systematic and empirically based analysis of the threat.  The Conflict Monitoring </w:t>
      </w:r>
      <w:r w:rsidR="0035180B">
        <w:rPr>
          <w:rFonts w:ascii="Cambria" w:hAnsi="Cambria"/>
          <w:sz w:val="22"/>
          <w:szCs w:val="22"/>
        </w:rPr>
        <w:t>system</w:t>
      </w:r>
      <w:r w:rsidR="00E9542B">
        <w:rPr>
          <w:rFonts w:ascii="Cambria" w:hAnsi="Cambria"/>
          <w:sz w:val="22"/>
          <w:szCs w:val="22"/>
        </w:rPr>
        <w:t xml:space="preserve"> and Early Response Networks</w:t>
      </w:r>
      <w:r w:rsidR="0035180B" w:rsidRPr="00D058C1">
        <w:rPr>
          <w:rFonts w:ascii="Cambria" w:hAnsi="Cambria"/>
          <w:sz w:val="22"/>
          <w:szCs w:val="22"/>
        </w:rPr>
        <w:t xml:space="preserve"> </w:t>
      </w:r>
      <w:r w:rsidRPr="00D058C1">
        <w:rPr>
          <w:rFonts w:ascii="Cambria" w:hAnsi="Cambria"/>
          <w:sz w:val="22"/>
          <w:szCs w:val="22"/>
        </w:rPr>
        <w:t xml:space="preserve">of IA is a good start.  </w:t>
      </w:r>
      <w:r w:rsidR="00546276">
        <w:rPr>
          <w:rFonts w:ascii="Cambria" w:hAnsi="Cambria"/>
          <w:sz w:val="22"/>
          <w:szCs w:val="22"/>
        </w:rPr>
        <w:t xml:space="preserve">Efforts are being exerted by DFAT </w:t>
      </w:r>
      <w:r w:rsidRPr="00D058C1">
        <w:rPr>
          <w:rFonts w:ascii="Cambria" w:hAnsi="Cambria"/>
          <w:sz w:val="22"/>
          <w:szCs w:val="22"/>
        </w:rPr>
        <w:t>to further enrich</w:t>
      </w:r>
      <w:r w:rsidR="00546276">
        <w:rPr>
          <w:rFonts w:ascii="Cambria" w:hAnsi="Cambria"/>
          <w:sz w:val="22"/>
          <w:szCs w:val="22"/>
        </w:rPr>
        <w:t xml:space="preserve"> IA’s findings </w:t>
      </w:r>
      <w:r w:rsidRPr="00D058C1">
        <w:rPr>
          <w:rFonts w:ascii="Cambria" w:hAnsi="Cambria"/>
          <w:sz w:val="22"/>
          <w:szCs w:val="22"/>
        </w:rPr>
        <w:t>with more data/information obtained from the ground through scientific survey</w:t>
      </w:r>
      <w:r w:rsidR="00E9542B">
        <w:rPr>
          <w:rFonts w:ascii="Cambria" w:hAnsi="Cambria"/>
          <w:sz w:val="22"/>
          <w:szCs w:val="22"/>
        </w:rPr>
        <w:t>s</w:t>
      </w:r>
      <w:r w:rsidRPr="00D058C1">
        <w:rPr>
          <w:rFonts w:ascii="Cambria" w:hAnsi="Cambria"/>
          <w:sz w:val="22"/>
          <w:szCs w:val="22"/>
        </w:rPr>
        <w:t xml:space="preserve"> to determine the main triggers/causes of the emergence and growth of VE in various provinces of the Bangsamoro region. </w:t>
      </w:r>
    </w:p>
    <w:p w14:paraId="6F8696C6" w14:textId="26C7DAF2" w:rsidR="00EF1DE0" w:rsidRDefault="00EF1DE0" w:rsidP="009C4F04">
      <w:pPr>
        <w:tabs>
          <w:tab w:val="left" w:pos="284"/>
          <w:tab w:val="left" w:pos="709"/>
        </w:tabs>
        <w:jc w:val="both"/>
        <w:rPr>
          <w:rFonts w:ascii="Cambria" w:hAnsi="Cambria"/>
          <w:b/>
          <w:bCs/>
          <w:i/>
          <w:iCs/>
          <w:sz w:val="22"/>
          <w:szCs w:val="22"/>
        </w:rPr>
      </w:pPr>
    </w:p>
    <w:p w14:paraId="5C274842" w14:textId="77777777" w:rsidR="00966B06" w:rsidRPr="00D058C1" w:rsidRDefault="00966B06" w:rsidP="009C4F04">
      <w:pPr>
        <w:tabs>
          <w:tab w:val="left" w:pos="284"/>
          <w:tab w:val="left" w:pos="709"/>
        </w:tabs>
        <w:jc w:val="both"/>
        <w:rPr>
          <w:rFonts w:ascii="Cambria" w:hAnsi="Cambria"/>
          <w:b/>
          <w:bCs/>
          <w:i/>
          <w:iCs/>
          <w:sz w:val="22"/>
          <w:szCs w:val="22"/>
        </w:rPr>
      </w:pPr>
    </w:p>
    <w:p w14:paraId="43490B75" w14:textId="13383F83" w:rsidR="00EF1DE0" w:rsidRDefault="00546276" w:rsidP="008C7B76">
      <w:pPr>
        <w:pStyle w:val="ListParagraph"/>
        <w:numPr>
          <w:ilvl w:val="0"/>
          <w:numId w:val="33"/>
        </w:numPr>
        <w:tabs>
          <w:tab w:val="left" w:pos="284"/>
          <w:tab w:val="left" w:pos="709"/>
        </w:tabs>
        <w:jc w:val="both"/>
        <w:rPr>
          <w:rFonts w:ascii="Cambria" w:hAnsi="Cambria"/>
          <w:b/>
          <w:bCs/>
          <w:i/>
          <w:iCs/>
          <w:sz w:val="22"/>
          <w:szCs w:val="22"/>
        </w:rPr>
      </w:pPr>
      <w:r>
        <w:rPr>
          <w:rFonts w:ascii="Cambria" w:hAnsi="Cambria"/>
          <w:b/>
          <w:bCs/>
          <w:i/>
          <w:iCs/>
          <w:sz w:val="22"/>
          <w:szCs w:val="22"/>
        </w:rPr>
        <w:t xml:space="preserve">The </w:t>
      </w:r>
      <w:r w:rsidR="008C7B76" w:rsidRPr="00D058C1">
        <w:rPr>
          <w:rFonts w:ascii="Cambria" w:hAnsi="Cambria"/>
          <w:b/>
          <w:bCs/>
          <w:i/>
          <w:iCs/>
          <w:sz w:val="22"/>
          <w:szCs w:val="22"/>
        </w:rPr>
        <w:t xml:space="preserve">Marawi </w:t>
      </w:r>
      <w:r>
        <w:rPr>
          <w:rFonts w:ascii="Cambria" w:hAnsi="Cambria"/>
          <w:b/>
          <w:bCs/>
          <w:i/>
          <w:iCs/>
          <w:sz w:val="22"/>
          <w:szCs w:val="22"/>
        </w:rPr>
        <w:t>challenge</w:t>
      </w:r>
      <w:r w:rsidR="008C7B76" w:rsidRPr="00D058C1">
        <w:rPr>
          <w:rFonts w:ascii="Cambria" w:hAnsi="Cambria"/>
          <w:b/>
          <w:bCs/>
          <w:i/>
          <w:iCs/>
          <w:sz w:val="22"/>
          <w:szCs w:val="22"/>
        </w:rPr>
        <w:t xml:space="preserve"> </w:t>
      </w:r>
    </w:p>
    <w:p w14:paraId="4F56CE00" w14:textId="77777777" w:rsidR="00EF1DE0" w:rsidRDefault="00EF1DE0" w:rsidP="00EF1DE0">
      <w:pPr>
        <w:tabs>
          <w:tab w:val="left" w:pos="284"/>
          <w:tab w:val="left" w:pos="709"/>
        </w:tabs>
        <w:ind w:left="710"/>
        <w:jc w:val="both"/>
        <w:rPr>
          <w:rFonts w:ascii="Cambria" w:hAnsi="Cambria"/>
          <w:sz w:val="22"/>
          <w:szCs w:val="22"/>
        </w:rPr>
      </w:pPr>
    </w:p>
    <w:p w14:paraId="65EA07F0" w14:textId="52101DDF" w:rsidR="008C7B76" w:rsidRPr="00EF1DE0" w:rsidRDefault="00746404" w:rsidP="00EF1DE0">
      <w:pPr>
        <w:tabs>
          <w:tab w:val="left" w:pos="284"/>
          <w:tab w:val="left" w:pos="709"/>
        </w:tabs>
        <w:ind w:left="710"/>
        <w:jc w:val="both"/>
        <w:rPr>
          <w:rFonts w:ascii="Cambria" w:hAnsi="Cambria"/>
          <w:b/>
          <w:bCs/>
          <w:i/>
          <w:iCs/>
          <w:sz w:val="22"/>
          <w:szCs w:val="22"/>
        </w:rPr>
      </w:pPr>
      <w:r w:rsidRPr="00EF1DE0">
        <w:rPr>
          <w:rFonts w:ascii="Cambria" w:hAnsi="Cambria"/>
          <w:sz w:val="22"/>
          <w:szCs w:val="22"/>
        </w:rPr>
        <w:t>Despite significant assistance (both financial and technical) provided by donors (DFAT included) to the Marawi reconstruction, the work has hardly started almost two a half years after the defeat of the VE groups.  Marawi City holds a high propaganda value to VE groups because it is the only “Islamic City” in the Philippines.   Its rehabilitation and reconstruction should have been a top priority both by the national government and the BARMM leadership</w:t>
      </w:r>
      <w:r w:rsidR="003F669C" w:rsidRPr="00EF1DE0">
        <w:rPr>
          <w:rFonts w:ascii="Cambria" w:hAnsi="Cambria"/>
          <w:sz w:val="22"/>
          <w:szCs w:val="22"/>
        </w:rPr>
        <w:t>s</w:t>
      </w:r>
      <w:r w:rsidRPr="00EF1DE0">
        <w:rPr>
          <w:rFonts w:ascii="Cambria" w:hAnsi="Cambria"/>
          <w:sz w:val="22"/>
          <w:szCs w:val="22"/>
        </w:rPr>
        <w:t xml:space="preserve">.   The inability to address policy and institutional bottlenecks to the reconstruction of Marawi City is severely hampering donor’s effectiveness in strengthening peace and stability and preventing VE groups from </w:t>
      </w:r>
      <w:r w:rsidR="003F669C" w:rsidRPr="00EF1DE0">
        <w:rPr>
          <w:rFonts w:ascii="Cambria" w:hAnsi="Cambria"/>
          <w:sz w:val="22"/>
          <w:szCs w:val="22"/>
        </w:rPr>
        <w:t>regaining</w:t>
      </w:r>
      <w:r w:rsidRPr="00EF1DE0">
        <w:rPr>
          <w:rFonts w:ascii="Cambria" w:hAnsi="Cambria"/>
          <w:sz w:val="22"/>
          <w:szCs w:val="22"/>
        </w:rPr>
        <w:t xml:space="preserve"> strength because of </w:t>
      </w:r>
      <w:r w:rsidR="00137BCF" w:rsidRPr="00EF1DE0">
        <w:rPr>
          <w:rFonts w:ascii="Cambria" w:hAnsi="Cambria"/>
          <w:sz w:val="22"/>
          <w:szCs w:val="22"/>
        </w:rPr>
        <w:t>the</w:t>
      </w:r>
      <w:r w:rsidRPr="00EF1DE0">
        <w:rPr>
          <w:rFonts w:ascii="Cambria" w:hAnsi="Cambria"/>
          <w:sz w:val="22"/>
          <w:szCs w:val="22"/>
        </w:rPr>
        <w:t xml:space="preserve"> legitimate grievance o</w:t>
      </w:r>
      <w:r w:rsidR="003F669C" w:rsidRPr="00EF1DE0">
        <w:rPr>
          <w:rFonts w:ascii="Cambria" w:hAnsi="Cambria"/>
          <w:sz w:val="22"/>
          <w:szCs w:val="22"/>
        </w:rPr>
        <w:t>ver the</w:t>
      </w:r>
      <w:r w:rsidRPr="00EF1DE0">
        <w:rPr>
          <w:rFonts w:ascii="Cambria" w:hAnsi="Cambria"/>
          <w:sz w:val="22"/>
          <w:szCs w:val="22"/>
        </w:rPr>
        <w:t xml:space="preserve"> neglect of the Marawi IDPs and the</w:t>
      </w:r>
      <w:r w:rsidR="00137BCF" w:rsidRPr="00EF1DE0">
        <w:rPr>
          <w:rFonts w:ascii="Cambria" w:hAnsi="Cambria"/>
          <w:sz w:val="22"/>
          <w:szCs w:val="22"/>
        </w:rPr>
        <w:t xml:space="preserve"> continuing sight of a destroyed and </w:t>
      </w:r>
      <w:r w:rsidR="003F669C" w:rsidRPr="00EF1DE0">
        <w:rPr>
          <w:rFonts w:ascii="Cambria" w:hAnsi="Cambria"/>
          <w:sz w:val="22"/>
          <w:szCs w:val="22"/>
        </w:rPr>
        <w:t>desolated</w:t>
      </w:r>
      <w:r w:rsidR="00137BCF" w:rsidRPr="00EF1DE0">
        <w:rPr>
          <w:rFonts w:ascii="Cambria" w:hAnsi="Cambria"/>
          <w:sz w:val="22"/>
          <w:szCs w:val="22"/>
        </w:rPr>
        <w:t xml:space="preserve"> City. </w:t>
      </w:r>
      <w:r w:rsidRPr="00EF1DE0">
        <w:rPr>
          <w:rFonts w:ascii="Cambria" w:hAnsi="Cambria"/>
          <w:sz w:val="22"/>
          <w:szCs w:val="22"/>
        </w:rPr>
        <w:t xml:space="preserve"> </w:t>
      </w:r>
    </w:p>
    <w:p w14:paraId="4A6B5AD0" w14:textId="77777777" w:rsidR="00137BCF" w:rsidRPr="00D058C1" w:rsidRDefault="00137BCF" w:rsidP="00137BCF">
      <w:pPr>
        <w:pStyle w:val="ListParagraph"/>
        <w:rPr>
          <w:rFonts w:ascii="Cambria" w:hAnsi="Cambria"/>
          <w:b/>
          <w:bCs/>
          <w:i/>
          <w:iCs/>
          <w:sz w:val="22"/>
          <w:szCs w:val="22"/>
        </w:rPr>
      </w:pPr>
    </w:p>
    <w:p w14:paraId="61F8B3CC" w14:textId="0AE0EA48" w:rsidR="00EF1DE0" w:rsidRPr="00EF1DE0" w:rsidRDefault="00FD39A8" w:rsidP="009C4F04">
      <w:pPr>
        <w:pStyle w:val="ListParagraph"/>
        <w:numPr>
          <w:ilvl w:val="0"/>
          <w:numId w:val="33"/>
        </w:numPr>
        <w:tabs>
          <w:tab w:val="left" w:pos="284"/>
          <w:tab w:val="left" w:pos="709"/>
          <w:tab w:val="left" w:pos="1134"/>
        </w:tabs>
        <w:spacing w:before="240"/>
        <w:jc w:val="both"/>
        <w:rPr>
          <w:rFonts w:ascii="Cambria" w:hAnsi="Cambria"/>
          <w:sz w:val="22"/>
          <w:szCs w:val="22"/>
        </w:rPr>
      </w:pPr>
      <w:r w:rsidRPr="00D058C1">
        <w:rPr>
          <w:rFonts w:ascii="Cambria" w:hAnsi="Cambria"/>
          <w:b/>
          <w:bCs/>
          <w:i/>
          <w:iCs/>
          <w:sz w:val="22"/>
          <w:szCs w:val="22"/>
        </w:rPr>
        <w:t>Trust defici</w:t>
      </w:r>
      <w:r w:rsidR="00D44DEE" w:rsidRPr="00D058C1">
        <w:rPr>
          <w:rFonts w:ascii="Cambria" w:hAnsi="Cambria"/>
          <w:b/>
          <w:bCs/>
          <w:i/>
          <w:iCs/>
          <w:sz w:val="22"/>
          <w:szCs w:val="22"/>
        </w:rPr>
        <w:t xml:space="preserve">t </w:t>
      </w:r>
    </w:p>
    <w:p w14:paraId="473DE103" w14:textId="77AAEC15" w:rsidR="009C4F04" w:rsidRPr="00EF1DE0" w:rsidRDefault="009C4F04" w:rsidP="00EF1DE0">
      <w:pPr>
        <w:tabs>
          <w:tab w:val="left" w:pos="284"/>
          <w:tab w:val="left" w:pos="709"/>
          <w:tab w:val="left" w:pos="1134"/>
        </w:tabs>
        <w:spacing w:before="240"/>
        <w:ind w:left="710"/>
        <w:jc w:val="both"/>
        <w:rPr>
          <w:rFonts w:ascii="Cambria" w:hAnsi="Cambria"/>
          <w:sz w:val="22"/>
          <w:szCs w:val="22"/>
        </w:rPr>
      </w:pPr>
      <w:r w:rsidRPr="00EF1DE0">
        <w:rPr>
          <w:rFonts w:ascii="Cambria" w:hAnsi="Cambria"/>
          <w:sz w:val="22"/>
          <w:szCs w:val="22"/>
        </w:rPr>
        <w:t xml:space="preserve">Multiple roles are held by key officials of BARMM and within the peace process architecture.  No matter how qualified and competent they are, it is extremely difficult to effectively and efficiently discharge one’s function if spread to numerous tasks waiting for quick resolution because of the short transition time frame. </w:t>
      </w:r>
      <w:r w:rsidR="0060264A">
        <w:rPr>
          <w:rFonts w:ascii="Cambria" w:hAnsi="Cambria"/>
          <w:sz w:val="22"/>
          <w:szCs w:val="22"/>
        </w:rPr>
        <w:t xml:space="preserve"> </w:t>
      </w:r>
      <w:r w:rsidRPr="00EF1DE0">
        <w:rPr>
          <w:rFonts w:ascii="Cambria" w:hAnsi="Cambria"/>
          <w:sz w:val="22"/>
          <w:szCs w:val="22"/>
        </w:rPr>
        <w:t xml:space="preserve">Such practice also generates dissatisfaction among qualified Bangsamoro, particularly the youth, because they are denied the opportunity to serve and to learn the art and science of good governance.   It also results to a much-delayed response on key issues facing the autonomous government given the heavy workload of officials occupying multiple positions. </w:t>
      </w:r>
    </w:p>
    <w:p w14:paraId="47C2FFA7" w14:textId="7FDFC963" w:rsidR="00FD39A8" w:rsidRPr="00F11FA7" w:rsidRDefault="00FD39A8" w:rsidP="009C4F04">
      <w:pPr>
        <w:pStyle w:val="ListParagraph"/>
        <w:tabs>
          <w:tab w:val="left" w:pos="284"/>
          <w:tab w:val="left" w:pos="709"/>
        </w:tabs>
        <w:ind w:left="1070"/>
        <w:jc w:val="both"/>
        <w:rPr>
          <w:rFonts w:ascii="Cambria" w:hAnsi="Cambria"/>
          <w:b/>
          <w:bCs/>
          <w:i/>
          <w:iCs/>
          <w:sz w:val="22"/>
          <w:szCs w:val="22"/>
        </w:rPr>
      </w:pPr>
    </w:p>
    <w:p w14:paraId="22D87280" w14:textId="7E82822E" w:rsidR="00EF1DE0" w:rsidRDefault="00137BCF" w:rsidP="00506B53">
      <w:pPr>
        <w:pStyle w:val="ListParagraph"/>
        <w:numPr>
          <w:ilvl w:val="0"/>
          <w:numId w:val="33"/>
        </w:numPr>
        <w:tabs>
          <w:tab w:val="left" w:pos="284"/>
          <w:tab w:val="left" w:pos="709"/>
        </w:tabs>
        <w:jc w:val="both"/>
        <w:rPr>
          <w:rFonts w:ascii="Cambria" w:hAnsi="Cambria"/>
          <w:b/>
          <w:bCs/>
          <w:i/>
          <w:iCs/>
          <w:sz w:val="22"/>
          <w:szCs w:val="22"/>
        </w:rPr>
      </w:pPr>
      <w:r w:rsidRPr="00D058C1">
        <w:rPr>
          <w:rFonts w:ascii="Cambria" w:hAnsi="Cambria"/>
          <w:b/>
          <w:bCs/>
          <w:i/>
          <w:iCs/>
          <w:sz w:val="22"/>
          <w:szCs w:val="22"/>
        </w:rPr>
        <w:t>Absence of active participation by CSOs</w:t>
      </w:r>
      <w:r w:rsidR="00546276">
        <w:rPr>
          <w:rFonts w:ascii="Cambria" w:hAnsi="Cambria"/>
          <w:b/>
          <w:bCs/>
          <w:i/>
          <w:iCs/>
          <w:sz w:val="22"/>
          <w:szCs w:val="22"/>
        </w:rPr>
        <w:t>,</w:t>
      </w:r>
      <w:r w:rsidRPr="00D058C1">
        <w:rPr>
          <w:rFonts w:ascii="Cambria" w:hAnsi="Cambria"/>
          <w:b/>
          <w:bCs/>
          <w:i/>
          <w:iCs/>
          <w:sz w:val="22"/>
          <w:szCs w:val="22"/>
        </w:rPr>
        <w:t xml:space="preserve"> </w:t>
      </w:r>
      <w:r w:rsidR="00546276">
        <w:rPr>
          <w:rFonts w:ascii="Cambria" w:hAnsi="Cambria"/>
          <w:b/>
          <w:bCs/>
          <w:i/>
          <w:iCs/>
          <w:sz w:val="22"/>
          <w:szCs w:val="22"/>
        </w:rPr>
        <w:t>women, youth</w:t>
      </w:r>
      <w:r w:rsidR="00937F36">
        <w:rPr>
          <w:rFonts w:ascii="Cambria" w:hAnsi="Cambria"/>
          <w:b/>
          <w:bCs/>
          <w:i/>
          <w:iCs/>
          <w:sz w:val="22"/>
          <w:szCs w:val="22"/>
        </w:rPr>
        <w:t>,</w:t>
      </w:r>
      <w:r w:rsidR="00546276">
        <w:rPr>
          <w:rFonts w:ascii="Cambria" w:hAnsi="Cambria"/>
          <w:b/>
          <w:bCs/>
          <w:i/>
          <w:iCs/>
          <w:sz w:val="22"/>
          <w:szCs w:val="22"/>
        </w:rPr>
        <w:t xml:space="preserve"> IP</w:t>
      </w:r>
      <w:r w:rsidR="00937F36">
        <w:rPr>
          <w:rFonts w:ascii="Cambria" w:hAnsi="Cambria"/>
          <w:b/>
          <w:bCs/>
          <w:i/>
          <w:iCs/>
          <w:sz w:val="22"/>
          <w:szCs w:val="22"/>
        </w:rPr>
        <w:t>, and IDP</w:t>
      </w:r>
      <w:r w:rsidR="00546276">
        <w:rPr>
          <w:rFonts w:ascii="Cambria" w:hAnsi="Cambria"/>
          <w:b/>
          <w:bCs/>
          <w:i/>
          <w:iCs/>
          <w:sz w:val="22"/>
          <w:szCs w:val="22"/>
        </w:rPr>
        <w:t xml:space="preserve"> </w:t>
      </w:r>
      <w:r w:rsidRPr="00D058C1">
        <w:rPr>
          <w:rFonts w:ascii="Cambria" w:hAnsi="Cambria"/>
          <w:b/>
          <w:bCs/>
          <w:i/>
          <w:iCs/>
          <w:sz w:val="22"/>
          <w:szCs w:val="22"/>
        </w:rPr>
        <w:t>groups</w:t>
      </w:r>
    </w:p>
    <w:p w14:paraId="64AD5617" w14:textId="77777777" w:rsidR="00EF1DE0" w:rsidRPr="00EF1DE0" w:rsidRDefault="00EF1DE0" w:rsidP="00EF1DE0">
      <w:pPr>
        <w:pStyle w:val="ListParagraph"/>
        <w:rPr>
          <w:rFonts w:ascii="Cambria" w:hAnsi="Cambria"/>
          <w:b/>
          <w:bCs/>
          <w:i/>
          <w:iCs/>
          <w:sz w:val="22"/>
          <w:szCs w:val="22"/>
        </w:rPr>
      </w:pPr>
    </w:p>
    <w:p w14:paraId="031AB847" w14:textId="229EED6A" w:rsidR="00937F36" w:rsidRDefault="009C4F04" w:rsidP="00DB126C">
      <w:pPr>
        <w:ind w:left="709"/>
        <w:jc w:val="both"/>
        <w:rPr>
          <w:rFonts w:ascii="Cambria" w:hAnsi="Cambria"/>
          <w:sz w:val="22"/>
          <w:szCs w:val="22"/>
        </w:rPr>
      </w:pPr>
      <w:r w:rsidRPr="00EF1DE0">
        <w:rPr>
          <w:rFonts w:ascii="Cambria" w:hAnsi="Cambria"/>
          <w:sz w:val="22"/>
          <w:szCs w:val="22"/>
        </w:rPr>
        <w:t>CSOs</w:t>
      </w:r>
      <w:r w:rsidR="00546276">
        <w:rPr>
          <w:rFonts w:ascii="Cambria" w:hAnsi="Cambria"/>
          <w:sz w:val="22"/>
          <w:szCs w:val="22"/>
        </w:rPr>
        <w:t>, women, youth</w:t>
      </w:r>
      <w:r w:rsidR="00937F36">
        <w:rPr>
          <w:rFonts w:ascii="Cambria" w:hAnsi="Cambria"/>
          <w:sz w:val="22"/>
          <w:szCs w:val="22"/>
        </w:rPr>
        <w:t>, and</w:t>
      </w:r>
      <w:r w:rsidRPr="00EF1DE0">
        <w:rPr>
          <w:rFonts w:ascii="Cambria" w:hAnsi="Cambria"/>
          <w:sz w:val="22"/>
          <w:szCs w:val="22"/>
        </w:rPr>
        <w:t xml:space="preserve"> </w:t>
      </w:r>
      <w:r w:rsidR="00546276">
        <w:rPr>
          <w:rFonts w:ascii="Cambria" w:hAnsi="Cambria"/>
          <w:sz w:val="22"/>
          <w:szCs w:val="22"/>
        </w:rPr>
        <w:t>IP</w:t>
      </w:r>
      <w:r w:rsidR="00937F36">
        <w:rPr>
          <w:rFonts w:ascii="Cambria" w:hAnsi="Cambria"/>
          <w:sz w:val="22"/>
          <w:szCs w:val="22"/>
        </w:rPr>
        <w:t xml:space="preserve"> </w:t>
      </w:r>
      <w:r w:rsidRPr="00EF1DE0">
        <w:rPr>
          <w:rFonts w:ascii="Cambria" w:hAnsi="Cambria"/>
          <w:sz w:val="22"/>
          <w:szCs w:val="22"/>
        </w:rPr>
        <w:t>groups in the Bangsamoro region were highly visible and active during the campaign for the passage and ratification of BOL.  Once these were achieved and the BARMM government was established, there was no deliberate attempt to ensure that the v</w:t>
      </w:r>
      <w:r w:rsidR="00937F36">
        <w:rPr>
          <w:rFonts w:ascii="Cambria" w:hAnsi="Cambria"/>
          <w:sz w:val="22"/>
          <w:szCs w:val="22"/>
        </w:rPr>
        <w:t>oices of marginalized g</w:t>
      </w:r>
      <w:r w:rsidRPr="00EF1DE0">
        <w:rPr>
          <w:rFonts w:ascii="Cambria" w:hAnsi="Cambria"/>
          <w:sz w:val="22"/>
          <w:szCs w:val="22"/>
        </w:rPr>
        <w:t xml:space="preserve">roups are continually </w:t>
      </w:r>
      <w:r w:rsidR="00937F36">
        <w:rPr>
          <w:rFonts w:ascii="Cambria" w:hAnsi="Cambria"/>
          <w:sz w:val="22"/>
          <w:szCs w:val="22"/>
        </w:rPr>
        <w:t xml:space="preserve">and substantially </w:t>
      </w:r>
      <w:r w:rsidRPr="00EF1DE0">
        <w:rPr>
          <w:rFonts w:ascii="Cambria" w:hAnsi="Cambria"/>
          <w:sz w:val="22"/>
          <w:szCs w:val="22"/>
        </w:rPr>
        <w:t>heard in B</w:t>
      </w:r>
      <w:r w:rsidR="00E9542B">
        <w:rPr>
          <w:rFonts w:ascii="Cambria" w:hAnsi="Cambria"/>
          <w:sz w:val="22"/>
          <w:szCs w:val="22"/>
        </w:rPr>
        <w:t>TA operations and decision-making</w:t>
      </w:r>
      <w:r w:rsidR="00937F36">
        <w:rPr>
          <w:rFonts w:ascii="Cambria" w:hAnsi="Cambria"/>
          <w:sz w:val="22"/>
          <w:szCs w:val="22"/>
        </w:rPr>
        <w:t>, although there are clear gender, IP, and ethnolinguistic ‘quotas’ for representation at the BTA ministry and parliament level.</w:t>
      </w:r>
    </w:p>
    <w:p w14:paraId="59CFECF1" w14:textId="77777777" w:rsidR="00937F36" w:rsidRDefault="00937F36" w:rsidP="00DB126C">
      <w:pPr>
        <w:ind w:left="709"/>
        <w:jc w:val="both"/>
        <w:rPr>
          <w:rFonts w:ascii="Cambria" w:hAnsi="Cambria"/>
          <w:sz w:val="22"/>
          <w:szCs w:val="22"/>
        </w:rPr>
      </w:pPr>
    </w:p>
    <w:p w14:paraId="1DC43CB5" w14:textId="60483DF8" w:rsidR="009C4F04" w:rsidRPr="00F11FA7" w:rsidRDefault="009C4F04" w:rsidP="00DB126C">
      <w:pPr>
        <w:ind w:left="709"/>
        <w:jc w:val="both"/>
        <w:rPr>
          <w:b/>
          <w:bCs/>
          <w:i/>
          <w:iCs/>
        </w:rPr>
      </w:pPr>
      <w:r w:rsidRPr="00EF1DE0">
        <w:rPr>
          <w:rFonts w:ascii="Cambria" w:hAnsi="Cambria"/>
          <w:sz w:val="22"/>
          <w:szCs w:val="22"/>
        </w:rPr>
        <w:t>The feeling of being left out gradually leads to discontentment and restlessness among the ranks of these proven allies of the peace process.  Combined with the slow delivery of basic services and the inability to enjoy the benefits of the peace dividends, it is highly possible that CSOs</w:t>
      </w:r>
      <w:r w:rsidR="00546276">
        <w:rPr>
          <w:rFonts w:ascii="Cambria" w:hAnsi="Cambria"/>
          <w:sz w:val="22"/>
          <w:szCs w:val="22"/>
        </w:rPr>
        <w:t>, women, youth</w:t>
      </w:r>
      <w:r w:rsidR="00937F36">
        <w:rPr>
          <w:rFonts w:ascii="Cambria" w:hAnsi="Cambria"/>
          <w:sz w:val="22"/>
          <w:szCs w:val="22"/>
        </w:rPr>
        <w:t xml:space="preserve">, </w:t>
      </w:r>
      <w:r w:rsidR="00546276">
        <w:rPr>
          <w:rFonts w:ascii="Cambria" w:hAnsi="Cambria"/>
          <w:sz w:val="22"/>
          <w:szCs w:val="22"/>
        </w:rPr>
        <w:t>IP</w:t>
      </w:r>
      <w:r w:rsidR="00937F36">
        <w:rPr>
          <w:rFonts w:ascii="Cambria" w:hAnsi="Cambria"/>
          <w:sz w:val="22"/>
          <w:szCs w:val="22"/>
        </w:rPr>
        <w:t xml:space="preserve">, and IDP </w:t>
      </w:r>
      <w:r w:rsidRPr="00EF1DE0">
        <w:rPr>
          <w:rFonts w:ascii="Cambria" w:hAnsi="Cambria"/>
          <w:sz w:val="22"/>
          <w:szCs w:val="22"/>
        </w:rPr>
        <w:t xml:space="preserve">groups may turn out to </w:t>
      </w:r>
      <w:r w:rsidRPr="00EF1DE0">
        <w:rPr>
          <w:rFonts w:ascii="Cambria" w:hAnsi="Cambria"/>
          <w:sz w:val="22"/>
          <w:szCs w:val="22"/>
        </w:rPr>
        <w:lastRenderedPageBreak/>
        <w:t>become critic</w:t>
      </w:r>
      <w:r w:rsidR="00937F36">
        <w:rPr>
          <w:rFonts w:ascii="Cambria" w:hAnsi="Cambria"/>
          <w:sz w:val="22"/>
          <w:szCs w:val="22"/>
        </w:rPr>
        <w:t>s</w:t>
      </w:r>
      <w:r w:rsidRPr="00EF1DE0">
        <w:rPr>
          <w:rFonts w:ascii="Cambria" w:hAnsi="Cambria"/>
          <w:sz w:val="22"/>
          <w:szCs w:val="22"/>
        </w:rPr>
        <w:t xml:space="preserve"> of the MILF dominated BARMM government</w:t>
      </w:r>
      <w:r w:rsidR="00937F36">
        <w:rPr>
          <w:rFonts w:ascii="Cambria" w:hAnsi="Cambria"/>
          <w:sz w:val="22"/>
          <w:szCs w:val="22"/>
        </w:rPr>
        <w:t xml:space="preserve"> should their concerns not be met.</w:t>
      </w:r>
    </w:p>
    <w:p w14:paraId="089AB95B" w14:textId="4606B6A0" w:rsidR="009C4F04" w:rsidRPr="00A928D6" w:rsidRDefault="009C4F04" w:rsidP="00A928D6">
      <w:pPr>
        <w:tabs>
          <w:tab w:val="left" w:pos="284"/>
          <w:tab w:val="left" w:pos="709"/>
        </w:tabs>
        <w:spacing w:before="240"/>
        <w:ind w:left="709"/>
        <w:jc w:val="both"/>
        <w:rPr>
          <w:rFonts w:ascii="Cambria" w:hAnsi="Cambria"/>
          <w:b/>
          <w:bCs/>
          <w:i/>
          <w:iCs/>
          <w:sz w:val="22"/>
          <w:szCs w:val="22"/>
        </w:rPr>
      </w:pPr>
      <w:r w:rsidRPr="00D058C1">
        <w:rPr>
          <w:rFonts w:ascii="Cambria" w:hAnsi="Cambria"/>
          <w:sz w:val="22"/>
          <w:szCs w:val="22"/>
        </w:rPr>
        <w:t>Appointments to key government positions are mired by political considerations, an arena which the donors are discouraged to engage.  However, support to passage of the Civil Service Code or similar laws/regulations that attempt to professionalize the bureaucracy will serve as a mitigating measure against appointment of individuals with inadequate technical skills.  The application of such Code</w:t>
      </w:r>
      <w:r w:rsidR="00DB126C">
        <w:rPr>
          <w:rFonts w:ascii="Cambria" w:hAnsi="Cambria"/>
          <w:sz w:val="22"/>
          <w:szCs w:val="22"/>
        </w:rPr>
        <w:t>s</w:t>
      </w:r>
      <w:r w:rsidRPr="00D058C1">
        <w:rPr>
          <w:rFonts w:ascii="Cambria" w:hAnsi="Cambria"/>
          <w:sz w:val="22"/>
          <w:szCs w:val="22"/>
        </w:rPr>
        <w:t xml:space="preserve"> or laws is particularly critical at this juncture because the BARMM government, after declaring redundant around 6,000 personnel from the previous AR</w:t>
      </w:r>
      <w:r w:rsidR="00DB126C">
        <w:rPr>
          <w:rFonts w:ascii="Cambria" w:hAnsi="Cambria"/>
          <w:sz w:val="22"/>
          <w:szCs w:val="22"/>
        </w:rPr>
        <w:t>M</w:t>
      </w:r>
      <w:r w:rsidRPr="00D058C1">
        <w:rPr>
          <w:rFonts w:ascii="Cambria" w:hAnsi="Cambria"/>
          <w:sz w:val="22"/>
          <w:szCs w:val="22"/>
        </w:rPr>
        <w:t xml:space="preserve">M government last December 2019, </w:t>
      </w:r>
      <w:r w:rsidR="00DB126C">
        <w:rPr>
          <w:rFonts w:ascii="Cambria" w:hAnsi="Cambria"/>
          <w:sz w:val="22"/>
          <w:szCs w:val="22"/>
        </w:rPr>
        <w:t>is</w:t>
      </w:r>
      <w:r w:rsidRPr="00D058C1">
        <w:rPr>
          <w:rFonts w:ascii="Cambria" w:hAnsi="Cambria"/>
          <w:sz w:val="22"/>
          <w:szCs w:val="22"/>
        </w:rPr>
        <w:t xml:space="preserve"> now in the process of recruiting a new set of civil servants.     </w:t>
      </w:r>
      <w:r w:rsidRPr="00D058C1">
        <w:rPr>
          <w:rFonts w:ascii="Cambria" w:hAnsi="Cambria"/>
          <w:b/>
          <w:bCs/>
          <w:i/>
          <w:iCs/>
          <w:sz w:val="22"/>
          <w:szCs w:val="22"/>
        </w:rPr>
        <w:t xml:space="preserve">  </w:t>
      </w:r>
    </w:p>
    <w:p w14:paraId="1520011F" w14:textId="77777777" w:rsidR="00966B06" w:rsidRPr="00DB126C" w:rsidRDefault="00966B06" w:rsidP="00DB126C">
      <w:pPr>
        <w:rPr>
          <w:rFonts w:ascii="Cambria" w:hAnsi="Cambria"/>
          <w:b/>
          <w:bCs/>
          <w:i/>
          <w:iCs/>
          <w:sz w:val="22"/>
          <w:szCs w:val="22"/>
        </w:rPr>
      </w:pPr>
    </w:p>
    <w:p w14:paraId="32C57D00" w14:textId="6FC91EFC" w:rsidR="009C4F04" w:rsidRDefault="009C4F04" w:rsidP="009C4F04">
      <w:pPr>
        <w:pStyle w:val="ListParagraph"/>
        <w:numPr>
          <w:ilvl w:val="0"/>
          <w:numId w:val="33"/>
        </w:numPr>
        <w:tabs>
          <w:tab w:val="left" w:pos="284"/>
          <w:tab w:val="left" w:pos="709"/>
        </w:tabs>
        <w:jc w:val="both"/>
        <w:rPr>
          <w:rFonts w:ascii="Cambria" w:hAnsi="Cambria"/>
          <w:b/>
          <w:bCs/>
          <w:i/>
          <w:iCs/>
          <w:sz w:val="22"/>
          <w:szCs w:val="22"/>
        </w:rPr>
      </w:pPr>
      <w:r w:rsidRPr="00D058C1">
        <w:rPr>
          <w:rFonts w:ascii="Cambria" w:hAnsi="Cambria"/>
          <w:b/>
          <w:bCs/>
          <w:i/>
          <w:iCs/>
          <w:sz w:val="22"/>
          <w:szCs w:val="22"/>
        </w:rPr>
        <w:t xml:space="preserve">Absence of social protection assistance   </w:t>
      </w:r>
    </w:p>
    <w:p w14:paraId="339C3216" w14:textId="77777777" w:rsidR="00F11FA7" w:rsidRPr="00D058C1" w:rsidRDefault="00F11FA7" w:rsidP="00F11FA7">
      <w:pPr>
        <w:pStyle w:val="ListParagraph"/>
        <w:tabs>
          <w:tab w:val="left" w:pos="284"/>
          <w:tab w:val="left" w:pos="709"/>
        </w:tabs>
        <w:ind w:left="1070"/>
        <w:jc w:val="both"/>
        <w:rPr>
          <w:rFonts w:ascii="Cambria" w:hAnsi="Cambria"/>
          <w:b/>
          <w:bCs/>
          <w:i/>
          <w:iCs/>
          <w:sz w:val="22"/>
          <w:szCs w:val="22"/>
        </w:rPr>
      </w:pPr>
    </w:p>
    <w:p w14:paraId="5D593187" w14:textId="2CFFCD1A" w:rsidR="009C4F04" w:rsidRPr="00D058C1" w:rsidRDefault="009C4F04" w:rsidP="009C4F04">
      <w:pPr>
        <w:tabs>
          <w:tab w:val="left" w:pos="284"/>
          <w:tab w:val="left" w:pos="709"/>
        </w:tabs>
        <w:ind w:left="710"/>
        <w:jc w:val="both"/>
        <w:rPr>
          <w:rFonts w:ascii="Cambria" w:hAnsi="Cambria"/>
          <w:b/>
          <w:bCs/>
          <w:i/>
          <w:iCs/>
          <w:sz w:val="22"/>
          <w:szCs w:val="22"/>
        </w:rPr>
      </w:pPr>
      <w:r w:rsidRPr="00D058C1">
        <w:rPr>
          <w:rFonts w:ascii="Cambria" w:hAnsi="Cambria"/>
          <w:sz w:val="22"/>
          <w:szCs w:val="22"/>
        </w:rPr>
        <w:t xml:space="preserve">The years immediately after the signing of the GPH-MNLF Final Peace Agreement (FPA) in September 1996 witnessed the unveiling of a number of social protection measures such as the WB’s SZOPAD Social Fund, UNDP’s </w:t>
      </w:r>
      <w:r w:rsidR="00506B53">
        <w:rPr>
          <w:rFonts w:ascii="Cambria" w:hAnsi="Cambria"/>
          <w:sz w:val="22"/>
          <w:szCs w:val="22"/>
        </w:rPr>
        <w:t xml:space="preserve">multi-year </w:t>
      </w:r>
      <w:r w:rsidRPr="00D058C1">
        <w:rPr>
          <w:rFonts w:ascii="Cambria" w:hAnsi="Cambria"/>
          <w:sz w:val="22"/>
          <w:szCs w:val="22"/>
        </w:rPr>
        <w:t xml:space="preserve">Multi-Donor </w:t>
      </w:r>
      <w:proofErr w:type="spellStart"/>
      <w:r w:rsidRPr="00D058C1">
        <w:rPr>
          <w:rFonts w:ascii="Cambria" w:hAnsi="Cambria"/>
          <w:sz w:val="22"/>
          <w:szCs w:val="22"/>
        </w:rPr>
        <w:t>Programme</w:t>
      </w:r>
      <w:proofErr w:type="spellEnd"/>
      <w:r w:rsidR="00375DF3">
        <w:rPr>
          <w:rFonts w:ascii="Cambria" w:hAnsi="Cambria"/>
          <w:sz w:val="22"/>
          <w:szCs w:val="22"/>
        </w:rPr>
        <w:t>,</w:t>
      </w:r>
      <w:r w:rsidRPr="00D058C1">
        <w:rPr>
          <w:rFonts w:ascii="Cambria" w:hAnsi="Cambria"/>
          <w:sz w:val="22"/>
          <w:szCs w:val="22"/>
        </w:rPr>
        <w:t xml:space="preserve"> and the creation of a transition mechanism called the Southern Philippine Council for Peace and Development (SPCPD).</w:t>
      </w:r>
      <w:r w:rsidRPr="00D058C1">
        <w:rPr>
          <w:rStyle w:val="FootnoteReference"/>
          <w:rFonts w:ascii="Cambria" w:hAnsi="Cambria"/>
          <w:sz w:val="22"/>
          <w:szCs w:val="22"/>
        </w:rPr>
        <w:footnoteReference w:id="7"/>
      </w:r>
      <w:r w:rsidRPr="00D058C1">
        <w:rPr>
          <w:rFonts w:ascii="Cambria" w:hAnsi="Cambria"/>
          <w:sz w:val="22"/>
          <w:szCs w:val="22"/>
        </w:rPr>
        <w:t xml:space="preserve">  These programs were aimed at delivering the benefits of the peace dividends immediately to MNLF and conflict-affected communities.  Thus, there was heavy support on livelihood and employment generation activities and provision of basic infrastructure to support livelihood activities and improve social services (i.e., education and health).   They were intended as short-term measures meant to gain </w:t>
      </w:r>
      <w:r w:rsidR="00375DF3">
        <w:rPr>
          <w:rFonts w:ascii="Cambria" w:hAnsi="Cambria"/>
          <w:sz w:val="22"/>
          <w:szCs w:val="22"/>
        </w:rPr>
        <w:t xml:space="preserve">the </w:t>
      </w:r>
      <w:r w:rsidRPr="00D058C1">
        <w:rPr>
          <w:rFonts w:ascii="Cambria" w:hAnsi="Cambria"/>
          <w:sz w:val="22"/>
          <w:szCs w:val="22"/>
        </w:rPr>
        <w:t xml:space="preserve">trust and confidence of local communities and enable the </w:t>
      </w:r>
      <w:proofErr w:type="gramStart"/>
      <w:r w:rsidRPr="00D058C1">
        <w:rPr>
          <w:rFonts w:ascii="Cambria" w:hAnsi="Cambria"/>
          <w:sz w:val="22"/>
          <w:szCs w:val="22"/>
        </w:rPr>
        <w:t>newly-formed</w:t>
      </w:r>
      <w:proofErr w:type="gramEnd"/>
      <w:r w:rsidRPr="00D058C1">
        <w:rPr>
          <w:rFonts w:ascii="Cambria" w:hAnsi="Cambria"/>
          <w:sz w:val="22"/>
          <w:szCs w:val="22"/>
        </w:rPr>
        <w:t xml:space="preserve"> MNLF dominated government in ARMM to work out the details of their medium-term development plan and implement it.  </w:t>
      </w:r>
    </w:p>
    <w:p w14:paraId="22A478CB" w14:textId="77777777" w:rsidR="00EF1DE0" w:rsidRDefault="00EF1DE0" w:rsidP="00EF1DE0">
      <w:pPr>
        <w:tabs>
          <w:tab w:val="left" w:pos="284"/>
          <w:tab w:val="left" w:pos="709"/>
        </w:tabs>
        <w:ind w:left="709"/>
        <w:jc w:val="both"/>
        <w:rPr>
          <w:rFonts w:ascii="Cambria" w:hAnsi="Cambria"/>
          <w:b/>
          <w:bCs/>
          <w:i/>
          <w:iCs/>
          <w:sz w:val="22"/>
          <w:szCs w:val="22"/>
        </w:rPr>
      </w:pPr>
    </w:p>
    <w:p w14:paraId="172235F1" w14:textId="19531049" w:rsidR="009C4F04" w:rsidRPr="00D058C1" w:rsidRDefault="009C4F04" w:rsidP="00EF1DE0">
      <w:pPr>
        <w:tabs>
          <w:tab w:val="left" w:pos="284"/>
          <w:tab w:val="left" w:pos="709"/>
        </w:tabs>
        <w:ind w:left="709"/>
        <w:jc w:val="both"/>
        <w:rPr>
          <w:rFonts w:ascii="Cambria" w:hAnsi="Cambria"/>
          <w:sz w:val="22"/>
          <w:szCs w:val="22"/>
        </w:rPr>
      </w:pPr>
      <w:r w:rsidRPr="00D058C1">
        <w:rPr>
          <w:rFonts w:ascii="Cambria" w:hAnsi="Cambria"/>
          <w:sz w:val="22"/>
          <w:szCs w:val="22"/>
        </w:rPr>
        <w:t>No such transition arrangements happened under the GPH-MILF peace process although it was expected that the previous ARMM would have already delivered on this socio-economic assistance.   But that was ARMM and expectations are high on the MILF to quickly respond to the socio-economic needs of the ordinary Bangsamoro given that a huge amount under the “block grant” arrangement to be allotted to the BARMM government has been repeatedly announced.  Nonetheless, expectations cannot be immediately met because (</w:t>
      </w:r>
      <w:proofErr w:type="spellStart"/>
      <w:r w:rsidRPr="00D058C1">
        <w:rPr>
          <w:rFonts w:ascii="Cambria" w:hAnsi="Cambria"/>
          <w:sz w:val="22"/>
          <w:szCs w:val="22"/>
        </w:rPr>
        <w:t>i</w:t>
      </w:r>
      <w:proofErr w:type="spellEnd"/>
      <w:r w:rsidRPr="00D058C1">
        <w:rPr>
          <w:rFonts w:ascii="Cambria" w:hAnsi="Cambria"/>
          <w:sz w:val="22"/>
          <w:szCs w:val="22"/>
        </w:rPr>
        <w:t xml:space="preserve">) much of the attention of the MILF leadership is focused on the political transition process; (ii) relative inexperience of BARMM officials on governance; (iii) the complicated government procedures in accessing “block grant” allocation to ensure that government procurement, accounting and auditing rules are followed; and (iv) the absence of social protection programs that will immediately address the demand of the ordinary Bangsamoro to uplift their socio-economic conditions.   The result is the current vacuum on support to economic and livelihood programs to the Bangsamoro communities, the need for which they repeatedly articulate in various forums.  </w:t>
      </w:r>
    </w:p>
    <w:p w14:paraId="31526064" w14:textId="28444B41" w:rsidR="00534285" w:rsidRDefault="00534285" w:rsidP="0050586F">
      <w:pPr>
        <w:tabs>
          <w:tab w:val="left" w:pos="284"/>
          <w:tab w:val="left" w:pos="709"/>
        </w:tabs>
        <w:jc w:val="both"/>
        <w:rPr>
          <w:rFonts w:ascii="Cambria" w:hAnsi="Cambria"/>
          <w:b/>
          <w:bCs/>
          <w:i/>
          <w:iCs/>
          <w:sz w:val="22"/>
          <w:szCs w:val="22"/>
        </w:rPr>
      </w:pPr>
    </w:p>
    <w:p w14:paraId="5EF1DDAD" w14:textId="69AE7AEE" w:rsidR="00584D1B" w:rsidRPr="00D058C1" w:rsidRDefault="00584D1B" w:rsidP="00193062">
      <w:pPr>
        <w:pStyle w:val="Caption"/>
        <w:rPr>
          <w:rFonts w:ascii="Cambria" w:hAnsi="Cambria"/>
          <w:b/>
          <w:bCs/>
          <w:sz w:val="22"/>
          <w:szCs w:val="22"/>
        </w:rPr>
      </w:pPr>
    </w:p>
    <w:p w14:paraId="29E0DC39" w14:textId="77777777" w:rsidR="00584D1B" w:rsidRPr="00D058C1" w:rsidRDefault="00584D1B" w:rsidP="004C2C62">
      <w:pPr>
        <w:jc w:val="both"/>
        <w:rPr>
          <w:rFonts w:ascii="Cambria" w:hAnsi="Cambria"/>
          <w:sz w:val="22"/>
          <w:szCs w:val="22"/>
        </w:rPr>
      </w:pPr>
    </w:p>
    <w:p w14:paraId="676CC482" w14:textId="02B789C1" w:rsidR="000162BB" w:rsidRPr="00D058C1" w:rsidRDefault="000162BB" w:rsidP="00193062">
      <w:pPr>
        <w:pStyle w:val="Heading1"/>
        <w:rPr>
          <w:rFonts w:ascii="Cambria" w:hAnsi="Cambria"/>
          <w:b/>
          <w:sz w:val="22"/>
          <w:szCs w:val="22"/>
        </w:rPr>
      </w:pPr>
      <w:bookmarkStart w:id="33" w:name="_Toc34220988"/>
      <w:bookmarkStart w:id="34" w:name="_Toc55309685"/>
      <w:r w:rsidRPr="00D058C1">
        <w:rPr>
          <w:rFonts w:ascii="Cambria" w:hAnsi="Cambria"/>
          <w:b/>
          <w:sz w:val="22"/>
          <w:szCs w:val="22"/>
        </w:rPr>
        <w:lastRenderedPageBreak/>
        <w:t xml:space="preserve">IV.  </w:t>
      </w:r>
      <w:r w:rsidRPr="00D058C1">
        <w:rPr>
          <w:rFonts w:ascii="Cambria" w:hAnsi="Cambria"/>
          <w:b/>
          <w:sz w:val="22"/>
          <w:szCs w:val="22"/>
        </w:rPr>
        <w:tab/>
        <w:t>RECOMMENDATIONS</w:t>
      </w:r>
      <w:bookmarkEnd w:id="33"/>
      <w:bookmarkEnd w:id="34"/>
    </w:p>
    <w:p w14:paraId="562C6710" w14:textId="3B252A85" w:rsidR="00480A75" w:rsidRPr="00D058C1" w:rsidRDefault="00480A75" w:rsidP="004C2C62">
      <w:pPr>
        <w:jc w:val="both"/>
        <w:rPr>
          <w:rFonts w:ascii="Cambria" w:hAnsi="Cambria"/>
          <w:b/>
          <w:sz w:val="22"/>
          <w:szCs w:val="22"/>
        </w:rPr>
      </w:pPr>
    </w:p>
    <w:p w14:paraId="5FF975EE" w14:textId="45405772" w:rsidR="001F71E9" w:rsidRPr="0054431C" w:rsidRDefault="00837EB6" w:rsidP="00193062">
      <w:pPr>
        <w:pStyle w:val="Heading2"/>
        <w:rPr>
          <w:rFonts w:ascii="Cambria" w:hAnsi="Cambria"/>
          <w:b/>
          <w:bCs/>
          <w:sz w:val="22"/>
          <w:szCs w:val="22"/>
          <w:u w:val="single"/>
        </w:rPr>
      </w:pPr>
      <w:r>
        <w:rPr>
          <w:rFonts w:ascii="Cambria" w:hAnsi="Cambria"/>
          <w:b/>
          <w:bCs/>
          <w:sz w:val="22"/>
          <w:szCs w:val="22"/>
        </w:rPr>
        <w:t xml:space="preserve"> </w:t>
      </w:r>
      <w:bookmarkStart w:id="35" w:name="_Toc34220989"/>
      <w:bookmarkStart w:id="36" w:name="_Toc55309686"/>
      <w:r w:rsidR="001F71E9" w:rsidRPr="0054431C">
        <w:rPr>
          <w:rFonts w:ascii="Cambria" w:hAnsi="Cambria"/>
          <w:b/>
          <w:bCs/>
          <w:sz w:val="22"/>
          <w:szCs w:val="22"/>
          <w:u w:val="single"/>
        </w:rPr>
        <w:t>Part</w:t>
      </w:r>
      <w:r w:rsidR="0095326E" w:rsidRPr="0054431C">
        <w:rPr>
          <w:rFonts w:ascii="Cambria" w:hAnsi="Cambria"/>
          <w:b/>
          <w:bCs/>
          <w:sz w:val="22"/>
          <w:szCs w:val="22"/>
          <w:u w:val="single"/>
        </w:rPr>
        <w:t xml:space="preserve"> A</w:t>
      </w:r>
      <w:r w:rsidR="007768EF" w:rsidRPr="0054431C">
        <w:rPr>
          <w:rFonts w:ascii="Cambria" w:hAnsi="Cambria"/>
          <w:b/>
          <w:bCs/>
          <w:sz w:val="22"/>
          <w:szCs w:val="22"/>
          <w:u w:val="single"/>
        </w:rPr>
        <w:t>:</w:t>
      </w:r>
      <w:r w:rsidR="0095326E" w:rsidRPr="0054431C">
        <w:rPr>
          <w:rFonts w:ascii="Cambria" w:hAnsi="Cambria"/>
          <w:b/>
          <w:bCs/>
          <w:sz w:val="22"/>
          <w:szCs w:val="22"/>
          <w:u w:val="single"/>
        </w:rPr>
        <w:t xml:space="preserve">  </w:t>
      </w:r>
      <w:r w:rsidR="001F71E9" w:rsidRPr="0054431C">
        <w:rPr>
          <w:rFonts w:ascii="Cambria" w:hAnsi="Cambria"/>
          <w:b/>
          <w:bCs/>
          <w:sz w:val="22"/>
          <w:szCs w:val="22"/>
          <w:u w:val="single"/>
        </w:rPr>
        <w:t xml:space="preserve"> </w:t>
      </w:r>
      <w:r w:rsidR="0095326E" w:rsidRPr="0054431C">
        <w:rPr>
          <w:rFonts w:ascii="Cambria" w:hAnsi="Cambria"/>
          <w:b/>
          <w:bCs/>
          <w:sz w:val="22"/>
          <w:szCs w:val="22"/>
          <w:u w:val="single"/>
        </w:rPr>
        <w:t>APP</w:t>
      </w:r>
      <w:bookmarkEnd w:id="35"/>
      <w:r w:rsidR="00BA5DD9" w:rsidRPr="0054431C">
        <w:rPr>
          <w:rFonts w:ascii="Cambria" w:hAnsi="Cambria"/>
          <w:b/>
          <w:bCs/>
          <w:sz w:val="22"/>
          <w:szCs w:val="22"/>
          <w:u w:val="single"/>
        </w:rPr>
        <w:t>, Multilateral, and Flexible Peace and Stability Fund Partners</w:t>
      </w:r>
      <w:bookmarkEnd w:id="36"/>
      <w:r w:rsidR="00BA5DD9" w:rsidRPr="0054431C">
        <w:rPr>
          <w:rFonts w:ascii="Cambria" w:hAnsi="Cambria"/>
          <w:b/>
          <w:bCs/>
          <w:sz w:val="22"/>
          <w:szCs w:val="22"/>
          <w:u w:val="single"/>
        </w:rPr>
        <w:t xml:space="preserve">  </w:t>
      </w:r>
    </w:p>
    <w:p w14:paraId="738E37B7" w14:textId="098BDDC9" w:rsidR="001F4AB8" w:rsidRPr="00D058C1" w:rsidRDefault="001F4AB8" w:rsidP="001F4AB8">
      <w:pPr>
        <w:jc w:val="both"/>
        <w:rPr>
          <w:rFonts w:ascii="Cambria" w:hAnsi="Cambria"/>
          <w:sz w:val="22"/>
          <w:szCs w:val="22"/>
          <w:u w:val="single"/>
        </w:rPr>
      </w:pPr>
    </w:p>
    <w:p w14:paraId="76DF7F4F" w14:textId="301A7AC7" w:rsidR="002A74D9" w:rsidRPr="00D058C1" w:rsidRDefault="002A74D9" w:rsidP="002A74D9">
      <w:pPr>
        <w:pStyle w:val="ListParagraph"/>
        <w:numPr>
          <w:ilvl w:val="0"/>
          <w:numId w:val="77"/>
        </w:numPr>
        <w:jc w:val="both"/>
        <w:rPr>
          <w:rFonts w:ascii="Cambria" w:hAnsi="Cambria"/>
          <w:sz w:val="22"/>
          <w:szCs w:val="22"/>
        </w:rPr>
      </w:pPr>
      <w:r w:rsidRPr="00D058C1">
        <w:rPr>
          <w:rFonts w:ascii="Cambria" w:hAnsi="Cambria"/>
          <w:b/>
          <w:bCs/>
          <w:sz w:val="22"/>
          <w:szCs w:val="22"/>
        </w:rPr>
        <w:t>Strengthen coordination among A</w:t>
      </w:r>
      <w:r w:rsidR="00B55BD3">
        <w:rPr>
          <w:rFonts w:ascii="Cambria" w:hAnsi="Cambria"/>
          <w:b/>
          <w:bCs/>
          <w:sz w:val="22"/>
          <w:szCs w:val="22"/>
        </w:rPr>
        <w:t>P</w:t>
      </w:r>
      <w:r w:rsidRPr="00D058C1">
        <w:rPr>
          <w:rFonts w:ascii="Cambria" w:hAnsi="Cambria"/>
          <w:b/>
          <w:bCs/>
          <w:sz w:val="22"/>
          <w:szCs w:val="22"/>
        </w:rPr>
        <w:t>P partners, W</w:t>
      </w:r>
      <w:r w:rsidR="00267D8E">
        <w:rPr>
          <w:rFonts w:ascii="Cambria" w:hAnsi="Cambria"/>
          <w:b/>
          <w:bCs/>
          <w:sz w:val="22"/>
          <w:szCs w:val="22"/>
        </w:rPr>
        <w:t>B,</w:t>
      </w:r>
      <w:r w:rsidRPr="00D058C1">
        <w:rPr>
          <w:rFonts w:ascii="Cambria" w:hAnsi="Cambria"/>
          <w:b/>
          <w:bCs/>
          <w:sz w:val="22"/>
          <w:szCs w:val="22"/>
        </w:rPr>
        <w:t xml:space="preserve"> UNDP </w:t>
      </w:r>
      <w:r w:rsidR="00267D8E">
        <w:rPr>
          <w:rFonts w:ascii="Cambria" w:hAnsi="Cambria"/>
          <w:b/>
          <w:bCs/>
          <w:sz w:val="22"/>
          <w:szCs w:val="22"/>
        </w:rPr>
        <w:t xml:space="preserve">and their subgrantees, </w:t>
      </w:r>
      <w:r w:rsidRPr="00D058C1">
        <w:rPr>
          <w:rFonts w:ascii="Cambria" w:hAnsi="Cambria"/>
          <w:b/>
          <w:bCs/>
          <w:sz w:val="22"/>
          <w:szCs w:val="22"/>
        </w:rPr>
        <w:t xml:space="preserve">and across the Australian Mindanao program </w:t>
      </w:r>
      <w:r w:rsidR="00E9542B">
        <w:rPr>
          <w:rFonts w:ascii="Cambria" w:hAnsi="Cambria"/>
          <w:b/>
          <w:bCs/>
          <w:sz w:val="22"/>
          <w:szCs w:val="22"/>
        </w:rPr>
        <w:t xml:space="preserve">– </w:t>
      </w:r>
      <w:r w:rsidRPr="00D058C1">
        <w:rPr>
          <w:rFonts w:ascii="Cambria" w:hAnsi="Cambria"/>
          <w:sz w:val="22"/>
          <w:szCs w:val="22"/>
        </w:rPr>
        <w:t xml:space="preserve">Overlaps in the activities among APP partners, the WB and UNDP have been noted as a result of them addressing the same challenges of the peace process and operating within a limited geographical area.  </w:t>
      </w:r>
      <w:r w:rsidR="00FF5E6E">
        <w:rPr>
          <w:rFonts w:ascii="Cambria" w:hAnsi="Cambria"/>
          <w:sz w:val="22"/>
          <w:szCs w:val="22"/>
        </w:rPr>
        <w:t>While this</w:t>
      </w:r>
      <w:r w:rsidR="00CD1077">
        <w:rPr>
          <w:rFonts w:ascii="Cambria" w:hAnsi="Cambria"/>
          <w:sz w:val="22"/>
          <w:szCs w:val="22"/>
        </w:rPr>
        <w:t xml:space="preserve"> can be partially attributed to the fact that a number of projects are jointly implemented or informed by shared studies, coordination can be further </w:t>
      </w:r>
      <w:proofErr w:type="gramStart"/>
      <w:r w:rsidR="00CD1077">
        <w:rPr>
          <w:rFonts w:ascii="Cambria" w:hAnsi="Cambria"/>
          <w:sz w:val="22"/>
          <w:szCs w:val="22"/>
        </w:rPr>
        <w:t xml:space="preserve">enhanced </w:t>
      </w:r>
      <w:r w:rsidRPr="00D058C1">
        <w:rPr>
          <w:rFonts w:ascii="Cambria" w:hAnsi="Cambria"/>
          <w:sz w:val="22"/>
          <w:szCs w:val="22"/>
        </w:rPr>
        <w:t xml:space="preserve"> </w:t>
      </w:r>
      <w:r w:rsidR="00CD1077">
        <w:rPr>
          <w:rFonts w:ascii="Cambria" w:hAnsi="Cambria"/>
          <w:sz w:val="22"/>
          <w:szCs w:val="22"/>
        </w:rPr>
        <w:t>by</w:t>
      </w:r>
      <w:proofErr w:type="gramEnd"/>
      <w:r w:rsidR="00CD1077">
        <w:rPr>
          <w:rFonts w:ascii="Cambria" w:hAnsi="Cambria"/>
          <w:sz w:val="22"/>
          <w:szCs w:val="22"/>
        </w:rPr>
        <w:t xml:space="preserve"> </w:t>
      </w:r>
      <w:r w:rsidRPr="00D058C1">
        <w:rPr>
          <w:rFonts w:ascii="Cambria" w:hAnsi="Cambria"/>
          <w:sz w:val="22"/>
          <w:szCs w:val="22"/>
        </w:rPr>
        <w:t xml:space="preserve">regular quarterly meetings with APP </w:t>
      </w:r>
      <w:r w:rsidR="004520D3">
        <w:rPr>
          <w:rFonts w:ascii="Cambria" w:hAnsi="Cambria"/>
          <w:sz w:val="22"/>
          <w:szCs w:val="22"/>
        </w:rPr>
        <w:t xml:space="preserve">and FPSF </w:t>
      </w:r>
      <w:r w:rsidRPr="00D058C1">
        <w:rPr>
          <w:rFonts w:ascii="Cambria" w:hAnsi="Cambria"/>
          <w:sz w:val="22"/>
          <w:szCs w:val="22"/>
        </w:rPr>
        <w:t>partners, WB</w:t>
      </w:r>
      <w:r w:rsidR="004520D3">
        <w:rPr>
          <w:rFonts w:ascii="Cambria" w:hAnsi="Cambria"/>
          <w:sz w:val="22"/>
          <w:szCs w:val="22"/>
        </w:rPr>
        <w:t>,</w:t>
      </w:r>
      <w:r w:rsidRPr="00D058C1">
        <w:rPr>
          <w:rFonts w:ascii="Cambria" w:hAnsi="Cambria"/>
          <w:sz w:val="22"/>
          <w:szCs w:val="22"/>
        </w:rPr>
        <w:t xml:space="preserve"> and UNDP</w:t>
      </w:r>
      <w:r w:rsidR="00CD1077">
        <w:rPr>
          <w:rFonts w:ascii="Cambria" w:hAnsi="Cambria"/>
          <w:sz w:val="22"/>
          <w:szCs w:val="22"/>
        </w:rPr>
        <w:t>. C</w:t>
      </w:r>
      <w:r w:rsidRPr="00D058C1">
        <w:rPr>
          <w:rFonts w:ascii="Cambria" w:hAnsi="Cambria"/>
          <w:sz w:val="22"/>
          <w:szCs w:val="22"/>
        </w:rPr>
        <w:t xml:space="preserve">ontinuing support to APP </w:t>
      </w:r>
      <w:r w:rsidR="00CD1077">
        <w:rPr>
          <w:rFonts w:ascii="Cambria" w:hAnsi="Cambria"/>
          <w:sz w:val="22"/>
          <w:szCs w:val="22"/>
        </w:rPr>
        <w:t xml:space="preserve">and FPSF </w:t>
      </w:r>
      <w:r w:rsidRPr="00D058C1">
        <w:rPr>
          <w:rFonts w:ascii="Cambria" w:hAnsi="Cambria"/>
          <w:sz w:val="22"/>
          <w:szCs w:val="22"/>
        </w:rPr>
        <w:t>partners based on their</w:t>
      </w:r>
      <w:r w:rsidR="00CE7263" w:rsidRPr="00D058C1">
        <w:rPr>
          <w:rFonts w:ascii="Cambria" w:hAnsi="Cambria"/>
          <w:sz w:val="22"/>
          <w:szCs w:val="22"/>
        </w:rPr>
        <w:t xml:space="preserve"> </w:t>
      </w:r>
      <w:r w:rsidRPr="00D058C1">
        <w:rPr>
          <w:rFonts w:ascii="Cambria" w:hAnsi="Cambria"/>
          <w:sz w:val="22"/>
          <w:szCs w:val="22"/>
        </w:rPr>
        <w:t xml:space="preserve">relative comparative strength in the peace process (e.g., IA </w:t>
      </w:r>
      <w:r w:rsidR="00BB2C6F">
        <w:rPr>
          <w:rFonts w:ascii="Cambria" w:hAnsi="Cambria"/>
          <w:sz w:val="22"/>
          <w:szCs w:val="22"/>
        </w:rPr>
        <w:t>on c</w:t>
      </w:r>
      <w:r w:rsidRPr="00D058C1">
        <w:rPr>
          <w:rFonts w:ascii="Cambria" w:hAnsi="Cambria"/>
          <w:sz w:val="22"/>
          <w:szCs w:val="22"/>
        </w:rPr>
        <w:t xml:space="preserve">onflict </w:t>
      </w:r>
      <w:r w:rsidR="00BB2C6F">
        <w:rPr>
          <w:rFonts w:ascii="Cambria" w:hAnsi="Cambria"/>
          <w:sz w:val="22"/>
          <w:szCs w:val="22"/>
        </w:rPr>
        <w:t>monitoring</w:t>
      </w:r>
      <w:r w:rsidRPr="00D058C1">
        <w:rPr>
          <w:rFonts w:ascii="Cambria" w:hAnsi="Cambria"/>
          <w:sz w:val="22"/>
          <w:szCs w:val="22"/>
        </w:rPr>
        <w:t xml:space="preserve">, IAG on </w:t>
      </w:r>
      <w:r w:rsidR="003E1F92">
        <w:rPr>
          <w:rFonts w:ascii="Cambria" w:hAnsi="Cambria"/>
          <w:sz w:val="22"/>
          <w:szCs w:val="22"/>
        </w:rPr>
        <w:t>constructive and critical analysis of</w:t>
      </w:r>
      <w:r w:rsidRPr="00D058C1">
        <w:rPr>
          <w:rFonts w:ascii="Cambria" w:hAnsi="Cambria"/>
          <w:sz w:val="22"/>
          <w:szCs w:val="22"/>
        </w:rPr>
        <w:t xml:space="preserve"> </w:t>
      </w:r>
      <w:r w:rsidR="003E1F92">
        <w:rPr>
          <w:rFonts w:ascii="Cambria" w:hAnsi="Cambria"/>
          <w:sz w:val="22"/>
          <w:szCs w:val="22"/>
        </w:rPr>
        <w:t>regional issues</w:t>
      </w:r>
      <w:r w:rsidRPr="00D058C1">
        <w:rPr>
          <w:rFonts w:ascii="Cambria" w:hAnsi="Cambria"/>
          <w:sz w:val="22"/>
          <w:szCs w:val="22"/>
        </w:rPr>
        <w:t xml:space="preserve">, CHD </w:t>
      </w:r>
      <w:r w:rsidR="00344394">
        <w:rPr>
          <w:rFonts w:ascii="Cambria" w:hAnsi="Cambria"/>
          <w:sz w:val="22"/>
          <w:szCs w:val="22"/>
        </w:rPr>
        <w:t>i</w:t>
      </w:r>
      <w:r w:rsidRPr="00D058C1">
        <w:rPr>
          <w:rFonts w:ascii="Cambria" w:hAnsi="Cambria"/>
          <w:sz w:val="22"/>
          <w:szCs w:val="22"/>
        </w:rPr>
        <w:t>n</w:t>
      </w:r>
      <w:r w:rsidR="00CD1077">
        <w:rPr>
          <w:rFonts w:ascii="Cambria" w:hAnsi="Cambria"/>
          <w:sz w:val="22"/>
          <w:szCs w:val="22"/>
        </w:rPr>
        <w:t xml:space="preserve"> Sulu</w:t>
      </w:r>
      <w:r w:rsidRPr="00D058C1">
        <w:rPr>
          <w:rFonts w:ascii="Cambria" w:hAnsi="Cambria"/>
          <w:sz w:val="22"/>
          <w:szCs w:val="22"/>
        </w:rPr>
        <w:t xml:space="preserve">, TAF on engagement with a </w:t>
      </w:r>
      <w:r w:rsidR="00267D8E">
        <w:rPr>
          <w:rFonts w:ascii="Cambria" w:hAnsi="Cambria"/>
          <w:sz w:val="22"/>
          <w:szCs w:val="22"/>
        </w:rPr>
        <w:t xml:space="preserve">wide </w:t>
      </w:r>
      <w:r w:rsidRPr="00D058C1">
        <w:rPr>
          <w:rFonts w:ascii="Cambria" w:hAnsi="Cambria"/>
          <w:sz w:val="22"/>
          <w:szCs w:val="22"/>
        </w:rPr>
        <w:t xml:space="preserve">range of stakeholders, Oxfam on </w:t>
      </w:r>
      <w:r w:rsidR="006C74D2">
        <w:rPr>
          <w:rFonts w:ascii="Cambria" w:hAnsi="Cambria"/>
          <w:sz w:val="22"/>
          <w:szCs w:val="22"/>
        </w:rPr>
        <w:t>g</w:t>
      </w:r>
      <w:r w:rsidRPr="00D058C1">
        <w:rPr>
          <w:rFonts w:ascii="Cambria" w:hAnsi="Cambria"/>
          <w:sz w:val="22"/>
          <w:szCs w:val="22"/>
        </w:rPr>
        <w:t>ender equality</w:t>
      </w:r>
      <w:r w:rsidR="00CD1077">
        <w:rPr>
          <w:rFonts w:ascii="Cambria" w:hAnsi="Cambria"/>
          <w:sz w:val="22"/>
          <w:szCs w:val="22"/>
        </w:rPr>
        <w:t xml:space="preserve">,  </w:t>
      </w:r>
      <w:proofErr w:type="spellStart"/>
      <w:r w:rsidR="00CD1077">
        <w:rPr>
          <w:rFonts w:ascii="Cambria" w:hAnsi="Cambria"/>
          <w:sz w:val="22"/>
          <w:szCs w:val="22"/>
        </w:rPr>
        <w:t>Balay</w:t>
      </w:r>
      <w:proofErr w:type="spellEnd"/>
      <w:r w:rsidR="00CD1077">
        <w:rPr>
          <w:rFonts w:ascii="Cambria" w:hAnsi="Cambria"/>
          <w:sz w:val="22"/>
          <w:szCs w:val="22"/>
        </w:rPr>
        <w:t xml:space="preserve"> </w:t>
      </w:r>
      <w:proofErr w:type="spellStart"/>
      <w:r w:rsidR="00CD1077">
        <w:rPr>
          <w:rFonts w:ascii="Cambria" w:hAnsi="Cambria"/>
          <w:sz w:val="22"/>
          <w:szCs w:val="22"/>
        </w:rPr>
        <w:t>Mindanaw</w:t>
      </w:r>
      <w:proofErr w:type="spellEnd"/>
      <w:r w:rsidR="00CD1077">
        <w:rPr>
          <w:rFonts w:ascii="Cambria" w:hAnsi="Cambria"/>
          <w:sz w:val="22"/>
          <w:szCs w:val="22"/>
        </w:rPr>
        <w:t xml:space="preserve"> on P/CVE activities, and PBSP on private sector engagement</w:t>
      </w:r>
      <w:r w:rsidRPr="00D058C1">
        <w:rPr>
          <w:rFonts w:ascii="Cambria" w:hAnsi="Cambria"/>
          <w:sz w:val="22"/>
          <w:szCs w:val="22"/>
        </w:rPr>
        <w:t xml:space="preserve">).  The WB and UNDP can complement the efforts of the APP </w:t>
      </w:r>
      <w:r w:rsidR="00CE4B84">
        <w:rPr>
          <w:rFonts w:ascii="Cambria" w:hAnsi="Cambria"/>
          <w:sz w:val="22"/>
          <w:szCs w:val="22"/>
        </w:rPr>
        <w:t>and FPS</w:t>
      </w:r>
      <w:r w:rsidR="00741640">
        <w:rPr>
          <w:rFonts w:ascii="Cambria" w:hAnsi="Cambria"/>
          <w:sz w:val="22"/>
          <w:szCs w:val="22"/>
        </w:rPr>
        <w:t>F</w:t>
      </w:r>
      <w:r w:rsidR="00CE4B84">
        <w:rPr>
          <w:rFonts w:ascii="Cambria" w:hAnsi="Cambria"/>
          <w:sz w:val="22"/>
          <w:szCs w:val="22"/>
        </w:rPr>
        <w:t xml:space="preserve"> </w:t>
      </w:r>
      <w:r w:rsidRPr="00D058C1">
        <w:rPr>
          <w:rFonts w:ascii="Cambria" w:hAnsi="Cambria"/>
          <w:sz w:val="22"/>
          <w:szCs w:val="22"/>
        </w:rPr>
        <w:t>partners by</w:t>
      </w:r>
      <w:r w:rsidR="00157C72">
        <w:rPr>
          <w:rFonts w:ascii="Cambria" w:hAnsi="Cambria"/>
          <w:sz w:val="22"/>
          <w:szCs w:val="22"/>
        </w:rPr>
        <w:t xml:space="preserve"> being able to match international insights and </w:t>
      </w:r>
      <w:r w:rsidRPr="00D058C1">
        <w:rPr>
          <w:rFonts w:ascii="Cambria" w:hAnsi="Cambria"/>
          <w:sz w:val="22"/>
          <w:szCs w:val="22"/>
        </w:rPr>
        <w:t>experiences of similarly situated countries in other parts of the world</w:t>
      </w:r>
      <w:r w:rsidR="00157C72">
        <w:rPr>
          <w:rFonts w:ascii="Cambria" w:hAnsi="Cambria"/>
          <w:sz w:val="22"/>
          <w:szCs w:val="22"/>
        </w:rPr>
        <w:t xml:space="preserve"> with local expertise</w:t>
      </w:r>
      <w:r w:rsidRPr="00D058C1">
        <w:rPr>
          <w:rFonts w:ascii="Cambria" w:hAnsi="Cambria"/>
          <w:sz w:val="22"/>
          <w:szCs w:val="22"/>
        </w:rPr>
        <w:t>.</w:t>
      </w:r>
    </w:p>
    <w:p w14:paraId="0CE62F2C" w14:textId="77777777" w:rsidR="001F4AB8" w:rsidRPr="00D058C1" w:rsidRDefault="001F4AB8" w:rsidP="001F4AB8">
      <w:pPr>
        <w:jc w:val="both"/>
        <w:rPr>
          <w:rFonts w:ascii="Cambria" w:hAnsi="Cambria"/>
          <w:sz w:val="22"/>
          <w:szCs w:val="22"/>
        </w:rPr>
      </w:pPr>
    </w:p>
    <w:p w14:paraId="75622191" w14:textId="6236EE30" w:rsidR="008E7989" w:rsidRPr="00A928D6" w:rsidRDefault="00CE7263" w:rsidP="00A928D6">
      <w:pPr>
        <w:pStyle w:val="ListParagraph"/>
        <w:numPr>
          <w:ilvl w:val="0"/>
          <w:numId w:val="77"/>
        </w:numPr>
        <w:jc w:val="both"/>
        <w:rPr>
          <w:rFonts w:ascii="Cambria" w:hAnsi="Cambria"/>
          <w:sz w:val="22"/>
          <w:szCs w:val="22"/>
        </w:rPr>
      </w:pPr>
      <w:r w:rsidRPr="001324EB">
        <w:rPr>
          <w:rFonts w:ascii="Cambria" w:hAnsi="Cambria"/>
          <w:b/>
          <w:sz w:val="22"/>
          <w:szCs w:val="22"/>
        </w:rPr>
        <w:t>Better coordination across the Australian Mindanao program is also needed to avoid overlaps in their activities and gain maximum return on Australia’s investment in the Mindanao peace process</w:t>
      </w:r>
      <w:r w:rsidR="00BA0DB0">
        <w:rPr>
          <w:rFonts w:ascii="Cambria" w:hAnsi="Cambria"/>
          <w:b/>
          <w:sz w:val="22"/>
          <w:szCs w:val="22"/>
        </w:rPr>
        <w:t>--</w:t>
      </w:r>
      <w:r w:rsidRPr="00D058C1">
        <w:rPr>
          <w:rFonts w:ascii="Cambria" w:hAnsi="Cambria"/>
          <w:sz w:val="22"/>
          <w:szCs w:val="22"/>
        </w:rPr>
        <w:t xml:space="preserve">   Humanitarian assistance will eventually transition to delivery of traditional socio-economic services once situation normalizes.   Peace and governance activities will have to be aligned with sectoral concerns such as education because the latter is the foundation by which good governance can only be sustained in the medium and long-run.  It is recommended that a quarterly or bi-annual meeting among the heads and key staff of the various Australian projects should be conducted to improve coordination and information sharing activities. </w:t>
      </w:r>
    </w:p>
    <w:p w14:paraId="5D74D8BB" w14:textId="77777777" w:rsidR="00CE7263" w:rsidRPr="00D058C1" w:rsidRDefault="00CE7263" w:rsidP="00CE7263">
      <w:pPr>
        <w:jc w:val="both"/>
        <w:rPr>
          <w:rFonts w:ascii="Cambria" w:hAnsi="Cambria"/>
          <w:sz w:val="22"/>
          <w:szCs w:val="22"/>
        </w:rPr>
      </w:pPr>
    </w:p>
    <w:p w14:paraId="23CFBFC4" w14:textId="26550BC2" w:rsidR="00CE7263" w:rsidRPr="00D058C1" w:rsidRDefault="00CE7263" w:rsidP="00CE7263">
      <w:pPr>
        <w:pStyle w:val="ListParagraph"/>
        <w:numPr>
          <w:ilvl w:val="0"/>
          <w:numId w:val="77"/>
        </w:numPr>
        <w:jc w:val="both"/>
        <w:rPr>
          <w:rFonts w:ascii="Cambria" w:hAnsi="Cambria"/>
          <w:sz w:val="22"/>
          <w:szCs w:val="22"/>
        </w:rPr>
      </w:pPr>
      <w:r w:rsidRPr="00D058C1">
        <w:rPr>
          <w:rFonts w:ascii="Cambria" w:hAnsi="Cambria"/>
          <w:b/>
          <w:bCs/>
          <w:sz w:val="22"/>
          <w:szCs w:val="22"/>
        </w:rPr>
        <w:t xml:space="preserve">Assist in improving coordination amongst donors, national, regional and local governments involved in the peace process </w:t>
      </w:r>
      <w:proofErr w:type="gramStart"/>
      <w:r w:rsidRPr="00D058C1">
        <w:rPr>
          <w:rFonts w:ascii="Cambria" w:hAnsi="Cambria"/>
          <w:b/>
          <w:bCs/>
          <w:sz w:val="22"/>
          <w:szCs w:val="22"/>
        </w:rPr>
        <w:t xml:space="preserve">-  </w:t>
      </w:r>
      <w:r w:rsidRPr="00D058C1">
        <w:rPr>
          <w:rFonts w:ascii="Cambria" w:hAnsi="Cambria"/>
          <w:sz w:val="22"/>
          <w:szCs w:val="22"/>
        </w:rPr>
        <w:t>There</w:t>
      </w:r>
      <w:proofErr w:type="gramEnd"/>
      <w:r w:rsidRPr="00D058C1">
        <w:rPr>
          <w:rFonts w:ascii="Cambria" w:hAnsi="Cambria"/>
          <w:sz w:val="22"/>
          <w:szCs w:val="22"/>
        </w:rPr>
        <w:t xml:space="preserve"> are significant overlaps on the ground because of absence an effective coordinating mechanisms on donor assistance.  Currently, all major donors are offering technical assistance and capacity-building programs to the BARMM government to build its capacity to effectively govern.   Also, there is a vacuum on coordination among national, regional and local governments in the delivery of promised assistance to MILF combatants who will be decommissioned and the socio-economic services to be provided to MILF camps and communities.  Poor coordination has resulted, at both levels, in confusion among recipients of the assistance and frustration over the slow delivery of promised benefits of the peace process.   Being the second biggest donor in the peace process (in </w:t>
      </w:r>
      <w:r w:rsidR="00984C5A">
        <w:rPr>
          <w:rFonts w:ascii="Cambria" w:hAnsi="Cambria"/>
          <w:sz w:val="22"/>
          <w:szCs w:val="22"/>
        </w:rPr>
        <w:t xml:space="preserve">terms of </w:t>
      </w:r>
      <w:r w:rsidRPr="00D058C1">
        <w:rPr>
          <w:rFonts w:ascii="Cambria" w:hAnsi="Cambria"/>
          <w:sz w:val="22"/>
          <w:szCs w:val="22"/>
        </w:rPr>
        <w:t>grants), Australia can play an important role in improving donor and government coordination by sponsoring a series of forums that address this critical issue.  It can partner with the WB</w:t>
      </w:r>
      <w:r w:rsidRPr="00D058C1">
        <w:rPr>
          <w:rStyle w:val="FootnoteReference"/>
          <w:rFonts w:ascii="Cambria" w:hAnsi="Cambria"/>
          <w:sz w:val="22"/>
          <w:szCs w:val="22"/>
        </w:rPr>
        <w:footnoteReference w:id="8"/>
      </w:r>
      <w:r w:rsidRPr="00D058C1">
        <w:rPr>
          <w:rFonts w:ascii="Cambria" w:hAnsi="Cambria"/>
          <w:sz w:val="22"/>
          <w:szCs w:val="22"/>
        </w:rPr>
        <w:t xml:space="preserve"> and JICA (Japan being the biggest donor) in the conduct of these forums. </w:t>
      </w:r>
    </w:p>
    <w:p w14:paraId="1AA525BA" w14:textId="4712054B" w:rsidR="0041127E" w:rsidRPr="00D058C1" w:rsidRDefault="0041127E" w:rsidP="00A429CC">
      <w:pPr>
        <w:jc w:val="both"/>
        <w:rPr>
          <w:rFonts w:ascii="Cambria" w:hAnsi="Cambria"/>
          <w:b/>
          <w:bCs/>
          <w:sz w:val="22"/>
          <w:szCs w:val="22"/>
        </w:rPr>
      </w:pPr>
    </w:p>
    <w:p w14:paraId="572AA301" w14:textId="36C2E301" w:rsidR="008E7989" w:rsidRPr="00A928D6" w:rsidRDefault="00CE7263" w:rsidP="00A928D6">
      <w:pPr>
        <w:pStyle w:val="ListParagraph"/>
        <w:numPr>
          <w:ilvl w:val="0"/>
          <w:numId w:val="77"/>
        </w:numPr>
        <w:jc w:val="both"/>
        <w:rPr>
          <w:rFonts w:ascii="Cambria" w:hAnsi="Cambria"/>
          <w:b/>
          <w:bCs/>
          <w:sz w:val="22"/>
          <w:szCs w:val="22"/>
        </w:rPr>
      </w:pPr>
      <w:r w:rsidRPr="00F20926">
        <w:rPr>
          <w:rFonts w:ascii="Cambria" w:hAnsi="Cambria"/>
          <w:b/>
          <w:bCs/>
          <w:sz w:val="22"/>
          <w:szCs w:val="22"/>
        </w:rPr>
        <w:t>Strengthen</w:t>
      </w:r>
      <w:r w:rsidR="00F20926" w:rsidRPr="00F20926">
        <w:rPr>
          <w:rFonts w:ascii="Cambria" w:hAnsi="Cambria"/>
          <w:b/>
          <w:bCs/>
          <w:sz w:val="22"/>
          <w:szCs w:val="22"/>
        </w:rPr>
        <w:t xml:space="preserve"> implementation of</w:t>
      </w:r>
      <w:r w:rsidRPr="00F20926">
        <w:rPr>
          <w:rFonts w:ascii="Cambria" w:hAnsi="Cambria"/>
          <w:b/>
          <w:bCs/>
          <w:sz w:val="22"/>
          <w:szCs w:val="22"/>
        </w:rPr>
        <w:t xml:space="preserve"> gender sensitive plan</w:t>
      </w:r>
      <w:r w:rsidR="00286CAF">
        <w:rPr>
          <w:rFonts w:ascii="Cambria" w:hAnsi="Cambria"/>
          <w:b/>
          <w:bCs/>
          <w:sz w:val="22"/>
          <w:szCs w:val="22"/>
        </w:rPr>
        <w:t>s</w:t>
      </w:r>
      <w:r w:rsidRPr="00F20926">
        <w:rPr>
          <w:rFonts w:ascii="Cambria" w:hAnsi="Cambria"/>
          <w:b/>
          <w:bCs/>
          <w:sz w:val="22"/>
          <w:szCs w:val="22"/>
        </w:rPr>
        <w:t xml:space="preserve"> and install PWD sensitivity plan in the work program of APP partners – </w:t>
      </w:r>
      <w:r w:rsidRPr="00F20926">
        <w:rPr>
          <w:rFonts w:ascii="Cambria" w:hAnsi="Cambria"/>
          <w:sz w:val="22"/>
          <w:szCs w:val="22"/>
        </w:rPr>
        <w:t xml:space="preserve"> While significant progress on gender sensitivity has been noted in APP partners work, compared to when they were operating </w:t>
      </w:r>
      <w:r w:rsidRPr="00F20926">
        <w:rPr>
          <w:rFonts w:ascii="Cambria" w:hAnsi="Cambria"/>
          <w:sz w:val="22"/>
          <w:szCs w:val="22"/>
        </w:rPr>
        <w:lastRenderedPageBreak/>
        <w:t xml:space="preserve">under the </w:t>
      </w:r>
      <w:r w:rsidRPr="00A928D6">
        <w:rPr>
          <w:rFonts w:ascii="Cambria" w:hAnsi="Cambria"/>
          <w:i/>
          <w:iCs/>
          <w:sz w:val="22"/>
          <w:szCs w:val="22"/>
        </w:rPr>
        <w:t>Basic Bangsamoro</w:t>
      </w:r>
      <w:r w:rsidRPr="00F20926">
        <w:rPr>
          <w:rFonts w:ascii="Cambria" w:hAnsi="Cambria"/>
          <w:b/>
          <w:bCs/>
          <w:sz w:val="22"/>
          <w:szCs w:val="22"/>
        </w:rPr>
        <w:t xml:space="preserve"> </w:t>
      </w:r>
      <w:r w:rsidRPr="00F20926">
        <w:rPr>
          <w:rFonts w:ascii="Cambria" w:hAnsi="Cambria"/>
          <w:sz w:val="22"/>
          <w:szCs w:val="22"/>
        </w:rPr>
        <w:t xml:space="preserve">program, there is still room for improvement in </w:t>
      </w:r>
      <w:r w:rsidR="00F20926" w:rsidRPr="00F20926">
        <w:rPr>
          <w:rFonts w:ascii="Cambria" w:hAnsi="Cambria"/>
          <w:sz w:val="22"/>
          <w:szCs w:val="22"/>
        </w:rPr>
        <w:t>implement</w:t>
      </w:r>
      <w:r w:rsidR="00286CAF">
        <w:rPr>
          <w:rFonts w:ascii="Cambria" w:hAnsi="Cambria"/>
          <w:sz w:val="22"/>
          <w:szCs w:val="22"/>
        </w:rPr>
        <w:t>ing</w:t>
      </w:r>
      <w:r w:rsidR="00F20926" w:rsidRPr="00F20926">
        <w:rPr>
          <w:rFonts w:ascii="Cambria" w:hAnsi="Cambria"/>
          <w:sz w:val="22"/>
          <w:szCs w:val="22"/>
        </w:rPr>
        <w:t xml:space="preserve"> their</w:t>
      </w:r>
      <w:r w:rsidRPr="00F20926">
        <w:rPr>
          <w:rFonts w:ascii="Cambria" w:hAnsi="Cambria"/>
          <w:sz w:val="22"/>
          <w:szCs w:val="22"/>
        </w:rPr>
        <w:t xml:space="preserve"> </w:t>
      </w:r>
      <w:r w:rsidR="00DD4BBB" w:rsidRPr="00F20926">
        <w:rPr>
          <w:rFonts w:ascii="Cambria" w:hAnsi="Cambria"/>
          <w:sz w:val="22"/>
          <w:szCs w:val="22"/>
        </w:rPr>
        <w:t xml:space="preserve">Conflict </w:t>
      </w:r>
      <w:r w:rsidR="00DD4BBB" w:rsidRPr="00A928D6">
        <w:rPr>
          <w:rFonts w:ascii="Cambria" w:eastAsiaTheme="minorEastAsia" w:hAnsi="Cambria" w:cs="AppleSystemUIFont"/>
          <w:sz w:val="22"/>
          <w:szCs w:val="22"/>
          <w:lang w:val="en-GB" w:eastAsia="en-US"/>
        </w:rPr>
        <w:t>Sensitive Gender Action Plans (CSGAPs)</w:t>
      </w:r>
      <w:r w:rsidR="00F20926" w:rsidRPr="00A928D6">
        <w:rPr>
          <w:rFonts w:ascii="Cambria" w:eastAsiaTheme="minorEastAsia" w:hAnsi="Cambria" w:cs="AppleSystemUIFont"/>
          <w:sz w:val="22"/>
          <w:szCs w:val="22"/>
          <w:lang w:val="en-GB" w:eastAsia="en-US"/>
        </w:rPr>
        <w:t>, and</w:t>
      </w:r>
      <w:r w:rsidR="00780D25">
        <w:rPr>
          <w:rFonts w:ascii="Cambria" w:eastAsiaTheme="minorEastAsia" w:hAnsi="Cambria" w:cs="AppleSystemUIFont"/>
          <w:sz w:val="22"/>
          <w:szCs w:val="22"/>
          <w:lang w:val="en-GB" w:eastAsia="en-US"/>
        </w:rPr>
        <w:t xml:space="preserve"> how these</w:t>
      </w:r>
      <w:r w:rsidR="00F20926" w:rsidRPr="00A928D6">
        <w:rPr>
          <w:rFonts w:ascii="Cambria" w:eastAsiaTheme="minorEastAsia" w:hAnsi="Cambria" w:cs="AppleSystemUIFont"/>
          <w:sz w:val="22"/>
          <w:szCs w:val="22"/>
          <w:lang w:val="en-GB" w:eastAsia="en-US"/>
        </w:rPr>
        <w:t xml:space="preserve"> activities contribute to the National Action Plan on Women, Peace and Security.</w:t>
      </w:r>
      <w:r w:rsidRPr="00F20926">
        <w:rPr>
          <w:rFonts w:ascii="Cambria" w:hAnsi="Cambria"/>
          <w:sz w:val="22"/>
          <w:szCs w:val="22"/>
        </w:rPr>
        <w:t xml:space="preserve"> </w:t>
      </w:r>
      <w:r w:rsidR="00F20926" w:rsidRPr="00A928D6">
        <w:rPr>
          <w:rFonts w:ascii="Cambria" w:eastAsiaTheme="minorEastAsia" w:hAnsi="Cambria" w:cs="AppleSystemUIFont"/>
          <w:sz w:val="22"/>
          <w:szCs w:val="22"/>
          <w:lang w:val="en-GB" w:eastAsia="en-US"/>
        </w:rPr>
        <w:t xml:space="preserve">As the peace process shifts to implementation, </w:t>
      </w:r>
      <w:r w:rsidR="00BC4071">
        <w:rPr>
          <w:rFonts w:ascii="Cambria" w:eastAsiaTheme="minorEastAsia" w:hAnsi="Cambria" w:cs="AppleSystemUIFont"/>
          <w:sz w:val="22"/>
          <w:szCs w:val="22"/>
          <w:lang w:val="en-GB" w:eastAsia="en-US"/>
        </w:rPr>
        <w:t>there are opportunities to intensify engagement with</w:t>
      </w:r>
      <w:r w:rsidR="00F20926" w:rsidRPr="00A928D6">
        <w:rPr>
          <w:rFonts w:ascii="Cambria" w:eastAsiaTheme="minorEastAsia" w:hAnsi="Cambria" w:cs="AppleSystemUIFont"/>
          <w:sz w:val="22"/>
          <w:szCs w:val="22"/>
          <w:lang w:val="en-GB" w:eastAsia="en-US"/>
        </w:rPr>
        <w:t xml:space="preserve"> non-elite and vulnerable women in the Bangsamoro, </w:t>
      </w:r>
      <w:r w:rsidR="002A6261">
        <w:rPr>
          <w:rFonts w:ascii="Cambria" w:eastAsiaTheme="minorEastAsia" w:hAnsi="Cambria" w:cs="AppleSystemUIFont"/>
          <w:sz w:val="22"/>
          <w:szCs w:val="22"/>
          <w:lang w:val="en-GB" w:eastAsia="en-US"/>
        </w:rPr>
        <w:t xml:space="preserve">including </w:t>
      </w:r>
      <w:r w:rsidR="00F20926" w:rsidRPr="00A928D6">
        <w:rPr>
          <w:rFonts w:ascii="Cambria" w:eastAsiaTheme="minorEastAsia" w:hAnsi="Cambria" w:cs="AppleSystemUIFont"/>
          <w:sz w:val="22"/>
          <w:szCs w:val="22"/>
          <w:lang w:val="en-GB" w:eastAsia="en-US"/>
        </w:rPr>
        <w:t>widows</w:t>
      </w:r>
      <w:r w:rsidR="002A6261">
        <w:rPr>
          <w:rFonts w:ascii="Cambria" w:eastAsiaTheme="minorEastAsia" w:hAnsi="Cambria" w:cs="AppleSystemUIFont"/>
          <w:sz w:val="22"/>
          <w:szCs w:val="22"/>
          <w:lang w:val="en-GB" w:eastAsia="en-US"/>
        </w:rPr>
        <w:t xml:space="preserve">, </w:t>
      </w:r>
      <w:r w:rsidR="00F20926" w:rsidRPr="00A928D6">
        <w:rPr>
          <w:rFonts w:ascii="Cambria" w:eastAsiaTheme="minorEastAsia" w:hAnsi="Cambria" w:cs="AppleSystemUIFont"/>
          <w:sz w:val="22"/>
          <w:szCs w:val="22"/>
          <w:lang w:val="en-GB" w:eastAsia="en-US"/>
        </w:rPr>
        <w:t>female-headed households</w:t>
      </w:r>
      <w:r w:rsidR="002A6261">
        <w:rPr>
          <w:rFonts w:ascii="Cambria" w:eastAsiaTheme="minorEastAsia" w:hAnsi="Cambria" w:cs="AppleSystemUIFont"/>
          <w:sz w:val="22"/>
          <w:szCs w:val="22"/>
          <w:lang w:val="en-GB" w:eastAsia="en-US"/>
        </w:rPr>
        <w:t xml:space="preserve">, former combatants, and </w:t>
      </w:r>
      <w:proofErr w:type="gramStart"/>
      <w:r w:rsidR="002A6261">
        <w:rPr>
          <w:rFonts w:ascii="Cambria" w:eastAsiaTheme="minorEastAsia" w:hAnsi="Cambria" w:cs="AppleSystemUIFont"/>
          <w:sz w:val="22"/>
          <w:szCs w:val="22"/>
          <w:lang w:val="en-GB" w:eastAsia="en-US"/>
        </w:rPr>
        <w:t>internally-displaced</w:t>
      </w:r>
      <w:proofErr w:type="gramEnd"/>
      <w:r w:rsidR="002A6261">
        <w:rPr>
          <w:rFonts w:ascii="Cambria" w:eastAsiaTheme="minorEastAsia" w:hAnsi="Cambria" w:cs="AppleSystemUIFont"/>
          <w:sz w:val="22"/>
          <w:szCs w:val="22"/>
          <w:lang w:val="en-GB" w:eastAsia="en-US"/>
        </w:rPr>
        <w:t xml:space="preserve"> women</w:t>
      </w:r>
      <w:r w:rsidR="00F20926" w:rsidRPr="00A928D6">
        <w:rPr>
          <w:rFonts w:ascii="Cambria" w:eastAsiaTheme="minorEastAsia" w:hAnsi="Cambria" w:cs="AppleSystemUIFont"/>
          <w:sz w:val="22"/>
          <w:szCs w:val="22"/>
          <w:lang w:val="en-GB" w:eastAsia="en-US"/>
        </w:rPr>
        <w:t xml:space="preserve">. </w:t>
      </w:r>
      <w:r w:rsidRPr="00F20926">
        <w:rPr>
          <w:rFonts w:ascii="Cambria" w:hAnsi="Cambria"/>
          <w:sz w:val="22"/>
          <w:szCs w:val="22"/>
        </w:rPr>
        <w:t xml:space="preserve">On the other hand, there is </w:t>
      </w:r>
      <w:r w:rsidR="00623DE2">
        <w:rPr>
          <w:rFonts w:ascii="Cambria" w:hAnsi="Cambria"/>
          <w:sz w:val="22"/>
          <w:szCs w:val="22"/>
        </w:rPr>
        <w:t xml:space="preserve">a notable gap </w:t>
      </w:r>
      <w:proofErr w:type="gramStart"/>
      <w:r w:rsidR="00623DE2">
        <w:rPr>
          <w:rFonts w:ascii="Cambria" w:hAnsi="Cambria"/>
          <w:sz w:val="22"/>
          <w:szCs w:val="22"/>
        </w:rPr>
        <w:t xml:space="preserve">in </w:t>
      </w:r>
      <w:r w:rsidRPr="00F20926">
        <w:rPr>
          <w:rFonts w:ascii="Cambria" w:hAnsi="Cambria"/>
          <w:sz w:val="22"/>
          <w:szCs w:val="22"/>
        </w:rPr>
        <w:t xml:space="preserve"> PWD</w:t>
      </w:r>
      <w:proofErr w:type="gramEnd"/>
      <w:r w:rsidRPr="00F20926">
        <w:rPr>
          <w:rFonts w:ascii="Cambria" w:hAnsi="Cambria"/>
          <w:sz w:val="22"/>
          <w:szCs w:val="22"/>
        </w:rPr>
        <w:t xml:space="preserve"> sensitivity in the works of the APP</w:t>
      </w:r>
      <w:r w:rsidR="00CF5B57" w:rsidRPr="00F20926">
        <w:rPr>
          <w:rFonts w:ascii="Cambria" w:hAnsi="Cambria"/>
          <w:sz w:val="22"/>
          <w:szCs w:val="22"/>
        </w:rPr>
        <w:t>, multilateral,</w:t>
      </w:r>
      <w:r w:rsidR="00BB2C6F" w:rsidRPr="00F20926">
        <w:rPr>
          <w:rFonts w:ascii="Cambria" w:hAnsi="Cambria"/>
          <w:sz w:val="22"/>
          <w:szCs w:val="22"/>
        </w:rPr>
        <w:t xml:space="preserve"> and </w:t>
      </w:r>
      <w:r w:rsidR="00CF5B57" w:rsidRPr="00F20926">
        <w:rPr>
          <w:rFonts w:ascii="Cambria" w:hAnsi="Cambria"/>
          <w:sz w:val="22"/>
          <w:szCs w:val="22"/>
        </w:rPr>
        <w:t xml:space="preserve">other </w:t>
      </w:r>
      <w:r w:rsidR="00BB2C6F" w:rsidRPr="00F20926">
        <w:rPr>
          <w:rFonts w:ascii="Cambria" w:hAnsi="Cambria"/>
          <w:sz w:val="22"/>
          <w:szCs w:val="22"/>
        </w:rPr>
        <w:t>implementing</w:t>
      </w:r>
      <w:r w:rsidRPr="00F20926">
        <w:rPr>
          <w:rFonts w:ascii="Cambria" w:hAnsi="Cambria"/>
          <w:sz w:val="22"/>
          <w:szCs w:val="22"/>
        </w:rPr>
        <w:t xml:space="preserve"> partners</w:t>
      </w:r>
      <w:r w:rsidR="00623DE2">
        <w:rPr>
          <w:rFonts w:ascii="Cambria" w:hAnsi="Cambria"/>
          <w:sz w:val="22"/>
          <w:szCs w:val="22"/>
        </w:rPr>
        <w:t xml:space="preserve">, despite initial plans by Oxfam and </w:t>
      </w:r>
      <w:r w:rsidR="00286CAF">
        <w:rPr>
          <w:rFonts w:ascii="Cambria" w:hAnsi="Cambria"/>
          <w:sz w:val="22"/>
          <w:szCs w:val="22"/>
        </w:rPr>
        <w:t>accessibility</w:t>
      </w:r>
      <w:r w:rsidR="00623DE2">
        <w:rPr>
          <w:rFonts w:ascii="Cambria" w:hAnsi="Cambria"/>
          <w:sz w:val="22"/>
          <w:szCs w:val="22"/>
        </w:rPr>
        <w:t xml:space="preserve"> guidelines established by IA</w:t>
      </w:r>
      <w:r w:rsidRPr="00F20926">
        <w:rPr>
          <w:rFonts w:ascii="Cambria" w:hAnsi="Cambria"/>
          <w:sz w:val="22"/>
          <w:szCs w:val="22"/>
        </w:rPr>
        <w:t xml:space="preserve">.  </w:t>
      </w:r>
      <w:proofErr w:type="gramStart"/>
      <w:r w:rsidR="00286CAF">
        <w:rPr>
          <w:rFonts w:ascii="Cambria" w:hAnsi="Cambria"/>
          <w:sz w:val="22"/>
          <w:szCs w:val="22"/>
        </w:rPr>
        <w:t>Culturally-appropriate</w:t>
      </w:r>
      <w:proofErr w:type="gramEnd"/>
      <w:r w:rsidR="00286CAF">
        <w:rPr>
          <w:rFonts w:ascii="Cambria" w:hAnsi="Cambria"/>
          <w:sz w:val="22"/>
          <w:szCs w:val="22"/>
        </w:rPr>
        <w:t xml:space="preserve"> p</w:t>
      </w:r>
      <w:r w:rsidRPr="00F20926">
        <w:rPr>
          <w:rFonts w:ascii="Cambria" w:hAnsi="Cambria"/>
          <w:sz w:val="22"/>
          <w:szCs w:val="22"/>
        </w:rPr>
        <w:t xml:space="preserve">arameters on this concern should be built in the work program of APP </w:t>
      </w:r>
      <w:r w:rsidR="00BB2C6F" w:rsidRPr="00F20926">
        <w:rPr>
          <w:rFonts w:ascii="Cambria" w:hAnsi="Cambria"/>
          <w:sz w:val="22"/>
          <w:szCs w:val="22"/>
        </w:rPr>
        <w:t xml:space="preserve">and </w:t>
      </w:r>
      <w:r w:rsidR="00CF5B57" w:rsidRPr="00F20926">
        <w:rPr>
          <w:rFonts w:ascii="Cambria" w:hAnsi="Cambria"/>
          <w:sz w:val="22"/>
          <w:szCs w:val="22"/>
        </w:rPr>
        <w:t xml:space="preserve">multilateral </w:t>
      </w:r>
      <w:r w:rsidR="00BB2C6F" w:rsidRPr="00F20926">
        <w:rPr>
          <w:rFonts w:ascii="Cambria" w:hAnsi="Cambria"/>
          <w:sz w:val="22"/>
          <w:szCs w:val="22"/>
        </w:rPr>
        <w:t xml:space="preserve">implementing </w:t>
      </w:r>
      <w:r w:rsidRPr="00F20926">
        <w:rPr>
          <w:rFonts w:ascii="Cambria" w:hAnsi="Cambria"/>
          <w:sz w:val="22"/>
          <w:szCs w:val="22"/>
        </w:rPr>
        <w:t xml:space="preserve">partners to ensure the extent of </w:t>
      </w:r>
      <w:r w:rsidR="00F20926">
        <w:rPr>
          <w:rFonts w:ascii="Cambria" w:hAnsi="Cambria"/>
          <w:sz w:val="22"/>
          <w:szCs w:val="22"/>
        </w:rPr>
        <w:t>engagement with</w:t>
      </w:r>
      <w:r w:rsidRPr="00F20926">
        <w:rPr>
          <w:rFonts w:ascii="Cambria" w:hAnsi="Cambria"/>
          <w:sz w:val="22"/>
          <w:szCs w:val="22"/>
        </w:rPr>
        <w:t xml:space="preserve"> PWDs. </w:t>
      </w:r>
      <w:r w:rsidRPr="00F20926">
        <w:rPr>
          <w:rFonts w:ascii="Cambria" w:hAnsi="Cambria"/>
          <w:b/>
          <w:bCs/>
          <w:sz w:val="22"/>
          <w:szCs w:val="22"/>
        </w:rPr>
        <w:t xml:space="preserve">  </w:t>
      </w:r>
    </w:p>
    <w:p w14:paraId="7C9FDD90" w14:textId="77777777" w:rsidR="00CE7263" w:rsidRPr="00D058C1" w:rsidRDefault="00CE7263" w:rsidP="00CE7263">
      <w:pPr>
        <w:pStyle w:val="ListParagraph"/>
        <w:rPr>
          <w:rFonts w:ascii="Cambria" w:hAnsi="Cambria"/>
          <w:b/>
          <w:bCs/>
          <w:sz w:val="22"/>
          <w:szCs w:val="22"/>
        </w:rPr>
      </w:pPr>
    </w:p>
    <w:p w14:paraId="228FAB00" w14:textId="234B833F" w:rsidR="00CE7263" w:rsidRPr="008D2F70" w:rsidRDefault="00CE7263" w:rsidP="00A928D6">
      <w:pPr>
        <w:pStyle w:val="ListParagraph"/>
        <w:numPr>
          <w:ilvl w:val="0"/>
          <w:numId w:val="77"/>
        </w:numPr>
        <w:jc w:val="both"/>
        <w:rPr>
          <w:rFonts w:ascii="Cambria" w:hAnsi="Cambria"/>
          <w:b/>
          <w:bCs/>
          <w:sz w:val="22"/>
          <w:szCs w:val="22"/>
        </w:rPr>
      </w:pPr>
      <w:r w:rsidRPr="008D2F70">
        <w:rPr>
          <w:rFonts w:ascii="Cambria" w:hAnsi="Cambria"/>
          <w:b/>
          <w:bCs/>
          <w:sz w:val="22"/>
          <w:szCs w:val="22"/>
        </w:rPr>
        <w:t>Develop a framework</w:t>
      </w:r>
      <w:r w:rsidR="00A8638C" w:rsidRPr="008D2F70">
        <w:rPr>
          <w:rFonts w:ascii="Cambria" w:hAnsi="Cambria"/>
          <w:b/>
          <w:bCs/>
          <w:sz w:val="22"/>
          <w:szCs w:val="22"/>
        </w:rPr>
        <w:t xml:space="preserve"> and metrics</w:t>
      </w:r>
      <w:r w:rsidRPr="008D2F70">
        <w:rPr>
          <w:rFonts w:ascii="Cambria" w:hAnsi="Cambria"/>
          <w:b/>
          <w:bCs/>
          <w:sz w:val="22"/>
          <w:szCs w:val="22"/>
        </w:rPr>
        <w:t xml:space="preserve"> for P/CVE activities of APP </w:t>
      </w:r>
      <w:r w:rsidR="00BB2C6F" w:rsidRPr="008D2F70">
        <w:rPr>
          <w:rFonts w:ascii="Cambria" w:hAnsi="Cambria"/>
          <w:b/>
          <w:bCs/>
          <w:sz w:val="22"/>
          <w:szCs w:val="22"/>
        </w:rPr>
        <w:t>and</w:t>
      </w:r>
      <w:r w:rsidR="00CF5B57" w:rsidRPr="008D2F70">
        <w:rPr>
          <w:rFonts w:ascii="Cambria" w:hAnsi="Cambria"/>
          <w:b/>
          <w:bCs/>
          <w:sz w:val="22"/>
          <w:szCs w:val="22"/>
        </w:rPr>
        <w:t xml:space="preserve"> multilateral</w:t>
      </w:r>
      <w:r w:rsidR="00BB2C6F" w:rsidRPr="008D2F70">
        <w:rPr>
          <w:rFonts w:ascii="Cambria" w:hAnsi="Cambria"/>
          <w:b/>
          <w:bCs/>
          <w:sz w:val="22"/>
          <w:szCs w:val="22"/>
        </w:rPr>
        <w:t xml:space="preserve"> implementing </w:t>
      </w:r>
      <w:r w:rsidRPr="008D2F70">
        <w:rPr>
          <w:rFonts w:ascii="Cambria" w:hAnsi="Cambria"/>
          <w:b/>
          <w:bCs/>
          <w:sz w:val="22"/>
          <w:szCs w:val="22"/>
        </w:rPr>
        <w:t>partners and link it with</w:t>
      </w:r>
      <w:r w:rsidR="008D2F70">
        <w:rPr>
          <w:rFonts w:ascii="Cambria" w:hAnsi="Cambria"/>
          <w:b/>
          <w:bCs/>
          <w:sz w:val="22"/>
          <w:szCs w:val="22"/>
        </w:rPr>
        <w:t xml:space="preserve"> </w:t>
      </w:r>
      <w:r w:rsidRPr="008D2F70">
        <w:rPr>
          <w:rFonts w:ascii="Cambria" w:hAnsi="Cambria"/>
          <w:b/>
          <w:bCs/>
          <w:sz w:val="22"/>
          <w:szCs w:val="22"/>
        </w:rPr>
        <w:t xml:space="preserve">larger efforts on this concern -  </w:t>
      </w:r>
      <w:r w:rsidRPr="008D2F70">
        <w:rPr>
          <w:rFonts w:ascii="Cambria" w:hAnsi="Cambria"/>
          <w:sz w:val="22"/>
          <w:szCs w:val="22"/>
        </w:rPr>
        <w:t xml:space="preserve">The Marawi siege and the emergence of VE groups in various parts of Mindanao have triggered serious concern among donors and the government in preventing/countering violent extremist  groups.  While the concern is warranted, the downside is that significant resources are being poured to address the issue without a framework by which a more effective way of addressing it should be conducted. </w:t>
      </w:r>
      <w:r w:rsidR="00CF5B57" w:rsidRPr="008D2F70">
        <w:rPr>
          <w:rFonts w:ascii="Cambria" w:hAnsi="Cambria"/>
          <w:sz w:val="22"/>
          <w:szCs w:val="22"/>
        </w:rPr>
        <w:t xml:space="preserve">The recent </w:t>
      </w:r>
      <w:r w:rsidR="000962AD" w:rsidRPr="008D2F70">
        <w:rPr>
          <w:rFonts w:ascii="Cambria" w:hAnsi="Cambria"/>
          <w:sz w:val="22"/>
          <w:szCs w:val="22"/>
        </w:rPr>
        <w:t xml:space="preserve">completion </w:t>
      </w:r>
      <w:r w:rsidR="00CF5B57" w:rsidRPr="008D2F70">
        <w:rPr>
          <w:rFonts w:ascii="Cambria" w:hAnsi="Cambria"/>
          <w:sz w:val="22"/>
          <w:szCs w:val="22"/>
        </w:rPr>
        <w:t>of the National Action Plan on Preventing and Countering Violent Extremism</w:t>
      </w:r>
      <w:r w:rsidR="00DD4BBB" w:rsidRPr="008D2F70">
        <w:rPr>
          <w:rFonts w:ascii="Cambria" w:hAnsi="Cambria"/>
          <w:sz w:val="22"/>
          <w:szCs w:val="22"/>
        </w:rPr>
        <w:t>, which was supported by</w:t>
      </w:r>
      <w:r w:rsidR="000962AD" w:rsidRPr="008D2F70">
        <w:rPr>
          <w:rFonts w:ascii="Cambria" w:hAnsi="Cambria"/>
          <w:sz w:val="22"/>
          <w:szCs w:val="22"/>
        </w:rPr>
        <w:t xml:space="preserve"> DFAT through UNDP, </w:t>
      </w:r>
      <w:r w:rsidR="00CF5B57" w:rsidRPr="008D2F70">
        <w:rPr>
          <w:rFonts w:ascii="Cambria" w:hAnsi="Cambria"/>
          <w:sz w:val="22"/>
          <w:szCs w:val="22"/>
        </w:rPr>
        <w:t>should help inform this framing.</w:t>
      </w:r>
      <w:r w:rsidRPr="008D2F70">
        <w:rPr>
          <w:rFonts w:ascii="Cambria" w:hAnsi="Cambria"/>
          <w:sz w:val="22"/>
          <w:szCs w:val="22"/>
        </w:rPr>
        <w:t xml:space="preserve"> Recently, the Department of Interior and Local Government (DILG) issued a Memorandum Circular providing the guidelines for CSOs and </w:t>
      </w:r>
      <w:r w:rsidR="00E4193B" w:rsidRPr="008D2F70">
        <w:rPr>
          <w:rFonts w:ascii="Cambria" w:hAnsi="Cambria"/>
          <w:sz w:val="22"/>
          <w:szCs w:val="22"/>
        </w:rPr>
        <w:t>international development organizations</w:t>
      </w:r>
      <w:r w:rsidRPr="008D2F70">
        <w:rPr>
          <w:rFonts w:ascii="Cambria" w:hAnsi="Cambria"/>
          <w:sz w:val="22"/>
          <w:szCs w:val="22"/>
        </w:rPr>
        <w:t xml:space="preserve"> on how to engage in P/CVE work.  The situation is not being assisted by the fact that most of the existing work on P/CVE, analyzing its causes and triggers, are anecdotal in nature.   Australia</w:t>
      </w:r>
      <w:r w:rsidR="00E4193B" w:rsidRPr="008D2F70">
        <w:rPr>
          <w:rFonts w:ascii="Cambria" w:hAnsi="Cambria"/>
          <w:sz w:val="22"/>
          <w:szCs w:val="22"/>
        </w:rPr>
        <w:t xml:space="preserve"> is in a position to continue</w:t>
      </w:r>
      <w:r w:rsidRPr="008D2F70">
        <w:rPr>
          <w:rFonts w:ascii="Cambria" w:hAnsi="Cambria"/>
          <w:sz w:val="22"/>
          <w:szCs w:val="22"/>
        </w:rPr>
        <w:t xml:space="preserve"> </w:t>
      </w:r>
      <w:r w:rsidR="00E4193B" w:rsidRPr="008D2F70">
        <w:rPr>
          <w:rFonts w:ascii="Cambria" w:hAnsi="Cambria"/>
          <w:sz w:val="22"/>
          <w:szCs w:val="22"/>
        </w:rPr>
        <w:t xml:space="preserve">to </w:t>
      </w:r>
      <w:r w:rsidRPr="008D2F70">
        <w:rPr>
          <w:rFonts w:ascii="Cambria" w:hAnsi="Cambria"/>
          <w:sz w:val="22"/>
          <w:szCs w:val="22"/>
        </w:rPr>
        <w:t>assi</w:t>
      </w:r>
      <w:r w:rsidR="00E4193B" w:rsidRPr="008D2F70">
        <w:rPr>
          <w:rFonts w:ascii="Cambria" w:hAnsi="Cambria"/>
          <w:sz w:val="22"/>
          <w:szCs w:val="22"/>
        </w:rPr>
        <w:t>st</w:t>
      </w:r>
      <w:r w:rsidRPr="008D2F70">
        <w:rPr>
          <w:rFonts w:ascii="Cambria" w:hAnsi="Cambria"/>
          <w:sz w:val="22"/>
          <w:szCs w:val="22"/>
        </w:rPr>
        <w:t xml:space="preserve"> in addressing this gap, in coordination with other donors, by </w:t>
      </w:r>
      <w:r w:rsidR="008D2F70">
        <w:rPr>
          <w:rFonts w:ascii="Cambria" w:hAnsi="Cambria"/>
          <w:sz w:val="22"/>
          <w:szCs w:val="22"/>
        </w:rPr>
        <w:t>co-</w:t>
      </w:r>
      <w:r w:rsidRPr="008D2F70">
        <w:rPr>
          <w:rFonts w:ascii="Cambria" w:hAnsi="Cambria"/>
          <w:sz w:val="22"/>
          <w:szCs w:val="22"/>
        </w:rPr>
        <w:t xml:space="preserve">developing a framework </w:t>
      </w:r>
      <w:r w:rsidR="00E4193B" w:rsidRPr="008D2F70">
        <w:rPr>
          <w:rFonts w:ascii="Cambria" w:hAnsi="Cambria"/>
          <w:sz w:val="22"/>
          <w:szCs w:val="22"/>
        </w:rPr>
        <w:t xml:space="preserve">and </w:t>
      </w:r>
      <w:r w:rsidR="005A78CD" w:rsidRPr="008D2F70">
        <w:rPr>
          <w:rFonts w:ascii="Cambria" w:hAnsi="Cambria"/>
          <w:sz w:val="22"/>
          <w:szCs w:val="22"/>
        </w:rPr>
        <w:t>evide</w:t>
      </w:r>
      <w:r w:rsidR="001A5C2E" w:rsidRPr="008D2F70">
        <w:rPr>
          <w:rFonts w:ascii="Cambria" w:hAnsi="Cambria"/>
          <w:sz w:val="22"/>
          <w:szCs w:val="22"/>
        </w:rPr>
        <w:t>nce</w:t>
      </w:r>
      <w:r w:rsidR="005A78CD" w:rsidRPr="008D2F70">
        <w:rPr>
          <w:rFonts w:ascii="Cambria" w:hAnsi="Cambria"/>
          <w:sz w:val="22"/>
          <w:szCs w:val="22"/>
        </w:rPr>
        <w:t xml:space="preserve">-based </w:t>
      </w:r>
      <w:r w:rsidR="00E4193B" w:rsidRPr="008D2F70">
        <w:rPr>
          <w:rFonts w:ascii="Cambria" w:hAnsi="Cambria"/>
          <w:sz w:val="22"/>
          <w:szCs w:val="22"/>
        </w:rPr>
        <w:t>metrics for</w:t>
      </w:r>
      <w:r w:rsidRPr="008D2F70">
        <w:rPr>
          <w:rFonts w:ascii="Cambria" w:hAnsi="Cambria"/>
          <w:sz w:val="22"/>
          <w:szCs w:val="22"/>
        </w:rPr>
        <w:t xml:space="preserve"> P/CVE engagement within the varying context of the local communities (i.e., island provinces vis-à-vis mainland Mindanao) where the VE groups operate. </w:t>
      </w:r>
    </w:p>
    <w:p w14:paraId="19BC4B36" w14:textId="77777777" w:rsidR="008E7989" w:rsidRPr="00A928D6" w:rsidRDefault="008E7989" w:rsidP="00A928D6">
      <w:pPr>
        <w:pStyle w:val="ListParagraph"/>
        <w:rPr>
          <w:rFonts w:ascii="Cambria" w:hAnsi="Cambria"/>
          <w:b/>
          <w:bCs/>
          <w:sz w:val="22"/>
          <w:szCs w:val="22"/>
        </w:rPr>
      </w:pPr>
    </w:p>
    <w:p w14:paraId="21439325" w14:textId="326027F7" w:rsidR="00CE7263" w:rsidRPr="00D058C1" w:rsidRDefault="00CE7263" w:rsidP="00CE7263">
      <w:pPr>
        <w:pStyle w:val="ListParagraph"/>
        <w:numPr>
          <w:ilvl w:val="0"/>
          <w:numId w:val="77"/>
        </w:numPr>
        <w:jc w:val="both"/>
        <w:rPr>
          <w:rFonts w:ascii="Cambria" w:hAnsi="Cambria"/>
          <w:sz w:val="22"/>
          <w:szCs w:val="22"/>
        </w:rPr>
      </w:pPr>
      <w:r w:rsidRPr="00D058C1">
        <w:rPr>
          <w:rFonts w:ascii="Cambria" w:hAnsi="Cambria"/>
          <w:b/>
          <w:bCs/>
          <w:sz w:val="22"/>
          <w:szCs w:val="22"/>
        </w:rPr>
        <w:t xml:space="preserve">Assist in restoring and strengthening voices of CSOs, </w:t>
      </w:r>
      <w:proofErr w:type="spellStart"/>
      <w:r w:rsidRPr="00D058C1">
        <w:rPr>
          <w:rFonts w:ascii="Cambria" w:hAnsi="Cambria"/>
          <w:b/>
          <w:bCs/>
          <w:sz w:val="22"/>
          <w:szCs w:val="22"/>
        </w:rPr>
        <w:t>I</w:t>
      </w:r>
      <w:r w:rsidR="008E7989" w:rsidRPr="00D058C1">
        <w:rPr>
          <w:rFonts w:ascii="Cambria" w:hAnsi="Cambria"/>
          <w:b/>
          <w:bCs/>
          <w:sz w:val="22"/>
          <w:szCs w:val="22"/>
        </w:rPr>
        <w:t>p</w:t>
      </w:r>
      <w:r w:rsidRPr="00D058C1">
        <w:rPr>
          <w:rFonts w:ascii="Cambria" w:hAnsi="Cambria"/>
          <w:b/>
          <w:bCs/>
          <w:sz w:val="22"/>
          <w:szCs w:val="22"/>
        </w:rPr>
        <w:t>s</w:t>
      </w:r>
      <w:proofErr w:type="spellEnd"/>
      <w:r w:rsidRPr="00D058C1">
        <w:rPr>
          <w:rFonts w:ascii="Cambria" w:hAnsi="Cambria"/>
          <w:b/>
          <w:bCs/>
          <w:sz w:val="22"/>
          <w:szCs w:val="22"/>
        </w:rPr>
        <w:t xml:space="preserve"> and other marginalized sector</w:t>
      </w:r>
      <w:r w:rsidR="00BB2C6F">
        <w:rPr>
          <w:rFonts w:ascii="Cambria" w:hAnsi="Cambria"/>
          <w:b/>
          <w:bCs/>
          <w:sz w:val="22"/>
          <w:szCs w:val="22"/>
        </w:rPr>
        <w:t>s</w:t>
      </w:r>
      <w:r w:rsidRPr="00D058C1">
        <w:rPr>
          <w:rFonts w:ascii="Cambria" w:hAnsi="Cambria"/>
          <w:b/>
          <w:bCs/>
          <w:sz w:val="22"/>
          <w:szCs w:val="22"/>
        </w:rPr>
        <w:t xml:space="preserve"> in policy formulation and decision making within BARMM </w:t>
      </w:r>
      <w:r w:rsidR="00267D8E">
        <w:rPr>
          <w:rFonts w:ascii="Cambria" w:hAnsi="Cambria"/>
          <w:b/>
          <w:bCs/>
          <w:sz w:val="22"/>
          <w:szCs w:val="22"/>
        </w:rPr>
        <w:t>–</w:t>
      </w:r>
      <w:r w:rsidRPr="00D058C1">
        <w:rPr>
          <w:rFonts w:ascii="Cambria" w:hAnsi="Cambria"/>
          <w:b/>
          <w:bCs/>
          <w:sz w:val="22"/>
          <w:szCs w:val="22"/>
        </w:rPr>
        <w:t xml:space="preserve"> </w:t>
      </w:r>
      <w:r w:rsidRPr="00D058C1">
        <w:rPr>
          <w:rFonts w:ascii="Cambria" w:hAnsi="Cambria"/>
          <w:sz w:val="22"/>
          <w:szCs w:val="22"/>
        </w:rPr>
        <w:t>APP</w:t>
      </w:r>
      <w:r w:rsidR="00267D8E">
        <w:rPr>
          <w:rFonts w:ascii="Cambria" w:hAnsi="Cambria"/>
          <w:sz w:val="22"/>
          <w:szCs w:val="22"/>
        </w:rPr>
        <w:t xml:space="preserve"> partners, UNDP, </w:t>
      </w:r>
      <w:r w:rsidRPr="00D058C1">
        <w:rPr>
          <w:rFonts w:ascii="Cambria" w:hAnsi="Cambria"/>
          <w:sz w:val="22"/>
          <w:szCs w:val="22"/>
        </w:rPr>
        <w:t xml:space="preserve">and their local </w:t>
      </w:r>
      <w:r w:rsidR="00267D8E">
        <w:rPr>
          <w:rFonts w:ascii="Cambria" w:hAnsi="Cambria"/>
          <w:sz w:val="22"/>
          <w:szCs w:val="22"/>
        </w:rPr>
        <w:t>subgrantees</w:t>
      </w:r>
      <w:r w:rsidRPr="00D058C1">
        <w:rPr>
          <w:rFonts w:ascii="Cambria" w:hAnsi="Cambria"/>
          <w:sz w:val="22"/>
          <w:szCs w:val="22"/>
        </w:rPr>
        <w:t xml:space="preserve"> were heavily involved in the advocacy for the passage and ratification of the BOL as part of the coalition of peace builders.  Local partners are now complaining that after the BARMM government’s installation, their participation in the policy formulation and decision making in BARMM has been limited.   </w:t>
      </w:r>
      <w:r w:rsidR="00267D8E">
        <w:rPr>
          <w:rFonts w:ascii="Cambria" w:hAnsi="Cambria"/>
          <w:sz w:val="22"/>
          <w:szCs w:val="22"/>
        </w:rPr>
        <w:t xml:space="preserve">The </w:t>
      </w:r>
      <w:r w:rsidRPr="00D058C1">
        <w:rPr>
          <w:rFonts w:ascii="Cambria" w:hAnsi="Cambria"/>
          <w:sz w:val="22"/>
          <w:szCs w:val="22"/>
        </w:rPr>
        <w:t xml:space="preserve">APP </w:t>
      </w:r>
      <w:r w:rsidR="00BB2C6F">
        <w:rPr>
          <w:rFonts w:ascii="Cambria" w:hAnsi="Cambria"/>
          <w:sz w:val="22"/>
          <w:szCs w:val="22"/>
        </w:rPr>
        <w:t xml:space="preserve">and </w:t>
      </w:r>
      <w:r w:rsidR="00267D8E">
        <w:rPr>
          <w:rFonts w:ascii="Cambria" w:hAnsi="Cambria"/>
          <w:sz w:val="22"/>
          <w:szCs w:val="22"/>
        </w:rPr>
        <w:t xml:space="preserve">multilateral </w:t>
      </w:r>
      <w:r w:rsidRPr="00D058C1">
        <w:rPr>
          <w:rFonts w:ascii="Cambria" w:hAnsi="Cambria"/>
          <w:sz w:val="22"/>
          <w:szCs w:val="22"/>
        </w:rPr>
        <w:t>partners should continue their support to CSOs, I</w:t>
      </w:r>
      <w:r w:rsidR="00D820E2">
        <w:rPr>
          <w:rFonts w:ascii="Cambria" w:hAnsi="Cambria"/>
          <w:sz w:val="22"/>
          <w:szCs w:val="22"/>
        </w:rPr>
        <w:t>P</w:t>
      </w:r>
      <w:r w:rsidRPr="00D058C1">
        <w:rPr>
          <w:rFonts w:ascii="Cambria" w:hAnsi="Cambria"/>
          <w:sz w:val="22"/>
          <w:szCs w:val="22"/>
        </w:rPr>
        <w:t>s</w:t>
      </w:r>
      <w:r w:rsidR="00267D8E">
        <w:rPr>
          <w:rFonts w:ascii="Cambria" w:hAnsi="Cambria"/>
          <w:sz w:val="22"/>
          <w:szCs w:val="22"/>
        </w:rPr>
        <w:t>, women, youth, IDPs,</w:t>
      </w:r>
      <w:r w:rsidRPr="00D058C1">
        <w:rPr>
          <w:rFonts w:ascii="Cambria" w:hAnsi="Cambria"/>
          <w:sz w:val="22"/>
          <w:szCs w:val="22"/>
        </w:rPr>
        <w:t xml:space="preserve"> and other local </w:t>
      </w:r>
      <w:r w:rsidR="00267D8E">
        <w:rPr>
          <w:rFonts w:ascii="Cambria" w:hAnsi="Cambria"/>
          <w:sz w:val="22"/>
          <w:szCs w:val="22"/>
        </w:rPr>
        <w:t xml:space="preserve">stakeholders, </w:t>
      </w:r>
      <w:r w:rsidRPr="00D058C1">
        <w:rPr>
          <w:rFonts w:ascii="Cambria" w:hAnsi="Cambria"/>
          <w:sz w:val="22"/>
          <w:szCs w:val="22"/>
        </w:rPr>
        <w:t>to ensure that their views are articulated</w:t>
      </w:r>
      <w:r w:rsidR="006556D3">
        <w:rPr>
          <w:rFonts w:ascii="Cambria" w:hAnsi="Cambria"/>
          <w:sz w:val="22"/>
          <w:szCs w:val="22"/>
        </w:rPr>
        <w:t xml:space="preserve"> and able to</w:t>
      </w:r>
      <w:r w:rsidR="00CB1664">
        <w:rPr>
          <w:rFonts w:ascii="Cambria" w:hAnsi="Cambria"/>
          <w:sz w:val="22"/>
          <w:szCs w:val="22"/>
        </w:rPr>
        <w:t xml:space="preserve"> meaningfully</w:t>
      </w:r>
      <w:r w:rsidR="006556D3">
        <w:rPr>
          <w:rFonts w:ascii="Cambria" w:hAnsi="Cambria"/>
          <w:sz w:val="22"/>
          <w:szCs w:val="22"/>
        </w:rPr>
        <w:t xml:space="preserve"> influence decision</w:t>
      </w:r>
      <w:r w:rsidR="00CB1664">
        <w:rPr>
          <w:rFonts w:ascii="Cambria" w:hAnsi="Cambria"/>
          <w:sz w:val="22"/>
          <w:szCs w:val="22"/>
        </w:rPr>
        <w:t>-</w:t>
      </w:r>
      <w:r w:rsidR="006556D3">
        <w:rPr>
          <w:rFonts w:ascii="Cambria" w:hAnsi="Cambria"/>
          <w:sz w:val="22"/>
          <w:szCs w:val="22"/>
        </w:rPr>
        <w:t>making in the region</w:t>
      </w:r>
      <w:r w:rsidRPr="00D058C1">
        <w:rPr>
          <w:rFonts w:ascii="Cambria" w:hAnsi="Cambria"/>
          <w:sz w:val="22"/>
          <w:szCs w:val="22"/>
        </w:rPr>
        <w:t xml:space="preserve">.   Strengthening the ranks of this coalition of peace builders will particularly be critical if the BARMM experiment disappoints. </w:t>
      </w:r>
    </w:p>
    <w:p w14:paraId="6C7E9BF3" w14:textId="77777777" w:rsidR="00464AEA" w:rsidRPr="00D058C1" w:rsidRDefault="00464AEA" w:rsidP="00464AEA">
      <w:pPr>
        <w:rPr>
          <w:rFonts w:ascii="Cambria" w:hAnsi="Cambria"/>
          <w:sz w:val="22"/>
          <w:szCs w:val="22"/>
          <w:u w:val="single"/>
        </w:rPr>
      </w:pPr>
    </w:p>
    <w:p w14:paraId="19312557" w14:textId="783C1D83" w:rsidR="0095326E" w:rsidRPr="00D058C1" w:rsidRDefault="0095326E" w:rsidP="00A429CC">
      <w:pPr>
        <w:jc w:val="both"/>
        <w:rPr>
          <w:rFonts w:ascii="Cambria" w:hAnsi="Cambria"/>
          <w:b/>
          <w:bCs/>
          <w:sz w:val="22"/>
          <w:szCs w:val="22"/>
        </w:rPr>
      </w:pPr>
    </w:p>
    <w:p w14:paraId="3670458A" w14:textId="055B595D" w:rsidR="0095326E" w:rsidRPr="00D058C1" w:rsidRDefault="0095326E" w:rsidP="00193062">
      <w:pPr>
        <w:pStyle w:val="Heading2"/>
        <w:rPr>
          <w:rFonts w:ascii="Cambria" w:hAnsi="Cambria"/>
          <w:b/>
          <w:bCs/>
          <w:sz w:val="22"/>
          <w:szCs w:val="22"/>
        </w:rPr>
      </w:pPr>
      <w:bookmarkStart w:id="37" w:name="_Toc34220992"/>
      <w:bookmarkStart w:id="38" w:name="_Toc55309687"/>
      <w:r w:rsidRPr="00D058C1">
        <w:rPr>
          <w:rFonts w:ascii="Cambria" w:hAnsi="Cambria"/>
          <w:b/>
          <w:bCs/>
          <w:sz w:val="22"/>
          <w:szCs w:val="22"/>
        </w:rPr>
        <w:t xml:space="preserve">Part B: </w:t>
      </w:r>
      <w:r w:rsidR="006853B1" w:rsidRPr="00D058C1">
        <w:rPr>
          <w:rFonts w:ascii="Cambria" w:hAnsi="Cambria"/>
          <w:b/>
          <w:bCs/>
          <w:sz w:val="22"/>
          <w:szCs w:val="22"/>
        </w:rPr>
        <w:t xml:space="preserve"> F</w:t>
      </w:r>
      <w:r w:rsidRPr="00D058C1">
        <w:rPr>
          <w:rFonts w:ascii="Cambria" w:hAnsi="Cambria"/>
          <w:b/>
          <w:bCs/>
          <w:sz w:val="22"/>
          <w:szCs w:val="22"/>
        </w:rPr>
        <w:t>uture programming</w:t>
      </w:r>
      <w:bookmarkEnd w:id="37"/>
      <w:bookmarkEnd w:id="38"/>
    </w:p>
    <w:p w14:paraId="09A45B1C" w14:textId="341F3FD0" w:rsidR="0095326E" w:rsidRPr="00D058C1" w:rsidRDefault="0095326E" w:rsidP="00A429CC">
      <w:pPr>
        <w:jc w:val="both"/>
        <w:rPr>
          <w:rFonts w:ascii="Cambria" w:hAnsi="Cambria"/>
          <w:b/>
          <w:bCs/>
          <w:sz w:val="22"/>
          <w:szCs w:val="22"/>
        </w:rPr>
      </w:pPr>
    </w:p>
    <w:p w14:paraId="7E34B381" w14:textId="335EFCA6" w:rsidR="00CE7263" w:rsidRPr="00D058C1" w:rsidRDefault="00CE7263" w:rsidP="00F11FA7">
      <w:pPr>
        <w:pStyle w:val="ListParagraph"/>
        <w:numPr>
          <w:ilvl w:val="0"/>
          <w:numId w:val="77"/>
        </w:numPr>
        <w:jc w:val="both"/>
        <w:rPr>
          <w:rFonts w:ascii="Cambria" w:hAnsi="Cambria" w:cs="AppleSystemUIFont"/>
          <w:sz w:val="22"/>
          <w:szCs w:val="22"/>
          <w:lang w:val="en-GB"/>
        </w:rPr>
      </w:pPr>
      <w:r w:rsidRPr="00D058C1">
        <w:rPr>
          <w:rFonts w:ascii="Cambria" w:hAnsi="Cambria"/>
          <w:b/>
          <w:bCs/>
          <w:sz w:val="22"/>
          <w:szCs w:val="22"/>
        </w:rPr>
        <w:t>Formulate a Mindanao Strategy for DFAT engagement across programs</w:t>
      </w:r>
      <w:r w:rsidRPr="00D058C1">
        <w:rPr>
          <w:rFonts w:ascii="Cambria" w:hAnsi="Cambria"/>
          <w:sz w:val="22"/>
          <w:szCs w:val="22"/>
        </w:rPr>
        <w:t xml:space="preserve"> </w:t>
      </w:r>
      <w:r w:rsidRPr="00D058C1">
        <w:rPr>
          <w:rFonts w:ascii="Cambria" w:hAnsi="Cambria"/>
          <w:b/>
          <w:bCs/>
          <w:sz w:val="22"/>
          <w:szCs w:val="22"/>
        </w:rPr>
        <w:t>and recruitment of a Local Peace and Development Adviser</w:t>
      </w:r>
      <w:r w:rsidRPr="00D058C1">
        <w:rPr>
          <w:rFonts w:ascii="Cambria" w:hAnsi="Cambria"/>
          <w:sz w:val="22"/>
          <w:szCs w:val="22"/>
        </w:rPr>
        <w:t xml:space="preserve"> – The increasing investments and attention on Mindanao by the Australian government will necessitate the formulation of Mindanao strategy to guide current and future assistance.   Formulating the strategy will also be in line with the OECD </w:t>
      </w:r>
      <w:r w:rsidRPr="00D058C1">
        <w:rPr>
          <w:rFonts w:ascii="Cambria" w:hAnsi="Cambria" w:cs="AppleSystemUIFont"/>
          <w:sz w:val="22"/>
          <w:szCs w:val="22"/>
          <w:lang w:val="en-GB"/>
        </w:rPr>
        <w:t xml:space="preserve">Humanitarian-Development-Peacebuilding nexus.  </w:t>
      </w:r>
      <w:r w:rsidRPr="00D058C1">
        <w:rPr>
          <w:rFonts w:ascii="Cambria" w:hAnsi="Cambria" w:cs="AppleSystemUIFont"/>
          <w:sz w:val="22"/>
          <w:szCs w:val="22"/>
          <w:lang w:val="en-GB"/>
        </w:rPr>
        <w:lastRenderedPageBreak/>
        <w:t>Mindanao is one of the best places globally</w:t>
      </w:r>
      <w:r w:rsidRPr="00D058C1">
        <w:rPr>
          <w:rFonts w:ascii="Cambria" w:hAnsi="Cambria"/>
          <w:sz w:val="22"/>
          <w:szCs w:val="22"/>
        </w:rPr>
        <w:t xml:space="preserve"> to test case the successful linkage </w:t>
      </w:r>
      <w:r w:rsidR="00ED0221">
        <w:rPr>
          <w:rFonts w:ascii="Cambria" w:hAnsi="Cambria"/>
          <w:sz w:val="22"/>
          <w:szCs w:val="22"/>
        </w:rPr>
        <w:t>of</w:t>
      </w:r>
      <w:r w:rsidRPr="00D058C1">
        <w:rPr>
          <w:rFonts w:ascii="Cambria" w:hAnsi="Cambria"/>
          <w:sz w:val="22"/>
          <w:szCs w:val="22"/>
        </w:rPr>
        <w:t xml:space="preserve"> humanitarian, development and peace building work given that all three </w:t>
      </w:r>
      <w:r w:rsidR="00ED0221">
        <w:rPr>
          <w:rFonts w:ascii="Cambria" w:hAnsi="Cambria"/>
          <w:sz w:val="22"/>
          <w:szCs w:val="22"/>
        </w:rPr>
        <w:t xml:space="preserve">streams of </w:t>
      </w:r>
      <w:r w:rsidRPr="00D058C1">
        <w:rPr>
          <w:rFonts w:ascii="Cambria" w:hAnsi="Cambria"/>
          <w:sz w:val="22"/>
          <w:szCs w:val="22"/>
        </w:rPr>
        <w:t xml:space="preserve">assistance will be needed, </w:t>
      </w:r>
      <w:r w:rsidR="00BC5A9D">
        <w:rPr>
          <w:rFonts w:ascii="Cambria" w:hAnsi="Cambria"/>
          <w:sz w:val="22"/>
          <w:szCs w:val="22"/>
        </w:rPr>
        <w:t>in</w:t>
      </w:r>
      <w:r w:rsidRPr="00D058C1">
        <w:rPr>
          <w:rFonts w:ascii="Cambria" w:hAnsi="Cambria"/>
          <w:sz w:val="22"/>
          <w:szCs w:val="22"/>
        </w:rPr>
        <w:t xml:space="preserve"> varying degrees, in Mindanao’s conflict affected areas and adjoining communities given widespread poverty </w:t>
      </w:r>
      <w:r w:rsidR="00BA1FD7">
        <w:rPr>
          <w:rFonts w:ascii="Cambria" w:hAnsi="Cambria"/>
          <w:sz w:val="22"/>
          <w:szCs w:val="22"/>
        </w:rPr>
        <w:t xml:space="preserve">and vulnerability </w:t>
      </w:r>
      <w:r w:rsidRPr="00D058C1">
        <w:rPr>
          <w:rFonts w:ascii="Cambria" w:hAnsi="Cambria"/>
          <w:sz w:val="22"/>
          <w:szCs w:val="22"/>
        </w:rPr>
        <w:t xml:space="preserve">in the island.  </w:t>
      </w:r>
    </w:p>
    <w:p w14:paraId="46D7649B" w14:textId="77777777" w:rsidR="00CE7263" w:rsidRPr="00D058C1" w:rsidRDefault="00CE7263" w:rsidP="00F11FA7">
      <w:pPr>
        <w:jc w:val="both"/>
        <w:rPr>
          <w:rFonts w:ascii="Cambria" w:hAnsi="Cambria" w:cs="AppleSystemUIFont"/>
          <w:sz w:val="22"/>
          <w:szCs w:val="22"/>
          <w:lang w:val="en-GB"/>
        </w:rPr>
      </w:pPr>
    </w:p>
    <w:p w14:paraId="503B7B2E" w14:textId="585FB61D" w:rsidR="00CE7263" w:rsidRPr="00A928D6" w:rsidRDefault="00CE7263" w:rsidP="00A928D6">
      <w:pPr>
        <w:pStyle w:val="ListParagraph"/>
        <w:numPr>
          <w:ilvl w:val="0"/>
          <w:numId w:val="77"/>
        </w:numPr>
        <w:jc w:val="both"/>
        <w:rPr>
          <w:rFonts w:ascii="Cambria" w:hAnsi="Cambria"/>
          <w:sz w:val="22"/>
          <w:szCs w:val="22"/>
        </w:rPr>
      </w:pPr>
      <w:r w:rsidRPr="00A928D6">
        <w:rPr>
          <w:rFonts w:ascii="Cambria" w:hAnsi="Cambria" w:cs="AppleSystemUIFont"/>
          <w:sz w:val="22"/>
          <w:szCs w:val="22"/>
          <w:lang w:val="en-GB"/>
        </w:rPr>
        <w:t xml:space="preserve">The expanded coverage of Australian engagement in Mindanao will necessitate the engagement of </w:t>
      </w:r>
      <w:r w:rsidR="00BB2C6F" w:rsidRPr="00A928D6">
        <w:rPr>
          <w:rFonts w:ascii="Cambria" w:hAnsi="Cambria" w:cs="AppleSystemUIFont"/>
          <w:sz w:val="22"/>
          <w:szCs w:val="22"/>
          <w:lang w:val="en-GB"/>
        </w:rPr>
        <w:t xml:space="preserve">a </w:t>
      </w:r>
      <w:r w:rsidRPr="00A928D6">
        <w:rPr>
          <w:rFonts w:ascii="Cambria" w:hAnsi="Cambria" w:cs="AppleSystemUIFont"/>
          <w:sz w:val="22"/>
          <w:szCs w:val="22"/>
          <w:lang w:val="en-GB"/>
        </w:rPr>
        <w:t xml:space="preserve">Local Peace and Development Adviser in DFAT to assist in the formulation of the Mindanao Strategy for DFAT and </w:t>
      </w:r>
      <w:r w:rsidR="00BB2C6F" w:rsidRPr="00A928D6">
        <w:rPr>
          <w:rFonts w:ascii="Cambria" w:hAnsi="Cambria" w:cs="AppleSystemUIFont"/>
          <w:sz w:val="22"/>
          <w:szCs w:val="22"/>
          <w:lang w:val="en-GB"/>
        </w:rPr>
        <w:t xml:space="preserve">in </w:t>
      </w:r>
      <w:r w:rsidRPr="00A928D6">
        <w:rPr>
          <w:rFonts w:ascii="Cambria" w:hAnsi="Cambria" w:cs="AppleSystemUIFont"/>
          <w:sz w:val="22"/>
          <w:szCs w:val="22"/>
          <w:lang w:val="en-GB"/>
        </w:rPr>
        <w:t xml:space="preserve">linking with critical stakeholders in the peace process at OPAPP, concerned national government agencies and BARMM. </w:t>
      </w:r>
    </w:p>
    <w:p w14:paraId="2DDFCFD4" w14:textId="35BD87D9" w:rsidR="00CE7263" w:rsidRPr="00D058C1" w:rsidRDefault="00CE7263" w:rsidP="00A429CC">
      <w:pPr>
        <w:jc w:val="both"/>
        <w:rPr>
          <w:rFonts w:ascii="Cambria" w:hAnsi="Cambria"/>
          <w:b/>
          <w:bCs/>
          <w:sz w:val="22"/>
          <w:szCs w:val="22"/>
        </w:rPr>
      </w:pPr>
    </w:p>
    <w:p w14:paraId="4893BB30" w14:textId="5E0F4DDD" w:rsidR="00CE7263" w:rsidRPr="00D058C1" w:rsidRDefault="00CE7263" w:rsidP="00CE7263">
      <w:pPr>
        <w:pStyle w:val="ListParagraph"/>
        <w:numPr>
          <w:ilvl w:val="0"/>
          <w:numId w:val="77"/>
        </w:numPr>
        <w:jc w:val="both"/>
        <w:rPr>
          <w:rFonts w:ascii="Cambria" w:hAnsi="Cambria"/>
          <w:b/>
          <w:bCs/>
          <w:sz w:val="22"/>
          <w:szCs w:val="22"/>
        </w:rPr>
      </w:pPr>
      <w:r w:rsidRPr="00D058C1">
        <w:rPr>
          <w:rFonts w:ascii="Cambria" w:hAnsi="Cambria"/>
          <w:b/>
          <w:bCs/>
          <w:sz w:val="22"/>
          <w:szCs w:val="22"/>
        </w:rPr>
        <w:t>Improv</w:t>
      </w:r>
      <w:r w:rsidR="00B63095">
        <w:rPr>
          <w:rFonts w:ascii="Cambria" w:hAnsi="Cambria"/>
          <w:b/>
          <w:bCs/>
          <w:sz w:val="22"/>
          <w:szCs w:val="22"/>
        </w:rPr>
        <w:t>e</w:t>
      </w:r>
      <w:r w:rsidRPr="00D058C1">
        <w:rPr>
          <w:rFonts w:ascii="Cambria" w:hAnsi="Cambria"/>
          <w:b/>
          <w:bCs/>
          <w:sz w:val="22"/>
          <w:szCs w:val="22"/>
        </w:rPr>
        <w:t xml:space="preserve"> coordination between DFAT Manila and DFAT Canberra </w:t>
      </w:r>
      <w:proofErr w:type="gramStart"/>
      <w:r w:rsidRPr="00D058C1">
        <w:rPr>
          <w:rFonts w:ascii="Cambria" w:hAnsi="Cambria"/>
          <w:b/>
          <w:bCs/>
          <w:sz w:val="22"/>
          <w:szCs w:val="22"/>
        </w:rPr>
        <w:t xml:space="preserve">-  </w:t>
      </w:r>
      <w:r w:rsidRPr="00D058C1">
        <w:rPr>
          <w:rFonts w:ascii="Cambria" w:hAnsi="Cambria"/>
          <w:sz w:val="22"/>
          <w:szCs w:val="22"/>
        </w:rPr>
        <w:t>The</w:t>
      </w:r>
      <w:proofErr w:type="gramEnd"/>
      <w:r w:rsidRPr="00D058C1">
        <w:rPr>
          <w:rFonts w:ascii="Cambria" w:hAnsi="Cambria"/>
          <w:sz w:val="22"/>
          <w:szCs w:val="22"/>
        </w:rPr>
        <w:t xml:space="preserve"> formulation of a Mindanao strategy will require greater inputs from DFAT Canberra to DFAT Manila to assist the latter in addressing additional issues that will result in better coordination of the humanitarian, development and peace building nexus.   DFAT Manila will benefit from knowledge of other countries similarly situated like Mindanao which DFAT Canberra has access to.  In turn, knowledge of the Mindanao situation and the work of the APP</w:t>
      </w:r>
      <w:r w:rsidR="00CF5B57">
        <w:rPr>
          <w:rFonts w:ascii="Cambria" w:hAnsi="Cambria"/>
          <w:sz w:val="22"/>
          <w:szCs w:val="22"/>
        </w:rPr>
        <w:t>,</w:t>
      </w:r>
      <w:r w:rsidR="00C32DF4">
        <w:rPr>
          <w:rFonts w:ascii="Cambria" w:hAnsi="Cambria"/>
          <w:sz w:val="22"/>
          <w:szCs w:val="22"/>
        </w:rPr>
        <w:t xml:space="preserve"> </w:t>
      </w:r>
      <w:r w:rsidR="00CF5B57">
        <w:rPr>
          <w:rFonts w:ascii="Cambria" w:hAnsi="Cambria"/>
          <w:sz w:val="22"/>
          <w:szCs w:val="22"/>
        </w:rPr>
        <w:t xml:space="preserve">multilateral, and </w:t>
      </w:r>
      <w:r w:rsidR="009A1DF0">
        <w:rPr>
          <w:rFonts w:ascii="Cambria" w:hAnsi="Cambria"/>
          <w:sz w:val="22"/>
          <w:szCs w:val="22"/>
        </w:rPr>
        <w:t>FPSF</w:t>
      </w:r>
      <w:r w:rsidR="00CF5B57">
        <w:rPr>
          <w:rFonts w:ascii="Cambria" w:hAnsi="Cambria"/>
          <w:sz w:val="22"/>
          <w:szCs w:val="22"/>
        </w:rPr>
        <w:t xml:space="preserve"> </w:t>
      </w:r>
      <w:r w:rsidR="00C32DF4">
        <w:rPr>
          <w:rFonts w:ascii="Cambria" w:hAnsi="Cambria"/>
          <w:sz w:val="22"/>
          <w:szCs w:val="22"/>
        </w:rPr>
        <w:t>implementing</w:t>
      </w:r>
      <w:r w:rsidRPr="00D058C1">
        <w:rPr>
          <w:rFonts w:ascii="Cambria" w:hAnsi="Cambria"/>
          <w:sz w:val="22"/>
          <w:szCs w:val="22"/>
        </w:rPr>
        <w:t xml:space="preserve"> partners can be shared by DFAT Manila to DFAT Canberra to improve the latter’s selection procedures on studies and activities that should be funded by DFAT. </w:t>
      </w:r>
    </w:p>
    <w:p w14:paraId="2446FDAD" w14:textId="412D9FFC" w:rsidR="0041127E" w:rsidRPr="00D058C1" w:rsidRDefault="0041127E" w:rsidP="0041127E">
      <w:pPr>
        <w:jc w:val="both"/>
        <w:rPr>
          <w:rFonts w:ascii="Cambria" w:hAnsi="Cambria"/>
          <w:b/>
          <w:bCs/>
          <w:sz w:val="22"/>
          <w:szCs w:val="22"/>
        </w:rPr>
      </w:pPr>
    </w:p>
    <w:p w14:paraId="5E7D7124" w14:textId="66FE03F5" w:rsidR="008E7989" w:rsidRPr="00A928D6" w:rsidRDefault="00CE7263" w:rsidP="00A928D6">
      <w:pPr>
        <w:pStyle w:val="ListParagraph"/>
        <w:numPr>
          <w:ilvl w:val="0"/>
          <w:numId w:val="77"/>
        </w:numPr>
        <w:jc w:val="both"/>
        <w:rPr>
          <w:rFonts w:ascii="Cambria" w:hAnsi="Cambria"/>
          <w:sz w:val="22"/>
          <w:szCs w:val="22"/>
        </w:rPr>
      </w:pPr>
      <w:r w:rsidRPr="00D058C1">
        <w:rPr>
          <w:rFonts w:ascii="Cambria" w:hAnsi="Cambria"/>
          <w:b/>
          <w:bCs/>
          <w:sz w:val="22"/>
          <w:szCs w:val="22"/>
        </w:rPr>
        <w:t>Technical Advisory support at BARMM and OPAPP levels (embed Senior Advisor) -</w:t>
      </w:r>
      <w:r w:rsidRPr="00D058C1">
        <w:rPr>
          <w:rFonts w:ascii="Cambria" w:hAnsi="Cambria"/>
          <w:sz w:val="22"/>
          <w:szCs w:val="22"/>
        </w:rPr>
        <w:t xml:space="preserve">   Senior officials of BARMM acknowledged their technical deficiency in running a government given that for almost</w:t>
      </w:r>
      <w:r w:rsidR="00C32DF4">
        <w:rPr>
          <w:rFonts w:ascii="Cambria" w:hAnsi="Cambria"/>
          <w:sz w:val="22"/>
          <w:szCs w:val="22"/>
        </w:rPr>
        <w:t xml:space="preserve"> four</w:t>
      </w:r>
      <w:r w:rsidRPr="00D058C1">
        <w:rPr>
          <w:rFonts w:ascii="Cambria" w:hAnsi="Cambria"/>
          <w:sz w:val="22"/>
          <w:szCs w:val="22"/>
        </w:rPr>
        <w:t xml:space="preserve"> decades they were engaged in a revolutionary struggle.  Most donors are offering one-shot technical assistance and capacity-building programs to address the </w:t>
      </w:r>
      <w:proofErr w:type="gramStart"/>
      <w:r w:rsidRPr="00D058C1">
        <w:rPr>
          <w:rFonts w:ascii="Cambria" w:hAnsi="Cambria"/>
          <w:sz w:val="22"/>
          <w:szCs w:val="22"/>
        </w:rPr>
        <w:t>problem</w:t>
      </w:r>
      <w:proofErr w:type="gramEnd"/>
      <w:r w:rsidRPr="00D058C1">
        <w:rPr>
          <w:rFonts w:ascii="Cambria" w:hAnsi="Cambria"/>
          <w:sz w:val="22"/>
          <w:szCs w:val="22"/>
        </w:rPr>
        <w:t xml:space="preserve"> but this is ostensibly not sufficient.  The problem is aggravated by the redundancies of nearly 6,000 workers of the previous ARMM government, and whose replacements are currently being vetted.   The experience of technical assistance support in other countries (e.g., Indonesia) shows that embedding a senior international adviser (supported by local consultants and staff) in the transitional government will be most effective because of the immersion of the senior adviser to the day-to-day operations of the bureaucracy.  It will also be an opportunity to perform “on-the-job” training for middle level managers and support staff in various ministries of BARMM instead of sending them away for training for </w:t>
      </w:r>
      <w:proofErr w:type="gramStart"/>
      <w:r w:rsidRPr="00D058C1">
        <w:rPr>
          <w:rFonts w:ascii="Cambria" w:hAnsi="Cambria"/>
          <w:sz w:val="22"/>
          <w:szCs w:val="22"/>
        </w:rPr>
        <w:t>a period of time</w:t>
      </w:r>
      <w:proofErr w:type="gramEnd"/>
      <w:r w:rsidRPr="00D058C1">
        <w:rPr>
          <w:rFonts w:ascii="Cambria" w:hAnsi="Cambria"/>
          <w:sz w:val="22"/>
          <w:szCs w:val="22"/>
        </w:rPr>
        <w:t xml:space="preserve">. </w:t>
      </w:r>
    </w:p>
    <w:p w14:paraId="6B68AF24" w14:textId="77777777" w:rsidR="00CE7263" w:rsidRPr="00D058C1" w:rsidRDefault="00CE7263" w:rsidP="00CE7263">
      <w:pPr>
        <w:pStyle w:val="ListParagraph"/>
        <w:jc w:val="both"/>
        <w:rPr>
          <w:rFonts w:ascii="Cambria" w:hAnsi="Cambria"/>
          <w:sz w:val="22"/>
          <w:szCs w:val="22"/>
        </w:rPr>
      </w:pPr>
    </w:p>
    <w:p w14:paraId="60645499" w14:textId="27DEEE44" w:rsidR="00CF5B57" w:rsidRPr="00CF5B57" w:rsidRDefault="00CE7263" w:rsidP="003D2761">
      <w:pPr>
        <w:pStyle w:val="ListParagraph"/>
        <w:numPr>
          <w:ilvl w:val="0"/>
          <w:numId w:val="77"/>
        </w:numPr>
        <w:tabs>
          <w:tab w:val="left" w:pos="709"/>
        </w:tabs>
        <w:jc w:val="both"/>
        <w:rPr>
          <w:rFonts w:ascii="Cambria" w:hAnsi="Cambria"/>
          <w:b/>
          <w:bCs/>
          <w:sz w:val="22"/>
          <w:szCs w:val="22"/>
        </w:rPr>
      </w:pPr>
      <w:r w:rsidRPr="00CF5B57">
        <w:rPr>
          <w:rFonts w:ascii="Cambria" w:hAnsi="Cambria"/>
          <w:b/>
          <w:bCs/>
          <w:sz w:val="22"/>
          <w:szCs w:val="22"/>
        </w:rPr>
        <w:t xml:space="preserve">Training programs and scholarships, particularly among </w:t>
      </w:r>
      <w:r w:rsidR="00C32DF4" w:rsidRPr="00CF5B57">
        <w:rPr>
          <w:rFonts w:ascii="Cambria" w:hAnsi="Cambria"/>
          <w:b/>
          <w:bCs/>
          <w:sz w:val="22"/>
          <w:szCs w:val="22"/>
        </w:rPr>
        <w:t xml:space="preserve">the </w:t>
      </w:r>
      <w:r w:rsidRPr="00CF5B57">
        <w:rPr>
          <w:rFonts w:ascii="Cambria" w:hAnsi="Cambria"/>
          <w:b/>
          <w:bCs/>
          <w:sz w:val="22"/>
          <w:szCs w:val="22"/>
        </w:rPr>
        <w:t xml:space="preserve">Bangsamoro youth, should prioritize skills needed in reconstructing and developing </w:t>
      </w:r>
      <w:r w:rsidR="00C32DF4" w:rsidRPr="00CF5B57">
        <w:rPr>
          <w:rFonts w:ascii="Cambria" w:hAnsi="Cambria"/>
          <w:b/>
          <w:bCs/>
          <w:sz w:val="22"/>
          <w:szCs w:val="22"/>
        </w:rPr>
        <w:t xml:space="preserve">the </w:t>
      </w:r>
      <w:r w:rsidRPr="00CF5B57">
        <w:rPr>
          <w:rFonts w:ascii="Cambria" w:hAnsi="Cambria"/>
          <w:b/>
          <w:bCs/>
          <w:sz w:val="22"/>
          <w:szCs w:val="22"/>
        </w:rPr>
        <w:t xml:space="preserve">Bangsamoro economy - </w:t>
      </w:r>
      <w:r w:rsidRPr="00CF5B57">
        <w:rPr>
          <w:rFonts w:ascii="Cambria" w:hAnsi="Cambria"/>
          <w:sz w:val="22"/>
          <w:szCs w:val="22"/>
        </w:rPr>
        <w:t>Training programs and Australian scholarships are heav</w:t>
      </w:r>
      <w:r w:rsidR="003C3003">
        <w:rPr>
          <w:rFonts w:ascii="Cambria" w:hAnsi="Cambria"/>
          <w:sz w:val="22"/>
          <w:szCs w:val="22"/>
        </w:rPr>
        <w:t>ily skewed</w:t>
      </w:r>
      <w:r w:rsidRPr="00CF5B57">
        <w:rPr>
          <w:rFonts w:ascii="Cambria" w:hAnsi="Cambria"/>
          <w:sz w:val="22"/>
          <w:szCs w:val="22"/>
        </w:rPr>
        <w:t xml:space="preserve"> </w:t>
      </w:r>
      <w:r w:rsidR="003C3003">
        <w:rPr>
          <w:rFonts w:ascii="Cambria" w:hAnsi="Cambria"/>
          <w:sz w:val="22"/>
          <w:szCs w:val="22"/>
        </w:rPr>
        <w:t>towards</w:t>
      </w:r>
      <w:r w:rsidRPr="00CF5B57">
        <w:rPr>
          <w:rFonts w:ascii="Cambria" w:hAnsi="Cambria"/>
          <w:sz w:val="22"/>
          <w:szCs w:val="22"/>
        </w:rPr>
        <w:t xml:space="preserve"> conflict resolution, peace building, justice</w:t>
      </w:r>
      <w:r w:rsidR="005E6B8B">
        <w:rPr>
          <w:rFonts w:ascii="Cambria" w:hAnsi="Cambria"/>
          <w:sz w:val="22"/>
          <w:szCs w:val="22"/>
        </w:rPr>
        <w:t>,</w:t>
      </w:r>
      <w:r w:rsidRPr="00CF5B57">
        <w:rPr>
          <w:rFonts w:ascii="Cambria" w:hAnsi="Cambria"/>
          <w:sz w:val="22"/>
          <w:szCs w:val="22"/>
        </w:rPr>
        <w:t xml:space="preserve"> and identity issues.  While such expertise and skills are still relevant to this day, their relative importance has declined given that the primordial task now is to reconstruct and develop the Bangsamoro economy. A clear manifestation of this mismatch between skills and jobs is the lack of a Chief Economist in the BARMM government who could help formulate a systematic and data-driven economic blueprint for the Bangsamoro economy.  Islamic banking and finance have been a long-held advocacy of the Bangs</w:t>
      </w:r>
      <w:r w:rsidR="00506B53" w:rsidRPr="00CF5B57">
        <w:rPr>
          <w:rFonts w:ascii="Cambria" w:hAnsi="Cambria"/>
          <w:sz w:val="22"/>
          <w:szCs w:val="22"/>
        </w:rPr>
        <w:t>a</w:t>
      </w:r>
      <w:r w:rsidRPr="00CF5B57">
        <w:rPr>
          <w:rFonts w:ascii="Cambria" w:hAnsi="Cambria"/>
          <w:sz w:val="22"/>
          <w:szCs w:val="22"/>
        </w:rPr>
        <w:t>moro but there</w:t>
      </w:r>
      <w:r w:rsidR="001C7B82">
        <w:rPr>
          <w:rFonts w:ascii="Cambria" w:hAnsi="Cambria"/>
          <w:sz w:val="22"/>
          <w:szCs w:val="22"/>
        </w:rPr>
        <w:t xml:space="preserve"> are few</w:t>
      </w:r>
      <w:r w:rsidRPr="00CF5B57">
        <w:rPr>
          <w:rFonts w:ascii="Cambria" w:hAnsi="Cambria"/>
          <w:sz w:val="22"/>
          <w:szCs w:val="22"/>
        </w:rPr>
        <w:t xml:space="preserve"> financial expert</w:t>
      </w:r>
      <w:r w:rsidR="001C7B82">
        <w:rPr>
          <w:rFonts w:ascii="Cambria" w:hAnsi="Cambria"/>
          <w:sz w:val="22"/>
          <w:szCs w:val="22"/>
        </w:rPr>
        <w:t>s</w:t>
      </w:r>
      <w:r w:rsidRPr="00CF5B57">
        <w:rPr>
          <w:rFonts w:ascii="Cambria" w:hAnsi="Cambria"/>
          <w:sz w:val="22"/>
          <w:szCs w:val="22"/>
        </w:rPr>
        <w:t xml:space="preserve"> </w:t>
      </w:r>
      <w:r w:rsidR="007854DC">
        <w:rPr>
          <w:rFonts w:ascii="Cambria" w:hAnsi="Cambria"/>
          <w:sz w:val="22"/>
          <w:szCs w:val="22"/>
        </w:rPr>
        <w:t>engaged by</w:t>
      </w:r>
      <w:r w:rsidR="00441481">
        <w:rPr>
          <w:rFonts w:ascii="Cambria" w:hAnsi="Cambria"/>
          <w:sz w:val="22"/>
          <w:szCs w:val="22"/>
        </w:rPr>
        <w:t xml:space="preserve"> the BARMM</w:t>
      </w:r>
      <w:r w:rsidR="007854DC">
        <w:rPr>
          <w:rFonts w:ascii="Cambria" w:hAnsi="Cambria"/>
          <w:sz w:val="22"/>
          <w:szCs w:val="22"/>
        </w:rPr>
        <w:t xml:space="preserve"> to</w:t>
      </w:r>
      <w:r w:rsidRPr="00CF5B57">
        <w:rPr>
          <w:rFonts w:ascii="Cambria" w:hAnsi="Cambria"/>
          <w:sz w:val="22"/>
          <w:szCs w:val="22"/>
        </w:rPr>
        <w:t xml:space="preserve"> operate the system in a viable manner.  Also, there are only a few graduate degree holders in business administration and management</w:t>
      </w:r>
      <w:r w:rsidR="00B125D6">
        <w:rPr>
          <w:rFonts w:ascii="Cambria" w:hAnsi="Cambria"/>
          <w:sz w:val="22"/>
          <w:szCs w:val="22"/>
        </w:rPr>
        <w:t xml:space="preserve"> or science, technology, engineering and math (STEM)</w:t>
      </w:r>
      <w:r w:rsidRPr="00CF5B57">
        <w:rPr>
          <w:rFonts w:ascii="Cambria" w:hAnsi="Cambria"/>
          <w:sz w:val="22"/>
          <w:szCs w:val="22"/>
        </w:rPr>
        <w:t xml:space="preserve"> among the Bangsamoro and yet the BARMM leadership calls for</w:t>
      </w:r>
      <w:r w:rsidR="00C32DF4" w:rsidRPr="00CF5B57">
        <w:rPr>
          <w:rFonts w:ascii="Cambria" w:hAnsi="Cambria"/>
          <w:sz w:val="22"/>
          <w:szCs w:val="22"/>
        </w:rPr>
        <w:t xml:space="preserve"> an</w:t>
      </w:r>
      <w:r w:rsidRPr="00CF5B57">
        <w:rPr>
          <w:rFonts w:ascii="Cambria" w:hAnsi="Cambria"/>
          <w:sz w:val="22"/>
          <w:szCs w:val="22"/>
        </w:rPr>
        <w:t xml:space="preserve"> economic development </w:t>
      </w:r>
      <w:r w:rsidR="00CF5B57" w:rsidRPr="00CF5B57">
        <w:rPr>
          <w:rFonts w:ascii="Cambria" w:hAnsi="Cambria"/>
          <w:sz w:val="22"/>
          <w:szCs w:val="22"/>
        </w:rPr>
        <w:t xml:space="preserve">strategy </w:t>
      </w:r>
      <w:r w:rsidRPr="00CF5B57">
        <w:rPr>
          <w:rFonts w:ascii="Cambria" w:hAnsi="Cambria"/>
          <w:sz w:val="22"/>
          <w:szCs w:val="22"/>
        </w:rPr>
        <w:t>based on private cooperative and corporate models.</w:t>
      </w:r>
      <w:r w:rsidR="00DA5E8F">
        <w:rPr>
          <w:rFonts w:ascii="Cambria" w:hAnsi="Cambria"/>
          <w:sz w:val="22"/>
          <w:szCs w:val="22"/>
        </w:rPr>
        <w:t xml:space="preserve"> </w:t>
      </w:r>
      <w:r w:rsidRPr="00CF5B57">
        <w:rPr>
          <w:rFonts w:ascii="Cambria" w:hAnsi="Cambria"/>
          <w:sz w:val="22"/>
          <w:szCs w:val="22"/>
        </w:rPr>
        <w:t xml:space="preserve">It is high time that the selection criteria for fields of specialization for </w:t>
      </w:r>
      <w:r w:rsidR="00C32DF4" w:rsidRPr="00CF5B57">
        <w:rPr>
          <w:rFonts w:ascii="Cambria" w:hAnsi="Cambria"/>
          <w:sz w:val="22"/>
          <w:szCs w:val="22"/>
        </w:rPr>
        <w:t xml:space="preserve">the </w:t>
      </w:r>
      <w:r w:rsidRPr="00CF5B57">
        <w:rPr>
          <w:rFonts w:ascii="Cambria" w:hAnsi="Cambria"/>
          <w:sz w:val="22"/>
          <w:szCs w:val="22"/>
        </w:rPr>
        <w:t xml:space="preserve">Bangsamoro youth be changed to prioritize expertise that will be needed for the </w:t>
      </w:r>
      <w:r w:rsidRPr="00CF5B57">
        <w:rPr>
          <w:rFonts w:ascii="Cambria" w:hAnsi="Cambria"/>
          <w:sz w:val="22"/>
          <w:szCs w:val="22"/>
        </w:rPr>
        <w:lastRenderedPageBreak/>
        <w:t>reconstruction and development of the Bangsamoro economy</w:t>
      </w:r>
      <w:r w:rsidR="00482FB2">
        <w:rPr>
          <w:rFonts w:ascii="Cambria" w:hAnsi="Cambria"/>
          <w:sz w:val="22"/>
          <w:szCs w:val="22"/>
        </w:rPr>
        <w:t>, and to ensure that these young specialists are able to serve in the region</w:t>
      </w:r>
      <w:r w:rsidRPr="00CF5B57">
        <w:rPr>
          <w:rFonts w:ascii="Cambria" w:hAnsi="Cambria"/>
          <w:sz w:val="22"/>
          <w:szCs w:val="22"/>
        </w:rPr>
        <w:t xml:space="preserve">. </w:t>
      </w:r>
      <w:r w:rsidR="00CF5B57" w:rsidRPr="00CF5B57">
        <w:rPr>
          <w:rFonts w:ascii="Cambria" w:hAnsi="Cambria"/>
          <w:sz w:val="22"/>
          <w:szCs w:val="22"/>
        </w:rPr>
        <w:t xml:space="preserve"> </w:t>
      </w:r>
    </w:p>
    <w:p w14:paraId="349A818E" w14:textId="77777777" w:rsidR="00CF5B57" w:rsidRPr="00A928D6" w:rsidRDefault="00CF5B57" w:rsidP="00A928D6">
      <w:pPr>
        <w:tabs>
          <w:tab w:val="left" w:pos="709"/>
        </w:tabs>
        <w:jc w:val="both"/>
        <w:rPr>
          <w:rFonts w:ascii="Cambria" w:hAnsi="Cambria"/>
          <w:b/>
          <w:bCs/>
          <w:sz w:val="22"/>
          <w:szCs w:val="22"/>
        </w:rPr>
      </w:pPr>
    </w:p>
    <w:p w14:paraId="71D69EEC" w14:textId="77777777" w:rsidR="00CE7263" w:rsidRPr="00D058C1" w:rsidRDefault="00CE7263" w:rsidP="00CE7263">
      <w:pPr>
        <w:jc w:val="both"/>
        <w:rPr>
          <w:rFonts w:ascii="Cambria" w:hAnsi="Cambria"/>
          <w:b/>
          <w:bCs/>
          <w:sz w:val="22"/>
          <w:szCs w:val="22"/>
        </w:rPr>
      </w:pPr>
    </w:p>
    <w:p w14:paraId="519BC8F5" w14:textId="2E6765A5" w:rsidR="00CE7263" w:rsidRPr="00CF5B57" w:rsidRDefault="00CE7263" w:rsidP="00CF5B57">
      <w:pPr>
        <w:pStyle w:val="ListParagraph"/>
        <w:numPr>
          <w:ilvl w:val="0"/>
          <w:numId w:val="77"/>
        </w:numPr>
        <w:tabs>
          <w:tab w:val="left" w:pos="709"/>
        </w:tabs>
        <w:jc w:val="both"/>
        <w:rPr>
          <w:rFonts w:ascii="Cambria" w:hAnsi="Cambria"/>
          <w:b/>
          <w:bCs/>
          <w:sz w:val="22"/>
          <w:szCs w:val="22"/>
        </w:rPr>
      </w:pPr>
      <w:r w:rsidRPr="00D058C1">
        <w:rPr>
          <w:rFonts w:ascii="Cambria" w:hAnsi="Cambria"/>
          <w:b/>
          <w:sz w:val="22"/>
          <w:szCs w:val="22"/>
        </w:rPr>
        <w:t xml:space="preserve">Assist in shifting support from confidence building measures to socio-economic development - </w:t>
      </w:r>
      <w:r w:rsidRPr="00D058C1">
        <w:rPr>
          <w:rFonts w:ascii="Cambria" w:hAnsi="Cambria"/>
          <w:bCs/>
          <w:sz w:val="22"/>
          <w:szCs w:val="22"/>
        </w:rPr>
        <w:t xml:space="preserve">There was heavy emphasis on confidence-building measures during the protracted peace negotiations between the government and the MILF.  Now that this phase is over, DFAT support to </w:t>
      </w:r>
      <w:r w:rsidR="00C32DF4">
        <w:rPr>
          <w:rFonts w:ascii="Cambria" w:hAnsi="Cambria"/>
          <w:bCs/>
          <w:sz w:val="22"/>
          <w:szCs w:val="22"/>
        </w:rPr>
        <w:t xml:space="preserve">the </w:t>
      </w:r>
      <w:r w:rsidRPr="00D058C1">
        <w:rPr>
          <w:rFonts w:ascii="Cambria" w:hAnsi="Cambria"/>
          <w:bCs/>
          <w:sz w:val="22"/>
          <w:szCs w:val="22"/>
        </w:rPr>
        <w:t xml:space="preserve">Mindanao Trust Fund or eventually, to the BNTF, should prioritize the provision of </w:t>
      </w:r>
      <w:r w:rsidR="00AF0D4C">
        <w:rPr>
          <w:rFonts w:ascii="Cambria" w:hAnsi="Cambria"/>
          <w:bCs/>
          <w:sz w:val="22"/>
          <w:szCs w:val="22"/>
        </w:rPr>
        <w:t>sustainable</w:t>
      </w:r>
      <w:r w:rsidR="008F09A9">
        <w:rPr>
          <w:rFonts w:ascii="Cambria" w:hAnsi="Cambria"/>
          <w:bCs/>
          <w:sz w:val="22"/>
          <w:szCs w:val="22"/>
        </w:rPr>
        <w:t xml:space="preserve"> </w:t>
      </w:r>
      <w:r w:rsidR="00C32DF4">
        <w:rPr>
          <w:rFonts w:ascii="Cambria" w:hAnsi="Cambria"/>
          <w:bCs/>
          <w:sz w:val="22"/>
          <w:szCs w:val="22"/>
        </w:rPr>
        <w:t>place</w:t>
      </w:r>
      <w:r w:rsidR="008F09A9">
        <w:rPr>
          <w:rFonts w:ascii="Cambria" w:hAnsi="Cambria"/>
          <w:bCs/>
          <w:sz w:val="22"/>
          <w:szCs w:val="22"/>
        </w:rPr>
        <w:t>-ba</w:t>
      </w:r>
      <w:r w:rsidR="00C32DF4">
        <w:rPr>
          <w:rFonts w:ascii="Cambria" w:hAnsi="Cambria"/>
          <w:bCs/>
          <w:sz w:val="22"/>
          <w:szCs w:val="22"/>
        </w:rPr>
        <w:t>s</w:t>
      </w:r>
      <w:r w:rsidR="008F09A9">
        <w:rPr>
          <w:rFonts w:ascii="Cambria" w:hAnsi="Cambria"/>
          <w:bCs/>
          <w:sz w:val="22"/>
          <w:szCs w:val="22"/>
        </w:rPr>
        <w:t xml:space="preserve">ed </w:t>
      </w:r>
      <w:r w:rsidRPr="00D058C1">
        <w:rPr>
          <w:rFonts w:ascii="Cambria" w:hAnsi="Cambria"/>
          <w:bCs/>
          <w:sz w:val="22"/>
          <w:szCs w:val="22"/>
        </w:rPr>
        <w:t xml:space="preserve">socio-economic services particularly livelihood programs because these ranked highest in their priority needs.  </w:t>
      </w:r>
      <w:r w:rsidR="00344394">
        <w:rPr>
          <w:rFonts w:ascii="Cambria" w:hAnsi="Cambria"/>
          <w:bCs/>
          <w:sz w:val="22"/>
          <w:szCs w:val="22"/>
        </w:rPr>
        <w:t xml:space="preserve">Specific gaps identified include sustainable livelihood, bridging opportunities with private sector investment, and ultimately ensuring access to jobs and fixed/increased incomes at household level. </w:t>
      </w:r>
      <w:r w:rsidRPr="00D058C1">
        <w:rPr>
          <w:rFonts w:ascii="Cambria" w:hAnsi="Cambria"/>
          <w:bCs/>
          <w:sz w:val="22"/>
          <w:szCs w:val="22"/>
        </w:rPr>
        <w:t xml:space="preserve">Also, the peace process is now at the stage of reconstruction and development of the Bangsamoro economy through effective governance by the BARMM ministries. </w:t>
      </w:r>
      <w:r w:rsidR="00CF5B57" w:rsidRPr="00CF5B57">
        <w:rPr>
          <w:rFonts w:asciiTheme="minorHAnsi" w:hAnsiTheme="minorHAnsi"/>
          <w:sz w:val="22"/>
          <w:szCs w:val="22"/>
        </w:rPr>
        <w:t>Balancing ‘</w:t>
      </w:r>
      <w:r w:rsidR="00CF5B57" w:rsidRPr="00CF5B57">
        <w:rPr>
          <w:rFonts w:ascii="Cambria" w:hAnsi="Cambria" w:cstheme="majorBidi"/>
          <w:sz w:val="22"/>
          <w:szCs w:val="22"/>
        </w:rPr>
        <w:t>soft’ policy interventions such as planning workshops and capacity-building trainings with concrete delivery of socio-economic, governance, and security-related packages is equally crucial for the P/CVE and normalization workstreams</w:t>
      </w:r>
      <w:r w:rsidR="00CF5B57">
        <w:rPr>
          <w:rFonts w:ascii="Cambria" w:hAnsi="Cambria" w:cstheme="majorBidi"/>
          <w:sz w:val="22"/>
          <w:szCs w:val="22"/>
        </w:rPr>
        <w:t>, as highlighted by the needs of the reintegration of former ‘black-flag’ actors in Basilan and Lanao del Sur</w:t>
      </w:r>
      <w:r w:rsidR="00CF5B57" w:rsidRPr="00CF5B57">
        <w:rPr>
          <w:rFonts w:ascii="Cambria" w:hAnsi="Cambria" w:cstheme="majorBidi"/>
          <w:sz w:val="22"/>
          <w:szCs w:val="22"/>
        </w:rPr>
        <w:t>.</w:t>
      </w:r>
      <w:r w:rsidRPr="00CF5B57">
        <w:rPr>
          <w:rFonts w:ascii="Cambria" w:hAnsi="Cambria"/>
          <w:bCs/>
          <w:sz w:val="22"/>
          <w:szCs w:val="22"/>
        </w:rPr>
        <w:t xml:space="preserve"> </w:t>
      </w:r>
      <w:r w:rsidR="001B7406">
        <w:rPr>
          <w:rFonts w:ascii="Cambria" w:hAnsi="Cambria"/>
          <w:bCs/>
          <w:sz w:val="22"/>
          <w:szCs w:val="22"/>
        </w:rPr>
        <w:t xml:space="preserve">Although the JICA-supported HARVEST facility for agribusiness loans through Landbank has yet to gain the envisioned </w:t>
      </w:r>
      <w:proofErr w:type="gramStart"/>
      <w:r w:rsidR="001B7406">
        <w:rPr>
          <w:rFonts w:ascii="Cambria" w:hAnsi="Cambria"/>
          <w:bCs/>
          <w:sz w:val="22"/>
          <w:szCs w:val="22"/>
        </w:rPr>
        <w:t>traction  in</w:t>
      </w:r>
      <w:proofErr w:type="gramEnd"/>
      <w:r w:rsidR="001B7406">
        <w:rPr>
          <w:rFonts w:ascii="Cambria" w:hAnsi="Cambria"/>
          <w:bCs/>
          <w:sz w:val="22"/>
          <w:szCs w:val="22"/>
        </w:rPr>
        <w:t xml:space="preserve"> BARMM, similar innovative facilities to harness private sector investment and innovation should be considered. (At smaller scale, the British Council provide</w:t>
      </w:r>
      <w:r w:rsidR="00142311">
        <w:rPr>
          <w:rFonts w:ascii="Cambria" w:hAnsi="Cambria"/>
          <w:bCs/>
          <w:sz w:val="22"/>
          <w:szCs w:val="22"/>
        </w:rPr>
        <w:t>d</w:t>
      </w:r>
      <w:r w:rsidR="001B7406">
        <w:rPr>
          <w:rFonts w:ascii="Cambria" w:hAnsi="Cambria"/>
          <w:bCs/>
          <w:sz w:val="22"/>
          <w:szCs w:val="22"/>
        </w:rPr>
        <w:t xml:space="preserve"> support to selected social enterprises in collaboration with the old DTI-ARMM, although this was discontinued after the transition to the BARMM.) </w:t>
      </w:r>
      <w:r w:rsidRPr="00CF5B57">
        <w:rPr>
          <w:rFonts w:ascii="Cambria" w:hAnsi="Cambria"/>
          <w:bCs/>
          <w:sz w:val="22"/>
          <w:szCs w:val="22"/>
        </w:rPr>
        <w:t xml:space="preserve">DFAT Manila should be able to closely monitor whether targets for socio-economic services are met, once funding is fully operational, and whether they are producing the results they are meant to achieve. </w:t>
      </w:r>
      <w:r w:rsidRPr="00CF5B57">
        <w:rPr>
          <w:rFonts w:ascii="Cambria" w:hAnsi="Cambria"/>
          <w:b/>
          <w:sz w:val="22"/>
          <w:szCs w:val="22"/>
        </w:rPr>
        <w:t xml:space="preserve">  </w:t>
      </w:r>
    </w:p>
    <w:p w14:paraId="60793758" w14:textId="4B153301" w:rsidR="00CE7263" w:rsidRPr="00D058C1" w:rsidRDefault="00CE7263" w:rsidP="00CE7263">
      <w:pPr>
        <w:jc w:val="both"/>
        <w:rPr>
          <w:rFonts w:ascii="Cambria" w:hAnsi="Cambria"/>
          <w:b/>
          <w:sz w:val="22"/>
          <w:szCs w:val="22"/>
        </w:rPr>
      </w:pPr>
    </w:p>
    <w:p w14:paraId="064A5014" w14:textId="26A28C54" w:rsidR="00BA7575" w:rsidRPr="0054431C" w:rsidRDefault="00BE3FE9" w:rsidP="00F11FA7">
      <w:pPr>
        <w:pStyle w:val="ListParagraph"/>
        <w:numPr>
          <w:ilvl w:val="0"/>
          <w:numId w:val="77"/>
        </w:numPr>
        <w:jc w:val="both"/>
        <w:rPr>
          <w:rFonts w:asciiTheme="minorHAnsi" w:hAnsiTheme="minorHAnsi"/>
          <w:b/>
          <w:bCs/>
          <w:sz w:val="22"/>
          <w:szCs w:val="22"/>
        </w:rPr>
      </w:pPr>
      <w:r>
        <w:rPr>
          <w:rFonts w:ascii="Cambria" w:hAnsi="Cambria"/>
          <w:b/>
          <w:bCs/>
          <w:sz w:val="22"/>
          <w:szCs w:val="22"/>
        </w:rPr>
        <w:t>Ensuring g</w:t>
      </w:r>
      <w:r w:rsidR="00BA5DD9" w:rsidRPr="00D058C1">
        <w:rPr>
          <w:rFonts w:ascii="Cambria" w:hAnsi="Cambria"/>
          <w:b/>
          <w:bCs/>
          <w:sz w:val="22"/>
          <w:szCs w:val="22"/>
        </w:rPr>
        <w:t>eographic</w:t>
      </w:r>
      <w:r w:rsidR="00524D73">
        <w:rPr>
          <w:rFonts w:ascii="Cambria" w:hAnsi="Cambria"/>
          <w:b/>
          <w:bCs/>
          <w:sz w:val="22"/>
          <w:szCs w:val="22"/>
        </w:rPr>
        <w:t xml:space="preserve"> b</w:t>
      </w:r>
      <w:r w:rsidR="00BA7575" w:rsidRPr="00F11FA7">
        <w:rPr>
          <w:rFonts w:ascii="Cambria" w:hAnsi="Cambria"/>
          <w:b/>
          <w:bCs/>
          <w:sz w:val="22"/>
          <w:szCs w:val="22"/>
        </w:rPr>
        <w:t xml:space="preserve">alance </w:t>
      </w:r>
      <w:r w:rsidR="00524D73">
        <w:rPr>
          <w:rFonts w:ascii="Cambria" w:hAnsi="Cambria"/>
          <w:b/>
          <w:bCs/>
          <w:sz w:val="22"/>
          <w:szCs w:val="22"/>
        </w:rPr>
        <w:t xml:space="preserve">will be important to support inclusivity and legitimacy. </w:t>
      </w:r>
      <w:r w:rsidR="00524D73" w:rsidRPr="00F11FA7">
        <w:rPr>
          <w:rFonts w:ascii="Cambria" w:hAnsi="Cambria"/>
          <w:sz w:val="22"/>
          <w:szCs w:val="22"/>
        </w:rPr>
        <w:t>This entails more place-sensitive programming across</w:t>
      </w:r>
      <w:r w:rsidR="00BA7575" w:rsidRPr="00F11FA7">
        <w:rPr>
          <w:rFonts w:ascii="Cambria" w:hAnsi="Cambria"/>
          <w:sz w:val="22"/>
          <w:szCs w:val="22"/>
        </w:rPr>
        <w:t xml:space="preserve"> mainland and archipelagic BARMM</w:t>
      </w:r>
      <w:r w:rsidR="00524D73" w:rsidRPr="00F11FA7">
        <w:rPr>
          <w:rFonts w:ascii="Cambria" w:hAnsi="Cambria"/>
          <w:sz w:val="22"/>
          <w:szCs w:val="22"/>
        </w:rPr>
        <w:t>, supporting the i</w:t>
      </w:r>
      <w:r w:rsidR="00BA7575" w:rsidRPr="00F11FA7">
        <w:rPr>
          <w:rFonts w:ascii="Cambria" w:hAnsi="Cambria"/>
          <w:sz w:val="22"/>
          <w:szCs w:val="22"/>
        </w:rPr>
        <w:t>ntegration of new entrants Cotabato City and the 63 barangays in North Cotabato</w:t>
      </w:r>
      <w:r w:rsidR="00524D73" w:rsidRPr="00F11FA7">
        <w:rPr>
          <w:rFonts w:ascii="Cambria" w:hAnsi="Cambria"/>
          <w:sz w:val="22"/>
          <w:szCs w:val="22"/>
        </w:rPr>
        <w:t xml:space="preserve">, and fulfilling the CAB provision on development </w:t>
      </w:r>
      <w:r w:rsidR="00AD69F6">
        <w:rPr>
          <w:rFonts w:ascii="Cambria" w:hAnsi="Cambria"/>
          <w:sz w:val="22"/>
          <w:szCs w:val="22"/>
        </w:rPr>
        <w:t xml:space="preserve">programs </w:t>
      </w:r>
      <w:r w:rsidR="00524D73" w:rsidRPr="00F11FA7">
        <w:rPr>
          <w:rFonts w:ascii="Cambria" w:hAnsi="Cambria"/>
          <w:sz w:val="22"/>
          <w:szCs w:val="22"/>
        </w:rPr>
        <w:t xml:space="preserve">for </w:t>
      </w:r>
      <w:r w:rsidR="00BA7575" w:rsidRPr="00F11FA7">
        <w:rPr>
          <w:rFonts w:ascii="Cambria" w:hAnsi="Cambria"/>
          <w:sz w:val="22"/>
          <w:szCs w:val="22"/>
        </w:rPr>
        <w:t>Bangsamoro communities outside the BARMM</w:t>
      </w:r>
      <w:r w:rsidR="00524D73" w:rsidRPr="00F11FA7">
        <w:rPr>
          <w:rFonts w:ascii="Cambria" w:hAnsi="Cambria"/>
          <w:sz w:val="22"/>
          <w:szCs w:val="22"/>
        </w:rPr>
        <w:t>.</w:t>
      </w:r>
      <w:r w:rsidR="00524D73">
        <w:rPr>
          <w:rFonts w:ascii="Cambria" w:hAnsi="Cambria"/>
          <w:b/>
          <w:bCs/>
          <w:sz w:val="22"/>
          <w:szCs w:val="22"/>
        </w:rPr>
        <w:t xml:space="preserve"> </w:t>
      </w:r>
      <w:r w:rsidR="00BA7575" w:rsidRPr="00F11FA7">
        <w:rPr>
          <w:rFonts w:ascii="Cambria" w:hAnsi="Cambria"/>
          <w:b/>
          <w:bCs/>
          <w:sz w:val="22"/>
          <w:szCs w:val="22"/>
        </w:rPr>
        <w:t xml:space="preserve"> </w:t>
      </w:r>
      <w:r w:rsidR="00524D73">
        <w:rPr>
          <w:rFonts w:ascii="Cambria" w:hAnsi="Cambria"/>
          <w:sz w:val="22"/>
          <w:szCs w:val="22"/>
        </w:rPr>
        <w:t xml:space="preserve">This has </w:t>
      </w:r>
      <w:r w:rsidR="00AD69F6">
        <w:rPr>
          <w:rFonts w:ascii="Cambria" w:hAnsi="Cambria"/>
          <w:sz w:val="22"/>
          <w:szCs w:val="22"/>
        </w:rPr>
        <w:t xml:space="preserve">implications on both </w:t>
      </w:r>
      <w:r w:rsidR="00AD69F6" w:rsidRPr="0054431C">
        <w:rPr>
          <w:rFonts w:asciiTheme="minorHAnsi" w:hAnsiTheme="minorHAnsi"/>
          <w:sz w:val="22"/>
          <w:szCs w:val="22"/>
        </w:rPr>
        <w:t>security and socioeconomic activit</w:t>
      </w:r>
      <w:r w:rsidR="00780C7C" w:rsidRPr="0054431C">
        <w:rPr>
          <w:rFonts w:asciiTheme="minorHAnsi" w:hAnsiTheme="minorHAnsi"/>
          <w:sz w:val="22"/>
          <w:szCs w:val="22"/>
        </w:rPr>
        <w:t xml:space="preserve">ies, such as </w:t>
      </w:r>
      <w:r w:rsidR="00BA7575" w:rsidRPr="0054431C">
        <w:rPr>
          <w:rFonts w:asciiTheme="minorHAnsi" w:hAnsiTheme="minorHAnsi" w:cstheme="majorBidi"/>
          <w:sz w:val="22"/>
          <w:szCs w:val="22"/>
        </w:rPr>
        <w:t xml:space="preserve">initial discussions for a BASULTA-wide </w:t>
      </w:r>
      <w:r w:rsidR="00780C7C" w:rsidRPr="0054431C">
        <w:rPr>
          <w:rFonts w:asciiTheme="minorHAnsi" w:hAnsiTheme="minorHAnsi" w:cstheme="majorBidi"/>
          <w:sz w:val="22"/>
          <w:szCs w:val="22"/>
        </w:rPr>
        <w:t xml:space="preserve">P/CVE </w:t>
      </w:r>
      <w:r w:rsidR="00BA7575" w:rsidRPr="0054431C">
        <w:rPr>
          <w:rFonts w:asciiTheme="minorHAnsi" w:hAnsiTheme="minorHAnsi" w:cstheme="majorBidi"/>
          <w:sz w:val="22"/>
          <w:szCs w:val="22"/>
        </w:rPr>
        <w:t>‘BRAVE’ program</w:t>
      </w:r>
      <w:r w:rsidR="007F51D4" w:rsidRPr="0054431C">
        <w:rPr>
          <w:rFonts w:asciiTheme="minorHAnsi" w:hAnsiTheme="minorHAnsi" w:cstheme="majorBidi"/>
          <w:sz w:val="22"/>
          <w:szCs w:val="22"/>
        </w:rPr>
        <w:t xml:space="preserve"> as a successor to PAVE</w:t>
      </w:r>
      <w:r w:rsidR="00426AE7" w:rsidRPr="0054431C">
        <w:rPr>
          <w:rFonts w:asciiTheme="minorHAnsi" w:hAnsiTheme="minorHAnsi" w:cstheme="majorBidi"/>
          <w:sz w:val="22"/>
          <w:szCs w:val="22"/>
        </w:rPr>
        <w:t>.</w:t>
      </w:r>
    </w:p>
    <w:p w14:paraId="075283AF" w14:textId="7038AB8F" w:rsidR="00BA5DD9" w:rsidRPr="0054431C" w:rsidRDefault="00BA5DD9" w:rsidP="00CE7263">
      <w:pPr>
        <w:jc w:val="both"/>
        <w:rPr>
          <w:rFonts w:asciiTheme="minorHAnsi" w:hAnsiTheme="minorHAnsi"/>
          <w:b/>
          <w:sz w:val="22"/>
          <w:szCs w:val="22"/>
        </w:rPr>
      </w:pPr>
    </w:p>
    <w:p w14:paraId="254D0ABB" w14:textId="4739CEDA" w:rsidR="00CE7263" w:rsidRPr="0054431C" w:rsidRDefault="00CE7263" w:rsidP="00F11FA7">
      <w:pPr>
        <w:pStyle w:val="ListParagraph"/>
        <w:numPr>
          <w:ilvl w:val="0"/>
          <w:numId w:val="77"/>
        </w:numPr>
        <w:jc w:val="both"/>
        <w:rPr>
          <w:rFonts w:asciiTheme="minorHAnsi" w:hAnsiTheme="minorHAnsi"/>
          <w:bCs/>
          <w:sz w:val="22"/>
          <w:szCs w:val="22"/>
        </w:rPr>
      </w:pPr>
      <w:r w:rsidRPr="0054431C">
        <w:rPr>
          <w:rFonts w:asciiTheme="minorHAnsi" w:hAnsiTheme="minorHAnsi"/>
          <w:b/>
          <w:sz w:val="22"/>
          <w:szCs w:val="22"/>
        </w:rPr>
        <w:t xml:space="preserve">Retain bilateral activities for flexibility -  </w:t>
      </w:r>
      <w:r w:rsidRPr="0054431C">
        <w:rPr>
          <w:rFonts w:asciiTheme="minorHAnsi" w:hAnsiTheme="minorHAnsi"/>
          <w:bCs/>
          <w:sz w:val="22"/>
          <w:szCs w:val="22"/>
        </w:rPr>
        <w:t xml:space="preserve"> It is expected that once the BNTF is established, a significant portion of Australia’s assistance will go to this Trust Fund.  However, it is recommended that funds for bilateral activities should be maintained so that DFAT can exercise flexibility in supporting activities on peace building and governance that will complement delivery of socio-economic services.   Too often in the past, the provision of socio-economic assistance is blinded by the imperatives of development ignoring in the process that these projects are </w:t>
      </w:r>
      <w:r w:rsidR="00C32DF4" w:rsidRPr="0054431C">
        <w:rPr>
          <w:rFonts w:asciiTheme="minorHAnsi" w:hAnsiTheme="minorHAnsi"/>
          <w:bCs/>
          <w:sz w:val="22"/>
          <w:szCs w:val="22"/>
        </w:rPr>
        <w:t>just one though</w:t>
      </w:r>
      <w:r w:rsidR="00C732C3" w:rsidRPr="0054431C">
        <w:rPr>
          <w:rFonts w:asciiTheme="minorHAnsi" w:hAnsiTheme="minorHAnsi"/>
          <w:bCs/>
          <w:sz w:val="22"/>
          <w:szCs w:val="22"/>
        </w:rPr>
        <w:t xml:space="preserve"> an</w:t>
      </w:r>
      <w:r w:rsidR="00C32DF4" w:rsidRPr="0054431C">
        <w:rPr>
          <w:rFonts w:asciiTheme="minorHAnsi" w:hAnsiTheme="minorHAnsi"/>
          <w:bCs/>
          <w:sz w:val="22"/>
          <w:szCs w:val="22"/>
        </w:rPr>
        <w:t xml:space="preserve"> </w:t>
      </w:r>
      <w:r w:rsidRPr="0054431C">
        <w:rPr>
          <w:rFonts w:asciiTheme="minorHAnsi" w:hAnsiTheme="minorHAnsi"/>
          <w:bCs/>
          <w:sz w:val="22"/>
          <w:szCs w:val="22"/>
        </w:rPr>
        <w:t xml:space="preserve">important component </w:t>
      </w:r>
      <w:proofErr w:type="gramStart"/>
      <w:r w:rsidR="00C732C3" w:rsidRPr="0054431C">
        <w:rPr>
          <w:rFonts w:asciiTheme="minorHAnsi" w:hAnsiTheme="minorHAnsi"/>
          <w:bCs/>
          <w:sz w:val="22"/>
          <w:szCs w:val="22"/>
        </w:rPr>
        <w:t xml:space="preserve">of </w:t>
      </w:r>
      <w:r w:rsidRPr="0054431C">
        <w:rPr>
          <w:rFonts w:asciiTheme="minorHAnsi" w:hAnsiTheme="minorHAnsi"/>
          <w:bCs/>
          <w:sz w:val="22"/>
          <w:szCs w:val="22"/>
        </w:rPr>
        <w:t xml:space="preserve"> achieving</w:t>
      </w:r>
      <w:proofErr w:type="gramEnd"/>
      <w:r w:rsidRPr="0054431C">
        <w:rPr>
          <w:rFonts w:asciiTheme="minorHAnsi" w:hAnsiTheme="minorHAnsi"/>
          <w:bCs/>
          <w:sz w:val="22"/>
          <w:szCs w:val="22"/>
        </w:rPr>
        <w:t xml:space="preserve"> sustainable peace and stability in these conflict-affected communities. </w:t>
      </w:r>
    </w:p>
    <w:p w14:paraId="2505D3C4" w14:textId="77777777" w:rsidR="00CE7263" w:rsidRPr="0054431C" w:rsidRDefault="00CE7263" w:rsidP="00F11FA7">
      <w:pPr>
        <w:jc w:val="both"/>
        <w:rPr>
          <w:rFonts w:asciiTheme="minorHAnsi" w:hAnsiTheme="minorHAnsi"/>
          <w:sz w:val="22"/>
          <w:szCs w:val="22"/>
        </w:rPr>
      </w:pPr>
    </w:p>
    <w:p w14:paraId="04A66E02" w14:textId="4FB33498" w:rsidR="00CF5B57" w:rsidRPr="0054431C" w:rsidRDefault="00CF5B57" w:rsidP="0054431C">
      <w:pPr>
        <w:pStyle w:val="ListParagraph"/>
        <w:numPr>
          <w:ilvl w:val="0"/>
          <w:numId w:val="77"/>
        </w:numPr>
        <w:autoSpaceDE w:val="0"/>
        <w:autoSpaceDN w:val="0"/>
        <w:adjustRightInd w:val="0"/>
        <w:jc w:val="both"/>
        <w:rPr>
          <w:rFonts w:asciiTheme="minorHAnsi" w:eastAsiaTheme="minorEastAsia" w:hAnsiTheme="minorHAnsi" w:cs="AppleSystemUIFont"/>
          <w:sz w:val="22"/>
          <w:szCs w:val="22"/>
          <w:lang w:val="en-GB" w:eastAsia="en-US"/>
        </w:rPr>
      </w:pPr>
      <w:r w:rsidRPr="00A928D6">
        <w:rPr>
          <w:rFonts w:asciiTheme="minorHAnsi" w:eastAsiaTheme="minorEastAsia" w:hAnsiTheme="minorHAnsi" w:cs="AppleSystemUIFont"/>
          <w:b/>
          <w:bCs/>
          <w:sz w:val="22"/>
          <w:szCs w:val="22"/>
          <w:lang w:val="en-GB" w:eastAsia="en-US"/>
        </w:rPr>
        <w:t>Adjust operating procedures to COVID-19 social distancing and mobility restrictions, which will entail more localized investments and partnership</w:t>
      </w:r>
      <w:r w:rsidR="008E3D8A" w:rsidRPr="00A928D6">
        <w:rPr>
          <w:rFonts w:asciiTheme="minorHAnsi" w:eastAsiaTheme="minorEastAsia" w:hAnsiTheme="minorHAnsi" w:cs="AppleSystemUIFont"/>
          <w:b/>
          <w:bCs/>
          <w:sz w:val="22"/>
          <w:szCs w:val="22"/>
          <w:lang w:val="en-GB" w:eastAsia="en-US"/>
        </w:rPr>
        <w:t>.</w:t>
      </w:r>
      <w:r w:rsidR="008E3D8A" w:rsidRPr="0054431C">
        <w:rPr>
          <w:rFonts w:asciiTheme="minorHAnsi" w:eastAsiaTheme="minorEastAsia" w:hAnsiTheme="minorHAnsi" w:cs="AppleSystemUIFont"/>
          <w:sz w:val="22"/>
          <w:szCs w:val="22"/>
          <w:lang w:val="en-GB" w:eastAsia="en-US"/>
        </w:rPr>
        <w:t xml:space="preserve"> Wi</w:t>
      </w:r>
      <w:r w:rsidRPr="0054431C">
        <w:rPr>
          <w:rFonts w:asciiTheme="minorHAnsi" w:eastAsiaTheme="minorEastAsia" w:hAnsiTheme="minorHAnsi" w:cs="AppleSystemUIFont"/>
          <w:sz w:val="22"/>
          <w:szCs w:val="22"/>
          <w:lang w:val="en-GB" w:eastAsia="en-US"/>
        </w:rPr>
        <w:t>th limited mobility globally and between regions, local expertise, assets, and relationship/supply chains must be strengthened. Service deployment for all ministries will necessarily be area-based</w:t>
      </w:r>
      <w:r w:rsidR="008E3D8A" w:rsidRPr="0054431C">
        <w:rPr>
          <w:rFonts w:asciiTheme="minorHAnsi" w:eastAsiaTheme="minorEastAsia" w:hAnsiTheme="minorHAnsi" w:cs="AppleSystemUIFont"/>
          <w:sz w:val="22"/>
          <w:szCs w:val="22"/>
          <w:lang w:val="en-GB" w:eastAsia="en-US"/>
        </w:rPr>
        <w:t xml:space="preserve">. </w:t>
      </w:r>
      <w:r w:rsidRPr="0054431C">
        <w:rPr>
          <w:rFonts w:asciiTheme="minorHAnsi" w:eastAsiaTheme="minorEastAsia" w:hAnsiTheme="minorHAnsi" w:cs="AppleSystemUIFont"/>
          <w:sz w:val="22"/>
          <w:szCs w:val="22"/>
          <w:lang w:val="en-GB" w:eastAsia="en-US"/>
        </w:rPr>
        <w:t xml:space="preserve">Social distancing requires limiting large public gatherings </w:t>
      </w:r>
      <w:r w:rsidRPr="0054431C">
        <w:rPr>
          <w:rFonts w:asciiTheme="minorHAnsi" w:eastAsiaTheme="minorEastAsia" w:hAnsiTheme="minorHAnsi" w:cs="AppleSystemUIFont"/>
          <w:sz w:val="22"/>
          <w:szCs w:val="22"/>
          <w:lang w:val="en-GB" w:eastAsia="en-US"/>
        </w:rPr>
        <w:lastRenderedPageBreak/>
        <w:t>such as workshops and distribution. Given that internet coverage in the BARMM is spotty, creative means for two-way communication loops such as traditional radio and two-way radio work will be required.</w:t>
      </w:r>
    </w:p>
    <w:p w14:paraId="1BA8BCA2" w14:textId="77777777" w:rsidR="00CF5B57" w:rsidRPr="0054431C" w:rsidRDefault="00CF5B57" w:rsidP="0054431C">
      <w:pPr>
        <w:jc w:val="both"/>
        <w:rPr>
          <w:rFonts w:asciiTheme="minorHAnsi" w:hAnsiTheme="minorHAnsi"/>
          <w:sz w:val="22"/>
          <w:szCs w:val="22"/>
        </w:rPr>
      </w:pPr>
    </w:p>
    <w:p w14:paraId="0E5F63FC" w14:textId="5FF88FBA" w:rsidR="00CE7263" w:rsidRPr="0054431C" w:rsidRDefault="00CE7263" w:rsidP="0054431C">
      <w:pPr>
        <w:pStyle w:val="ListParagraph"/>
        <w:numPr>
          <w:ilvl w:val="0"/>
          <w:numId w:val="77"/>
        </w:numPr>
        <w:jc w:val="both"/>
        <w:rPr>
          <w:rFonts w:asciiTheme="minorHAnsi" w:hAnsiTheme="minorHAnsi"/>
          <w:b/>
          <w:bCs/>
          <w:sz w:val="22"/>
          <w:szCs w:val="22"/>
        </w:rPr>
      </w:pPr>
      <w:r w:rsidRPr="0054431C">
        <w:rPr>
          <w:rFonts w:asciiTheme="minorHAnsi" w:hAnsiTheme="minorHAnsi"/>
          <w:sz w:val="22"/>
          <w:szCs w:val="22"/>
        </w:rPr>
        <w:t>The review team notes that most of the options above could be pursued by adjusting the balance of activities within existing allocations, though additional funding would be needed for future programming activities and could widen their impact</w:t>
      </w:r>
      <w:r w:rsidR="009600C9" w:rsidRPr="0054431C">
        <w:rPr>
          <w:rFonts w:asciiTheme="minorHAnsi" w:hAnsiTheme="minorHAnsi"/>
          <w:sz w:val="22"/>
          <w:szCs w:val="22"/>
        </w:rPr>
        <w:t>.</w:t>
      </w:r>
      <w:r w:rsidR="0054431C">
        <w:rPr>
          <w:rFonts w:asciiTheme="minorHAnsi" w:hAnsiTheme="minorHAnsi"/>
          <w:sz w:val="22"/>
          <w:szCs w:val="22"/>
        </w:rPr>
        <w:t xml:space="preserve"> With the COVID-19 crisis and continued lack of clarity regarding the future of the BNTF and other multilateral modalities, building a balanced and flexible portfolio that can complement local resources and expertise, including the substantial resources held by the BARMM government </w:t>
      </w:r>
      <w:r w:rsidR="00DA1600">
        <w:rPr>
          <w:rFonts w:asciiTheme="minorHAnsi" w:hAnsiTheme="minorHAnsi"/>
          <w:sz w:val="22"/>
          <w:szCs w:val="22"/>
        </w:rPr>
        <w:t xml:space="preserve">and the private sector </w:t>
      </w:r>
      <w:r w:rsidR="0054431C">
        <w:rPr>
          <w:rFonts w:asciiTheme="minorHAnsi" w:hAnsiTheme="minorHAnsi"/>
          <w:sz w:val="22"/>
          <w:szCs w:val="22"/>
        </w:rPr>
        <w:t>is</w:t>
      </w:r>
      <w:r w:rsidR="00B3625A">
        <w:rPr>
          <w:rFonts w:asciiTheme="minorHAnsi" w:hAnsiTheme="minorHAnsi"/>
          <w:sz w:val="22"/>
          <w:szCs w:val="22"/>
        </w:rPr>
        <w:t xml:space="preserve"> recommended</w:t>
      </w:r>
      <w:r w:rsidR="0054431C">
        <w:rPr>
          <w:rFonts w:asciiTheme="minorHAnsi" w:hAnsiTheme="minorHAnsi"/>
          <w:sz w:val="22"/>
          <w:szCs w:val="22"/>
        </w:rPr>
        <w:t xml:space="preserve"> for the next phase of Australian investments in Mindanao. </w:t>
      </w:r>
    </w:p>
    <w:p w14:paraId="6A2EFF8F" w14:textId="77777777" w:rsidR="004620B2" w:rsidRDefault="004620B2" w:rsidP="00CB4033">
      <w:pPr>
        <w:rPr>
          <w:rFonts w:ascii="Cambria" w:hAnsi="Cambria"/>
          <w:b/>
          <w:sz w:val="22"/>
          <w:szCs w:val="22"/>
        </w:rPr>
        <w:sectPr w:rsidR="004620B2" w:rsidSect="00050FF7">
          <w:pgSz w:w="12240" w:h="15840"/>
          <w:pgMar w:top="1440" w:right="1800" w:bottom="1440" w:left="1800" w:header="708" w:footer="708" w:gutter="0"/>
          <w:cols w:space="708"/>
          <w:docGrid w:linePitch="360"/>
        </w:sectPr>
      </w:pPr>
      <w:bookmarkStart w:id="39" w:name="_Toc34220993"/>
    </w:p>
    <w:p w14:paraId="11734EFA" w14:textId="378F28B8" w:rsidR="004620B2" w:rsidRPr="007C6157" w:rsidRDefault="004620B2" w:rsidP="00A928D6">
      <w:pPr>
        <w:pStyle w:val="Heading1"/>
        <w:jc w:val="both"/>
        <w:rPr>
          <w:rFonts w:ascii="Cambria" w:hAnsi="Cambria"/>
          <w:b/>
          <w:bCs/>
          <w:sz w:val="22"/>
          <w:szCs w:val="22"/>
        </w:rPr>
      </w:pPr>
      <w:bookmarkStart w:id="40" w:name="_Toc38299528"/>
      <w:bookmarkStart w:id="41" w:name="_Toc55309688"/>
      <w:r w:rsidRPr="007C6157">
        <w:rPr>
          <w:rFonts w:ascii="Cambria" w:hAnsi="Cambria"/>
          <w:b/>
          <w:bCs/>
          <w:sz w:val="22"/>
          <w:szCs w:val="22"/>
        </w:rPr>
        <w:lastRenderedPageBreak/>
        <w:t>V. Epilogue: Operations Post-COVID-19</w:t>
      </w:r>
      <w:bookmarkEnd w:id="40"/>
      <w:bookmarkEnd w:id="41"/>
    </w:p>
    <w:p w14:paraId="0FA990A2" w14:textId="77777777" w:rsidR="004620B2" w:rsidRPr="007C6157" w:rsidRDefault="004620B2" w:rsidP="00A928D6">
      <w:pPr>
        <w:jc w:val="both"/>
        <w:rPr>
          <w:rFonts w:ascii="Cambria" w:hAnsi="Cambria"/>
          <w:b/>
          <w:bCs/>
          <w:sz w:val="22"/>
          <w:szCs w:val="22"/>
        </w:rPr>
      </w:pPr>
    </w:p>
    <w:p w14:paraId="771E5916" w14:textId="4E89D024" w:rsidR="004620B2" w:rsidRPr="007C6157" w:rsidRDefault="004620B2" w:rsidP="00A928D6">
      <w:pPr>
        <w:pStyle w:val="ListParagraph"/>
        <w:numPr>
          <w:ilvl w:val="0"/>
          <w:numId w:val="77"/>
        </w:numPr>
        <w:tabs>
          <w:tab w:val="left" w:pos="426"/>
        </w:tabs>
        <w:ind w:left="357"/>
        <w:jc w:val="both"/>
        <w:rPr>
          <w:rFonts w:ascii="Cambria" w:hAnsi="Cambria"/>
          <w:sz w:val="22"/>
          <w:szCs w:val="22"/>
        </w:rPr>
      </w:pPr>
      <w:r w:rsidRPr="007C6157">
        <w:rPr>
          <w:rFonts w:ascii="Cambria" w:hAnsi="Cambria"/>
          <w:sz w:val="22"/>
          <w:szCs w:val="22"/>
        </w:rPr>
        <w:t xml:space="preserve">The Review was conducted prior to the declaration by the World Health Organization (WHO) </w:t>
      </w:r>
      <w:r w:rsidR="002967BC">
        <w:rPr>
          <w:rFonts w:ascii="Cambria" w:hAnsi="Cambria"/>
          <w:sz w:val="22"/>
          <w:szCs w:val="22"/>
        </w:rPr>
        <w:t xml:space="preserve">of </w:t>
      </w:r>
      <w:r w:rsidR="003F62C9">
        <w:rPr>
          <w:rFonts w:ascii="Cambria" w:hAnsi="Cambria"/>
          <w:sz w:val="22"/>
          <w:szCs w:val="22"/>
        </w:rPr>
        <w:t>SARS-CoV-2 or</w:t>
      </w:r>
      <w:r w:rsidRPr="007C6157">
        <w:rPr>
          <w:rFonts w:ascii="Cambria" w:hAnsi="Cambria"/>
          <w:sz w:val="22"/>
          <w:szCs w:val="22"/>
        </w:rPr>
        <w:t xml:space="preserve"> COVID</w:t>
      </w:r>
      <w:r w:rsidR="00655C7A">
        <w:rPr>
          <w:rFonts w:ascii="Cambria" w:hAnsi="Cambria"/>
          <w:sz w:val="22"/>
          <w:szCs w:val="22"/>
        </w:rPr>
        <w:t>-</w:t>
      </w:r>
      <w:r w:rsidRPr="007C6157">
        <w:rPr>
          <w:rFonts w:ascii="Cambria" w:hAnsi="Cambria"/>
          <w:sz w:val="22"/>
          <w:szCs w:val="22"/>
        </w:rPr>
        <w:t xml:space="preserve">19 </w:t>
      </w:r>
      <w:r w:rsidR="002967BC">
        <w:rPr>
          <w:rFonts w:ascii="Cambria" w:hAnsi="Cambria"/>
          <w:sz w:val="22"/>
          <w:szCs w:val="22"/>
        </w:rPr>
        <w:t>as a</w:t>
      </w:r>
      <w:r w:rsidRPr="007C6157">
        <w:rPr>
          <w:rFonts w:ascii="Cambria" w:hAnsi="Cambria"/>
          <w:sz w:val="22"/>
          <w:szCs w:val="22"/>
        </w:rPr>
        <w:t xml:space="preserve"> global pandemic.  While mention of the virus threat </w:t>
      </w:r>
      <w:r w:rsidR="003E54C7">
        <w:rPr>
          <w:rFonts w:ascii="Cambria" w:hAnsi="Cambria"/>
          <w:sz w:val="22"/>
          <w:szCs w:val="22"/>
        </w:rPr>
        <w:t>was included in the</w:t>
      </w:r>
      <w:r w:rsidR="00062620">
        <w:rPr>
          <w:rFonts w:ascii="Cambria" w:hAnsi="Cambria"/>
          <w:sz w:val="22"/>
          <w:szCs w:val="22"/>
        </w:rPr>
        <w:t xml:space="preserve"> closing</w:t>
      </w:r>
      <w:r w:rsidRPr="007C6157">
        <w:rPr>
          <w:rFonts w:ascii="Cambria" w:hAnsi="Cambria"/>
          <w:sz w:val="22"/>
          <w:szCs w:val="22"/>
        </w:rPr>
        <w:t xml:space="preserve"> recommendations </w:t>
      </w:r>
      <w:r w:rsidR="007D01D9">
        <w:rPr>
          <w:rFonts w:ascii="Cambria" w:hAnsi="Cambria"/>
          <w:sz w:val="22"/>
          <w:szCs w:val="22"/>
        </w:rPr>
        <w:t>of</w:t>
      </w:r>
      <w:r w:rsidRPr="007C6157">
        <w:rPr>
          <w:rFonts w:ascii="Cambria" w:hAnsi="Cambria"/>
          <w:sz w:val="22"/>
          <w:szCs w:val="22"/>
        </w:rPr>
        <w:t xml:space="preserve"> this report, </w:t>
      </w:r>
      <w:r w:rsidR="007D01D9">
        <w:rPr>
          <w:rFonts w:ascii="Cambria" w:hAnsi="Cambria"/>
          <w:sz w:val="22"/>
          <w:szCs w:val="22"/>
        </w:rPr>
        <w:t xml:space="preserve">the manner </w:t>
      </w:r>
      <w:r w:rsidR="00FC18B3">
        <w:rPr>
          <w:rFonts w:ascii="Cambria" w:hAnsi="Cambria"/>
          <w:sz w:val="22"/>
          <w:szCs w:val="22"/>
        </w:rPr>
        <w:t>by</w:t>
      </w:r>
      <w:r w:rsidR="007D01D9">
        <w:rPr>
          <w:rFonts w:ascii="Cambria" w:hAnsi="Cambria"/>
          <w:sz w:val="22"/>
          <w:szCs w:val="22"/>
        </w:rPr>
        <w:t xml:space="preserve"> which COVID-19 is profoundly changing</w:t>
      </w:r>
      <w:r w:rsidRPr="007C6157">
        <w:rPr>
          <w:rFonts w:ascii="Cambria" w:hAnsi="Cambria"/>
          <w:sz w:val="22"/>
          <w:szCs w:val="22"/>
        </w:rPr>
        <w:t xml:space="preserve"> </w:t>
      </w:r>
      <w:r w:rsidR="007D01D9">
        <w:rPr>
          <w:rFonts w:ascii="Cambria" w:hAnsi="Cambria"/>
          <w:sz w:val="22"/>
          <w:szCs w:val="22"/>
        </w:rPr>
        <w:t>how</w:t>
      </w:r>
      <w:r w:rsidRPr="007C6157">
        <w:rPr>
          <w:rFonts w:ascii="Cambria" w:hAnsi="Cambria"/>
          <w:sz w:val="22"/>
          <w:szCs w:val="22"/>
        </w:rPr>
        <w:t xml:space="preserve"> government operates, financial and material resources are allocated, and human beings interact, necessitat</w:t>
      </w:r>
      <w:r w:rsidR="002967BC">
        <w:rPr>
          <w:rFonts w:ascii="Cambria" w:hAnsi="Cambria"/>
          <w:sz w:val="22"/>
          <w:szCs w:val="22"/>
        </w:rPr>
        <w:t>es</w:t>
      </w:r>
      <w:r w:rsidRPr="007C6157">
        <w:rPr>
          <w:rFonts w:ascii="Cambria" w:hAnsi="Cambria"/>
          <w:sz w:val="22"/>
          <w:szCs w:val="22"/>
        </w:rPr>
        <w:t xml:space="preserve"> the addition of this </w:t>
      </w:r>
      <w:r w:rsidRPr="007C6157">
        <w:rPr>
          <w:rFonts w:ascii="Cambria" w:hAnsi="Cambria"/>
          <w:b/>
          <w:bCs/>
          <w:sz w:val="22"/>
          <w:szCs w:val="22"/>
        </w:rPr>
        <w:t xml:space="preserve">Epilogue </w:t>
      </w:r>
      <w:r w:rsidRPr="007C6157">
        <w:rPr>
          <w:rFonts w:ascii="Cambria" w:hAnsi="Cambria"/>
          <w:sz w:val="22"/>
          <w:szCs w:val="22"/>
        </w:rPr>
        <w:t xml:space="preserve">to enhance the report’s relevance.  </w:t>
      </w:r>
    </w:p>
    <w:p w14:paraId="624C90B5" w14:textId="77777777" w:rsidR="004620B2" w:rsidRPr="007C6157" w:rsidRDefault="004620B2" w:rsidP="00A928D6">
      <w:pPr>
        <w:pStyle w:val="ListParagraph"/>
        <w:tabs>
          <w:tab w:val="left" w:pos="426"/>
        </w:tabs>
        <w:ind w:left="357"/>
        <w:jc w:val="both"/>
        <w:rPr>
          <w:rFonts w:ascii="Cambria" w:hAnsi="Cambria"/>
          <w:sz w:val="22"/>
          <w:szCs w:val="22"/>
        </w:rPr>
      </w:pPr>
    </w:p>
    <w:p w14:paraId="723DB3A2" w14:textId="28F59A44" w:rsidR="00F801B6" w:rsidRDefault="0040268C" w:rsidP="00F801B6">
      <w:pPr>
        <w:pStyle w:val="ListParagraph"/>
        <w:numPr>
          <w:ilvl w:val="0"/>
          <w:numId w:val="77"/>
        </w:numPr>
        <w:tabs>
          <w:tab w:val="left" w:pos="426"/>
        </w:tabs>
        <w:ind w:left="357"/>
        <w:jc w:val="both"/>
        <w:rPr>
          <w:rFonts w:ascii="Cambria" w:hAnsi="Cambria"/>
          <w:sz w:val="22"/>
          <w:szCs w:val="22"/>
        </w:rPr>
      </w:pPr>
      <w:r>
        <w:rPr>
          <w:rFonts w:ascii="Cambria" w:hAnsi="Cambria"/>
          <w:sz w:val="22"/>
          <w:szCs w:val="22"/>
        </w:rPr>
        <w:t xml:space="preserve">The first </w:t>
      </w:r>
      <w:r w:rsidR="00DD7665">
        <w:rPr>
          <w:rFonts w:ascii="Cambria" w:hAnsi="Cambria"/>
          <w:sz w:val="22"/>
          <w:szCs w:val="22"/>
        </w:rPr>
        <w:t>case</w:t>
      </w:r>
      <w:r w:rsidR="00FA12CA">
        <w:rPr>
          <w:rFonts w:ascii="Cambria" w:hAnsi="Cambria"/>
          <w:sz w:val="22"/>
          <w:szCs w:val="22"/>
        </w:rPr>
        <w:t xml:space="preserve"> of COVID-19 community transmission </w:t>
      </w:r>
      <w:r w:rsidR="004620B2" w:rsidRPr="00A928D6">
        <w:rPr>
          <w:rFonts w:ascii="Cambria" w:hAnsi="Cambria"/>
          <w:sz w:val="22"/>
          <w:szCs w:val="22"/>
        </w:rPr>
        <w:t>in the Philippine</w:t>
      </w:r>
      <w:r w:rsidR="002C6DAF">
        <w:rPr>
          <w:rFonts w:ascii="Cambria" w:hAnsi="Cambria"/>
          <w:sz w:val="22"/>
          <w:szCs w:val="22"/>
        </w:rPr>
        <w:t>s</w:t>
      </w:r>
      <w:r w:rsidR="00FA12CA">
        <w:rPr>
          <w:rFonts w:ascii="Cambria" w:hAnsi="Cambria"/>
          <w:sz w:val="22"/>
          <w:szCs w:val="22"/>
        </w:rPr>
        <w:t xml:space="preserve"> </w:t>
      </w:r>
      <w:r w:rsidR="00DD7665">
        <w:rPr>
          <w:rFonts w:ascii="Cambria" w:hAnsi="Cambria"/>
          <w:sz w:val="22"/>
          <w:szCs w:val="22"/>
        </w:rPr>
        <w:t>was recorded in</w:t>
      </w:r>
      <w:r w:rsidR="004620B2" w:rsidRPr="00A928D6">
        <w:rPr>
          <w:rFonts w:ascii="Cambria" w:hAnsi="Cambria"/>
          <w:sz w:val="22"/>
          <w:szCs w:val="22"/>
        </w:rPr>
        <w:t xml:space="preserve"> the second week of March</w:t>
      </w:r>
      <w:r w:rsidR="002C6DAF">
        <w:rPr>
          <w:rFonts w:ascii="Cambria" w:hAnsi="Cambria"/>
          <w:sz w:val="22"/>
          <w:szCs w:val="22"/>
        </w:rPr>
        <w:t xml:space="preserve"> 2020</w:t>
      </w:r>
      <w:r w:rsidR="004620B2" w:rsidRPr="00A928D6">
        <w:rPr>
          <w:rFonts w:ascii="Cambria" w:hAnsi="Cambria"/>
          <w:sz w:val="22"/>
          <w:szCs w:val="22"/>
        </w:rPr>
        <w:t>.  By the third week of March, President Duterte placed the</w:t>
      </w:r>
      <w:r w:rsidR="00FC18B3">
        <w:rPr>
          <w:rFonts w:ascii="Cambria" w:hAnsi="Cambria"/>
          <w:sz w:val="22"/>
          <w:szCs w:val="22"/>
        </w:rPr>
        <w:t xml:space="preserve"> entire island of </w:t>
      </w:r>
      <w:r w:rsidR="004620B2" w:rsidRPr="00A928D6">
        <w:rPr>
          <w:rFonts w:ascii="Cambria" w:hAnsi="Cambria"/>
          <w:sz w:val="22"/>
          <w:szCs w:val="22"/>
        </w:rPr>
        <w:t>Luzon</w:t>
      </w:r>
      <w:r w:rsidR="00141641">
        <w:rPr>
          <w:rFonts w:ascii="Cambria" w:hAnsi="Cambria"/>
          <w:sz w:val="22"/>
          <w:szCs w:val="22"/>
        </w:rPr>
        <w:t xml:space="preserve"> under</w:t>
      </w:r>
      <w:r w:rsidR="004620B2" w:rsidRPr="00A928D6">
        <w:rPr>
          <w:rFonts w:ascii="Cambria" w:hAnsi="Cambria"/>
          <w:sz w:val="22"/>
          <w:szCs w:val="22"/>
        </w:rPr>
        <w:t xml:space="preserve"> “Enhanced Community Quarantine” (ECQ), or what is globally referred to as a “lockdown”.  The lockdown was meant to prevent further spread of the virus by preventing human carriers from </w:t>
      </w:r>
      <w:r w:rsidR="00FA12CA">
        <w:rPr>
          <w:rFonts w:ascii="Cambria" w:hAnsi="Cambria"/>
          <w:sz w:val="22"/>
          <w:szCs w:val="22"/>
        </w:rPr>
        <w:t>transmitting</w:t>
      </w:r>
      <w:r w:rsidR="004620B2" w:rsidRPr="00A928D6">
        <w:rPr>
          <w:rFonts w:ascii="Cambria" w:hAnsi="Cambria"/>
          <w:sz w:val="22"/>
          <w:szCs w:val="22"/>
        </w:rPr>
        <w:t xml:space="preserve"> the virus from one place to another.  The lockdown was originally scheduled to be lifted on April 14 but the continuing rise in the number of cases convinced the government to further extend </w:t>
      </w:r>
      <w:r w:rsidR="00DD7665">
        <w:rPr>
          <w:rFonts w:ascii="Cambria" w:hAnsi="Cambria"/>
          <w:sz w:val="22"/>
          <w:szCs w:val="22"/>
        </w:rPr>
        <w:t xml:space="preserve">until mid-May. </w:t>
      </w:r>
      <w:r w:rsidR="004620B2" w:rsidRPr="00A928D6">
        <w:rPr>
          <w:rFonts w:ascii="Cambria" w:hAnsi="Cambria"/>
          <w:sz w:val="22"/>
          <w:szCs w:val="22"/>
        </w:rPr>
        <w:t xml:space="preserve">  </w:t>
      </w:r>
    </w:p>
    <w:p w14:paraId="263D9CE7" w14:textId="77777777" w:rsidR="00F801B6" w:rsidRPr="00A928D6" w:rsidRDefault="00F801B6" w:rsidP="00A928D6">
      <w:pPr>
        <w:tabs>
          <w:tab w:val="left" w:pos="426"/>
        </w:tabs>
        <w:jc w:val="both"/>
        <w:rPr>
          <w:rFonts w:ascii="Cambria" w:hAnsi="Cambria"/>
          <w:sz w:val="22"/>
          <w:szCs w:val="22"/>
        </w:rPr>
      </w:pPr>
    </w:p>
    <w:p w14:paraId="54820455" w14:textId="712BDD85" w:rsidR="009618DE" w:rsidRPr="00A928D6" w:rsidRDefault="00FA5B46" w:rsidP="00A928D6">
      <w:pPr>
        <w:pStyle w:val="ListParagraph"/>
        <w:numPr>
          <w:ilvl w:val="0"/>
          <w:numId w:val="77"/>
        </w:numPr>
        <w:tabs>
          <w:tab w:val="left" w:pos="426"/>
        </w:tabs>
        <w:ind w:left="357"/>
        <w:jc w:val="both"/>
        <w:rPr>
          <w:rFonts w:ascii="Cambria" w:hAnsi="Cambria"/>
          <w:sz w:val="22"/>
          <w:szCs w:val="22"/>
        </w:rPr>
      </w:pPr>
      <w:r>
        <w:rPr>
          <w:rFonts w:ascii="Cambria" w:hAnsi="Cambria"/>
          <w:sz w:val="22"/>
          <w:szCs w:val="22"/>
        </w:rPr>
        <w:t xml:space="preserve">In the case of the BARMM, the intensity of travel to and from the region, required a swift response from the Bangsamoro </w:t>
      </w:r>
      <w:r w:rsidRPr="0033507E">
        <w:rPr>
          <w:rFonts w:ascii="Cambria" w:hAnsi="Cambria"/>
          <w:sz w:val="22"/>
          <w:szCs w:val="22"/>
        </w:rPr>
        <w:t>Inter-Agency Task Force (IATF)</w:t>
      </w:r>
      <w:r w:rsidR="009177E5">
        <w:rPr>
          <w:rFonts w:ascii="Cambria" w:hAnsi="Cambria"/>
          <w:sz w:val="22"/>
          <w:szCs w:val="22"/>
        </w:rPr>
        <w:t xml:space="preserve"> on Emerging Infectious Diseases, which links to the national IATF-EID</w:t>
      </w:r>
      <w:r>
        <w:rPr>
          <w:rFonts w:ascii="Cambria" w:hAnsi="Cambria"/>
          <w:sz w:val="22"/>
          <w:szCs w:val="22"/>
        </w:rPr>
        <w:t>.</w:t>
      </w:r>
      <w:r w:rsidRPr="00A928D6">
        <w:rPr>
          <w:rFonts w:ascii="Cambria" w:hAnsi="Cambria"/>
          <w:sz w:val="22"/>
          <w:szCs w:val="22"/>
        </w:rPr>
        <w:t xml:space="preserve"> The </w:t>
      </w:r>
      <w:r w:rsidR="00E2605A" w:rsidRPr="00A928D6">
        <w:rPr>
          <w:rFonts w:ascii="Cambria" w:hAnsi="Cambria"/>
          <w:sz w:val="22"/>
          <w:szCs w:val="22"/>
        </w:rPr>
        <w:t>first COVID-19 case in Mindanao</w:t>
      </w:r>
      <w:r w:rsidRPr="00A928D6">
        <w:rPr>
          <w:rFonts w:ascii="Cambria" w:hAnsi="Cambria"/>
          <w:sz w:val="22"/>
          <w:szCs w:val="22"/>
        </w:rPr>
        <w:t xml:space="preserve"> and the first death outside Metro Manila </w:t>
      </w:r>
      <w:r w:rsidR="00E2605A" w:rsidRPr="00A928D6">
        <w:rPr>
          <w:rFonts w:ascii="Cambria" w:hAnsi="Cambria"/>
          <w:sz w:val="22"/>
          <w:szCs w:val="22"/>
        </w:rPr>
        <w:t xml:space="preserve">involved a resident of Lanao del Sur who </w:t>
      </w:r>
      <w:r w:rsidRPr="00A928D6">
        <w:rPr>
          <w:rFonts w:ascii="Cambria" w:hAnsi="Cambria"/>
          <w:sz w:val="22"/>
          <w:szCs w:val="22"/>
        </w:rPr>
        <w:t>had left after the Marawi siege and was visiting</w:t>
      </w:r>
      <w:r w:rsidR="00E2605A" w:rsidRPr="00A928D6">
        <w:rPr>
          <w:rFonts w:ascii="Cambria" w:hAnsi="Cambria"/>
          <w:sz w:val="22"/>
          <w:szCs w:val="22"/>
        </w:rPr>
        <w:t xml:space="preserve"> from</w:t>
      </w:r>
      <w:r w:rsidRPr="00A928D6">
        <w:rPr>
          <w:rFonts w:ascii="Cambria" w:hAnsi="Cambria"/>
          <w:sz w:val="22"/>
          <w:szCs w:val="22"/>
        </w:rPr>
        <w:t xml:space="preserve"> Luzon</w:t>
      </w:r>
      <w:r w:rsidR="00E2605A" w:rsidRPr="00A928D6">
        <w:rPr>
          <w:rFonts w:ascii="Cambria" w:hAnsi="Cambria"/>
          <w:sz w:val="22"/>
          <w:szCs w:val="22"/>
        </w:rPr>
        <w:t xml:space="preserve">. </w:t>
      </w:r>
      <w:r w:rsidRPr="00A928D6">
        <w:rPr>
          <w:rFonts w:ascii="Cambria" w:hAnsi="Cambria"/>
          <w:sz w:val="22"/>
          <w:szCs w:val="22"/>
        </w:rPr>
        <w:t>Intensified contact tracing was required due to the presence of BARMM participants in a religious gathering</w:t>
      </w:r>
      <w:r w:rsidR="00A34EBB">
        <w:rPr>
          <w:rFonts w:ascii="Cambria" w:hAnsi="Cambria"/>
          <w:sz w:val="22"/>
          <w:szCs w:val="22"/>
        </w:rPr>
        <w:t xml:space="preserve"> of </w:t>
      </w:r>
      <w:proofErr w:type="spellStart"/>
      <w:r w:rsidR="00A34EBB">
        <w:rPr>
          <w:rFonts w:ascii="Cambria" w:hAnsi="Cambria"/>
          <w:i/>
          <w:iCs/>
          <w:sz w:val="22"/>
          <w:szCs w:val="22"/>
        </w:rPr>
        <w:t>tabligh</w:t>
      </w:r>
      <w:proofErr w:type="spellEnd"/>
      <w:r w:rsidRPr="00A928D6">
        <w:rPr>
          <w:rFonts w:ascii="Cambria" w:hAnsi="Cambria"/>
          <w:sz w:val="22"/>
          <w:szCs w:val="22"/>
        </w:rPr>
        <w:t xml:space="preserve"> in Malaysia between February 27 and March 1, 2020, which became a hotspot for the spread of the virus. T</w:t>
      </w:r>
      <w:r w:rsidR="00E2605A" w:rsidRPr="00A928D6">
        <w:rPr>
          <w:rFonts w:ascii="Cambria" w:hAnsi="Cambria"/>
          <w:sz w:val="22"/>
          <w:szCs w:val="22"/>
        </w:rPr>
        <w:t xml:space="preserve">hree cases were confirmed in Cotabato City linked to a cockfighting derby in </w:t>
      </w:r>
      <w:proofErr w:type="spellStart"/>
      <w:r w:rsidR="00E2605A" w:rsidRPr="00A928D6">
        <w:rPr>
          <w:rFonts w:ascii="Cambria" w:hAnsi="Cambria"/>
          <w:sz w:val="22"/>
          <w:szCs w:val="22"/>
        </w:rPr>
        <w:t>Matina</w:t>
      </w:r>
      <w:proofErr w:type="spellEnd"/>
      <w:r w:rsidR="00E2605A" w:rsidRPr="00A928D6">
        <w:rPr>
          <w:rFonts w:ascii="Cambria" w:hAnsi="Cambria"/>
          <w:sz w:val="22"/>
          <w:szCs w:val="22"/>
        </w:rPr>
        <w:t xml:space="preserve">, Davao City. </w:t>
      </w:r>
      <w:r w:rsidR="00550DD1">
        <w:rPr>
          <w:rFonts w:ascii="Cambria" w:hAnsi="Cambria"/>
          <w:sz w:val="22"/>
          <w:szCs w:val="22"/>
        </w:rPr>
        <w:t xml:space="preserve">As a result, the </w:t>
      </w:r>
      <w:r w:rsidR="009618DE" w:rsidRPr="00A928D6">
        <w:rPr>
          <w:rFonts w:ascii="Cambria" w:hAnsi="Cambria"/>
          <w:sz w:val="22"/>
          <w:szCs w:val="22"/>
        </w:rPr>
        <w:t xml:space="preserve">Regional </w:t>
      </w:r>
      <w:proofErr w:type="spellStart"/>
      <w:r w:rsidR="009618DE" w:rsidRPr="00A928D6">
        <w:rPr>
          <w:rFonts w:ascii="Cambria" w:hAnsi="Cambria"/>
          <w:sz w:val="22"/>
          <w:szCs w:val="22"/>
        </w:rPr>
        <w:t>Darul</w:t>
      </w:r>
      <w:proofErr w:type="spellEnd"/>
      <w:r w:rsidR="009618DE" w:rsidRPr="00A928D6">
        <w:rPr>
          <w:rFonts w:ascii="Cambria" w:hAnsi="Cambria"/>
          <w:sz w:val="22"/>
          <w:szCs w:val="22"/>
        </w:rPr>
        <w:t xml:space="preserve"> </w:t>
      </w:r>
      <w:proofErr w:type="spellStart"/>
      <w:r w:rsidR="009618DE" w:rsidRPr="00A928D6">
        <w:rPr>
          <w:rFonts w:ascii="Cambria" w:hAnsi="Cambria"/>
          <w:sz w:val="22"/>
          <w:szCs w:val="22"/>
        </w:rPr>
        <w:t>Ifta</w:t>
      </w:r>
      <w:proofErr w:type="spellEnd"/>
      <w:r w:rsidR="009618DE" w:rsidRPr="00A928D6">
        <w:rPr>
          <w:rFonts w:ascii="Cambria" w:hAnsi="Cambria"/>
          <w:sz w:val="22"/>
          <w:szCs w:val="22"/>
        </w:rPr>
        <w:t xml:space="preserve">’ </w:t>
      </w:r>
      <w:r w:rsidR="00550DD1">
        <w:rPr>
          <w:rFonts w:ascii="Cambria" w:hAnsi="Cambria"/>
          <w:sz w:val="22"/>
          <w:szCs w:val="22"/>
        </w:rPr>
        <w:t xml:space="preserve">has </w:t>
      </w:r>
      <w:r w:rsidR="009618DE" w:rsidRPr="00A928D6">
        <w:rPr>
          <w:rFonts w:ascii="Cambria" w:hAnsi="Cambria"/>
          <w:sz w:val="22"/>
          <w:szCs w:val="22"/>
        </w:rPr>
        <w:t>suspended all congregational prayers throughout the Ramadan period,</w:t>
      </w:r>
      <w:r w:rsidR="00550DD1">
        <w:rPr>
          <w:rFonts w:ascii="Cambria" w:hAnsi="Cambria"/>
          <w:sz w:val="22"/>
          <w:szCs w:val="22"/>
        </w:rPr>
        <w:t xml:space="preserve"> an injunction that continues even after the </w:t>
      </w:r>
      <w:r w:rsidR="009618DE" w:rsidRPr="00A928D6">
        <w:rPr>
          <w:rFonts w:ascii="Cambria" w:hAnsi="Cambria"/>
          <w:sz w:val="22"/>
          <w:szCs w:val="22"/>
        </w:rPr>
        <w:t xml:space="preserve">BARMM </w:t>
      </w:r>
      <w:r w:rsidR="00167C51">
        <w:rPr>
          <w:rFonts w:ascii="Cambria" w:hAnsi="Cambria"/>
          <w:sz w:val="22"/>
          <w:szCs w:val="22"/>
        </w:rPr>
        <w:t>transitioned to</w:t>
      </w:r>
      <w:r w:rsidR="009618DE" w:rsidRPr="00A928D6">
        <w:rPr>
          <w:rFonts w:ascii="Cambria" w:hAnsi="Cambria"/>
          <w:sz w:val="22"/>
          <w:szCs w:val="22"/>
        </w:rPr>
        <w:t xml:space="preserve"> </w:t>
      </w:r>
      <w:r w:rsidR="009618DE">
        <w:rPr>
          <w:rFonts w:ascii="Cambria" w:hAnsi="Cambria"/>
          <w:sz w:val="22"/>
          <w:szCs w:val="22"/>
        </w:rPr>
        <w:t xml:space="preserve">general community quarantine </w:t>
      </w:r>
      <w:r w:rsidR="00550DD1">
        <w:rPr>
          <w:rFonts w:ascii="Cambria" w:hAnsi="Cambria"/>
          <w:sz w:val="22"/>
          <w:szCs w:val="22"/>
        </w:rPr>
        <w:t>on 1 May.</w:t>
      </w:r>
      <w:r w:rsidR="000B3D05">
        <w:rPr>
          <w:rStyle w:val="FootnoteReference"/>
          <w:rFonts w:ascii="Cambria" w:hAnsi="Cambria"/>
          <w:sz w:val="22"/>
          <w:szCs w:val="22"/>
        </w:rPr>
        <w:footnoteReference w:id="9"/>
      </w:r>
      <w:r w:rsidR="00550DD1">
        <w:rPr>
          <w:rFonts w:ascii="Cambria" w:hAnsi="Cambria"/>
          <w:sz w:val="22"/>
          <w:szCs w:val="22"/>
        </w:rPr>
        <w:t xml:space="preserve"> </w:t>
      </w:r>
    </w:p>
    <w:p w14:paraId="0830C11F" w14:textId="77777777" w:rsidR="00615EC1" w:rsidRPr="00A928D6" w:rsidRDefault="00615EC1" w:rsidP="00A928D6">
      <w:pPr>
        <w:jc w:val="both"/>
        <w:rPr>
          <w:rFonts w:ascii="Cambria" w:hAnsi="Cambria"/>
          <w:sz w:val="22"/>
          <w:szCs w:val="22"/>
        </w:rPr>
      </w:pPr>
    </w:p>
    <w:p w14:paraId="6204BBF6" w14:textId="77A63646" w:rsidR="00167C51" w:rsidRDefault="00615EC1" w:rsidP="00EA3276">
      <w:pPr>
        <w:pStyle w:val="ListParagraph"/>
        <w:numPr>
          <w:ilvl w:val="0"/>
          <w:numId w:val="77"/>
        </w:numPr>
        <w:jc w:val="both"/>
        <w:rPr>
          <w:rFonts w:ascii="Cambria" w:hAnsi="Cambria"/>
          <w:sz w:val="22"/>
          <w:szCs w:val="22"/>
        </w:rPr>
      </w:pPr>
      <w:r w:rsidRPr="00A928D6">
        <w:rPr>
          <w:rFonts w:ascii="Cambria" w:hAnsi="Cambria"/>
          <w:sz w:val="22"/>
          <w:szCs w:val="22"/>
        </w:rPr>
        <w:t xml:space="preserve">COVID-19 </w:t>
      </w:r>
      <w:r w:rsidR="00550DD1" w:rsidRPr="00A928D6">
        <w:rPr>
          <w:rFonts w:ascii="Cambria" w:hAnsi="Cambria"/>
          <w:sz w:val="22"/>
          <w:szCs w:val="22"/>
        </w:rPr>
        <w:t>magnifies all the he</w:t>
      </w:r>
      <w:r w:rsidR="009618DE" w:rsidRPr="00A928D6">
        <w:rPr>
          <w:rFonts w:ascii="Cambria" w:hAnsi="Cambria"/>
          <w:sz w:val="22"/>
          <w:szCs w:val="22"/>
        </w:rPr>
        <w:t>alth</w:t>
      </w:r>
      <w:r w:rsidR="00550DD1" w:rsidRPr="00A928D6">
        <w:rPr>
          <w:rFonts w:ascii="Cambria" w:hAnsi="Cambria"/>
          <w:sz w:val="22"/>
          <w:szCs w:val="22"/>
        </w:rPr>
        <w:t xml:space="preserve"> and governance </w:t>
      </w:r>
      <w:r w:rsidR="009618DE" w:rsidRPr="00A928D6">
        <w:rPr>
          <w:rFonts w:ascii="Cambria" w:hAnsi="Cambria"/>
          <w:sz w:val="22"/>
          <w:szCs w:val="22"/>
        </w:rPr>
        <w:t xml:space="preserve">challenges that existed </w:t>
      </w:r>
      <w:r w:rsidR="000B3D05">
        <w:rPr>
          <w:rFonts w:ascii="Cambria" w:hAnsi="Cambria"/>
          <w:sz w:val="22"/>
          <w:szCs w:val="22"/>
        </w:rPr>
        <w:t xml:space="preserve">in the Bangsamoro </w:t>
      </w:r>
      <w:r w:rsidR="009618DE" w:rsidRPr="00A928D6">
        <w:rPr>
          <w:rFonts w:ascii="Cambria" w:hAnsi="Cambria"/>
          <w:sz w:val="22"/>
          <w:szCs w:val="22"/>
        </w:rPr>
        <w:t>prior to the pandemic</w:t>
      </w:r>
      <w:r w:rsidR="008E7989">
        <w:rPr>
          <w:rFonts w:ascii="Cambria" w:hAnsi="Cambria"/>
          <w:sz w:val="22"/>
          <w:szCs w:val="22"/>
        </w:rPr>
        <w:t xml:space="preserve">, and will impact </w:t>
      </w:r>
      <w:r w:rsidR="008E7989" w:rsidRPr="0033507E">
        <w:rPr>
          <w:rFonts w:ascii="Cambria" w:hAnsi="Cambria"/>
          <w:sz w:val="22"/>
          <w:szCs w:val="22"/>
        </w:rPr>
        <w:t>negatively on the poor in BARMM, where poverty incidence is already among the highest in the country</w:t>
      </w:r>
      <w:r w:rsidR="008E7989">
        <w:rPr>
          <w:rFonts w:ascii="Cambria" w:hAnsi="Cambria"/>
          <w:sz w:val="22"/>
          <w:szCs w:val="22"/>
        </w:rPr>
        <w:t>.</w:t>
      </w:r>
      <w:r w:rsidR="009618DE" w:rsidRPr="00A928D6">
        <w:rPr>
          <w:rFonts w:ascii="Cambria" w:hAnsi="Cambria"/>
          <w:sz w:val="22"/>
          <w:szCs w:val="22"/>
        </w:rPr>
        <w:t xml:space="preserve"> </w:t>
      </w:r>
      <w:r w:rsidR="009E6134" w:rsidRPr="00A928D6">
        <w:rPr>
          <w:rFonts w:ascii="Cambria" w:hAnsi="Cambria"/>
          <w:sz w:val="22"/>
          <w:szCs w:val="22"/>
        </w:rPr>
        <w:t xml:space="preserve"> The</w:t>
      </w:r>
      <w:r w:rsidR="00550DD1" w:rsidRPr="00A928D6">
        <w:rPr>
          <w:rFonts w:ascii="Cambria" w:hAnsi="Cambria"/>
          <w:sz w:val="22"/>
          <w:szCs w:val="22"/>
        </w:rPr>
        <w:t xml:space="preserve"> region only has </w:t>
      </w:r>
      <w:r w:rsidR="004620B2" w:rsidRPr="00A928D6">
        <w:rPr>
          <w:rFonts w:ascii="Cambria" w:hAnsi="Cambria"/>
          <w:sz w:val="22"/>
          <w:szCs w:val="22"/>
        </w:rPr>
        <w:t>t</w:t>
      </w:r>
      <w:r w:rsidR="00550DD1" w:rsidRPr="00A928D6">
        <w:rPr>
          <w:rFonts w:ascii="Cambria" w:hAnsi="Cambria"/>
          <w:sz w:val="22"/>
          <w:szCs w:val="22"/>
        </w:rPr>
        <w:t>hree</w:t>
      </w:r>
      <w:r w:rsidR="004620B2" w:rsidRPr="00A928D6">
        <w:rPr>
          <w:rFonts w:ascii="Cambria" w:hAnsi="Cambria"/>
          <w:sz w:val="22"/>
          <w:szCs w:val="22"/>
        </w:rPr>
        <w:t xml:space="preserve"> existing ventilators (housed in the Maguindanao Provincial Hospital) </w:t>
      </w:r>
      <w:r w:rsidR="00550DD1" w:rsidRPr="00A928D6">
        <w:rPr>
          <w:rFonts w:ascii="Cambria" w:hAnsi="Cambria"/>
          <w:sz w:val="22"/>
          <w:szCs w:val="22"/>
        </w:rPr>
        <w:t xml:space="preserve">and </w:t>
      </w:r>
      <w:r w:rsidR="00167C51">
        <w:rPr>
          <w:rFonts w:ascii="Cambria" w:hAnsi="Cambria"/>
          <w:sz w:val="22"/>
          <w:szCs w:val="22"/>
        </w:rPr>
        <w:t>does not have enough</w:t>
      </w:r>
      <w:r w:rsidR="00550DD1" w:rsidRPr="00A928D6">
        <w:rPr>
          <w:rFonts w:ascii="Cambria" w:hAnsi="Cambria"/>
          <w:sz w:val="22"/>
          <w:szCs w:val="22"/>
        </w:rPr>
        <w:t xml:space="preserve"> doctors, nurses, medical facilities and personal protective equipment (PPE). </w:t>
      </w:r>
      <w:r w:rsidR="000B3D05" w:rsidRPr="00A928D6">
        <w:rPr>
          <w:rFonts w:ascii="Cambria" w:hAnsi="Cambria"/>
          <w:sz w:val="22"/>
          <w:szCs w:val="22"/>
        </w:rPr>
        <w:t xml:space="preserve">As of 17 May 2020, there are only 11 confirmed cases in the BARMM, with an additional 8 probable cases and 291 suspect cases. Tracking is hampered by the fact that </w:t>
      </w:r>
      <w:r w:rsidR="00623125">
        <w:rPr>
          <w:rFonts w:ascii="Cambria" w:hAnsi="Cambria"/>
          <w:sz w:val="22"/>
          <w:szCs w:val="22"/>
        </w:rPr>
        <w:t xml:space="preserve">as of this writing, the </w:t>
      </w:r>
      <w:r w:rsidR="00167C51" w:rsidRPr="00A928D6">
        <w:rPr>
          <w:rFonts w:ascii="Cambria" w:hAnsi="Cambria"/>
          <w:sz w:val="22"/>
          <w:szCs w:val="22"/>
        </w:rPr>
        <w:t xml:space="preserve">region </w:t>
      </w:r>
      <w:r w:rsidR="00623125">
        <w:rPr>
          <w:rFonts w:ascii="Cambria" w:hAnsi="Cambria"/>
          <w:sz w:val="22"/>
          <w:szCs w:val="22"/>
        </w:rPr>
        <w:t>only has one accredited</w:t>
      </w:r>
      <w:r w:rsidR="00167C51" w:rsidRPr="00A928D6">
        <w:rPr>
          <w:rFonts w:ascii="Cambria" w:hAnsi="Cambria"/>
          <w:sz w:val="22"/>
          <w:szCs w:val="22"/>
        </w:rPr>
        <w:t xml:space="preserve"> testing facility</w:t>
      </w:r>
      <w:r w:rsidR="00623125">
        <w:rPr>
          <w:rFonts w:ascii="Cambria" w:hAnsi="Cambria"/>
          <w:sz w:val="22"/>
          <w:szCs w:val="22"/>
        </w:rPr>
        <w:t xml:space="preserve">, </w:t>
      </w:r>
      <w:r w:rsidR="00623125" w:rsidRPr="005A1360">
        <w:rPr>
          <w:rFonts w:ascii="Cambria" w:hAnsi="Cambria"/>
          <w:sz w:val="22"/>
          <w:szCs w:val="22"/>
        </w:rPr>
        <w:t>the Cotabato Regional Medical Center (CRMC)</w:t>
      </w:r>
      <w:r w:rsidR="00E75B8E">
        <w:rPr>
          <w:rFonts w:ascii="Cambria" w:hAnsi="Cambria"/>
          <w:sz w:val="22"/>
          <w:szCs w:val="22"/>
        </w:rPr>
        <w:t>.</w:t>
      </w:r>
      <w:r w:rsidR="009E5140">
        <w:rPr>
          <w:rStyle w:val="FootnoteReference"/>
          <w:rFonts w:ascii="Cambria" w:hAnsi="Cambria"/>
          <w:sz w:val="22"/>
          <w:szCs w:val="22"/>
        </w:rPr>
        <w:footnoteReference w:id="10"/>
      </w:r>
      <w:r w:rsidR="00550DD1" w:rsidRPr="00A928D6">
        <w:rPr>
          <w:rFonts w:ascii="Cambria" w:hAnsi="Cambria"/>
          <w:sz w:val="22"/>
          <w:szCs w:val="22"/>
        </w:rPr>
        <w:t xml:space="preserve"> </w:t>
      </w:r>
      <w:r w:rsidR="00167C51" w:rsidRPr="00A928D6">
        <w:rPr>
          <w:rFonts w:ascii="Cambria" w:hAnsi="Cambria"/>
          <w:sz w:val="22"/>
          <w:szCs w:val="22"/>
        </w:rPr>
        <w:t xml:space="preserve">Although the </w:t>
      </w:r>
      <w:r w:rsidR="00550DD1" w:rsidRPr="00A928D6">
        <w:rPr>
          <w:rFonts w:ascii="Cambria" w:hAnsi="Cambria"/>
          <w:sz w:val="22"/>
          <w:szCs w:val="22"/>
        </w:rPr>
        <w:t>BTA has allotted at least PHP 1.9 billion from the 2020 BEP for COVID-19 response</w:t>
      </w:r>
      <w:r w:rsidR="00167C51" w:rsidRPr="00A928D6">
        <w:rPr>
          <w:rFonts w:ascii="Cambria" w:hAnsi="Cambria"/>
          <w:sz w:val="22"/>
          <w:szCs w:val="22"/>
        </w:rPr>
        <w:t>, i</w:t>
      </w:r>
      <w:r w:rsidR="00550DD1" w:rsidRPr="00A928D6">
        <w:rPr>
          <w:rFonts w:ascii="Cambria" w:hAnsi="Cambria"/>
          <w:sz w:val="22"/>
          <w:szCs w:val="22"/>
        </w:rPr>
        <w:t>t</w:t>
      </w:r>
      <w:r w:rsidR="000B3D05" w:rsidRPr="00A928D6">
        <w:rPr>
          <w:rFonts w:ascii="Cambria" w:hAnsi="Cambria"/>
          <w:sz w:val="22"/>
          <w:szCs w:val="22"/>
        </w:rPr>
        <w:t xml:space="preserve"> will take some time before </w:t>
      </w:r>
      <w:proofErr w:type="spellStart"/>
      <w:r w:rsidR="000B3D05" w:rsidRPr="00A928D6">
        <w:rPr>
          <w:rFonts w:ascii="Cambria" w:hAnsi="Cambria"/>
          <w:sz w:val="22"/>
          <w:szCs w:val="22"/>
        </w:rPr>
        <w:t>Amai</w:t>
      </w:r>
      <w:proofErr w:type="spellEnd"/>
      <w:r w:rsidR="000B3D05" w:rsidRPr="00A928D6">
        <w:rPr>
          <w:rFonts w:ascii="Cambria" w:hAnsi="Cambria"/>
          <w:sz w:val="22"/>
          <w:szCs w:val="22"/>
        </w:rPr>
        <w:t xml:space="preserve"> </w:t>
      </w:r>
      <w:proofErr w:type="spellStart"/>
      <w:r w:rsidR="000B3D05" w:rsidRPr="00A928D6">
        <w:rPr>
          <w:rFonts w:ascii="Cambria" w:hAnsi="Cambria"/>
          <w:sz w:val="22"/>
          <w:szCs w:val="22"/>
        </w:rPr>
        <w:t>Pakpak</w:t>
      </w:r>
      <w:proofErr w:type="spellEnd"/>
      <w:r w:rsidR="000B3D05" w:rsidRPr="00A928D6">
        <w:rPr>
          <w:rFonts w:ascii="Cambria" w:hAnsi="Cambria"/>
          <w:sz w:val="22"/>
          <w:szCs w:val="22"/>
        </w:rPr>
        <w:t xml:space="preserve"> Regional Medical Center in Marawi City </w:t>
      </w:r>
      <w:r w:rsidR="00623125">
        <w:rPr>
          <w:rFonts w:ascii="Cambria" w:hAnsi="Cambria"/>
          <w:sz w:val="22"/>
          <w:szCs w:val="22"/>
        </w:rPr>
        <w:t>and the island provinces will</w:t>
      </w:r>
      <w:r w:rsidR="000B3D05" w:rsidRPr="00A928D6">
        <w:rPr>
          <w:rFonts w:ascii="Cambria" w:hAnsi="Cambria"/>
          <w:sz w:val="22"/>
          <w:szCs w:val="22"/>
        </w:rPr>
        <w:t xml:space="preserve"> be able to have a functional laboratory. The target laboratory in Zamboanga City to serve Region IX (Zamboanga Peninsula) and the BARMM island provinces is still </w:t>
      </w:r>
      <w:r w:rsidR="00E705CA">
        <w:rPr>
          <w:rFonts w:ascii="Cambria" w:hAnsi="Cambria"/>
          <w:sz w:val="22"/>
          <w:szCs w:val="22"/>
        </w:rPr>
        <w:t>at</w:t>
      </w:r>
      <w:r w:rsidR="000B3D05" w:rsidRPr="00A928D6">
        <w:rPr>
          <w:rFonts w:ascii="Cambria" w:hAnsi="Cambria"/>
          <w:sz w:val="22"/>
          <w:szCs w:val="22"/>
        </w:rPr>
        <w:t xml:space="preserve"> Stage 3 of the DOH 5-stage accreditation process.</w:t>
      </w:r>
      <w:r w:rsidR="00F16A00">
        <w:rPr>
          <w:rFonts w:ascii="Cambria" w:hAnsi="Cambria"/>
          <w:sz w:val="22"/>
          <w:szCs w:val="22"/>
        </w:rPr>
        <w:t xml:space="preserve"> T</w:t>
      </w:r>
      <w:r w:rsidR="000B3D05" w:rsidRPr="00A928D6">
        <w:rPr>
          <w:rFonts w:ascii="Cambria" w:hAnsi="Cambria"/>
          <w:sz w:val="22"/>
          <w:szCs w:val="22"/>
        </w:rPr>
        <w:t xml:space="preserve">he </w:t>
      </w:r>
      <w:r w:rsidR="00167C51" w:rsidRPr="00A928D6">
        <w:rPr>
          <w:rFonts w:ascii="Cambria" w:hAnsi="Cambria"/>
          <w:sz w:val="22"/>
          <w:szCs w:val="22"/>
        </w:rPr>
        <w:t xml:space="preserve">construction of a 100-bed isolation facility near the Cotabato </w:t>
      </w:r>
      <w:r w:rsidR="00167C51" w:rsidRPr="00A928D6">
        <w:rPr>
          <w:rFonts w:ascii="Cambria" w:hAnsi="Cambria"/>
          <w:sz w:val="22"/>
          <w:szCs w:val="22"/>
        </w:rPr>
        <w:lastRenderedPageBreak/>
        <w:t>Sanitarium in Sultan Kudarat</w:t>
      </w:r>
      <w:r w:rsidR="000B3D05" w:rsidRPr="00A928D6">
        <w:rPr>
          <w:rFonts w:ascii="Cambria" w:hAnsi="Cambria"/>
          <w:sz w:val="22"/>
          <w:szCs w:val="22"/>
        </w:rPr>
        <w:t xml:space="preserve"> is still underway. </w:t>
      </w:r>
      <w:r w:rsidR="00F16A00">
        <w:rPr>
          <w:rFonts w:ascii="Cambria" w:hAnsi="Cambria"/>
          <w:sz w:val="22"/>
          <w:szCs w:val="22"/>
        </w:rPr>
        <w:t>In the meantime, existing provincial facilities across the region are being repurposed as COVID-19 centers.</w:t>
      </w:r>
    </w:p>
    <w:p w14:paraId="6AABC766" w14:textId="2E67C50B" w:rsidR="00167C51" w:rsidRDefault="00167C51" w:rsidP="00167C51">
      <w:pPr>
        <w:pStyle w:val="ListParagraph"/>
        <w:rPr>
          <w:rFonts w:ascii="Cambria" w:hAnsi="Cambria"/>
          <w:sz w:val="22"/>
          <w:szCs w:val="22"/>
        </w:rPr>
      </w:pPr>
    </w:p>
    <w:p w14:paraId="5B35C6A8" w14:textId="7F0C918F" w:rsidR="00A85059" w:rsidRDefault="00EA3276" w:rsidP="000A0754">
      <w:pPr>
        <w:pStyle w:val="ListParagraph"/>
        <w:numPr>
          <w:ilvl w:val="0"/>
          <w:numId w:val="77"/>
        </w:numPr>
        <w:tabs>
          <w:tab w:val="left" w:pos="426"/>
        </w:tabs>
        <w:spacing w:after="160" w:line="259" w:lineRule="auto"/>
        <w:jc w:val="both"/>
        <w:rPr>
          <w:rFonts w:ascii="Cambria" w:hAnsi="Cambria"/>
          <w:sz w:val="22"/>
          <w:szCs w:val="22"/>
        </w:rPr>
      </w:pPr>
      <w:r w:rsidRPr="00A928D6">
        <w:rPr>
          <w:rFonts w:ascii="Cambria" w:hAnsi="Cambria"/>
          <w:sz w:val="22"/>
          <w:szCs w:val="22"/>
        </w:rPr>
        <w:t xml:space="preserve">These challenges are </w:t>
      </w:r>
      <w:r w:rsidR="00685C9F" w:rsidRPr="00A928D6">
        <w:rPr>
          <w:rFonts w:ascii="Cambria" w:hAnsi="Cambria"/>
          <w:sz w:val="22"/>
          <w:szCs w:val="22"/>
        </w:rPr>
        <w:t xml:space="preserve">further </w:t>
      </w:r>
      <w:r w:rsidRPr="00A928D6">
        <w:rPr>
          <w:rFonts w:ascii="Cambria" w:hAnsi="Cambria"/>
          <w:sz w:val="22"/>
          <w:szCs w:val="22"/>
        </w:rPr>
        <w:t>compounded by waves of returning OFWs who lost their jobs abroad due to the contraction of the global economy and “</w:t>
      </w:r>
      <w:proofErr w:type="spellStart"/>
      <w:r w:rsidRPr="00A928D6">
        <w:rPr>
          <w:rFonts w:ascii="Cambria" w:hAnsi="Cambria"/>
          <w:sz w:val="22"/>
          <w:szCs w:val="22"/>
        </w:rPr>
        <w:t>halaws</w:t>
      </w:r>
      <w:proofErr w:type="spellEnd"/>
      <w:r w:rsidRPr="00A928D6">
        <w:rPr>
          <w:rFonts w:ascii="Cambria" w:hAnsi="Cambria"/>
          <w:sz w:val="22"/>
          <w:szCs w:val="22"/>
        </w:rPr>
        <w:t>” or illegal immigrants being deported by Malaysia from Sabah who may be carriers of the virus.</w:t>
      </w:r>
      <w:r w:rsidR="00685C9F" w:rsidRPr="00A928D6">
        <w:rPr>
          <w:rFonts w:ascii="Cambria" w:hAnsi="Cambria"/>
          <w:sz w:val="22"/>
          <w:szCs w:val="22"/>
        </w:rPr>
        <w:t xml:space="preserve"> Once the rainy season begins, infections may also rise should communities be displaced by flooding and be forced to stay in congested evacuation sites.  It must be noted that t</w:t>
      </w:r>
      <w:r w:rsidRPr="00A928D6">
        <w:rPr>
          <w:rFonts w:ascii="Cambria" w:hAnsi="Cambria"/>
          <w:sz w:val="22"/>
          <w:szCs w:val="22"/>
        </w:rPr>
        <w:t xml:space="preserve">he districts in Sabah with highest number of confirmed Covid-19 cases are those with strong familial, cultural and trading ties with the island provinces, such as Tawau, Kota Kinabalu, Lahad Datu and Sandakan. There is also the added challenge of Zamboanga City, which serves as a transportation hub, for travelers from Basilan, Sulu and </w:t>
      </w:r>
      <w:proofErr w:type="spellStart"/>
      <w:r w:rsidRPr="00A928D6">
        <w:rPr>
          <w:rFonts w:ascii="Cambria" w:hAnsi="Cambria"/>
          <w:sz w:val="22"/>
          <w:szCs w:val="22"/>
        </w:rPr>
        <w:t>Tawi</w:t>
      </w:r>
      <w:proofErr w:type="spellEnd"/>
      <w:r w:rsidRPr="00A928D6">
        <w:rPr>
          <w:rFonts w:ascii="Cambria" w:hAnsi="Cambria"/>
          <w:sz w:val="22"/>
          <w:szCs w:val="22"/>
        </w:rPr>
        <w:t xml:space="preserve"> </w:t>
      </w:r>
      <w:proofErr w:type="spellStart"/>
      <w:r w:rsidRPr="00A928D6">
        <w:rPr>
          <w:rFonts w:ascii="Cambria" w:hAnsi="Cambria"/>
          <w:sz w:val="22"/>
          <w:szCs w:val="22"/>
        </w:rPr>
        <w:t>Tawi</w:t>
      </w:r>
      <w:proofErr w:type="spellEnd"/>
      <w:r w:rsidRPr="00A928D6">
        <w:rPr>
          <w:rFonts w:ascii="Cambria" w:hAnsi="Cambria"/>
          <w:sz w:val="22"/>
          <w:szCs w:val="22"/>
        </w:rPr>
        <w:t xml:space="preserve"> (</w:t>
      </w:r>
      <w:proofErr w:type="spellStart"/>
      <w:r w:rsidRPr="00A928D6">
        <w:rPr>
          <w:rFonts w:ascii="Cambria" w:hAnsi="Cambria"/>
          <w:sz w:val="22"/>
          <w:szCs w:val="22"/>
        </w:rPr>
        <w:t>BaSulTa</w:t>
      </w:r>
      <w:proofErr w:type="spellEnd"/>
      <w:r w:rsidRPr="00A928D6">
        <w:rPr>
          <w:rFonts w:ascii="Cambria" w:hAnsi="Cambria"/>
          <w:sz w:val="22"/>
          <w:szCs w:val="22"/>
        </w:rPr>
        <w:t xml:space="preserve">) but not part of the BARMM territory, and where a substantial Moro population reside.  Zamboanga City has reported incidences of COVID 19 patient travelers from Metro Manila and those coming from abroad.  Placing </w:t>
      </w:r>
      <w:proofErr w:type="spellStart"/>
      <w:r w:rsidRPr="00A928D6">
        <w:rPr>
          <w:rFonts w:ascii="Cambria" w:hAnsi="Cambria"/>
          <w:sz w:val="22"/>
          <w:szCs w:val="22"/>
        </w:rPr>
        <w:t>BaSulTa</w:t>
      </w:r>
      <w:proofErr w:type="spellEnd"/>
      <w:r w:rsidRPr="00A928D6">
        <w:rPr>
          <w:rFonts w:ascii="Cambria" w:hAnsi="Cambria"/>
          <w:sz w:val="22"/>
          <w:szCs w:val="22"/>
        </w:rPr>
        <w:t xml:space="preserve"> or Zamboanga City on a lockdown mode will seriously impact economic activities and supply of essential commodities (e.g., chicken, eggs, soap, toothpaste, paper, etc.) to </w:t>
      </w:r>
      <w:proofErr w:type="spellStart"/>
      <w:r w:rsidRPr="00A928D6">
        <w:rPr>
          <w:rFonts w:ascii="Cambria" w:hAnsi="Cambria"/>
          <w:sz w:val="22"/>
          <w:szCs w:val="22"/>
        </w:rPr>
        <w:t>BaSulTa</w:t>
      </w:r>
      <w:proofErr w:type="spellEnd"/>
      <w:r w:rsidRPr="00A928D6">
        <w:rPr>
          <w:rFonts w:ascii="Cambria" w:hAnsi="Cambria"/>
          <w:sz w:val="22"/>
          <w:szCs w:val="22"/>
        </w:rPr>
        <w:t xml:space="preserve"> because they depend on Zamboanga City for their supply of these commodities.  </w:t>
      </w:r>
      <w:r w:rsidR="00141641">
        <w:rPr>
          <w:rFonts w:ascii="Cambria" w:hAnsi="Cambria"/>
          <w:sz w:val="22"/>
          <w:szCs w:val="22"/>
        </w:rPr>
        <w:t>The</w:t>
      </w:r>
      <w:r w:rsidRPr="00A928D6">
        <w:rPr>
          <w:rFonts w:ascii="Cambria" w:hAnsi="Cambria"/>
          <w:sz w:val="22"/>
          <w:szCs w:val="22"/>
        </w:rPr>
        <w:t xml:space="preserve"> BARMM government is cooperating with the City government on how best to protect the welfare of the Moro communities in the city and the island provinces.  However, there is lingering feeling among Moros that the same attention on preventing spread of COVID in the Maguindanao province is not accorded by the BARMM government to outside provinces, particularly those in the island provinces of BARMM.  </w:t>
      </w:r>
    </w:p>
    <w:p w14:paraId="02BE08CB" w14:textId="77777777" w:rsidR="000A0754" w:rsidRPr="00A928D6" w:rsidRDefault="000A0754" w:rsidP="00A928D6">
      <w:pPr>
        <w:pStyle w:val="ListParagraph"/>
        <w:tabs>
          <w:tab w:val="left" w:pos="426"/>
        </w:tabs>
        <w:spacing w:after="160" w:line="259" w:lineRule="auto"/>
        <w:ind w:left="360"/>
        <w:jc w:val="both"/>
        <w:rPr>
          <w:rFonts w:ascii="Cambria" w:hAnsi="Cambria"/>
          <w:sz w:val="22"/>
          <w:szCs w:val="22"/>
        </w:rPr>
      </w:pPr>
    </w:p>
    <w:p w14:paraId="546F0A5C" w14:textId="77777777" w:rsidR="00E16359" w:rsidRDefault="00E16359" w:rsidP="00A928D6">
      <w:pPr>
        <w:pStyle w:val="ListParagraph"/>
        <w:tabs>
          <w:tab w:val="left" w:pos="426"/>
        </w:tabs>
        <w:spacing w:after="160" w:line="259" w:lineRule="auto"/>
        <w:ind w:left="360"/>
        <w:jc w:val="both"/>
        <w:rPr>
          <w:rFonts w:ascii="Cambria" w:hAnsi="Cambria"/>
          <w:sz w:val="22"/>
          <w:szCs w:val="22"/>
        </w:rPr>
      </w:pPr>
    </w:p>
    <w:p w14:paraId="54AE4E44" w14:textId="08DFB7EB" w:rsidR="001C750E" w:rsidRDefault="00B1745A" w:rsidP="0002234D">
      <w:pPr>
        <w:pStyle w:val="ListParagraph"/>
        <w:numPr>
          <w:ilvl w:val="0"/>
          <w:numId w:val="77"/>
        </w:numPr>
        <w:tabs>
          <w:tab w:val="left" w:pos="426"/>
        </w:tabs>
        <w:spacing w:after="160" w:line="259" w:lineRule="auto"/>
        <w:jc w:val="both"/>
        <w:rPr>
          <w:rFonts w:ascii="Cambria" w:hAnsi="Cambria"/>
          <w:sz w:val="22"/>
          <w:szCs w:val="22"/>
        </w:rPr>
      </w:pPr>
      <w:r w:rsidRPr="00A928D6">
        <w:rPr>
          <w:rFonts w:ascii="Cambria" w:hAnsi="Cambria"/>
          <w:b/>
          <w:bCs/>
          <w:sz w:val="22"/>
          <w:szCs w:val="22"/>
        </w:rPr>
        <w:t>The situation provides a clear opportunity for BARMM to exercise to the fullest real autonomy it so aspired for many decades.</w:t>
      </w:r>
      <w:r w:rsidRPr="00A928D6">
        <w:rPr>
          <w:rFonts w:ascii="Cambria" w:hAnsi="Cambria"/>
          <w:sz w:val="22"/>
          <w:szCs w:val="22"/>
        </w:rPr>
        <w:t xml:space="preserve">  How the current BARMM leadership seize</w:t>
      </w:r>
      <w:r w:rsidR="00B97853">
        <w:rPr>
          <w:rFonts w:ascii="Cambria" w:hAnsi="Cambria"/>
          <w:sz w:val="22"/>
          <w:szCs w:val="22"/>
        </w:rPr>
        <w:t>s</w:t>
      </w:r>
      <w:r w:rsidRPr="00A928D6">
        <w:rPr>
          <w:rFonts w:ascii="Cambria" w:hAnsi="Cambria"/>
          <w:sz w:val="22"/>
          <w:szCs w:val="22"/>
        </w:rPr>
        <w:t xml:space="preserve"> this opportunity will be the acid test of whether aspiration</w:t>
      </w:r>
      <w:r w:rsidR="00B97853">
        <w:rPr>
          <w:rFonts w:ascii="Cambria" w:hAnsi="Cambria"/>
          <w:sz w:val="22"/>
          <w:szCs w:val="22"/>
        </w:rPr>
        <w:t>s for meaningful self-determination can be translated</w:t>
      </w:r>
      <w:r w:rsidRPr="00A928D6">
        <w:rPr>
          <w:rFonts w:ascii="Cambria" w:hAnsi="Cambria"/>
          <w:sz w:val="22"/>
          <w:szCs w:val="22"/>
        </w:rPr>
        <w:t xml:space="preserve"> into reality.  COVID 19, like any other crisis, is not only an occasion for the demise of the old o</w:t>
      </w:r>
      <w:r w:rsidR="00B97853">
        <w:rPr>
          <w:rFonts w:ascii="Cambria" w:hAnsi="Cambria"/>
          <w:sz w:val="22"/>
          <w:szCs w:val="22"/>
        </w:rPr>
        <w:t>r</w:t>
      </w:r>
      <w:r w:rsidRPr="00A928D6">
        <w:rPr>
          <w:rFonts w:ascii="Cambria" w:hAnsi="Cambria"/>
          <w:sz w:val="22"/>
          <w:szCs w:val="22"/>
        </w:rPr>
        <w:t>der; it is also an occasion for renewal.</w:t>
      </w:r>
      <w:r w:rsidR="00016CD5">
        <w:rPr>
          <w:rFonts w:ascii="Cambria" w:hAnsi="Cambria"/>
          <w:sz w:val="22"/>
          <w:szCs w:val="22"/>
        </w:rPr>
        <w:t xml:space="preserve"> </w:t>
      </w:r>
      <w:r w:rsidR="00B97853">
        <w:rPr>
          <w:rFonts w:ascii="Cambria" w:hAnsi="Cambria"/>
          <w:sz w:val="22"/>
          <w:szCs w:val="22"/>
        </w:rPr>
        <w:t>Given that the ministries of the BARMM are still undergoing design and organizational development, the COVID-19 crisis is an opportunity for the Bangsamoro Parliament to build pandemic-proof systems, structures and protocols. As the new members of the bureaucracy are still being hired, capacity building plans should be retooled for the skills required for the new</w:t>
      </w:r>
      <w:r w:rsidR="001C750E">
        <w:rPr>
          <w:rFonts w:ascii="Cambria" w:hAnsi="Cambria"/>
          <w:sz w:val="22"/>
          <w:szCs w:val="22"/>
        </w:rPr>
        <w:t xml:space="preserve"> </w:t>
      </w:r>
      <w:r w:rsidR="00B97853">
        <w:rPr>
          <w:rFonts w:ascii="Cambria" w:hAnsi="Cambria"/>
          <w:sz w:val="22"/>
          <w:szCs w:val="22"/>
        </w:rPr>
        <w:t>normal.</w:t>
      </w:r>
      <w:r w:rsidR="00DE6BF5">
        <w:rPr>
          <w:rFonts w:ascii="Cambria" w:hAnsi="Cambria"/>
          <w:sz w:val="22"/>
          <w:szCs w:val="22"/>
        </w:rPr>
        <w:t xml:space="preserve"> </w:t>
      </w:r>
      <w:r w:rsidR="00DE6BF5" w:rsidRPr="0033507E">
        <w:rPr>
          <w:rFonts w:ascii="Cambria" w:hAnsi="Cambria"/>
          <w:sz w:val="22"/>
          <w:szCs w:val="22"/>
        </w:rPr>
        <w:t xml:space="preserve">Unlike a normal crisis, where recovery </w:t>
      </w:r>
      <w:proofErr w:type="gramStart"/>
      <w:r w:rsidR="00DE6BF5" w:rsidRPr="0033507E">
        <w:rPr>
          <w:rFonts w:ascii="Cambria" w:hAnsi="Cambria"/>
          <w:sz w:val="22"/>
          <w:szCs w:val="22"/>
        </w:rPr>
        <w:t>follows after</w:t>
      </w:r>
      <w:proofErr w:type="gramEnd"/>
      <w:r w:rsidR="00DE6BF5" w:rsidRPr="0033507E">
        <w:rPr>
          <w:rFonts w:ascii="Cambria" w:hAnsi="Cambria"/>
          <w:sz w:val="22"/>
          <w:szCs w:val="22"/>
        </w:rPr>
        <w:t xml:space="preserve"> the crisis st</w:t>
      </w:r>
      <w:r w:rsidR="00DE6BF5">
        <w:rPr>
          <w:rFonts w:ascii="Cambria" w:hAnsi="Cambria"/>
          <w:sz w:val="22"/>
          <w:szCs w:val="22"/>
        </w:rPr>
        <w:t>rikes</w:t>
      </w:r>
      <w:r w:rsidR="00DE6BF5" w:rsidRPr="0033507E">
        <w:rPr>
          <w:rFonts w:ascii="Cambria" w:hAnsi="Cambria"/>
          <w:b/>
          <w:bCs/>
          <w:sz w:val="22"/>
          <w:szCs w:val="22"/>
        </w:rPr>
        <w:t>, what we will experience is an “adaptive recovery” process where learnings from previous experiences</w:t>
      </w:r>
      <w:r w:rsidR="00DE6BF5" w:rsidRPr="0033507E">
        <w:rPr>
          <w:rFonts w:ascii="Cambria" w:hAnsi="Cambria"/>
          <w:sz w:val="22"/>
          <w:szCs w:val="22"/>
        </w:rPr>
        <w:t xml:space="preserve">, back by data gathered and analyzed from those experiences, will guide decision making and policy implementation.  It is expected that this “adaptive recovery” process will linger until a vaccine is successfully formulated </w:t>
      </w:r>
      <w:r w:rsidR="00E37784">
        <w:rPr>
          <w:rFonts w:ascii="Cambria" w:hAnsi="Cambria"/>
          <w:sz w:val="22"/>
          <w:szCs w:val="22"/>
        </w:rPr>
        <w:t>and mass-produced.</w:t>
      </w:r>
      <w:r w:rsidR="00DE6BF5" w:rsidRPr="0033507E">
        <w:rPr>
          <w:rFonts w:ascii="Cambria" w:hAnsi="Cambria"/>
          <w:sz w:val="22"/>
          <w:szCs w:val="22"/>
        </w:rPr>
        <w:t xml:space="preserve"> </w:t>
      </w:r>
    </w:p>
    <w:p w14:paraId="099F77FC" w14:textId="77777777" w:rsidR="0002234D" w:rsidRPr="00A928D6" w:rsidRDefault="0002234D" w:rsidP="00A928D6">
      <w:pPr>
        <w:pStyle w:val="ListParagraph"/>
        <w:tabs>
          <w:tab w:val="left" w:pos="426"/>
        </w:tabs>
        <w:spacing w:after="160" w:line="259" w:lineRule="auto"/>
        <w:ind w:left="360"/>
        <w:jc w:val="both"/>
        <w:rPr>
          <w:rFonts w:ascii="Cambria" w:hAnsi="Cambria"/>
          <w:sz w:val="22"/>
          <w:szCs w:val="22"/>
        </w:rPr>
      </w:pPr>
    </w:p>
    <w:p w14:paraId="0B0C2D50" w14:textId="5E9D1E90" w:rsidR="004620B2" w:rsidRPr="00A928D6" w:rsidRDefault="001C750E" w:rsidP="00A928D6">
      <w:pPr>
        <w:pStyle w:val="ListParagraph"/>
        <w:numPr>
          <w:ilvl w:val="0"/>
          <w:numId w:val="77"/>
        </w:numPr>
        <w:tabs>
          <w:tab w:val="left" w:pos="426"/>
        </w:tabs>
        <w:jc w:val="both"/>
        <w:rPr>
          <w:rFonts w:ascii="Cambria" w:hAnsi="Cambria"/>
          <w:sz w:val="22"/>
          <w:szCs w:val="22"/>
        </w:rPr>
      </w:pPr>
      <w:r>
        <w:rPr>
          <w:rFonts w:ascii="Cambria" w:hAnsi="Cambria"/>
          <w:sz w:val="22"/>
          <w:szCs w:val="22"/>
        </w:rPr>
        <w:t>In the short term, q</w:t>
      </w:r>
      <w:r w:rsidR="004620B2" w:rsidRPr="00A928D6">
        <w:rPr>
          <w:rFonts w:ascii="Cambria" w:hAnsi="Cambria"/>
          <w:sz w:val="22"/>
          <w:szCs w:val="22"/>
        </w:rPr>
        <w:t>uarantine and self-isolation facilities must be constructed now while boosting the capability of hospitals in the region in terms of establishing more laboratory testing facilities, contact tracing, and hiring of additional medical personnel.  This will require additional funding which can be realized if the budgetary line items for this year is re-allocated to meet the challenge of this public health crisis</w:t>
      </w:r>
      <w:r w:rsidR="004620B2" w:rsidRPr="00A928D6">
        <w:rPr>
          <w:rFonts w:ascii="Cambria" w:hAnsi="Cambria"/>
          <w:b/>
          <w:bCs/>
          <w:sz w:val="22"/>
          <w:szCs w:val="22"/>
        </w:rPr>
        <w:t xml:space="preserve">.  The BTA should immediately propose budgetary re-alignments due to the </w:t>
      </w:r>
      <w:proofErr w:type="gramStart"/>
      <w:r w:rsidR="004620B2" w:rsidRPr="00A928D6">
        <w:rPr>
          <w:rFonts w:ascii="Cambria" w:hAnsi="Cambria"/>
          <w:b/>
          <w:bCs/>
          <w:sz w:val="22"/>
          <w:szCs w:val="22"/>
        </w:rPr>
        <w:t>emergency situation</w:t>
      </w:r>
      <w:proofErr w:type="gramEnd"/>
      <w:r w:rsidR="004620B2" w:rsidRPr="00A928D6">
        <w:rPr>
          <w:rFonts w:ascii="Cambria" w:hAnsi="Cambria"/>
          <w:b/>
          <w:bCs/>
          <w:sz w:val="22"/>
          <w:szCs w:val="22"/>
        </w:rPr>
        <w:t>, similar to the “</w:t>
      </w:r>
      <w:proofErr w:type="spellStart"/>
      <w:r w:rsidR="004620B2" w:rsidRPr="00A928D6">
        <w:rPr>
          <w:rFonts w:ascii="Cambria" w:hAnsi="Cambria"/>
          <w:b/>
          <w:bCs/>
          <w:sz w:val="22"/>
          <w:szCs w:val="22"/>
        </w:rPr>
        <w:t>Bayanihan</w:t>
      </w:r>
      <w:proofErr w:type="spellEnd"/>
      <w:r w:rsidR="004620B2" w:rsidRPr="00A928D6">
        <w:rPr>
          <w:rFonts w:ascii="Cambria" w:hAnsi="Cambria"/>
          <w:b/>
          <w:bCs/>
          <w:sz w:val="22"/>
          <w:szCs w:val="22"/>
        </w:rPr>
        <w:t xml:space="preserve"> to Heal as One” bill passed by Congress at the national </w:t>
      </w:r>
      <w:r w:rsidR="004620B2" w:rsidRPr="00A928D6">
        <w:rPr>
          <w:rFonts w:ascii="Cambria" w:hAnsi="Cambria"/>
          <w:b/>
          <w:bCs/>
          <w:sz w:val="22"/>
          <w:szCs w:val="22"/>
        </w:rPr>
        <w:lastRenderedPageBreak/>
        <w:t>level</w:t>
      </w:r>
      <w:r w:rsidR="004620B2" w:rsidRPr="00A928D6">
        <w:rPr>
          <w:rFonts w:ascii="Cambria" w:hAnsi="Cambria"/>
          <w:sz w:val="22"/>
          <w:szCs w:val="22"/>
        </w:rPr>
        <w:t xml:space="preserve">.  This way, the BARMM government will be assured of the necessary funds and flexibility to better respond to the </w:t>
      </w:r>
      <w:proofErr w:type="gramStart"/>
      <w:r w:rsidR="004620B2" w:rsidRPr="00A928D6">
        <w:rPr>
          <w:rFonts w:ascii="Cambria" w:hAnsi="Cambria"/>
          <w:sz w:val="22"/>
          <w:szCs w:val="22"/>
        </w:rPr>
        <w:t>emergency situation</w:t>
      </w:r>
      <w:proofErr w:type="gramEnd"/>
      <w:r w:rsidR="004620B2" w:rsidRPr="00A928D6">
        <w:rPr>
          <w:rFonts w:ascii="Cambria" w:hAnsi="Cambria"/>
          <w:sz w:val="22"/>
          <w:szCs w:val="22"/>
        </w:rPr>
        <w:t>.  It will also help the BARMM government to improve its absorptive capacity of the budgetary resources allocated this year for the region.</w:t>
      </w:r>
    </w:p>
    <w:p w14:paraId="6D33020B" w14:textId="77777777" w:rsidR="004620B2" w:rsidRPr="00A928D6" w:rsidRDefault="004620B2" w:rsidP="00A928D6">
      <w:pPr>
        <w:pStyle w:val="ListParagraph"/>
        <w:ind w:left="0"/>
        <w:jc w:val="both"/>
        <w:rPr>
          <w:rFonts w:ascii="Cambria" w:hAnsi="Cambria"/>
          <w:sz w:val="22"/>
          <w:szCs w:val="22"/>
        </w:rPr>
      </w:pPr>
    </w:p>
    <w:p w14:paraId="58E251BC" w14:textId="42D751EA" w:rsidR="004620B2" w:rsidRPr="00A928D6" w:rsidRDefault="004620B2" w:rsidP="00A928D6">
      <w:pPr>
        <w:pStyle w:val="ListParagraph"/>
        <w:numPr>
          <w:ilvl w:val="0"/>
          <w:numId w:val="77"/>
        </w:numPr>
        <w:tabs>
          <w:tab w:val="left" w:pos="426"/>
        </w:tabs>
        <w:spacing w:after="160" w:line="259" w:lineRule="auto"/>
        <w:jc w:val="both"/>
        <w:rPr>
          <w:rFonts w:ascii="Cambria" w:hAnsi="Cambria"/>
          <w:b/>
          <w:bCs/>
          <w:sz w:val="22"/>
          <w:szCs w:val="22"/>
        </w:rPr>
      </w:pPr>
      <w:r w:rsidRPr="00A928D6">
        <w:rPr>
          <w:rFonts w:ascii="Cambria" w:hAnsi="Cambria"/>
          <w:sz w:val="22"/>
          <w:szCs w:val="22"/>
        </w:rPr>
        <w:t xml:space="preserve">Besides the obvious priority expenditures on health and social amelioration programs to cushion the lack of employment and income among the poor due to the lockdown, </w:t>
      </w:r>
      <w:r w:rsidRPr="00A928D6">
        <w:rPr>
          <w:rFonts w:ascii="Cambria" w:hAnsi="Cambria"/>
          <w:b/>
          <w:bCs/>
          <w:sz w:val="22"/>
          <w:szCs w:val="22"/>
        </w:rPr>
        <w:t xml:space="preserve">the other top priority is reviving the economy to return to normality.  </w:t>
      </w:r>
      <w:r w:rsidRPr="00A928D6">
        <w:rPr>
          <w:rFonts w:ascii="Cambria" w:hAnsi="Cambria"/>
          <w:sz w:val="22"/>
          <w:szCs w:val="22"/>
        </w:rPr>
        <w:t>The region is in a better position in achieving this task for two reasons:  First, the number of COVID</w:t>
      </w:r>
      <w:r w:rsidR="00CD2A7C">
        <w:rPr>
          <w:rFonts w:ascii="Cambria" w:hAnsi="Cambria"/>
          <w:sz w:val="22"/>
          <w:szCs w:val="22"/>
        </w:rPr>
        <w:t>-19</w:t>
      </w:r>
      <w:r w:rsidRPr="00A928D6">
        <w:rPr>
          <w:rFonts w:ascii="Cambria" w:hAnsi="Cambria"/>
          <w:sz w:val="22"/>
          <w:szCs w:val="22"/>
        </w:rPr>
        <w:t xml:space="preserve"> infected patients </w:t>
      </w:r>
      <w:r w:rsidR="00867220">
        <w:rPr>
          <w:rFonts w:ascii="Cambria" w:hAnsi="Cambria"/>
          <w:sz w:val="22"/>
          <w:szCs w:val="22"/>
        </w:rPr>
        <w:t xml:space="preserve">is seemingly low, </w:t>
      </w:r>
      <w:r w:rsidRPr="00A928D6">
        <w:rPr>
          <w:rFonts w:ascii="Cambria" w:hAnsi="Cambria"/>
          <w:sz w:val="22"/>
          <w:szCs w:val="22"/>
        </w:rPr>
        <w:t>and a second wave should be prevented from happening by instituting measures focus</w:t>
      </w:r>
      <w:r w:rsidR="00F813A2">
        <w:rPr>
          <w:rFonts w:ascii="Cambria" w:hAnsi="Cambria"/>
          <w:sz w:val="22"/>
          <w:szCs w:val="22"/>
        </w:rPr>
        <w:t>ed</w:t>
      </w:r>
      <w:r w:rsidRPr="00A928D6">
        <w:rPr>
          <w:rFonts w:ascii="Cambria" w:hAnsi="Cambria"/>
          <w:sz w:val="22"/>
          <w:szCs w:val="22"/>
        </w:rPr>
        <w:t xml:space="preserve"> on stricter screening of returning OFWs and “</w:t>
      </w:r>
      <w:proofErr w:type="spellStart"/>
      <w:r w:rsidRPr="00A928D6">
        <w:rPr>
          <w:rFonts w:ascii="Cambria" w:hAnsi="Cambria"/>
          <w:sz w:val="22"/>
          <w:szCs w:val="22"/>
        </w:rPr>
        <w:t>halaws</w:t>
      </w:r>
      <w:proofErr w:type="spellEnd"/>
      <w:r w:rsidRPr="00A928D6">
        <w:rPr>
          <w:rFonts w:ascii="Cambria" w:hAnsi="Cambria"/>
          <w:sz w:val="22"/>
          <w:szCs w:val="22"/>
        </w:rPr>
        <w:t>”, by mandating use of face masks in areas where there are public gatherings, and by intensifying information, education and communication activities dealing on how the threat of the virus can be foiled</w:t>
      </w:r>
      <w:r w:rsidR="00867220">
        <w:rPr>
          <w:rFonts w:ascii="Cambria" w:hAnsi="Cambria"/>
          <w:sz w:val="22"/>
          <w:szCs w:val="22"/>
        </w:rPr>
        <w:t>. H</w:t>
      </w:r>
      <w:r w:rsidRPr="00A928D6">
        <w:rPr>
          <w:rFonts w:ascii="Cambria" w:hAnsi="Cambria"/>
          <w:sz w:val="22"/>
          <w:szCs w:val="22"/>
        </w:rPr>
        <w:t xml:space="preserve">ence, economic/business activities can be re-started </w:t>
      </w:r>
      <w:r w:rsidR="00867220">
        <w:rPr>
          <w:rFonts w:ascii="Cambria" w:hAnsi="Cambria"/>
          <w:sz w:val="22"/>
          <w:szCs w:val="22"/>
        </w:rPr>
        <w:t>w</w:t>
      </w:r>
      <w:r w:rsidR="00843715">
        <w:rPr>
          <w:rFonts w:ascii="Cambria" w:hAnsi="Cambria"/>
          <w:sz w:val="22"/>
          <w:szCs w:val="22"/>
        </w:rPr>
        <w:t>i</w:t>
      </w:r>
      <w:r w:rsidR="00867220">
        <w:rPr>
          <w:rFonts w:ascii="Cambria" w:hAnsi="Cambria"/>
          <w:sz w:val="22"/>
          <w:szCs w:val="22"/>
        </w:rPr>
        <w:t>th less mobility restrictions compared to other regions.</w:t>
      </w:r>
    </w:p>
    <w:p w14:paraId="7D668F4E" w14:textId="77777777" w:rsidR="004620B2" w:rsidRPr="00A928D6" w:rsidRDefault="004620B2" w:rsidP="00A928D6">
      <w:pPr>
        <w:pStyle w:val="ListParagraph"/>
        <w:jc w:val="both"/>
        <w:rPr>
          <w:rFonts w:ascii="Cambria" w:hAnsi="Cambria"/>
          <w:b/>
          <w:bCs/>
          <w:sz w:val="22"/>
          <w:szCs w:val="22"/>
        </w:rPr>
      </w:pPr>
    </w:p>
    <w:p w14:paraId="6294A6C2" w14:textId="6492CD9B" w:rsidR="004620B2" w:rsidRPr="00A928D6" w:rsidRDefault="00867220" w:rsidP="00A928D6">
      <w:pPr>
        <w:pStyle w:val="ListParagraph"/>
        <w:numPr>
          <w:ilvl w:val="0"/>
          <w:numId w:val="77"/>
        </w:numPr>
        <w:tabs>
          <w:tab w:val="left" w:pos="426"/>
        </w:tabs>
        <w:spacing w:after="160" w:line="259" w:lineRule="auto"/>
        <w:jc w:val="both"/>
        <w:rPr>
          <w:rFonts w:ascii="Cambria" w:hAnsi="Cambria"/>
          <w:b/>
          <w:bCs/>
          <w:sz w:val="22"/>
          <w:szCs w:val="22"/>
        </w:rPr>
      </w:pPr>
      <w:r>
        <w:rPr>
          <w:rFonts w:ascii="Cambria" w:hAnsi="Cambria"/>
          <w:sz w:val="22"/>
          <w:szCs w:val="22"/>
        </w:rPr>
        <w:t>S</w:t>
      </w:r>
      <w:r w:rsidR="004620B2" w:rsidRPr="00A928D6">
        <w:rPr>
          <w:rFonts w:ascii="Cambria" w:hAnsi="Cambria"/>
          <w:sz w:val="22"/>
          <w:szCs w:val="22"/>
        </w:rPr>
        <w:t>econd</w:t>
      </w:r>
      <w:r w:rsidR="004620B2" w:rsidRPr="00A928D6">
        <w:rPr>
          <w:rFonts w:ascii="Cambria" w:hAnsi="Cambria"/>
          <w:b/>
          <w:bCs/>
          <w:sz w:val="22"/>
          <w:szCs w:val="22"/>
        </w:rPr>
        <w:t xml:space="preserve">, the BARMM economy is predominantly an agricultural economy, wherein the agriculture, fishery and forestry sector </w:t>
      </w:r>
      <w:proofErr w:type="gramStart"/>
      <w:r w:rsidR="004620B2" w:rsidRPr="00A928D6">
        <w:rPr>
          <w:rFonts w:ascii="Cambria" w:hAnsi="Cambria"/>
          <w:b/>
          <w:bCs/>
          <w:sz w:val="22"/>
          <w:szCs w:val="22"/>
        </w:rPr>
        <w:t>constitutes</w:t>
      </w:r>
      <w:proofErr w:type="gramEnd"/>
      <w:r w:rsidR="004620B2" w:rsidRPr="00A928D6">
        <w:rPr>
          <w:rFonts w:ascii="Cambria" w:hAnsi="Cambria"/>
          <w:b/>
          <w:bCs/>
          <w:sz w:val="22"/>
          <w:szCs w:val="22"/>
        </w:rPr>
        <w:t xml:space="preserve"> around 60% of the regional GDP.  </w:t>
      </w:r>
      <w:r w:rsidR="004620B2" w:rsidRPr="00A928D6">
        <w:rPr>
          <w:rFonts w:ascii="Cambria" w:hAnsi="Cambria"/>
          <w:sz w:val="22"/>
          <w:szCs w:val="22"/>
        </w:rPr>
        <w:t xml:space="preserve"> COVID</w:t>
      </w:r>
      <w:r>
        <w:rPr>
          <w:rFonts w:ascii="Cambria" w:hAnsi="Cambria"/>
          <w:sz w:val="22"/>
          <w:szCs w:val="22"/>
        </w:rPr>
        <w:t>-</w:t>
      </w:r>
      <w:r w:rsidR="004620B2" w:rsidRPr="00A928D6">
        <w:rPr>
          <w:rFonts w:ascii="Cambria" w:hAnsi="Cambria"/>
          <w:sz w:val="22"/>
          <w:szCs w:val="22"/>
        </w:rPr>
        <w:t>19 has affected the food supply chain, bringing food shortages (real or artificial) in various parts of the country particularly Metro</w:t>
      </w:r>
      <w:r>
        <w:rPr>
          <w:rFonts w:ascii="Cambria" w:hAnsi="Cambria"/>
          <w:sz w:val="22"/>
          <w:szCs w:val="22"/>
        </w:rPr>
        <w:t xml:space="preserve"> </w:t>
      </w:r>
      <w:r w:rsidR="004620B2" w:rsidRPr="00A928D6">
        <w:rPr>
          <w:rFonts w:ascii="Cambria" w:hAnsi="Cambria"/>
          <w:sz w:val="22"/>
          <w:szCs w:val="22"/>
        </w:rPr>
        <w:t xml:space="preserve">Manila where the biggest concentration of urban consumers </w:t>
      </w:r>
      <w:proofErr w:type="gramStart"/>
      <w:r w:rsidR="004620B2" w:rsidRPr="00A928D6">
        <w:rPr>
          <w:rFonts w:ascii="Cambria" w:hAnsi="Cambria"/>
          <w:sz w:val="22"/>
          <w:szCs w:val="22"/>
        </w:rPr>
        <w:t>are</w:t>
      </w:r>
      <w:proofErr w:type="gramEnd"/>
      <w:r w:rsidR="004620B2" w:rsidRPr="00A928D6">
        <w:rPr>
          <w:rFonts w:ascii="Cambria" w:hAnsi="Cambria"/>
          <w:sz w:val="22"/>
          <w:szCs w:val="22"/>
        </w:rPr>
        <w:t xml:space="preserve"> residing.  BARMM can seize this opportunity by increasing agricultural productivity through farm consolidation using modern farm technologies and equipment and thus, capturing a large percentage of this huge consumer market.  Market access and logistical bottlenecks can be surmounted if BARMM’s Ministry of Agriculture, Food and Agrarian Reform (MAFAR) is able to forge contract</w:t>
      </w:r>
      <w:r w:rsidR="00F813A2">
        <w:rPr>
          <w:rFonts w:ascii="Cambria" w:hAnsi="Cambria"/>
          <w:sz w:val="22"/>
          <w:szCs w:val="22"/>
        </w:rPr>
        <w:t>s</w:t>
      </w:r>
      <w:r w:rsidR="004620B2" w:rsidRPr="00A928D6">
        <w:rPr>
          <w:rFonts w:ascii="Cambria" w:hAnsi="Cambria"/>
          <w:sz w:val="22"/>
          <w:szCs w:val="22"/>
        </w:rPr>
        <w:t xml:space="preserve"> with huge wholesalers/institutional buyers (e.g., San Miguel Corporation, SM </w:t>
      </w:r>
      <w:proofErr w:type="spellStart"/>
      <w:r w:rsidR="004620B2" w:rsidRPr="00A928D6">
        <w:rPr>
          <w:rFonts w:ascii="Cambria" w:hAnsi="Cambria"/>
          <w:sz w:val="22"/>
          <w:szCs w:val="22"/>
        </w:rPr>
        <w:t>HyperMart</w:t>
      </w:r>
      <w:proofErr w:type="spellEnd"/>
      <w:r w:rsidR="004620B2" w:rsidRPr="00A928D6">
        <w:rPr>
          <w:rFonts w:ascii="Cambria" w:hAnsi="Cambria"/>
          <w:sz w:val="22"/>
          <w:szCs w:val="22"/>
        </w:rPr>
        <w:t>, Jo</w:t>
      </w:r>
      <w:r w:rsidR="007D361C">
        <w:rPr>
          <w:rFonts w:ascii="Cambria" w:hAnsi="Cambria"/>
          <w:sz w:val="22"/>
          <w:szCs w:val="22"/>
        </w:rPr>
        <w:t>l</w:t>
      </w:r>
      <w:r w:rsidR="004620B2" w:rsidRPr="00A928D6">
        <w:rPr>
          <w:rFonts w:ascii="Cambria" w:hAnsi="Cambria"/>
          <w:sz w:val="22"/>
          <w:szCs w:val="22"/>
        </w:rPr>
        <w:t>libee, etc.) for the latter to buy all the produce of the Moro farmers</w:t>
      </w:r>
      <w:r>
        <w:rPr>
          <w:rFonts w:ascii="Cambria" w:hAnsi="Cambria"/>
          <w:sz w:val="22"/>
          <w:szCs w:val="22"/>
        </w:rPr>
        <w:t xml:space="preserve"> and</w:t>
      </w:r>
      <w:r w:rsidR="00D93BDF">
        <w:rPr>
          <w:rFonts w:ascii="Cambria" w:hAnsi="Cambria"/>
          <w:sz w:val="22"/>
          <w:szCs w:val="22"/>
        </w:rPr>
        <w:t xml:space="preserve"> </w:t>
      </w:r>
      <w:r w:rsidR="004620B2" w:rsidRPr="00A928D6">
        <w:rPr>
          <w:rFonts w:ascii="Cambria" w:hAnsi="Cambria"/>
          <w:sz w:val="22"/>
          <w:szCs w:val="22"/>
        </w:rPr>
        <w:t>fishers who will be organized by MAFAR to ensure steady supply of produce for the buyers.  By increasing agricultural productivity and having an assured market for their produce, this will result in higher incomes for the BARMM farmers</w:t>
      </w:r>
      <w:r w:rsidR="00D93BDF">
        <w:rPr>
          <w:rFonts w:ascii="Cambria" w:hAnsi="Cambria"/>
          <w:sz w:val="22"/>
          <w:szCs w:val="22"/>
        </w:rPr>
        <w:t xml:space="preserve"> and </w:t>
      </w:r>
      <w:r w:rsidR="004620B2" w:rsidRPr="00A928D6">
        <w:rPr>
          <w:rFonts w:ascii="Cambria" w:hAnsi="Cambria"/>
          <w:sz w:val="22"/>
          <w:szCs w:val="22"/>
        </w:rPr>
        <w:t xml:space="preserve">fisherfolks and eventually result in higher economic welfare for the region given that its major source of employment is in agriculture.  </w:t>
      </w:r>
    </w:p>
    <w:p w14:paraId="7BCE5164" w14:textId="1497F44C" w:rsidR="004620B2" w:rsidRDefault="004620B2" w:rsidP="00AC1C8A">
      <w:pPr>
        <w:pStyle w:val="ListParagraph"/>
        <w:tabs>
          <w:tab w:val="left" w:pos="426"/>
        </w:tabs>
        <w:ind w:left="0"/>
        <w:jc w:val="both"/>
        <w:rPr>
          <w:rFonts w:ascii="Cambria" w:hAnsi="Cambria"/>
          <w:b/>
          <w:bCs/>
          <w:sz w:val="22"/>
          <w:szCs w:val="22"/>
        </w:rPr>
      </w:pPr>
    </w:p>
    <w:p w14:paraId="35155F44" w14:textId="1F441AB8" w:rsidR="004620B2" w:rsidRPr="00A928D6" w:rsidRDefault="00837806" w:rsidP="00A928D6">
      <w:pPr>
        <w:pStyle w:val="ListParagraph"/>
        <w:numPr>
          <w:ilvl w:val="0"/>
          <w:numId w:val="77"/>
        </w:numPr>
        <w:tabs>
          <w:tab w:val="left" w:pos="426"/>
        </w:tabs>
        <w:spacing w:after="160" w:line="259" w:lineRule="auto"/>
        <w:jc w:val="both"/>
        <w:rPr>
          <w:rFonts w:ascii="Cambria" w:hAnsi="Cambria"/>
          <w:sz w:val="22"/>
          <w:szCs w:val="22"/>
        </w:rPr>
      </w:pPr>
      <w:r w:rsidRPr="0033507E">
        <w:rPr>
          <w:rFonts w:ascii="Cambria" w:hAnsi="Cambria"/>
          <w:sz w:val="22"/>
          <w:szCs w:val="22"/>
        </w:rPr>
        <w:t>For the long-term, the BTA need</w:t>
      </w:r>
      <w:r w:rsidR="00235117">
        <w:rPr>
          <w:rFonts w:ascii="Cambria" w:hAnsi="Cambria"/>
          <w:sz w:val="22"/>
          <w:szCs w:val="22"/>
        </w:rPr>
        <w:t>s</w:t>
      </w:r>
      <w:r w:rsidRPr="0033507E">
        <w:rPr>
          <w:rFonts w:ascii="Cambria" w:hAnsi="Cambria"/>
          <w:sz w:val="22"/>
          <w:szCs w:val="22"/>
        </w:rPr>
        <w:t xml:space="preserve"> to adopt a policy framework and investment p</w:t>
      </w:r>
      <w:r w:rsidR="00843715">
        <w:rPr>
          <w:rFonts w:ascii="Cambria" w:hAnsi="Cambria"/>
          <w:sz w:val="22"/>
          <w:szCs w:val="22"/>
        </w:rPr>
        <w:t>rogram</w:t>
      </w:r>
      <w:r w:rsidRPr="0033507E">
        <w:rPr>
          <w:rFonts w:ascii="Cambria" w:hAnsi="Cambria"/>
          <w:sz w:val="22"/>
          <w:szCs w:val="22"/>
        </w:rPr>
        <w:t xml:space="preserve"> </w:t>
      </w:r>
      <w:r w:rsidR="00843715">
        <w:rPr>
          <w:rFonts w:ascii="Cambria" w:hAnsi="Cambria"/>
          <w:sz w:val="22"/>
          <w:szCs w:val="22"/>
        </w:rPr>
        <w:t xml:space="preserve">to manage the effects of increasingly frequent </w:t>
      </w:r>
      <w:r w:rsidRPr="0033507E">
        <w:rPr>
          <w:rFonts w:ascii="Cambria" w:hAnsi="Cambria"/>
          <w:sz w:val="22"/>
          <w:szCs w:val="22"/>
        </w:rPr>
        <w:t xml:space="preserve">natural and man-made disasters. This year alone, Mindanao was hit by a series of devastating earthquakes and the effects of climate change are beginning to be felt. </w:t>
      </w:r>
      <w:r w:rsidR="00F813A2">
        <w:rPr>
          <w:rFonts w:ascii="Cambria" w:hAnsi="Cambria"/>
          <w:sz w:val="22"/>
          <w:szCs w:val="22"/>
        </w:rPr>
        <w:t xml:space="preserve"> </w:t>
      </w:r>
      <w:r w:rsidRPr="0033507E">
        <w:rPr>
          <w:rFonts w:ascii="Cambria" w:hAnsi="Cambria"/>
          <w:sz w:val="22"/>
          <w:szCs w:val="22"/>
        </w:rPr>
        <w:t>All of which will ha</w:t>
      </w:r>
      <w:r>
        <w:rPr>
          <w:rFonts w:ascii="Cambria" w:hAnsi="Cambria"/>
          <w:sz w:val="22"/>
          <w:szCs w:val="22"/>
        </w:rPr>
        <w:t>ve</w:t>
      </w:r>
      <w:r w:rsidRPr="0033507E">
        <w:rPr>
          <w:rFonts w:ascii="Cambria" w:hAnsi="Cambria"/>
          <w:sz w:val="22"/>
          <w:szCs w:val="22"/>
        </w:rPr>
        <w:t xml:space="preserve"> devastating economic consequences </w:t>
      </w:r>
      <w:r w:rsidRPr="00ED2681">
        <w:rPr>
          <w:rFonts w:ascii="Cambria" w:hAnsi="Cambria"/>
          <w:sz w:val="22"/>
          <w:szCs w:val="22"/>
        </w:rPr>
        <w:t>just coming out of a protracted conflict and in post-conflict rehabilitation and development</w:t>
      </w:r>
      <w:r w:rsidR="00DE6BF5">
        <w:rPr>
          <w:rFonts w:ascii="Cambria" w:hAnsi="Cambria"/>
          <w:sz w:val="22"/>
          <w:szCs w:val="22"/>
        </w:rPr>
        <w:t xml:space="preserve">. </w:t>
      </w:r>
      <w:r w:rsidR="00F813A2">
        <w:rPr>
          <w:rFonts w:ascii="Cambria" w:hAnsi="Cambria"/>
          <w:sz w:val="22"/>
          <w:szCs w:val="22"/>
        </w:rPr>
        <w:t xml:space="preserve"> </w:t>
      </w:r>
      <w:r w:rsidR="00B1745A" w:rsidRPr="00A928D6">
        <w:rPr>
          <w:rFonts w:ascii="Cambria" w:hAnsi="Cambria"/>
          <w:sz w:val="22"/>
          <w:szCs w:val="22"/>
        </w:rPr>
        <w:t xml:space="preserve">At the very least, based on this review, the DFAT investment in Muslim Mindanao is in the position to </w:t>
      </w:r>
      <w:r w:rsidR="00843715">
        <w:rPr>
          <w:rFonts w:ascii="Cambria" w:hAnsi="Cambria"/>
          <w:sz w:val="22"/>
          <w:szCs w:val="22"/>
        </w:rPr>
        <w:t>ensure that the workforce of the new Bangsamoro government is equipped with the necessary skills to address current and emerging risks and vulnerabilities.</w:t>
      </w:r>
    </w:p>
    <w:p w14:paraId="60300145" w14:textId="77777777" w:rsidR="00CB4033" w:rsidRDefault="00CB4033" w:rsidP="00CB4033">
      <w:pPr>
        <w:rPr>
          <w:rFonts w:ascii="Cambria" w:hAnsi="Cambria"/>
          <w:b/>
          <w:sz w:val="22"/>
          <w:szCs w:val="22"/>
        </w:rPr>
      </w:pPr>
    </w:p>
    <w:p w14:paraId="1985CAD1" w14:textId="77777777" w:rsidR="00C229BA" w:rsidRDefault="00C229BA" w:rsidP="00CB4033">
      <w:pPr>
        <w:rPr>
          <w:rFonts w:ascii="Cambria" w:hAnsi="Cambria"/>
          <w:b/>
          <w:sz w:val="22"/>
          <w:szCs w:val="22"/>
        </w:rPr>
      </w:pPr>
    </w:p>
    <w:p w14:paraId="029B145F" w14:textId="2CAD904E" w:rsidR="00C229BA" w:rsidRPr="00D058C1" w:rsidRDefault="00C229BA" w:rsidP="00CB4033">
      <w:pPr>
        <w:rPr>
          <w:rFonts w:ascii="Cambria" w:hAnsi="Cambria"/>
          <w:b/>
          <w:sz w:val="22"/>
          <w:szCs w:val="22"/>
        </w:rPr>
        <w:sectPr w:rsidR="00C229BA" w:rsidRPr="00D058C1" w:rsidSect="00050FF7">
          <w:pgSz w:w="12240" w:h="15840"/>
          <w:pgMar w:top="1440" w:right="1800" w:bottom="1440" w:left="1800" w:header="708" w:footer="708" w:gutter="0"/>
          <w:cols w:space="708"/>
          <w:docGrid w:linePitch="360"/>
        </w:sectPr>
      </w:pPr>
    </w:p>
    <w:p w14:paraId="09B44464" w14:textId="63B06EE4" w:rsidR="00CB4033" w:rsidRPr="00D058C1" w:rsidRDefault="00CB4033" w:rsidP="00CB4033">
      <w:pPr>
        <w:rPr>
          <w:rFonts w:ascii="Cambria" w:hAnsi="Cambria"/>
          <w:b/>
          <w:sz w:val="22"/>
          <w:szCs w:val="22"/>
        </w:rPr>
      </w:pPr>
    </w:p>
    <w:p w14:paraId="004B6668" w14:textId="521D05BE" w:rsidR="0018295F" w:rsidRPr="00D058C1" w:rsidRDefault="0018295F" w:rsidP="00F20E3F">
      <w:pPr>
        <w:pStyle w:val="Heading1"/>
        <w:rPr>
          <w:rFonts w:ascii="Cambria" w:hAnsi="Cambria"/>
          <w:b/>
          <w:sz w:val="22"/>
          <w:szCs w:val="22"/>
        </w:rPr>
      </w:pPr>
      <w:bookmarkStart w:id="42" w:name="_Toc55309689"/>
      <w:r w:rsidRPr="00D058C1">
        <w:rPr>
          <w:rFonts w:ascii="Cambria" w:hAnsi="Cambria"/>
          <w:b/>
          <w:sz w:val="22"/>
          <w:szCs w:val="22"/>
        </w:rPr>
        <w:t>Annex A.</w:t>
      </w:r>
      <w:r w:rsidR="00A16CCB" w:rsidRPr="00D058C1">
        <w:rPr>
          <w:rFonts w:ascii="Cambria" w:hAnsi="Cambria"/>
          <w:b/>
          <w:sz w:val="22"/>
          <w:szCs w:val="22"/>
        </w:rPr>
        <w:t xml:space="preserve"> </w:t>
      </w:r>
      <w:r w:rsidRPr="00D058C1">
        <w:rPr>
          <w:rFonts w:ascii="Cambria" w:hAnsi="Cambria"/>
          <w:b/>
          <w:sz w:val="22"/>
          <w:szCs w:val="22"/>
        </w:rPr>
        <w:t>Terms of Reference</w:t>
      </w:r>
      <w:bookmarkEnd w:id="39"/>
      <w:bookmarkEnd w:id="42"/>
    </w:p>
    <w:p w14:paraId="0686DF8F" w14:textId="77777777" w:rsidR="00A16CCB" w:rsidRPr="00D058C1" w:rsidRDefault="00A16CCB" w:rsidP="007F615A">
      <w:pPr>
        <w:jc w:val="center"/>
        <w:rPr>
          <w:rFonts w:ascii="Cambria" w:hAnsi="Cambria"/>
          <w:b/>
        </w:rPr>
      </w:pPr>
    </w:p>
    <w:p w14:paraId="1102BDF8" w14:textId="7CE3589B" w:rsidR="006974B7" w:rsidRPr="00D058C1" w:rsidRDefault="006974B7" w:rsidP="006974B7">
      <w:pPr>
        <w:contextualSpacing/>
        <w:jc w:val="center"/>
        <w:rPr>
          <w:rFonts w:ascii="Cambria" w:hAnsi="Cambria"/>
        </w:rPr>
      </w:pPr>
      <w:r w:rsidRPr="00D058C1">
        <w:rPr>
          <w:rFonts w:ascii="Cambria" w:hAnsi="Cambria" w:cs="Arial"/>
          <w:b/>
          <w:bCs/>
          <w:sz w:val="22"/>
          <w:szCs w:val="22"/>
        </w:rPr>
        <w:t>Strategic Review of</w:t>
      </w:r>
      <w:r w:rsidRPr="00D058C1">
        <w:rPr>
          <w:rFonts w:ascii="Cambria" w:hAnsi="Cambria" w:cs="Arial"/>
          <w:b/>
          <w:bCs/>
          <w:sz w:val="22"/>
          <w:szCs w:val="22"/>
        </w:rPr>
        <w:br/>
        <w:t>Australia’s Support for Peacebuilding in Conflict-Affected Mindanao</w:t>
      </w:r>
    </w:p>
    <w:p w14:paraId="313E9209" w14:textId="38CB3B0E" w:rsidR="006974B7" w:rsidRPr="00D058C1" w:rsidRDefault="006974B7" w:rsidP="006974B7">
      <w:pPr>
        <w:contextualSpacing/>
        <w:jc w:val="center"/>
        <w:rPr>
          <w:rFonts w:ascii="Cambria" w:hAnsi="Cambria"/>
        </w:rPr>
      </w:pPr>
      <w:r w:rsidRPr="00D058C1">
        <w:rPr>
          <w:rFonts w:ascii="Cambria" w:hAnsi="Cambria" w:cs="Arial"/>
          <w:b/>
          <w:bCs/>
          <w:sz w:val="22"/>
          <w:szCs w:val="22"/>
        </w:rPr>
        <w:t>Terms of Reference</w:t>
      </w:r>
    </w:p>
    <w:p w14:paraId="48752CED" w14:textId="4B7117ED" w:rsidR="006974B7" w:rsidRPr="00D058C1" w:rsidRDefault="006974B7" w:rsidP="000609F1">
      <w:pPr>
        <w:contextualSpacing/>
        <w:jc w:val="center"/>
        <w:rPr>
          <w:rFonts w:ascii="Cambria" w:hAnsi="Cambria"/>
        </w:rPr>
      </w:pPr>
      <w:r w:rsidRPr="00D058C1">
        <w:rPr>
          <w:rFonts w:ascii="Cambria" w:hAnsi="Cambria"/>
        </w:rPr>
        <w:fldChar w:fldCharType="begin"/>
      </w:r>
      <w:r w:rsidR="00061123">
        <w:rPr>
          <w:rFonts w:ascii="Cambria" w:hAnsi="Cambria"/>
        </w:rPr>
        <w:instrText xml:space="preserve"> INCLUDEPICTURE "C:\\var\\folders\\b2\\_lnnpdjn0_7f2c8qzjrp35gr0000gn\\T\\com.microsoft.Word\\WebArchiveCopyPasteTempFiles\\page1image12202752" \* MERGEFORMAT </w:instrText>
      </w:r>
      <w:r w:rsidRPr="00D058C1">
        <w:rPr>
          <w:rFonts w:ascii="Cambria" w:hAnsi="Cambria"/>
        </w:rPr>
        <w:fldChar w:fldCharType="separate"/>
      </w:r>
      <w:r w:rsidRPr="00D058C1">
        <w:rPr>
          <w:rFonts w:ascii="Cambria" w:hAnsi="Cambria"/>
          <w:noProof/>
          <w:lang w:val="en-AU" w:eastAsia="en-AU"/>
        </w:rPr>
        <w:drawing>
          <wp:inline distT="0" distB="0" distL="0" distR="0" wp14:anchorId="074F8735" wp14:editId="29E5D213">
            <wp:extent cx="1292225" cy="17780"/>
            <wp:effectExtent l="0" t="0" r="3175" b="0"/>
            <wp:docPr id="1" name="Picture 1" descr="page1image1220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22027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17780"/>
                    </a:xfrm>
                    <a:prstGeom prst="rect">
                      <a:avLst/>
                    </a:prstGeom>
                    <a:noFill/>
                    <a:ln>
                      <a:noFill/>
                    </a:ln>
                  </pic:spPr>
                </pic:pic>
              </a:graphicData>
            </a:graphic>
          </wp:inline>
        </w:drawing>
      </w:r>
      <w:r w:rsidRPr="00D058C1">
        <w:rPr>
          <w:rFonts w:ascii="Cambria" w:hAnsi="Cambria"/>
        </w:rPr>
        <w:fldChar w:fldCharType="end"/>
      </w:r>
    </w:p>
    <w:p w14:paraId="4BC4F423" w14:textId="77777777" w:rsidR="006974B7" w:rsidRPr="00D058C1" w:rsidRDefault="006974B7" w:rsidP="006974B7">
      <w:pPr>
        <w:contextualSpacing/>
        <w:rPr>
          <w:rFonts w:ascii="Cambria" w:hAnsi="Cambria"/>
          <w:sz w:val="22"/>
          <w:szCs w:val="22"/>
        </w:rPr>
      </w:pPr>
    </w:p>
    <w:p w14:paraId="524948C7" w14:textId="5DD6B12A" w:rsidR="006974B7" w:rsidRPr="00D058C1" w:rsidRDefault="006974B7" w:rsidP="006974B7">
      <w:pPr>
        <w:contextualSpacing/>
        <w:jc w:val="both"/>
        <w:rPr>
          <w:rFonts w:ascii="Cambria" w:hAnsi="Cambria"/>
          <w:sz w:val="22"/>
          <w:szCs w:val="22"/>
        </w:rPr>
      </w:pPr>
      <w:r w:rsidRPr="00D058C1">
        <w:rPr>
          <w:rFonts w:ascii="Cambria" w:hAnsi="Cambria"/>
          <w:sz w:val="22"/>
          <w:szCs w:val="22"/>
        </w:rPr>
        <w:t xml:space="preserve">This review will assess the effectiveness of Australia’s support for peace in Muslim Mindanao under the Peacebuilding in Conflict-Affected Mindanao investment (INL343) and its ongoing appropriateness in the current political context. </w:t>
      </w:r>
    </w:p>
    <w:p w14:paraId="105778EB" w14:textId="77777777" w:rsidR="006974B7" w:rsidRPr="00D058C1" w:rsidRDefault="006974B7" w:rsidP="006974B7">
      <w:pPr>
        <w:contextualSpacing/>
        <w:jc w:val="both"/>
        <w:rPr>
          <w:rFonts w:ascii="Cambria" w:hAnsi="Cambria"/>
        </w:rPr>
      </w:pPr>
    </w:p>
    <w:p w14:paraId="6079DB79" w14:textId="06C68EFD" w:rsidR="006974B7" w:rsidRPr="00D058C1" w:rsidRDefault="006974B7" w:rsidP="006974B7">
      <w:pPr>
        <w:contextualSpacing/>
        <w:jc w:val="both"/>
        <w:rPr>
          <w:rFonts w:ascii="Cambria" w:hAnsi="Cambria"/>
          <w:sz w:val="22"/>
          <w:szCs w:val="22"/>
        </w:rPr>
      </w:pPr>
      <w:r w:rsidRPr="00D058C1">
        <w:rPr>
          <w:rFonts w:ascii="Cambria" w:hAnsi="Cambria"/>
          <w:sz w:val="22"/>
          <w:szCs w:val="22"/>
        </w:rPr>
        <w:t xml:space="preserve">The review will also serve as the mandated mid-term review of the bilateral Australian Partnerships for Peace (APP) Program. It will also inform the future direction of the current </w:t>
      </w:r>
      <w:r w:rsidRPr="00D058C1">
        <w:rPr>
          <w:rFonts w:ascii="Cambria" w:hAnsi="Cambria" w:cs="Arial"/>
          <w:i/>
          <w:iCs/>
          <w:sz w:val="22"/>
          <w:szCs w:val="22"/>
        </w:rPr>
        <w:t xml:space="preserve">Peacebuilding in Conflict-Affected Mindanao </w:t>
      </w:r>
      <w:r w:rsidRPr="00D058C1">
        <w:rPr>
          <w:rFonts w:ascii="Cambria" w:hAnsi="Cambria"/>
          <w:sz w:val="22"/>
          <w:szCs w:val="22"/>
        </w:rPr>
        <w:t xml:space="preserve">program and Australia’s broader support for peace and stability. The review is to be consistent with DFAT’s Conflict Analysis for Conflict Sensitive Programming Guidance. </w:t>
      </w:r>
    </w:p>
    <w:p w14:paraId="0A683B8F" w14:textId="77777777" w:rsidR="006974B7" w:rsidRPr="00D058C1" w:rsidRDefault="006974B7" w:rsidP="006974B7">
      <w:pPr>
        <w:contextualSpacing/>
        <w:jc w:val="both"/>
        <w:rPr>
          <w:rFonts w:ascii="Cambria" w:hAnsi="Cambria"/>
        </w:rPr>
      </w:pPr>
    </w:p>
    <w:p w14:paraId="3DE5A15A" w14:textId="5BC1808A" w:rsidR="006974B7" w:rsidRPr="00D058C1" w:rsidRDefault="006974B7" w:rsidP="006974B7">
      <w:pPr>
        <w:contextualSpacing/>
        <w:jc w:val="both"/>
        <w:rPr>
          <w:rFonts w:ascii="Cambria" w:hAnsi="Cambria" w:cs="Arial"/>
          <w:b/>
          <w:bCs/>
          <w:sz w:val="22"/>
          <w:szCs w:val="22"/>
        </w:rPr>
      </w:pPr>
      <w:r w:rsidRPr="00D058C1">
        <w:rPr>
          <w:rFonts w:ascii="Cambria" w:hAnsi="Cambria" w:cs="Arial"/>
          <w:b/>
          <w:bCs/>
          <w:sz w:val="22"/>
          <w:szCs w:val="22"/>
        </w:rPr>
        <w:t xml:space="preserve">Scope </w:t>
      </w:r>
    </w:p>
    <w:p w14:paraId="296D12B0" w14:textId="77777777" w:rsidR="006974B7" w:rsidRPr="00D058C1" w:rsidRDefault="006974B7" w:rsidP="006974B7">
      <w:pPr>
        <w:contextualSpacing/>
        <w:jc w:val="both"/>
        <w:rPr>
          <w:rFonts w:ascii="Cambria" w:hAnsi="Cambria"/>
        </w:rPr>
      </w:pPr>
    </w:p>
    <w:p w14:paraId="2D6BBEDB" w14:textId="6964B875" w:rsidR="006974B7" w:rsidRPr="00D058C1" w:rsidRDefault="006974B7" w:rsidP="006974B7">
      <w:pPr>
        <w:contextualSpacing/>
        <w:jc w:val="both"/>
        <w:rPr>
          <w:rFonts w:ascii="Cambria" w:hAnsi="Cambria"/>
          <w:sz w:val="22"/>
          <w:szCs w:val="22"/>
        </w:rPr>
      </w:pPr>
      <w:r w:rsidRPr="00D058C1">
        <w:rPr>
          <w:rFonts w:ascii="Cambria" w:hAnsi="Cambria"/>
          <w:sz w:val="22"/>
          <w:szCs w:val="22"/>
        </w:rPr>
        <w:t xml:space="preserve">The review will consider the implementation of the above support to the peace process, including project outcomes from 1 July 2017 to October 2019, and assess the extent to which these activities and implementation modalities remain appropriate in the new political context. The primary recipient for the report is DFAT management. Implementing partners will also be provided with the report and constitute a secondary audience. The report will also be made available in the DFAT website. </w:t>
      </w:r>
    </w:p>
    <w:p w14:paraId="58054DC0" w14:textId="77777777" w:rsidR="006974B7" w:rsidRPr="00D058C1" w:rsidRDefault="006974B7" w:rsidP="006974B7">
      <w:pPr>
        <w:contextualSpacing/>
        <w:jc w:val="both"/>
        <w:rPr>
          <w:rFonts w:ascii="Cambria" w:hAnsi="Cambria"/>
        </w:rPr>
      </w:pPr>
    </w:p>
    <w:p w14:paraId="1985A423" w14:textId="5872BAA2" w:rsidR="006974B7" w:rsidRPr="00D058C1" w:rsidRDefault="006974B7" w:rsidP="006974B7">
      <w:pPr>
        <w:contextualSpacing/>
        <w:jc w:val="both"/>
        <w:rPr>
          <w:rFonts w:ascii="Cambria" w:hAnsi="Cambria"/>
          <w:sz w:val="22"/>
          <w:szCs w:val="22"/>
        </w:rPr>
      </w:pPr>
      <w:r w:rsidRPr="00D058C1">
        <w:rPr>
          <w:rFonts w:ascii="Cambria" w:hAnsi="Cambria"/>
          <w:sz w:val="22"/>
          <w:szCs w:val="22"/>
        </w:rPr>
        <w:t xml:space="preserve">This review will also include a Conflict Analyses for the Philippines through a separate peer review process to be conducted by an external consultant. The output of the Conflict Analyses will contribute to this review. </w:t>
      </w:r>
    </w:p>
    <w:p w14:paraId="446ECABE" w14:textId="77777777" w:rsidR="006974B7" w:rsidRPr="00D058C1" w:rsidRDefault="006974B7" w:rsidP="006974B7">
      <w:pPr>
        <w:contextualSpacing/>
        <w:rPr>
          <w:rFonts w:ascii="Cambria" w:hAnsi="Cambria"/>
        </w:rPr>
      </w:pPr>
    </w:p>
    <w:p w14:paraId="36F69E9E" w14:textId="5E849225" w:rsidR="006974B7" w:rsidRPr="00D058C1" w:rsidRDefault="006974B7" w:rsidP="006974B7">
      <w:pPr>
        <w:contextualSpacing/>
        <w:rPr>
          <w:rFonts w:ascii="Cambria" w:hAnsi="Cambria" w:cs="Arial"/>
          <w:b/>
          <w:bCs/>
          <w:sz w:val="22"/>
          <w:szCs w:val="22"/>
        </w:rPr>
      </w:pPr>
      <w:r w:rsidRPr="00D058C1">
        <w:rPr>
          <w:rFonts w:ascii="Cambria" w:hAnsi="Cambria" w:cs="Arial"/>
          <w:b/>
          <w:bCs/>
          <w:sz w:val="22"/>
          <w:szCs w:val="22"/>
        </w:rPr>
        <w:t xml:space="preserve">Background </w:t>
      </w:r>
    </w:p>
    <w:p w14:paraId="1EE775A7" w14:textId="77777777" w:rsidR="006974B7" w:rsidRPr="00D058C1" w:rsidRDefault="006974B7" w:rsidP="006974B7">
      <w:pPr>
        <w:contextualSpacing/>
        <w:rPr>
          <w:rFonts w:ascii="Cambria" w:hAnsi="Cambria"/>
        </w:rPr>
      </w:pPr>
    </w:p>
    <w:p w14:paraId="2E2FED50" w14:textId="7051493D" w:rsidR="006974B7" w:rsidRPr="00D058C1" w:rsidRDefault="006974B7" w:rsidP="006974B7">
      <w:pPr>
        <w:contextualSpacing/>
        <w:jc w:val="both"/>
        <w:rPr>
          <w:rFonts w:ascii="Cambria" w:hAnsi="Cambria"/>
          <w:sz w:val="22"/>
          <w:szCs w:val="22"/>
        </w:rPr>
      </w:pPr>
      <w:r w:rsidRPr="00D058C1">
        <w:rPr>
          <w:rFonts w:ascii="Cambria" w:hAnsi="Cambria"/>
          <w:sz w:val="22"/>
          <w:szCs w:val="22"/>
        </w:rPr>
        <w:t xml:space="preserve">The road to peace has been a long one for the Philippines. After several years of negotiations, significant gains were achieved in the peace process between the Government of the Philippines (GPH) and the Moro Islamic Liberation Front (MILF) – the biggest milestone of which was the signing of Republic Act 11054 or the Bangsamoro Organic Law by President Rodrigo Duterte on 26 July 2018. Two successful plebiscites seeking public agreement to establish an expanded Bangsamoro Autonomous Region took place and led to the beginning of the transition period from the former administrative region to the new one. Until regional elections in 2022, an 81- member Bangsamoro Transition Authority will govern the new Bangsamoro region. The launch of the second phase of MILF decommissioning on 7 September 2019 also </w:t>
      </w:r>
      <w:proofErr w:type="spellStart"/>
      <w:r w:rsidRPr="00D058C1">
        <w:rPr>
          <w:rFonts w:ascii="Cambria" w:hAnsi="Cambria"/>
          <w:sz w:val="22"/>
          <w:szCs w:val="22"/>
        </w:rPr>
        <w:t>signalled</w:t>
      </w:r>
      <w:proofErr w:type="spellEnd"/>
      <w:r w:rsidRPr="00D058C1">
        <w:rPr>
          <w:rFonts w:ascii="Cambria" w:hAnsi="Cambria"/>
          <w:sz w:val="22"/>
          <w:szCs w:val="22"/>
        </w:rPr>
        <w:t xml:space="preserve"> the start of the normalization process involving the transformation of MILF combatants into civilians and camps into productive communities. Other bilateral donors and the development banks have scaled-up their programs to support transition and development in the BARMM. </w:t>
      </w:r>
    </w:p>
    <w:p w14:paraId="7973A2D8" w14:textId="77777777" w:rsidR="006974B7" w:rsidRPr="00D058C1" w:rsidRDefault="006974B7" w:rsidP="006974B7">
      <w:pPr>
        <w:contextualSpacing/>
        <w:jc w:val="both"/>
        <w:rPr>
          <w:rFonts w:ascii="Cambria" w:hAnsi="Cambria"/>
        </w:rPr>
      </w:pPr>
    </w:p>
    <w:p w14:paraId="7FAFEEB3" w14:textId="77777777" w:rsidR="006974B7" w:rsidRPr="00D058C1" w:rsidRDefault="006974B7" w:rsidP="006974B7">
      <w:pPr>
        <w:contextualSpacing/>
        <w:jc w:val="both"/>
        <w:rPr>
          <w:rFonts w:ascii="Cambria" w:hAnsi="Cambria"/>
        </w:rPr>
      </w:pPr>
      <w:r w:rsidRPr="00D058C1">
        <w:rPr>
          <w:rFonts w:ascii="Cambria" w:hAnsi="Cambria"/>
          <w:sz w:val="22"/>
          <w:szCs w:val="22"/>
        </w:rPr>
        <w:lastRenderedPageBreak/>
        <w:t xml:space="preserve">The establishment of the Bangsamoro is a necessary, though not </w:t>
      </w:r>
      <w:proofErr w:type="gramStart"/>
      <w:r w:rsidRPr="00D058C1">
        <w:rPr>
          <w:rFonts w:ascii="Cambria" w:hAnsi="Cambria"/>
          <w:sz w:val="22"/>
          <w:szCs w:val="22"/>
        </w:rPr>
        <w:t>sufficient</w:t>
      </w:r>
      <w:proofErr w:type="gramEnd"/>
      <w:r w:rsidRPr="00D058C1">
        <w:rPr>
          <w:rFonts w:ascii="Cambria" w:hAnsi="Cambria"/>
          <w:sz w:val="22"/>
          <w:szCs w:val="22"/>
        </w:rPr>
        <w:t xml:space="preserve"> condition for the eradication of conflict in Mindanao. The broader conflict includes significant terrorist activity and involves groups including those affiliated with ISIS. In addition, clan feuding (</w:t>
      </w:r>
      <w:proofErr w:type="spellStart"/>
      <w:r w:rsidRPr="00D058C1">
        <w:rPr>
          <w:rFonts w:ascii="Cambria" w:hAnsi="Cambria"/>
          <w:sz w:val="22"/>
          <w:szCs w:val="22"/>
        </w:rPr>
        <w:t>rido</w:t>
      </w:r>
      <w:proofErr w:type="spellEnd"/>
      <w:r w:rsidRPr="00D058C1">
        <w:rPr>
          <w:rFonts w:ascii="Cambria" w:hAnsi="Cambria"/>
          <w:sz w:val="22"/>
          <w:szCs w:val="22"/>
        </w:rPr>
        <w:t xml:space="preserve">) frequently breaks out into armed violence, </w:t>
      </w:r>
      <w:proofErr w:type="gramStart"/>
      <w:r w:rsidRPr="00D058C1">
        <w:rPr>
          <w:rFonts w:ascii="Cambria" w:hAnsi="Cambria"/>
          <w:sz w:val="22"/>
          <w:szCs w:val="22"/>
        </w:rPr>
        <w:t>and also</w:t>
      </w:r>
      <w:proofErr w:type="gramEnd"/>
      <w:r w:rsidRPr="00D058C1">
        <w:rPr>
          <w:rFonts w:ascii="Cambria" w:hAnsi="Cambria"/>
          <w:sz w:val="22"/>
          <w:szCs w:val="22"/>
        </w:rPr>
        <w:t xml:space="preserve"> feeds wider political violence, in which private armed groups are used to cement territory and allegiances. </w:t>
      </w:r>
    </w:p>
    <w:p w14:paraId="1B6544A9" w14:textId="309943D6" w:rsidR="006974B7" w:rsidRPr="00D058C1" w:rsidRDefault="006974B7" w:rsidP="006974B7">
      <w:pPr>
        <w:contextualSpacing/>
        <w:rPr>
          <w:rFonts w:ascii="Cambria" w:hAnsi="Cambria"/>
          <w:sz w:val="22"/>
          <w:szCs w:val="22"/>
        </w:rPr>
      </w:pPr>
      <w:r w:rsidRPr="00D058C1">
        <w:rPr>
          <w:rFonts w:ascii="Cambria" w:hAnsi="Cambria"/>
          <w:sz w:val="22"/>
          <w:szCs w:val="22"/>
        </w:rPr>
        <w:t xml:space="preserve">Notwithstanding the progress and gains of the BARMM, new and old interrelated political and development challenges still face the region: </w:t>
      </w:r>
    </w:p>
    <w:p w14:paraId="02CC3D1E" w14:textId="77777777" w:rsidR="006974B7" w:rsidRPr="00D058C1" w:rsidRDefault="006974B7" w:rsidP="006974B7">
      <w:pPr>
        <w:contextualSpacing/>
        <w:rPr>
          <w:rFonts w:ascii="Cambria" w:hAnsi="Cambria"/>
        </w:rPr>
      </w:pPr>
    </w:p>
    <w:p w14:paraId="6EA3432A" w14:textId="77777777" w:rsidR="00DE4674" w:rsidRPr="00D058C1" w:rsidRDefault="006974B7" w:rsidP="00DE4674">
      <w:pPr>
        <w:pStyle w:val="ListParagraph"/>
        <w:numPr>
          <w:ilvl w:val="0"/>
          <w:numId w:val="36"/>
        </w:numPr>
        <w:rPr>
          <w:rFonts w:ascii="Cambria" w:hAnsi="Cambria"/>
        </w:rPr>
      </w:pPr>
      <w:r w:rsidRPr="00D058C1">
        <w:rPr>
          <w:rFonts w:ascii="Cambria" w:hAnsi="Cambria" w:cs="Arial"/>
          <w:i/>
          <w:iCs/>
          <w:sz w:val="22"/>
          <w:szCs w:val="22"/>
        </w:rPr>
        <w:t xml:space="preserve">Political and Bureaucratic Transition </w:t>
      </w:r>
      <w:r w:rsidRPr="00D058C1">
        <w:rPr>
          <w:rFonts w:ascii="Cambria" w:hAnsi="Cambria"/>
          <w:sz w:val="22"/>
          <w:szCs w:val="22"/>
        </w:rPr>
        <w:t xml:space="preserve">from ARMM administration to the Bangsamoro and including the high expectations of the people to the MILF leadership to govern changes; </w:t>
      </w:r>
    </w:p>
    <w:p w14:paraId="06C208F2" w14:textId="77777777" w:rsidR="00DE4674" w:rsidRPr="00D058C1" w:rsidRDefault="00DE4674" w:rsidP="00DE4674">
      <w:pPr>
        <w:pStyle w:val="ListParagraph"/>
        <w:numPr>
          <w:ilvl w:val="0"/>
          <w:numId w:val="36"/>
        </w:numPr>
        <w:rPr>
          <w:rFonts w:ascii="Cambria" w:hAnsi="Cambria"/>
        </w:rPr>
      </w:pPr>
      <w:r w:rsidRPr="00D058C1">
        <w:rPr>
          <w:rFonts w:ascii="Cambria" w:hAnsi="Cambria" w:cs="Arial"/>
          <w:i/>
          <w:iCs/>
          <w:sz w:val="22"/>
          <w:szCs w:val="22"/>
        </w:rPr>
        <w:t>Normalization</w:t>
      </w:r>
      <w:r w:rsidRPr="00D058C1">
        <w:rPr>
          <w:rFonts w:ascii="Cambria" w:hAnsi="Cambria"/>
          <w:sz w:val="22"/>
          <w:szCs w:val="22"/>
        </w:rPr>
        <w:t xml:space="preserve">; involving the decommissioning of the remaining MILF combatants and transformation of MILF camps into communities, delivery of socio-economic packages, transitional justice and confidence-building (amnesty); </w:t>
      </w:r>
    </w:p>
    <w:p w14:paraId="2AFEAED1" w14:textId="77777777" w:rsidR="00DE4674" w:rsidRPr="00D058C1" w:rsidRDefault="00DE4674" w:rsidP="00DE4674">
      <w:pPr>
        <w:pStyle w:val="ListParagraph"/>
        <w:numPr>
          <w:ilvl w:val="0"/>
          <w:numId w:val="36"/>
        </w:numPr>
        <w:rPr>
          <w:rFonts w:ascii="Cambria" w:hAnsi="Cambria"/>
        </w:rPr>
      </w:pPr>
      <w:r w:rsidRPr="00D058C1">
        <w:rPr>
          <w:rFonts w:ascii="Cambria" w:hAnsi="Cambria" w:cs="Arial"/>
          <w:i/>
          <w:iCs/>
          <w:sz w:val="22"/>
          <w:szCs w:val="22"/>
        </w:rPr>
        <w:t xml:space="preserve">Transformation of the MILF </w:t>
      </w:r>
      <w:r w:rsidRPr="00D058C1">
        <w:rPr>
          <w:rFonts w:ascii="Cambria" w:hAnsi="Cambria"/>
          <w:sz w:val="22"/>
          <w:szCs w:val="22"/>
        </w:rPr>
        <w:t>from a revolutionary to a social and political movement;</w:t>
      </w:r>
    </w:p>
    <w:p w14:paraId="6001D9A2" w14:textId="77777777" w:rsidR="00DE4674" w:rsidRPr="00D058C1" w:rsidRDefault="00DE4674" w:rsidP="00DE4674">
      <w:pPr>
        <w:pStyle w:val="ListParagraph"/>
        <w:numPr>
          <w:ilvl w:val="0"/>
          <w:numId w:val="36"/>
        </w:numPr>
        <w:rPr>
          <w:rFonts w:ascii="Cambria" w:hAnsi="Cambria"/>
        </w:rPr>
      </w:pPr>
      <w:r w:rsidRPr="00D058C1">
        <w:rPr>
          <w:rFonts w:ascii="Cambria" w:hAnsi="Cambria" w:cs="Arial"/>
          <w:i/>
          <w:iCs/>
          <w:sz w:val="22"/>
          <w:szCs w:val="22"/>
        </w:rPr>
        <w:t xml:space="preserve">‘Horizontal’ conflict (e.g. clan, local political, criminal); </w:t>
      </w:r>
    </w:p>
    <w:p w14:paraId="29726CD9" w14:textId="77777777" w:rsidR="00DE4674" w:rsidRPr="00D058C1" w:rsidRDefault="00DE4674" w:rsidP="00DE4674">
      <w:pPr>
        <w:pStyle w:val="ListParagraph"/>
        <w:numPr>
          <w:ilvl w:val="0"/>
          <w:numId w:val="36"/>
        </w:numPr>
        <w:rPr>
          <w:rFonts w:ascii="Cambria" w:hAnsi="Cambria"/>
        </w:rPr>
      </w:pPr>
      <w:r w:rsidRPr="00D058C1">
        <w:rPr>
          <w:rFonts w:ascii="Cambria" w:hAnsi="Cambria" w:cs="Arial"/>
          <w:i/>
          <w:iCs/>
          <w:sz w:val="22"/>
          <w:szCs w:val="22"/>
        </w:rPr>
        <w:t xml:space="preserve">Preventing Violent Extremism </w:t>
      </w:r>
      <w:r w:rsidRPr="00D058C1">
        <w:rPr>
          <w:rFonts w:ascii="Cambria" w:hAnsi="Cambria"/>
          <w:sz w:val="22"/>
          <w:szCs w:val="22"/>
        </w:rPr>
        <w:t>which presents a significant threat to durable peace</w:t>
      </w:r>
      <w:r w:rsidRPr="00D058C1">
        <w:rPr>
          <w:rFonts w:ascii="Cambria" w:hAnsi="Cambria" w:cs="Arial"/>
          <w:i/>
          <w:iCs/>
          <w:sz w:val="22"/>
          <w:szCs w:val="22"/>
        </w:rPr>
        <w:t xml:space="preserve">; and more dangers of </w:t>
      </w:r>
      <w:proofErr w:type="spellStart"/>
      <w:r w:rsidRPr="00D058C1">
        <w:rPr>
          <w:rFonts w:ascii="Cambria" w:hAnsi="Cambria" w:cs="Arial"/>
          <w:i/>
          <w:iCs/>
          <w:sz w:val="22"/>
          <w:szCs w:val="22"/>
        </w:rPr>
        <w:t>radicalisation</w:t>
      </w:r>
      <w:proofErr w:type="spellEnd"/>
      <w:r w:rsidRPr="00D058C1">
        <w:rPr>
          <w:rFonts w:ascii="Cambria" w:hAnsi="Cambria" w:cs="Arial"/>
          <w:i/>
          <w:iCs/>
          <w:sz w:val="22"/>
          <w:szCs w:val="22"/>
        </w:rPr>
        <w:t xml:space="preserve">; and </w:t>
      </w:r>
    </w:p>
    <w:p w14:paraId="1A053324" w14:textId="4605F9AC" w:rsidR="00DE4674" w:rsidRPr="00D058C1" w:rsidRDefault="00DE4674" w:rsidP="00DE4674">
      <w:pPr>
        <w:pStyle w:val="ListParagraph"/>
        <w:numPr>
          <w:ilvl w:val="0"/>
          <w:numId w:val="36"/>
        </w:numPr>
        <w:rPr>
          <w:rFonts w:ascii="Cambria" w:hAnsi="Cambria"/>
        </w:rPr>
      </w:pPr>
      <w:r w:rsidRPr="00D058C1">
        <w:rPr>
          <w:rFonts w:ascii="Cambria" w:hAnsi="Cambria" w:cs="Arial"/>
          <w:i/>
          <w:iCs/>
          <w:sz w:val="22"/>
          <w:szCs w:val="22"/>
        </w:rPr>
        <w:t xml:space="preserve">Delays in the reconstruction and rehabilitation of Marawi </w:t>
      </w:r>
      <w:r w:rsidRPr="00D058C1">
        <w:rPr>
          <w:rFonts w:ascii="Cambria" w:hAnsi="Cambria"/>
          <w:sz w:val="22"/>
          <w:szCs w:val="22"/>
        </w:rPr>
        <w:t xml:space="preserve">which represents a </w:t>
      </w:r>
      <w:proofErr w:type="gramStart"/>
      <w:r w:rsidRPr="00D058C1">
        <w:rPr>
          <w:rFonts w:ascii="Cambria" w:hAnsi="Cambria"/>
          <w:sz w:val="22"/>
          <w:szCs w:val="22"/>
        </w:rPr>
        <w:t>long term</w:t>
      </w:r>
      <w:proofErr w:type="gramEnd"/>
      <w:r w:rsidRPr="00D058C1">
        <w:rPr>
          <w:rFonts w:ascii="Cambria" w:hAnsi="Cambria"/>
          <w:sz w:val="22"/>
          <w:szCs w:val="22"/>
        </w:rPr>
        <w:t xml:space="preserve"> humanitarian and development challenge and a key narrative for recruitment by extremist groups. </w:t>
      </w:r>
    </w:p>
    <w:p w14:paraId="755F102D" w14:textId="77777777" w:rsidR="00DE4674" w:rsidRPr="00D058C1" w:rsidRDefault="00DE4674" w:rsidP="00DE4674">
      <w:pPr>
        <w:spacing w:before="100" w:beforeAutospacing="1" w:after="100" w:afterAutospacing="1"/>
        <w:jc w:val="both"/>
        <w:rPr>
          <w:rFonts w:ascii="Cambria" w:hAnsi="Cambria"/>
        </w:rPr>
      </w:pPr>
      <w:r w:rsidRPr="00D058C1">
        <w:rPr>
          <w:rFonts w:ascii="Cambria" w:hAnsi="Cambria"/>
          <w:sz w:val="22"/>
          <w:szCs w:val="22"/>
        </w:rPr>
        <w:t xml:space="preserve">The GPH’s peacebuilding work is guided by the following documents: the Comprehensive Agreement on the Bangsamoro (CAB, 2013), the </w:t>
      </w:r>
      <w:r w:rsidRPr="00D058C1">
        <w:rPr>
          <w:rFonts w:ascii="Cambria" w:hAnsi="Cambria" w:cs="Arial"/>
          <w:i/>
          <w:iCs/>
          <w:sz w:val="22"/>
          <w:szCs w:val="22"/>
        </w:rPr>
        <w:t xml:space="preserve">Bangsamoro Peace and Development Roadmap </w:t>
      </w:r>
      <w:r w:rsidRPr="00D058C1">
        <w:rPr>
          <w:rFonts w:ascii="Cambria" w:hAnsi="Cambria"/>
          <w:sz w:val="22"/>
          <w:szCs w:val="22"/>
        </w:rPr>
        <w:t xml:space="preserve">(2016), the </w:t>
      </w:r>
      <w:r w:rsidRPr="00D058C1">
        <w:rPr>
          <w:rFonts w:ascii="Cambria" w:hAnsi="Cambria" w:cs="Arial"/>
          <w:i/>
          <w:iCs/>
          <w:sz w:val="22"/>
          <w:szCs w:val="22"/>
        </w:rPr>
        <w:t xml:space="preserve">Philippine Development Plan </w:t>
      </w:r>
      <w:r w:rsidRPr="00D058C1">
        <w:rPr>
          <w:rFonts w:ascii="Cambria" w:hAnsi="Cambria"/>
          <w:sz w:val="22"/>
          <w:szCs w:val="22"/>
        </w:rPr>
        <w:t xml:space="preserve">(PDP, 2017-2022),the </w:t>
      </w:r>
      <w:r w:rsidRPr="00D058C1">
        <w:rPr>
          <w:rFonts w:ascii="Cambria" w:hAnsi="Cambria" w:cs="Arial"/>
          <w:i/>
          <w:iCs/>
          <w:sz w:val="22"/>
          <w:szCs w:val="22"/>
        </w:rPr>
        <w:t xml:space="preserve">National Action Plan on Preventing and Countering Violent Extremism </w:t>
      </w:r>
      <w:r w:rsidRPr="00D058C1">
        <w:rPr>
          <w:rFonts w:ascii="Cambria" w:hAnsi="Cambria"/>
          <w:sz w:val="22"/>
          <w:szCs w:val="22"/>
        </w:rPr>
        <w:t xml:space="preserve">(NAP P/CVE, 2019) and the proposed </w:t>
      </w:r>
      <w:r w:rsidRPr="00D058C1">
        <w:rPr>
          <w:rFonts w:ascii="Cambria" w:hAnsi="Cambria" w:cs="Arial"/>
          <w:i/>
          <w:iCs/>
          <w:sz w:val="22"/>
          <w:szCs w:val="22"/>
        </w:rPr>
        <w:t xml:space="preserve">Transition Plan 2019-2022 </w:t>
      </w:r>
      <w:r w:rsidRPr="00D058C1">
        <w:rPr>
          <w:rFonts w:ascii="Cambria" w:hAnsi="Cambria"/>
          <w:sz w:val="22"/>
          <w:szCs w:val="22"/>
        </w:rPr>
        <w:t xml:space="preserve">for the BTA. </w:t>
      </w:r>
    </w:p>
    <w:p w14:paraId="723A59AB" w14:textId="6460F177" w:rsidR="00DE4674" w:rsidRPr="00D058C1" w:rsidRDefault="00DE4674" w:rsidP="00DE4674">
      <w:pPr>
        <w:spacing w:before="100" w:beforeAutospacing="1" w:after="100" w:afterAutospacing="1"/>
        <w:jc w:val="both"/>
        <w:rPr>
          <w:rFonts w:ascii="Cambria" w:hAnsi="Cambria"/>
        </w:rPr>
      </w:pPr>
      <w:r w:rsidRPr="00D058C1">
        <w:rPr>
          <w:rFonts w:ascii="Cambria" w:hAnsi="Cambria"/>
          <w:sz w:val="22"/>
          <w:szCs w:val="22"/>
        </w:rPr>
        <w:t>The results of the GPH’s peacebuilding work since the start of the Duterte Administration in July 2016 apart from the enactment of the BOL and appointment of the BTA members are: the support for normalization</w:t>
      </w:r>
      <w:r w:rsidR="00CE3A9D" w:rsidRPr="00D058C1">
        <w:rPr>
          <w:rStyle w:val="FootnoteReference"/>
          <w:rFonts w:ascii="Cambria" w:hAnsi="Cambria"/>
          <w:sz w:val="22"/>
          <w:szCs w:val="22"/>
        </w:rPr>
        <w:footnoteReference w:id="11"/>
      </w:r>
      <w:r w:rsidRPr="00D058C1">
        <w:rPr>
          <w:rFonts w:ascii="Cambria" w:hAnsi="Cambria"/>
          <w:position w:val="8"/>
          <w:sz w:val="14"/>
          <w:szCs w:val="14"/>
        </w:rPr>
        <w:t xml:space="preserve"> </w:t>
      </w:r>
      <w:r w:rsidRPr="00D058C1">
        <w:rPr>
          <w:rFonts w:ascii="Cambria" w:hAnsi="Cambria"/>
          <w:sz w:val="22"/>
          <w:szCs w:val="22"/>
        </w:rPr>
        <w:t xml:space="preserve">of MILF camps/communities, establishment of Task Force </w:t>
      </w:r>
      <w:proofErr w:type="spellStart"/>
      <w:r w:rsidRPr="00D058C1">
        <w:rPr>
          <w:rFonts w:ascii="Cambria" w:hAnsi="Cambria"/>
          <w:sz w:val="22"/>
          <w:szCs w:val="22"/>
        </w:rPr>
        <w:t>Bangon</w:t>
      </w:r>
      <w:proofErr w:type="spellEnd"/>
      <w:r w:rsidRPr="00D058C1">
        <w:rPr>
          <w:rFonts w:ascii="Cambria" w:hAnsi="Cambria"/>
          <w:sz w:val="22"/>
          <w:szCs w:val="22"/>
        </w:rPr>
        <w:t xml:space="preserve"> </w:t>
      </w:r>
      <w:proofErr w:type="spellStart"/>
      <w:r w:rsidRPr="00D058C1">
        <w:rPr>
          <w:rFonts w:ascii="Cambria" w:hAnsi="Cambria"/>
          <w:sz w:val="22"/>
          <w:szCs w:val="22"/>
        </w:rPr>
        <w:t>Marawi</w:t>
      </w:r>
      <w:proofErr w:type="spellEnd"/>
      <w:r w:rsidRPr="00D058C1">
        <w:rPr>
          <w:rFonts w:ascii="Cambria" w:hAnsi="Cambria"/>
          <w:sz w:val="22"/>
          <w:szCs w:val="22"/>
        </w:rPr>
        <w:t xml:space="preserve"> to support the rehabilitation of the city following the siege, the development of a whole-of-nation approach to P/CVE (through a National Action Plan), capacity development of Bangsamoro officials and staff, and addressing Women, Peace and Security concerns in response to UN Security Council Resolutions 1325 and 1820. </w:t>
      </w:r>
    </w:p>
    <w:p w14:paraId="438EEF2E" w14:textId="77777777" w:rsidR="00DE4674" w:rsidRPr="00D058C1" w:rsidRDefault="00DE4674" w:rsidP="00DE4674">
      <w:pPr>
        <w:spacing w:before="100" w:beforeAutospacing="1" w:after="100" w:afterAutospacing="1"/>
        <w:rPr>
          <w:rFonts w:ascii="Cambria" w:hAnsi="Cambria"/>
        </w:rPr>
      </w:pPr>
      <w:r w:rsidRPr="00D058C1">
        <w:rPr>
          <w:rFonts w:ascii="Cambria" w:hAnsi="Cambria" w:cs="Arial"/>
          <w:b/>
          <w:bCs/>
          <w:sz w:val="22"/>
          <w:szCs w:val="22"/>
        </w:rPr>
        <w:t xml:space="preserve">Australia’s Support for Peace in Muslim Mindanao </w:t>
      </w:r>
    </w:p>
    <w:p w14:paraId="5D7A8D81" w14:textId="77777777" w:rsidR="00DE4674" w:rsidRPr="00D058C1" w:rsidRDefault="00DE4674" w:rsidP="00DE4674">
      <w:pPr>
        <w:spacing w:before="100" w:beforeAutospacing="1" w:after="100" w:afterAutospacing="1"/>
        <w:jc w:val="both"/>
        <w:rPr>
          <w:rFonts w:ascii="Cambria" w:hAnsi="Cambria"/>
        </w:rPr>
      </w:pPr>
      <w:r w:rsidRPr="00D058C1">
        <w:rPr>
          <w:rFonts w:ascii="Cambria" w:hAnsi="Cambria"/>
          <w:sz w:val="22"/>
          <w:szCs w:val="22"/>
        </w:rPr>
        <w:t xml:space="preserve">Australia has supported peace and stability in Muslim Mindanao since 1996. Our current program, </w:t>
      </w:r>
      <w:r w:rsidRPr="00D058C1">
        <w:rPr>
          <w:rFonts w:ascii="Cambria" w:hAnsi="Cambria" w:cs="Arial"/>
          <w:i/>
          <w:iCs/>
          <w:sz w:val="22"/>
          <w:szCs w:val="22"/>
        </w:rPr>
        <w:t xml:space="preserve">Peacebuilding in Conflict-Affected Mindanao </w:t>
      </w:r>
      <w:r w:rsidRPr="00D058C1">
        <w:rPr>
          <w:rFonts w:ascii="Cambria" w:hAnsi="Cambria"/>
          <w:sz w:val="22"/>
          <w:szCs w:val="22"/>
        </w:rPr>
        <w:t xml:space="preserve">($91.2 million over 2014-2023) supports the ongoing peace process between the Government of the Philippines (GPH) and the Moro Islamic Liberation Front (MILF). This includes supporting the establishment of the </w:t>
      </w:r>
      <w:r w:rsidRPr="00D058C1">
        <w:rPr>
          <w:rFonts w:ascii="Cambria" w:hAnsi="Cambria"/>
          <w:sz w:val="22"/>
          <w:szCs w:val="22"/>
        </w:rPr>
        <w:lastRenderedPageBreak/>
        <w:t xml:space="preserve">new Bangsamoro Autonomous Region in Muslim Mindanao (BARMM), and working towards long-term stability, security and development in the region’s conflict-affected areas. </w:t>
      </w:r>
    </w:p>
    <w:p w14:paraId="419366E1" w14:textId="77777777" w:rsidR="00DE4674" w:rsidRPr="00D058C1" w:rsidRDefault="00DE4674" w:rsidP="00DE4674">
      <w:pPr>
        <w:spacing w:before="100" w:beforeAutospacing="1" w:after="100" w:afterAutospacing="1"/>
        <w:jc w:val="both"/>
        <w:rPr>
          <w:rFonts w:ascii="Cambria" w:hAnsi="Cambria"/>
        </w:rPr>
      </w:pPr>
      <w:r w:rsidRPr="00D058C1">
        <w:rPr>
          <w:rFonts w:ascii="Cambria" w:hAnsi="Cambria"/>
          <w:sz w:val="22"/>
          <w:szCs w:val="22"/>
        </w:rPr>
        <w:t xml:space="preserve">Our support for the peace process contributes to preventing/countering violent extremism (P/CVE). Grievances against the GPH as well as regional (Jemaah Islamiyah) and global terrorist </w:t>
      </w:r>
      <w:proofErr w:type="spellStart"/>
      <w:r w:rsidRPr="00D058C1">
        <w:rPr>
          <w:rFonts w:ascii="Cambria" w:hAnsi="Cambria"/>
          <w:sz w:val="22"/>
          <w:szCs w:val="22"/>
        </w:rPr>
        <w:t>organisations</w:t>
      </w:r>
      <w:proofErr w:type="spellEnd"/>
      <w:r w:rsidRPr="00D058C1">
        <w:rPr>
          <w:rFonts w:ascii="Cambria" w:hAnsi="Cambria"/>
          <w:sz w:val="22"/>
          <w:szCs w:val="22"/>
        </w:rPr>
        <w:t xml:space="preserve"> (ISIS) adopted ideologies are key recruitment narratives for the violent extremist group. Australia also increased funding for P/CVE following the Marawi siege in 2017. </w:t>
      </w:r>
    </w:p>
    <w:p w14:paraId="4EDE977C" w14:textId="77777777" w:rsidR="00DE4674" w:rsidRPr="00D058C1" w:rsidRDefault="00DE4674" w:rsidP="00DE4674">
      <w:pPr>
        <w:spacing w:before="100" w:beforeAutospacing="1" w:after="100" w:afterAutospacing="1"/>
        <w:rPr>
          <w:rFonts w:ascii="Cambria" w:hAnsi="Cambria"/>
        </w:rPr>
      </w:pPr>
      <w:r w:rsidRPr="00D058C1">
        <w:rPr>
          <w:rFonts w:ascii="Cambria" w:hAnsi="Cambria"/>
          <w:sz w:val="22"/>
          <w:szCs w:val="22"/>
        </w:rPr>
        <w:t xml:space="preserve">The program is contributing to the following outcomes from Australia’s Aid Investment Plan: </w:t>
      </w:r>
    </w:p>
    <w:p w14:paraId="4C665067" w14:textId="77777777" w:rsidR="00DE4674" w:rsidRPr="00D058C1" w:rsidRDefault="00DE4674" w:rsidP="00DE4674">
      <w:pPr>
        <w:numPr>
          <w:ilvl w:val="0"/>
          <w:numId w:val="38"/>
        </w:numPr>
        <w:spacing w:before="100" w:beforeAutospacing="1" w:after="100" w:afterAutospacing="1"/>
        <w:rPr>
          <w:rFonts w:ascii="Cambria" w:hAnsi="Cambria"/>
          <w:sz w:val="22"/>
          <w:szCs w:val="22"/>
        </w:rPr>
      </w:pPr>
      <w:r w:rsidRPr="00D058C1">
        <w:rPr>
          <w:rFonts w:ascii="Cambria" w:hAnsi="Cambria"/>
          <w:sz w:val="22"/>
          <w:szCs w:val="22"/>
        </w:rPr>
        <w:t xml:space="preserve">The Government of the Philippines improves access to basic services in fragile and/or conflict affected communities; </w:t>
      </w:r>
    </w:p>
    <w:p w14:paraId="0C276FE4" w14:textId="77777777" w:rsidR="00DE4674" w:rsidRPr="00D058C1" w:rsidRDefault="00DE4674" w:rsidP="00DE4674">
      <w:pPr>
        <w:numPr>
          <w:ilvl w:val="0"/>
          <w:numId w:val="38"/>
        </w:numPr>
        <w:spacing w:before="100" w:beforeAutospacing="1" w:after="100" w:afterAutospacing="1"/>
        <w:rPr>
          <w:rFonts w:ascii="Cambria" w:hAnsi="Cambria"/>
          <w:sz w:val="22"/>
          <w:szCs w:val="22"/>
        </w:rPr>
      </w:pPr>
      <w:r w:rsidRPr="00D058C1">
        <w:rPr>
          <w:rFonts w:ascii="Cambria" w:hAnsi="Cambria"/>
          <w:sz w:val="22"/>
          <w:szCs w:val="22"/>
        </w:rPr>
        <w:t xml:space="preserve">Fragile and/or conflict-affected communities are better able to promote peace, security, prosperity and resilience; </w:t>
      </w:r>
    </w:p>
    <w:p w14:paraId="5FFC2397" w14:textId="77777777" w:rsidR="00DE4674" w:rsidRPr="00D058C1" w:rsidRDefault="00DE4674" w:rsidP="00DE4674">
      <w:pPr>
        <w:numPr>
          <w:ilvl w:val="0"/>
          <w:numId w:val="38"/>
        </w:numPr>
        <w:spacing w:before="100" w:beforeAutospacing="1" w:after="100" w:afterAutospacing="1"/>
        <w:rPr>
          <w:rFonts w:ascii="Cambria" w:hAnsi="Cambria"/>
          <w:sz w:val="22"/>
          <w:szCs w:val="22"/>
        </w:rPr>
      </w:pPr>
      <w:r w:rsidRPr="00D058C1">
        <w:rPr>
          <w:rFonts w:ascii="Cambria" w:hAnsi="Cambria"/>
          <w:sz w:val="22"/>
          <w:szCs w:val="22"/>
        </w:rPr>
        <w:t xml:space="preserve">Bangsamoro Islamic Armed Forces members are </w:t>
      </w:r>
      <w:proofErr w:type="spellStart"/>
      <w:r w:rsidRPr="00D058C1">
        <w:rPr>
          <w:rFonts w:ascii="Cambria" w:hAnsi="Cambria"/>
          <w:sz w:val="22"/>
          <w:szCs w:val="22"/>
        </w:rPr>
        <w:t>demobilised</w:t>
      </w:r>
      <w:proofErr w:type="spellEnd"/>
      <w:r w:rsidRPr="00D058C1">
        <w:rPr>
          <w:rFonts w:ascii="Cambria" w:hAnsi="Cambria"/>
          <w:sz w:val="22"/>
          <w:szCs w:val="22"/>
        </w:rPr>
        <w:t xml:space="preserve"> and supported to return to civilian life; and </w:t>
      </w:r>
    </w:p>
    <w:p w14:paraId="66EE46AC" w14:textId="77777777" w:rsidR="00DE4674" w:rsidRPr="00D058C1" w:rsidRDefault="00DE4674" w:rsidP="00DE4674">
      <w:pPr>
        <w:numPr>
          <w:ilvl w:val="0"/>
          <w:numId w:val="38"/>
        </w:numPr>
        <w:spacing w:before="100" w:beforeAutospacing="1" w:after="100" w:afterAutospacing="1"/>
        <w:rPr>
          <w:rFonts w:ascii="Cambria" w:hAnsi="Cambria"/>
          <w:sz w:val="22"/>
          <w:szCs w:val="22"/>
        </w:rPr>
      </w:pPr>
      <w:r w:rsidRPr="00D058C1">
        <w:rPr>
          <w:rFonts w:ascii="Cambria" w:hAnsi="Cambria"/>
          <w:sz w:val="22"/>
          <w:szCs w:val="22"/>
        </w:rPr>
        <w:t xml:space="preserve">Governance in the Bangsamoro is inclusive and responsive. </w:t>
      </w:r>
    </w:p>
    <w:p w14:paraId="5E1A2720" w14:textId="77777777" w:rsidR="00DE4674" w:rsidRPr="00D058C1" w:rsidRDefault="00DE4674" w:rsidP="00DE4674">
      <w:pPr>
        <w:spacing w:before="100" w:beforeAutospacing="1" w:after="100" w:afterAutospacing="1"/>
        <w:rPr>
          <w:rFonts w:ascii="Cambria" w:hAnsi="Cambria"/>
        </w:rPr>
      </w:pPr>
      <w:r w:rsidRPr="00D058C1">
        <w:rPr>
          <w:rFonts w:ascii="Cambria" w:hAnsi="Cambria"/>
          <w:sz w:val="22"/>
          <w:szCs w:val="22"/>
        </w:rPr>
        <w:t xml:space="preserve">These have been aligned with some elements of the BOL as well as the documents mentioned above on providing autonomy to the Bangsamoro people. </w:t>
      </w:r>
    </w:p>
    <w:p w14:paraId="1DF39FDA" w14:textId="77777777" w:rsidR="00282BCD" w:rsidRPr="00D058C1" w:rsidRDefault="00DE4674" w:rsidP="00282BCD">
      <w:pPr>
        <w:pStyle w:val="NormalWeb"/>
        <w:rPr>
          <w:rFonts w:ascii="Cambria" w:hAnsi="Cambria"/>
        </w:rPr>
      </w:pPr>
      <w:r w:rsidRPr="00D058C1">
        <w:rPr>
          <w:rFonts w:ascii="Cambria" w:hAnsi="Cambria"/>
          <w:sz w:val="22"/>
          <w:szCs w:val="22"/>
        </w:rPr>
        <w:t xml:space="preserve">The program </w:t>
      </w:r>
      <w:r w:rsidRPr="00D058C1">
        <w:rPr>
          <w:rFonts w:ascii="Cambria" w:hAnsi="Cambria" w:cs="Arial"/>
          <w:i/>
          <w:iCs/>
          <w:sz w:val="22"/>
          <w:szCs w:val="22"/>
        </w:rPr>
        <w:t xml:space="preserve">Peacebuilding in Conflict-Affected Mindanao </w:t>
      </w:r>
      <w:r w:rsidRPr="00D058C1">
        <w:rPr>
          <w:rFonts w:ascii="Cambria" w:hAnsi="Cambria"/>
          <w:sz w:val="22"/>
          <w:szCs w:val="22"/>
        </w:rPr>
        <w:t xml:space="preserve">was not designed with a specific program outcome in mind. Instead, it is an aggregation of discrete but mutually supporting </w:t>
      </w:r>
      <w:r w:rsidR="00282BCD" w:rsidRPr="00D058C1">
        <w:rPr>
          <w:rFonts w:ascii="Cambria" w:hAnsi="Cambria"/>
          <w:sz w:val="22"/>
          <w:szCs w:val="22"/>
        </w:rPr>
        <w:t xml:space="preserve">activities, all flexible in design, covering support for a political peace process, preventing/countering violent extremism, and development in conflict-affected areas. </w:t>
      </w:r>
    </w:p>
    <w:p w14:paraId="26483B73" w14:textId="77777777" w:rsidR="00282BCD" w:rsidRPr="00D058C1" w:rsidRDefault="00282BCD" w:rsidP="00282BCD">
      <w:pPr>
        <w:spacing w:before="100" w:beforeAutospacing="1" w:after="100" w:afterAutospacing="1"/>
        <w:rPr>
          <w:rFonts w:ascii="Cambria" w:hAnsi="Cambria"/>
        </w:rPr>
      </w:pPr>
      <w:r w:rsidRPr="00D058C1">
        <w:rPr>
          <w:rFonts w:ascii="Cambria" w:hAnsi="Cambria"/>
          <w:sz w:val="22"/>
          <w:szCs w:val="22"/>
        </w:rPr>
        <w:t xml:space="preserve">Australia’s support for peace in Muslim Mindanao is currently delivered through the following partners and activities: </w:t>
      </w:r>
    </w:p>
    <w:p w14:paraId="3C1D68AB" w14:textId="77777777" w:rsidR="00282BCD" w:rsidRPr="00D058C1" w:rsidRDefault="00282BCD" w:rsidP="00282BCD">
      <w:pPr>
        <w:spacing w:before="100" w:beforeAutospacing="1" w:after="100" w:afterAutospacing="1"/>
        <w:rPr>
          <w:rFonts w:ascii="Cambria" w:hAnsi="Cambria"/>
          <w:u w:val="single"/>
        </w:rPr>
      </w:pPr>
      <w:r w:rsidRPr="00D058C1">
        <w:rPr>
          <w:rFonts w:ascii="Cambria" w:hAnsi="Cambria" w:cs="Arial"/>
          <w:i/>
          <w:iCs/>
          <w:sz w:val="22"/>
          <w:szCs w:val="22"/>
          <w:u w:val="single"/>
        </w:rPr>
        <w:t xml:space="preserve">Australian Partnerships for Peace Program (APP) ($13.7 million, 2017-2020) </w:t>
      </w:r>
    </w:p>
    <w:p w14:paraId="4F45434F" w14:textId="77777777" w:rsidR="00282BCD" w:rsidRPr="00D058C1" w:rsidRDefault="00282BCD" w:rsidP="00282BCD">
      <w:pPr>
        <w:spacing w:before="100" w:beforeAutospacing="1" w:after="100" w:afterAutospacing="1"/>
        <w:rPr>
          <w:rFonts w:ascii="Cambria" w:hAnsi="Cambria"/>
        </w:rPr>
      </w:pPr>
      <w:r w:rsidRPr="00D058C1">
        <w:rPr>
          <w:rFonts w:ascii="Cambria" w:hAnsi="Cambria"/>
          <w:sz w:val="22"/>
          <w:szCs w:val="22"/>
        </w:rPr>
        <w:t xml:space="preserve">APP is Australia’s main bilateral peace and stability program. The program funds the five NGO partners listed below, who work with local grassroots </w:t>
      </w:r>
      <w:proofErr w:type="spellStart"/>
      <w:r w:rsidRPr="00D058C1">
        <w:rPr>
          <w:rFonts w:ascii="Cambria" w:hAnsi="Cambria"/>
          <w:sz w:val="22"/>
          <w:szCs w:val="22"/>
        </w:rPr>
        <w:t>organisations</w:t>
      </w:r>
      <w:proofErr w:type="spellEnd"/>
      <w:r w:rsidRPr="00D058C1">
        <w:rPr>
          <w:rFonts w:ascii="Cambria" w:hAnsi="Cambria"/>
          <w:sz w:val="22"/>
          <w:szCs w:val="22"/>
        </w:rPr>
        <w:t xml:space="preserve"> on the following objectives: </w:t>
      </w:r>
    </w:p>
    <w:p w14:paraId="2F3409B6" w14:textId="77777777" w:rsidR="00282BCD" w:rsidRPr="00D058C1" w:rsidRDefault="00282BCD" w:rsidP="00282BCD">
      <w:pPr>
        <w:numPr>
          <w:ilvl w:val="0"/>
          <w:numId w:val="39"/>
        </w:numPr>
        <w:rPr>
          <w:rFonts w:ascii="Cambria" w:hAnsi="Cambria"/>
          <w:sz w:val="22"/>
          <w:szCs w:val="22"/>
        </w:rPr>
      </w:pPr>
      <w:r w:rsidRPr="00D058C1">
        <w:rPr>
          <w:rFonts w:ascii="Cambria" w:hAnsi="Cambria"/>
          <w:sz w:val="22"/>
          <w:szCs w:val="22"/>
        </w:rPr>
        <w:t xml:space="preserve">Inclusive participation in political dialogue and transition, including women’s engagement in support of UN Security Council Resolution 1325; </w:t>
      </w:r>
    </w:p>
    <w:p w14:paraId="7A65670D" w14:textId="77777777" w:rsidR="00282BCD" w:rsidRPr="00D058C1" w:rsidRDefault="00282BCD" w:rsidP="00282BCD">
      <w:pPr>
        <w:numPr>
          <w:ilvl w:val="0"/>
          <w:numId w:val="39"/>
        </w:numPr>
        <w:rPr>
          <w:rFonts w:ascii="Cambria" w:hAnsi="Cambria"/>
          <w:sz w:val="22"/>
          <w:szCs w:val="22"/>
        </w:rPr>
      </w:pPr>
      <w:r w:rsidRPr="00D058C1">
        <w:rPr>
          <w:rFonts w:ascii="Cambria" w:hAnsi="Cambria"/>
          <w:sz w:val="22"/>
          <w:szCs w:val="22"/>
        </w:rPr>
        <w:t xml:space="preserve">Stronger mechanisms for averting the escalation of violence and resolving conflict; </w:t>
      </w:r>
    </w:p>
    <w:p w14:paraId="76784753" w14:textId="18A13557" w:rsidR="00282BCD" w:rsidRPr="00D058C1" w:rsidRDefault="00282BCD" w:rsidP="00282BCD">
      <w:pPr>
        <w:numPr>
          <w:ilvl w:val="0"/>
          <w:numId w:val="39"/>
        </w:numPr>
        <w:rPr>
          <w:rFonts w:ascii="Cambria" w:hAnsi="Cambria"/>
          <w:sz w:val="22"/>
          <w:szCs w:val="22"/>
        </w:rPr>
      </w:pPr>
      <w:r w:rsidRPr="00D058C1">
        <w:rPr>
          <w:rFonts w:ascii="Cambria" w:hAnsi="Cambria"/>
          <w:sz w:val="22"/>
          <w:szCs w:val="22"/>
        </w:rPr>
        <w:t xml:space="preserve">Community cohesion and resilience, including through religious leaders, women, youth (preventing/countering violent </w:t>
      </w:r>
      <w:proofErr w:type="gramStart"/>
      <w:r w:rsidRPr="00D058C1">
        <w:rPr>
          <w:rFonts w:ascii="Cambria" w:hAnsi="Cambria"/>
          <w:sz w:val="22"/>
          <w:szCs w:val="22"/>
        </w:rPr>
        <w:t>extremism-P</w:t>
      </w:r>
      <w:proofErr w:type="gramEnd"/>
      <w:r w:rsidRPr="00D058C1">
        <w:rPr>
          <w:rFonts w:ascii="Cambria" w:hAnsi="Cambria"/>
          <w:sz w:val="22"/>
          <w:szCs w:val="22"/>
        </w:rPr>
        <w:t xml:space="preserve">/CVE). </w:t>
      </w:r>
    </w:p>
    <w:p w14:paraId="61CD4A3E" w14:textId="77777777" w:rsidR="00282BCD" w:rsidRPr="00D058C1" w:rsidRDefault="00282BCD" w:rsidP="00282BCD">
      <w:pPr>
        <w:rPr>
          <w:rFonts w:ascii="Cambria" w:hAnsi="Cambria" w:cs="Arial"/>
          <w:i/>
          <w:iCs/>
          <w:sz w:val="22"/>
          <w:szCs w:val="22"/>
        </w:rPr>
      </w:pPr>
    </w:p>
    <w:p w14:paraId="76B86ED9" w14:textId="4745F4CD" w:rsidR="00282BCD" w:rsidRPr="00D058C1" w:rsidRDefault="00282BCD" w:rsidP="00282BCD">
      <w:pPr>
        <w:rPr>
          <w:rFonts w:ascii="Cambria" w:hAnsi="Cambria"/>
        </w:rPr>
      </w:pPr>
      <w:r w:rsidRPr="00D058C1">
        <w:rPr>
          <w:rFonts w:ascii="Cambria" w:hAnsi="Cambria" w:cs="Arial"/>
          <w:i/>
          <w:iCs/>
          <w:sz w:val="22"/>
          <w:szCs w:val="22"/>
        </w:rPr>
        <w:t xml:space="preserve">International Alert: </w:t>
      </w:r>
    </w:p>
    <w:p w14:paraId="4E99E064" w14:textId="77777777" w:rsidR="00282BCD" w:rsidRPr="00D058C1" w:rsidRDefault="00282BCD" w:rsidP="00282BCD">
      <w:pPr>
        <w:pStyle w:val="ListParagraph"/>
        <w:numPr>
          <w:ilvl w:val="0"/>
          <w:numId w:val="48"/>
        </w:numPr>
        <w:rPr>
          <w:rFonts w:ascii="Cambria" w:hAnsi="Cambria"/>
        </w:rPr>
      </w:pPr>
      <w:r w:rsidRPr="00D058C1">
        <w:rPr>
          <w:rFonts w:ascii="Cambria" w:hAnsi="Cambria"/>
          <w:sz w:val="22"/>
          <w:szCs w:val="22"/>
        </w:rPr>
        <w:t xml:space="preserve">preventing the capture of youth and women by violent extremism, by establishing an early response network on </w:t>
      </w:r>
      <w:proofErr w:type="spellStart"/>
      <w:r w:rsidRPr="00D058C1">
        <w:rPr>
          <w:rFonts w:ascii="Cambria" w:hAnsi="Cambria"/>
          <w:sz w:val="22"/>
          <w:szCs w:val="22"/>
        </w:rPr>
        <w:t>radicalisation</w:t>
      </w:r>
      <w:proofErr w:type="spellEnd"/>
      <w:r w:rsidRPr="00D058C1">
        <w:rPr>
          <w:rFonts w:ascii="Cambria" w:hAnsi="Cambria"/>
          <w:sz w:val="22"/>
          <w:szCs w:val="22"/>
        </w:rPr>
        <w:t xml:space="preserve"> and recruitment, creating supportive networks for women, and supporting youth leadership and the delivery of community change projects </w:t>
      </w:r>
    </w:p>
    <w:p w14:paraId="79A283EF" w14:textId="77777777" w:rsidR="00282BCD" w:rsidRPr="00D058C1" w:rsidRDefault="00282BCD" w:rsidP="00282BCD">
      <w:pPr>
        <w:pStyle w:val="ListParagraph"/>
        <w:numPr>
          <w:ilvl w:val="0"/>
          <w:numId w:val="48"/>
        </w:numPr>
        <w:rPr>
          <w:rFonts w:ascii="Cambria" w:hAnsi="Cambria"/>
        </w:rPr>
      </w:pPr>
      <w:r w:rsidRPr="00D058C1">
        <w:rPr>
          <w:rFonts w:ascii="Cambria" w:hAnsi="Cambria"/>
          <w:sz w:val="22"/>
          <w:szCs w:val="22"/>
        </w:rPr>
        <w:lastRenderedPageBreak/>
        <w:t xml:space="preserve">reducing land and resource-based violent conflict, by supporting land management planning and clan conflict resolution </w:t>
      </w:r>
    </w:p>
    <w:p w14:paraId="3A8BBC28" w14:textId="77777777" w:rsidR="00282BCD" w:rsidRPr="00D058C1" w:rsidRDefault="00282BCD" w:rsidP="00282BCD">
      <w:pPr>
        <w:pStyle w:val="ListParagraph"/>
        <w:numPr>
          <w:ilvl w:val="0"/>
          <w:numId w:val="48"/>
        </w:numPr>
        <w:rPr>
          <w:rFonts w:ascii="Cambria" w:hAnsi="Cambria"/>
        </w:rPr>
      </w:pPr>
      <w:r w:rsidRPr="00D058C1">
        <w:rPr>
          <w:rFonts w:ascii="Cambria" w:hAnsi="Cambria"/>
          <w:sz w:val="22"/>
          <w:szCs w:val="22"/>
        </w:rPr>
        <w:t xml:space="preserve">encouraging the entry of conflict-sensitive business and investments to increase livelihood opportunities </w:t>
      </w:r>
    </w:p>
    <w:p w14:paraId="214E6A55" w14:textId="6661371A" w:rsidR="00282BCD" w:rsidRPr="00D058C1" w:rsidRDefault="00282BCD" w:rsidP="00282BCD">
      <w:pPr>
        <w:pStyle w:val="ListParagraph"/>
        <w:numPr>
          <w:ilvl w:val="0"/>
          <w:numId w:val="48"/>
        </w:numPr>
        <w:rPr>
          <w:rFonts w:ascii="Cambria" w:hAnsi="Cambria"/>
        </w:rPr>
      </w:pPr>
      <w:r w:rsidRPr="00D058C1">
        <w:rPr>
          <w:rFonts w:ascii="Cambria" w:hAnsi="Cambria"/>
          <w:sz w:val="22"/>
          <w:szCs w:val="22"/>
        </w:rPr>
        <w:t xml:space="preserve"> strengthening support for the Bangsamoro enabling law and anti-discrimination legislation </w:t>
      </w:r>
    </w:p>
    <w:p w14:paraId="24690C75" w14:textId="77777777" w:rsidR="00282BCD" w:rsidRPr="00D058C1" w:rsidRDefault="00282BCD" w:rsidP="00282BCD">
      <w:pPr>
        <w:rPr>
          <w:rFonts w:ascii="Cambria" w:hAnsi="Cambria" w:cs="Arial"/>
          <w:i/>
          <w:iCs/>
          <w:sz w:val="22"/>
          <w:szCs w:val="22"/>
        </w:rPr>
      </w:pPr>
    </w:p>
    <w:p w14:paraId="585205FC" w14:textId="1DBE30F6" w:rsidR="00282BCD" w:rsidRPr="00D058C1" w:rsidRDefault="00282BCD" w:rsidP="00282BCD">
      <w:pPr>
        <w:rPr>
          <w:rFonts w:ascii="Cambria" w:hAnsi="Cambria"/>
        </w:rPr>
      </w:pPr>
      <w:r w:rsidRPr="00D058C1">
        <w:rPr>
          <w:rFonts w:ascii="Cambria" w:hAnsi="Cambria" w:cs="Arial"/>
          <w:i/>
          <w:iCs/>
          <w:sz w:val="22"/>
          <w:szCs w:val="22"/>
        </w:rPr>
        <w:t>The Asia Foundation</w:t>
      </w:r>
      <w:r w:rsidRPr="00D058C1">
        <w:rPr>
          <w:rFonts w:ascii="Cambria" w:hAnsi="Cambria"/>
          <w:sz w:val="22"/>
          <w:szCs w:val="22"/>
        </w:rPr>
        <w:t xml:space="preserve">: </w:t>
      </w:r>
    </w:p>
    <w:p w14:paraId="5DBC7CD8" w14:textId="661F8F3F" w:rsidR="00282BCD" w:rsidRPr="00D058C1" w:rsidRDefault="00282BCD" w:rsidP="00282BCD">
      <w:pPr>
        <w:pStyle w:val="ListParagraph"/>
        <w:numPr>
          <w:ilvl w:val="0"/>
          <w:numId w:val="49"/>
        </w:numPr>
        <w:rPr>
          <w:rFonts w:ascii="Cambria" w:hAnsi="Cambria"/>
        </w:rPr>
      </w:pPr>
      <w:r w:rsidRPr="00D058C1">
        <w:rPr>
          <w:rFonts w:ascii="Cambria" w:hAnsi="Cambria"/>
          <w:sz w:val="22"/>
          <w:szCs w:val="22"/>
        </w:rPr>
        <w:t xml:space="preserve">promoting an inclusive peace process and political dialogue, by supporting the </w:t>
      </w:r>
    </w:p>
    <w:p w14:paraId="00A8A130" w14:textId="77777777" w:rsidR="00026C62" w:rsidRPr="00D058C1" w:rsidRDefault="00282BCD" w:rsidP="00026C62">
      <w:pPr>
        <w:ind w:left="720"/>
        <w:rPr>
          <w:rFonts w:ascii="Cambria" w:hAnsi="Cambria"/>
        </w:rPr>
      </w:pPr>
      <w:r w:rsidRPr="00D058C1">
        <w:rPr>
          <w:rFonts w:ascii="Cambria" w:hAnsi="Cambria"/>
          <w:sz w:val="22"/>
          <w:szCs w:val="22"/>
        </w:rPr>
        <w:t xml:space="preserve">participation of women and indigenous peoples </w:t>
      </w:r>
    </w:p>
    <w:p w14:paraId="5B18D225" w14:textId="77777777" w:rsidR="00026C62" w:rsidRPr="00D058C1" w:rsidRDefault="00282BCD" w:rsidP="00026C62">
      <w:pPr>
        <w:pStyle w:val="ListParagraph"/>
        <w:numPr>
          <w:ilvl w:val="0"/>
          <w:numId w:val="49"/>
        </w:numPr>
        <w:rPr>
          <w:rFonts w:ascii="Cambria" w:hAnsi="Cambria"/>
        </w:rPr>
      </w:pPr>
      <w:r w:rsidRPr="00D058C1">
        <w:rPr>
          <w:rFonts w:ascii="Cambria" w:hAnsi="Cambria"/>
          <w:sz w:val="22"/>
          <w:szCs w:val="22"/>
        </w:rPr>
        <w:t xml:space="preserve">strengthening mechanisms for resolving conflicts and averting escalation of violence, by helping to resolve land disputes and clan conflict </w:t>
      </w:r>
    </w:p>
    <w:p w14:paraId="3CB6A0D0" w14:textId="653270A8" w:rsidR="00282BCD" w:rsidRPr="00D058C1" w:rsidRDefault="00282BCD" w:rsidP="00026C62">
      <w:pPr>
        <w:pStyle w:val="ListParagraph"/>
        <w:numPr>
          <w:ilvl w:val="0"/>
          <w:numId w:val="49"/>
        </w:numPr>
        <w:rPr>
          <w:rFonts w:ascii="Cambria" w:hAnsi="Cambria"/>
        </w:rPr>
      </w:pPr>
      <w:r w:rsidRPr="00D058C1">
        <w:rPr>
          <w:rFonts w:ascii="Cambria" w:hAnsi="Cambria"/>
          <w:sz w:val="22"/>
          <w:szCs w:val="22"/>
        </w:rPr>
        <w:t xml:space="preserve">strengthening community cohesion and resilience against IS-affiliated groups, by </w:t>
      </w:r>
    </w:p>
    <w:p w14:paraId="45442B8C" w14:textId="77777777" w:rsidR="00282BCD" w:rsidRPr="00D058C1" w:rsidRDefault="00282BCD" w:rsidP="00282BCD">
      <w:pPr>
        <w:ind w:left="720"/>
        <w:rPr>
          <w:rFonts w:ascii="Cambria" w:hAnsi="Cambria"/>
        </w:rPr>
      </w:pPr>
      <w:r w:rsidRPr="00D058C1">
        <w:rPr>
          <w:rFonts w:ascii="Cambria" w:hAnsi="Cambria"/>
          <w:sz w:val="22"/>
          <w:szCs w:val="22"/>
        </w:rPr>
        <w:t xml:space="preserve">undertaking research on the local drivers of violent extremism and helping religious and community leaders to promote messages of tolerance and moderation </w:t>
      </w:r>
    </w:p>
    <w:p w14:paraId="32BE552B" w14:textId="77777777" w:rsidR="00026C62" w:rsidRPr="00D058C1" w:rsidRDefault="00026C62" w:rsidP="00026C62">
      <w:pPr>
        <w:rPr>
          <w:rFonts w:ascii="Cambria" w:hAnsi="Cambria" w:cs="Arial"/>
          <w:i/>
          <w:iCs/>
          <w:sz w:val="22"/>
          <w:szCs w:val="22"/>
        </w:rPr>
      </w:pPr>
    </w:p>
    <w:p w14:paraId="6347677C" w14:textId="6242AB9B" w:rsidR="00282BCD" w:rsidRPr="00D058C1" w:rsidRDefault="00282BCD" w:rsidP="00026C62">
      <w:pPr>
        <w:rPr>
          <w:rFonts w:ascii="Cambria" w:hAnsi="Cambria"/>
        </w:rPr>
      </w:pPr>
      <w:r w:rsidRPr="00D058C1">
        <w:rPr>
          <w:rFonts w:ascii="Cambria" w:hAnsi="Cambria" w:cs="Arial"/>
          <w:i/>
          <w:iCs/>
          <w:sz w:val="22"/>
          <w:szCs w:val="22"/>
        </w:rPr>
        <w:t xml:space="preserve">The Institute for Autonomy and Governance: </w:t>
      </w:r>
    </w:p>
    <w:p w14:paraId="1A55A48B" w14:textId="77777777" w:rsidR="00026C62" w:rsidRPr="00D058C1" w:rsidRDefault="00282BCD" w:rsidP="00026C62">
      <w:pPr>
        <w:numPr>
          <w:ilvl w:val="0"/>
          <w:numId w:val="42"/>
        </w:numPr>
        <w:rPr>
          <w:rFonts w:ascii="Cambria" w:hAnsi="Cambria"/>
        </w:rPr>
      </w:pPr>
      <w:r w:rsidRPr="00D058C1">
        <w:rPr>
          <w:rFonts w:ascii="Cambria" w:hAnsi="Cambria"/>
          <w:sz w:val="22"/>
          <w:szCs w:val="22"/>
        </w:rPr>
        <w:t xml:space="preserve">promote inclusive participation in the peace process and political dialogue, including engagement by local and provincial governments, traditional leaders and women </w:t>
      </w:r>
    </w:p>
    <w:p w14:paraId="24111F3E" w14:textId="61768192" w:rsidR="00282BCD" w:rsidRPr="00D058C1" w:rsidRDefault="00282BCD" w:rsidP="00026C62">
      <w:pPr>
        <w:numPr>
          <w:ilvl w:val="0"/>
          <w:numId w:val="42"/>
        </w:numPr>
        <w:rPr>
          <w:rFonts w:ascii="Cambria" w:hAnsi="Cambria"/>
        </w:rPr>
      </w:pPr>
      <w:r w:rsidRPr="00D058C1">
        <w:rPr>
          <w:rFonts w:ascii="Cambria" w:hAnsi="Cambria"/>
          <w:sz w:val="22"/>
          <w:szCs w:val="22"/>
        </w:rPr>
        <w:t xml:space="preserve">research partnership with religious leaders on Islamic schools and teaching in the BARMM </w:t>
      </w:r>
    </w:p>
    <w:p w14:paraId="3684D10F" w14:textId="77777777" w:rsidR="00026C62" w:rsidRPr="00D058C1" w:rsidRDefault="00026C62" w:rsidP="00026C62">
      <w:pPr>
        <w:rPr>
          <w:rFonts w:ascii="Cambria" w:hAnsi="Cambria" w:cs="Arial"/>
          <w:i/>
          <w:iCs/>
          <w:sz w:val="22"/>
          <w:szCs w:val="22"/>
        </w:rPr>
      </w:pPr>
    </w:p>
    <w:p w14:paraId="3FE8450C" w14:textId="62962E8D" w:rsidR="00282BCD" w:rsidRPr="00D058C1" w:rsidRDefault="00282BCD" w:rsidP="00026C62">
      <w:pPr>
        <w:rPr>
          <w:rFonts w:ascii="Cambria" w:hAnsi="Cambria"/>
        </w:rPr>
      </w:pPr>
      <w:r w:rsidRPr="00D058C1">
        <w:rPr>
          <w:rFonts w:ascii="Cambria" w:hAnsi="Cambria" w:cs="Arial"/>
          <w:i/>
          <w:iCs/>
          <w:sz w:val="22"/>
          <w:szCs w:val="22"/>
        </w:rPr>
        <w:t xml:space="preserve">Centre for Humanitarian Dialogue: </w:t>
      </w:r>
    </w:p>
    <w:p w14:paraId="4CADA7B0" w14:textId="4192F77E" w:rsidR="00282BCD" w:rsidRPr="00D058C1" w:rsidRDefault="00282BCD" w:rsidP="00282BCD">
      <w:pPr>
        <w:numPr>
          <w:ilvl w:val="0"/>
          <w:numId w:val="43"/>
        </w:numPr>
        <w:rPr>
          <w:rFonts w:ascii="Cambria" w:hAnsi="Cambria"/>
        </w:rPr>
      </w:pPr>
      <w:r w:rsidRPr="00D058C1">
        <w:rPr>
          <w:rFonts w:ascii="Cambria" w:hAnsi="Cambria"/>
          <w:sz w:val="22"/>
          <w:szCs w:val="22"/>
        </w:rPr>
        <w:t xml:space="preserve">promoting convergence within Moro National Liberation Front (MNLF) factions and between the MNLF and MILF </w:t>
      </w:r>
    </w:p>
    <w:p w14:paraId="09D091CE" w14:textId="77777777" w:rsidR="00026C62" w:rsidRPr="00D058C1" w:rsidRDefault="00282BCD" w:rsidP="00026C62">
      <w:pPr>
        <w:numPr>
          <w:ilvl w:val="0"/>
          <w:numId w:val="43"/>
        </w:numPr>
        <w:rPr>
          <w:rFonts w:ascii="Cambria" w:hAnsi="Cambria"/>
        </w:rPr>
      </w:pPr>
      <w:r w:rsidRPr="00D058C1">
        <w:rPr>
          <w:rFonts w:ascii="Cambria" w:hAnsi="Cambria"/>
          <w:sz w:val="22"/>
          <w:szCs w:val="22"/>
        </w:rPr>
        <w:t xml:space="preserve">supporting inclusion of </w:t>
      </w:r>
      <w:proofErr w:type="spellStart"/>
      <w:r w:rsidRPr="00D058C1">
        <w:rPr>
          <w:rFonts w:ascii="Cambria" w:hAnsi="Cambria"/>
          <w:sz w:val="22"/>
          <w:szCs w:val="22"/>
        </w:rPr>
        <w:t>marginalised</w:t>
      </w:r>
      <w:proofErr w:type="spellEnd"/>
      <w:r w:rsidRPr="00D058C1">
        <w:rPr>
          <w:rFonts w:ascii="Cambria" w:hAnsi="Cambria"/>
          <w:sz w:val="22"/>
          <w:szCs w:val="22"/>
        </w:rPr>
        <w:t xml:space="preserve"> groups in the peace process and political dialogue </w:t>
      </w:r>
    </w:p>
    <w:p w14:paraId="4B7FDC15" w14:textId="77777777" w:rsidR="00026C62" w:rsidRPr="00D058C1" w:rsidRDefault="00282BCD" w:rsidP="00026C62">
      <w:pPr>
        <w:numPr>
          <w:ilvl w:val="0"/>
          <w:numId w:val="43"/>
        </w:numPr>
        <w:rPr>
          <w:rFonts w:ascii="Cambria" w:hAnsi="Cambria"/>
        </w:rPr>
      </w:pPr>
      <w:r w:rsidRPr="00D058C1">
        <w:rPr>
          <w:rFonts w:ascii="Cambria" w:hAnsi="Cambria"/>
          <w:sz w:val="22"/>
          <w:szCs w:val="22"/>
        </w:rPr>
        <w:t xml:space="preserve">reducing land and resource-based violent conflict, by supporting land management planning and clan conflict resolution </w:t>
      </w:r>
    </w:p>
    <w:p w14:paraId="59B1E996" w14:textId="2FDE0FEB" w:rsidR="00282BCD" w:rsidRPr="00D058C1" w:rsidRDefault="00282BCD" w:rsidP="00026C62">
      <w:pPr>
        <w:numPr>
          <w:ilvl w:val="0"/>
          <w:numId w:val="43"/>
        </w:numPr>
        <w:rPr>
          <w:rFonts w:ascii="Cambria" w:hAnsi="Cambria"/>
        </w:rPr>
      </w:pPr>
      <w:r w:rsidRPr="00D058C1">
        <w:rPr>
          <w:rFonts w:ascii="Cambria" w:hAnsi="Cambria"/>
          <w:sz w:val="22"/>
          <w:szCs w:val="22"/>
        </w:rPr>
        <w:t xml:space="preserve">preventing recruitment by and enabling disengagement from extremist groups in the Sulu archipelago </w:t>
      </w:r>
    </w:p>
    <w:p w14:paraId="512B2F14" w14:textId="77777777" w:rsidR="00026C62" w:rsidRPr="00D058C1" w:rsidRDefault="00026C62" w:rsidP="00026C62">
      <w:pPr>
        <w:rPr>
          <w:rFonts w:ascii="Cambria" w:hAnsi="Cambria" w:cs="Arial"/>
          <w:i/>
          <w:iCs/>
          <w:sz w:val="22"/>
          <w:szCs w:val="22"/>
        </w:rPr>
      </w:pPr>
    </w:p>
    <w:p w14:paraId="195AFC42" w14:textId="7515675C" w:rsidR="00282BCD" w:rsidRPr="00D058C1" w:rsidRDefault="00282BCD" w:rsidP="00026C62">
      <w:pPr>
        <w:rPr>
          <w:rFonts w:ascii="Cambria" w:hAnsi="Cambria"/>
        </w:rPr>
      </w:pPr>
      <w:r w:rsidRPr="00D058C1">
        <w:rPr>
          <w:rFonts w:ascii="Cambria" w:hAnsi="Cambria" w:cs="Arial"/>
          <w:i/>
          <w:iCs/>
          <w:sz w:val="22"/>
          <w:szCs w:val="22"/>
        </w:rPr>
        <w:t xml:space="preserve">Oxfam: </w:t>
      </w:r>
    </w:p>
    <w:p w14:paraId="528C1E82" w14:textId="07397D9E" w:rsidR="00282BCD" w:rsidRPr="00D058C1" w:rsidRDefault="00282BCD" w:rsidP="00282BCD">
      <w:pPr>
        <w:numPr>
          <w:ilvl w:val="0"/>
          <w:numId w:val="43"/>
        </w:numPr>
        <w:rPr>
          <w:rFonts w:ascii="Cambria" w:hAnsi="Cambria"/>
        </w:rPr>
      </w:pPr>
      <w:r w:rsidRPr="00D058C1">
        <w:rPr>
          <w:rFonts w:ascii="Cambria" w:hAnsi="Cambria"/>
          <w:sz w:val="22"/>
          <w:szCs w:val="22"/>
        </w:rPr>
        <w:t xml:space="preserve">women’s empowerment for leadership in development and peace in the Bangsamoro </w:t>
      </w:r>
    </w:p>
    <w:p w14:paraId="647B3359" w14:textId="1A981912" w:rsidR="00282BCD" w:rsidRPr="00D058C1" w:rsidRDefault="00282BCD" w:rsidP="00282BCD">
      <w:pPr>
        <w:rPr>
          <w:rFonts w:ascii="Cambria" w:hAnsi="Cambria"/>
        </w:rPr>
      </w:pPr>
    </w:p>
    <w:p w14:paraId="3D8BDF7C" w14:textId="77777777" w:rsidR="00282BCD" w:rsidRPr="00D058C1" w:rsidRDefault="00282BCD" w:rsidP="00282BCD">
      <w:pPr>
        <w:rPr>
          <w:rFonts w:ascii="Cambria" w:hAnsi="Cambria"/>
          <w:u w:val="single"/>
        </w:rPr>
      </w:pPr>
      <w:r w:rsidRPr="00D058C1">
        <w:rPr>
          <w:rFonts w:ascii="Cambria" w:hAnsi="Cambria" w:cs="Arial"/>
          <w:i/>
          <w:iCs/>
          <w:sz w:val="22"/>
          <w:szCs w:val="22"/>
          <w:u w:val="single"/>
        </w:rPr>
        <w:t xml:space="preserve">Multilateral activities </w:t>
      </w:r>
    </w:p>
    <w:p w14:paraId="705F3DA0" w14:textId="77777777" w:rsidR="00A74A64" w:rsidRPr="00D058C1" w:rsidRDefault="00A74A64" w:rsidP="00282BCD">
      <w:pPr>
        <w:rPr>
          <w:rFonts w:ascii="Cambria" w:hAnsi="Cambria" w:cs="Arial"/>
          <w:i/>
          <w:iCs/>
          <w:sz w:val="22"/>
          <w:szCs w:val="22"/>
        </w:rPr>
      </w:pPr>
    </w:p>
    <w:p w14:paraId="3A09660C" w14:textId="1F3C88F7" w:rsidR="00282BCD" w:rsidRPr="00D058C1" w:rsidRDefault="00282BCD" w:rsidP="00282BCD">
      <w:pPr>
        <w:rPr>
          <w:rFonts w:ascii="Cambria" w:hAnsi="Cambria"/>
        </w:rPr>
      </w:pPr>
      <w:r w:rsidRPr="00D058C1">
        <w:rPr>
          <w:rFonts w:ascii="Cambria" w:hAnsi="Cambria" w:cs="Arial"/>
          <w:i/>
          <w:iCs/>
          <w:sz w:val="22"/>
          <w:szCs w:val="22"/>
        </w:rPr>
        <w:t xml:space="preserve">Mindanao Trust Fund (MTF) – World Bank ($10.5 million, June 2005 – June 2019) </w:t>
      </w:r>
    </w:p>
    <w:p w14:paraId="159CB793" w14:textId="482071F5" w:rsidR="00282BCD" w:rsidRPr="00D058C1" w:rsidRDefault="00282BCD" w:rsidP="00282BCD">
      <w:pPr>
        <w:numPr>
          <w:ilvl w:val="0"/>
          <w:numId w:val="44"/>
        </w:numPr>
        <w:rPr>
          <w:rFonts w:ascii="Cambria" w:hAnsi="Cambria"/>
        </w:rPr>
      </w:pPr>
      <w:r w:rsidRPr="00D058C1">
        <w:rPr>
          <w:rFonts w:ascii="Cambria" w:hAnsi="Cambria"/>
          <w:sz w:val="22"/>
          <w:szCs w:val="22"/>
        </w:rPr>
        <w:t xml:space="preserve">delivering community-led development and reconstruction projects and support for livelihoods in conflicted-affected communities, including in MILF camps </w:t>
      </w:r>
    </w:p>
    <w:p w14:paraId="383B3461" w14:textId="7076B6E9" w:rsidR="00282BCD" w:rsidRPr="00D058C1" w:rsidRDefault="00282BCD" w:rsidP="00282BCD">
      <w:pPr>
        <w:numPr>
          <w:ilvl w:val="0"/>
          <w:numId w:val="44"/>
        </w:numPr>
        <w:rPr>
          <w:rFonts w:ascii="Cambria" w:hAnsi="Cambria"/>
        </w:rPr>
      </w:pPr>
      <w:r w:rsidRPr="00D058C1">
        <w:rPr>
          <w:rFonts w:ascii="Cambria" w:hAnsi="Cambria"/>
          <w:sz w:val="22"/>
          <w:szCs w:val="22"/>
        </w:rPr>
        <w:t xml:space="preserve">development in camp communities will create economic opportunities, mitigating the risk of combatants leaving for economic reasons to join IS-affiliated groups </w:t>
      </w:r>
    </w:p>
    <w:p w14:paraId="60DE6A04" w14:textId="77777777" w:rsidR="00A74A64" w:rsidRPr="00D058C1" w:rsidRDefault="00A74A64" w:rsidP="00A74A64">
      <w:pPr>
        <w:rPr>
          <w:rFonts w:ascii="Cambria" w:hAnsi="Cambria" w:cs="Arial"/>
          <w:i/>
          <w:iCs/>
          <w:sz w:val="22"/>
          <w:szCs w:val="22"/>
        </w:rPr>
      </w:pPr>
    </w:p>
    <w:p w14:paraId="52554CFF" w14:textId="280848D2" w:rsidR="00282BCD" w:rsidRPr="00D058C1" w:rsidRDefault="00282BCD" w:rsidP="00A74A64">
      <w:pPr>
        <w:rPr>
          <w:rFonts w:ascii="Cambria" w:hAnsi="Cambria"/>
        </w:rPr>
      </w:pPr>
      <w:r w:rsidRPr="00D058C1">
        <w:rPr>
          <w:rFonts w:ascii="Cambria" w:hAnsi="Cambria" w:cs="Arial"/>
          <w:i/>
          <w:iCs/>
          <w:sz w:val="22"/>
          <w:szCs w:val="22"/>
        </w:rPr>
        <w:t>Peace and Reconciliation Initiatives for Empowerment in the Bangsamoro</w:t>
      </w:r>
      <w:r w:rsidR="00A74A64" w:rsidRPr="00D058C1">
        <w:rPr>
          <w:rFonts w:ascii="Cambria" w:hAnsi="Cambria" w:cs="Arial"/>
          <w:i/>
          <w:iCs/>
          <w:sz w:val="22"/>
          <w:szCs w:val="22"/>
        </w:rPr>
        <w:t xml:space="preserve"> </w:t>
      </w:r>
      <w:r w:rsidRPr="00D058C1">
        <w:rPr>
          <w:rFonts w:ascii="Cambria" w:hAnsi="Cambria" w:cs="Arial"/>
          <w:i/>
          <w:iCs/>
          <w:sz w:val="22"/>
          <w:szCs w:val="22"/>
        </w:rPr>
        <w:t xml:space="preserve">(PRIME- Bangsamoro) – UNDP </w:t>
      </w:r>
      <w:r w:rsidRPr="00D058C1">
        <w:rPr>
          <w:rFonts w:ascii="Cambria" w:hAnsi="Cambria"/>
          <w:sz w:val="22"/>
          <w:szCs w:val="22"/>
        </w:rPr>
        <w:t xml:space="preserve">($3 million, May 2016 – June 2018) </w:t>
      </w:r>
    </w:p>
    <w:p w14:paraId="2D77B1B9" w14:textId="7A0B0AA6" w:rsidR="00282BCD" w:rsidRPr="00D058C1" w:rsidRDefault="00282BCD" w:rsidP="00282BCD">
      <w:pPr>
        <w:numPr>
          <w:ilvl w:val="0"/>
          <w:numId w:val="45"/>
        </w:numPr>
        <w:rPr>
          <w:rFonts w:ascii="Cambria" w:hAnsi="Cambria"/>
        </w:rPr>
      </w:pPr>
      <w:r w:rsidRPr="00D058C1">
        <w:rPr>
          <w:rFonts w:ascii="Cambria" w:hAnsi="Cambria"/>
          <w:sz w:val="22"/>
          <w:szCs w:val="22"/>
        </w:rPr>
        <w:t xml:space="preserve">supporting the transformation of the MILF and MNLF from armed groups to political actors </w:t>
      </w:r>
    </w:p>
    <w:p w14:paraId="63E9CCF0" w14:textId="457F6443" w:rsidR="00282BCD" w:rsidRPr="00D058C1" w:rsidRDefault="00282BCD" w:rsidP="00282BCD">
      <w:pPr>
        <w:numPr>
          <w:ilvl w:val="0"/>
          <w:numId w:val="45"/>
        </w:numPr>
        <w:rPr>
          <w:rFonts w:ascii="Cambria" w:hAnsi="Cambria"/>
        </w:rPr>
      </w:pPr>
      <w:r w:rsidRPr="00D058C1">
        <w:rPr>
          <w:rFonts w:ascii="Cambria" w:hAnsi="Cambria"/>
          <w:sz w:val="22"/>
          <w:szCs w:val="22"/>
        </w:rPr>
        <w:lastRenderedPageBreak/>
        <w:t xml:space="preserve">supporting political aspects of the peace process, including mediating the passage of a law through congress to establish the Bangsamoro </w:t>
      </w:r>
    </w:p>
    <w:p w14:paraId="1B67FF03" w14:textId="2A484CE0" w:rsidR="00282BCD" w:rsidRPr="00D058C1" w:rsidRDefault="00282BCD" w:rsidP="00282BCD">
      <w:pPr>
        <w:numPr>
          <w:ilvl w:val="0"/>
          <w:numId w:val="45"/>
        </w:numPr>
        <w:rPr>
          <w:rFonts w:ascii="Cambria" w:hAnsi="Cambria"/>
        </w:rPr>
      </w:pPr>
      <w:r w:rsidRPr="00D058C1">
        <w:rPr>
          <w:rFonts w:ascii="Cambria" w:hAnsi="Cambria"/>
          <w:sz w:val="22"/>
          <w:szCs w:val="22"/>
        </w:rPr>
        <w:t xml:space="preserve">working with local NGOs to address </w:t>
      </w:r>
      <w:proofErr w:type="spellStart"/>
      <w:r w:rsidRPr="00D058C1">
        <w:rPr>
          <w:rFonts w:ascii="Cambria" w:hAnsi="Cambria"/>
          <w:sz w:val="22"/>
          <w:szCs w:val="22"/>
        </w:rPr>
        <w:t>radicalisation</w:t>
      </w:r>
      <w:proofErr w:type="spellEnd"/>
      <w:r w:rsidRPr="00D058C1">
        <w:rPr>
          <w:rFonts w:ascii="Cambria" w:hAnsi="Cambria"/>
          <w:sz w:val="22"/>
          <w:szCs w:val="22"/>
        </w:rPr>
        <w:t xml:space="preserve"> and violent extremism </w:t>
      </w:r>
    </w:p>
    <w:p w14:paraId="606F0C6D" w14:textId="77777777" w:rsidR="00A74A64" w:rsidRPr="00D058C1" w:rsidRDefault="00A74A64" w:rsidP="00A74A64">
      <w:pPr>
        <w:rPr>
          <w:rFonts w:ascii="Cambria" w:hAnsi="Cambria" w:cs="Arial"/>
          <w:i/>
          <w:iCs/>
          <w:sz w:val="22"/>
          <w:szCs w:val="22"/>
        </w:rPr>
      </w:pPr>
    </w:p>
    <w:p w14:paraId="7FAED82C" w14:textId="34EF6E81" w:rsidR="00282BCD" w:rsidRPr="00D058C1" w:rsidRDefault="00282BCD" w:rsidP="00A74A64">
      <w:pPr>
        <w:rPr>
          <w:rFonts w:ascii="Cambria" w:hAnsi="Cambria"/>
        </w:rPr>
      </w:pPr>
      <w:r w:rsidRPr="00D058C1">
        <w:rPr>
          <w:rFonts w:ascii="Cambria" w:hAnsi="Cambria" w:cs="Arial"/>
          <w:i/>
          <w:iCs/>
          <w:sz w:val="22"/>
          <w:szCs w:val="22"/>
        </w:rPr>
        <w:t xml:space="preserve">Stabilization, Recovery and Transformation for Peace (START-PEACE)—UNDP ($5.5 million, April 2019 – April 2022) </w:t>
      </w:r>
    </w:p>
    <w:p w14:paraId="71A81820" w14:textId="1F5FAFFE" w:rsidR="00282BCD" w:rsidRPr="00D058C1" w:rsidRDefault="00282BCD" w:rsidP="00282BCD">
      <w:pPr>
        <w:numPr>
          <w:ilvl w:val="0"/>
          <w:numId w:val="46"/>
        </w:numPr>
        <w:rPr>
          <w:rFonts w:ascii="Cambria" w:hAnsi="Cambria"/>
        </w:rPr>
      </w:pPr>
      <w:r w:rsidRPr="00D058C1">
        <w:rPr>
          <w:rFonts w:ascii="Cambria" w:hAnsi="Cambria"/>
          <w:sz w:val="22"/>
          <w:szCs w:val="22"/>
        </w:rPr>
        <w:t xml:space="preserve">preparing the MILF and other Bangsamoro stakeholders for the political transition and on P/CVE </w:t>
      </w:r>
    </w:p>
    <w:p w14:paraId="58B28579" w14:textId="0A7CDDC5" w:rsidR="00282BCD" w:rsidRPr="00D058C1" w:rsidRDefault="00282BCD" w:rsidP="00282BCD">
      <w:pPr>
        <w:numPr>
          <w:ilvl w:val="0"/>
          <w:numId w:val="46"/>
        </w:numPr>
        <w:rPr>
          <w:rFonts w:ascii="Cambria" w:hAnsi="Cambria"/>
        </w:rPr>
      </w:pPr>
      <w:r w:rsidRPr="00D058C1">
        <w:rPr>
          <w:rFonts w:ascii="Cambria" w:hAnsi="Cambria"/>
          <w:sz w:val="22"/>
          <w:szCs w:val="22"/>
        </w:rPr>
        <w:t xml:space="preserve">establishing a School for Peace and Democracy, an institution that will deliver governance and public administration capacity building to the MILF and other Moro groups participating in the Bangsamoro government </w:t>
      </w:r>
    </w:p>
    <w:p w14:paraId="53B76AEB" w14:textId="4B6B3C21" w:rsidR="00282BCD" w:rsidRPr="00D058C1" w:rsidRDefault="00282BCD" w:rsidP="00282BCD">
      <w:pPr>
        <w:numPr>
          <w:ilvl w:val="0"/>
          <w:numId w:val="46"/>
        </w:numPr>
        <w:rPr>
          <w:rFonts w:ascii="Cambria" w:hAnsi="Cambria"/>
        </w:rPr>
      </w:pPr>
      <w:r w:rsidRPr="00D058C1">
        <w:rPr>
          <w:rFonts w:ascii="Cambria" w:hAnsi="Cambria"/>
          <w:sz w:val="22"/>
          <w:szCs w:val="22"/>
        </w:rPr>
        <w:t xml:space="preserve">supporting the </w:t>
      </w:r>
      <w:r w:rsidRPr="00D058C1">
        <w:rPr>
          <w:rFonts w:ascii="Cambria" w:hAnsi="Cambria" w:cs="Arial"/>
          <w:i/>
          <w:iCs/>
          <w:sz w:val="22"/>
          <w:szCs w:val="22"/>
        </w:rPr>
        <w:t xml:space="preserve">Independent Decommissioning Body (IDB) </w:t>
      </w:r>
      <w:r w:rsidRPr="00D058C1">
        <w:rPr>
          <w:rFonts w:ascii="Cambria" w:hAnsi="Cambria"/>
          <w:sz w:val="22"/>
          <w:szCs w:val="22"/>
        </w:rPr>
        <w:t xml:space="preserve">in the decommissioning of combatant forces and putting weapons beyond use </w:t>
      </w:r>
    </w:p>
    <w:p w14:paraId="28E2A7C8" w14:textId="77777777" w:rsidR="00A74A64" w:rsidRPr="00D058C1" w:rsidRDefault="00A74A64" w:rsidP="00A74A64">
      <w:pPr>
        <w:rPr>
          <w:rFonts w:ascii="Cambria" w:hAnsi="Cambria" w:cs="Arial"/>
          <w:i/>
          <w:iCs/>
          <w:sz w:val="22"/>
          <w:szCs w:val="22"/>
        </w:rPr>
      </w:pPr>
    </w:p>
    <w:p w14:paraId="5C47D0F5" w14:textId="77777777" w:rsidR="00A7543F" w:rsidRPr="00D058C1" w:rsidRDefault="00282BCD" w:rsidP="00A74A64">
      <w:pPr>
        <w:rPr>
          <w:rFonts w:ascii="Cambria" w:hAnsi="Cambria" w:cs="Arial"/>
          <w:i/>
          <w:iCs/>
          <w:sz w:val="22"/>
          <w:szCs w:val="22"/>
        </w:rPr>
      </w:pPr>
      <w:r w:rsidRPr="00D058C1">
        <w:rPr>
          <w:rFonts w:ascii="Cambria" w:hAnsi="Cambria" w:cs="Arial"/>
          <w:i/>
          <w:iCs/>
          <w:sz w:val="22"/>
          <w:szCs w:val="22"/>
        </w:rPr>
        <w:t xml:space="preserve">Support to Task Force </w:t>
      </w:r>
      <w:proofErr w:type="spellStart"/>
      <w:r w:rsidRPr="00D058C1">
        <w:rPr>
          <w:rFonts w:ascii="Cambria" w:hAnsi="Cambria" w:cs="Arial"/>
          <w:i/>
          <w:iCs/>
          <w:sz w:val="22"/>
          <w:szCs w:val="22"/>
        </w:rPr>
        <w:t>Bangon</w:t>
      </w:r>
      <w:proofErr w:type="spellEnd"/>
      <w:r w:rsidRPr="00D058C1">
        <w:rPr>
          <w:rFonts w:ascii="Cambria" w:hAnsi="Cambria" w:cs="Arial"/>
          <w:i/>
          <w:iCs/>
          <w:sz w:val="22"/>
          <w:szCs w:val="22"/>
        </w:rPr>
        <w:t xml:space="preserve"> </w:t>
      </w:r>
      <w:proofErr w:type="spellStart"/>
      <w:r w:rsidRPr="00D058C1">
        <w:rPr>
          <w:rFonts w:ascii="Cambria" w:hAnsi="Cambria" w:cs="Arial"/>
          <w:i/>
          <w:iCs/>
          <w:sz w:val="22"/>
          <w:szCs w:val="22"/>
        </w:rPr>
        <w:t>Marawi</w:t>
      </w:r>
      <w:proofErr w:type="spellEnd"/>
      <w:r w:rsidRPr="00D058C1">
        <w:rPr>
          <w:rFonts w:ascii="Cambria" w:hAnsi="Cambria" w:cs="Arial"/>
          <w:i/>
          <w:iCs/>
          <w:sz w:val="22"/>
          <w:szCs w:val="22"/>
        </w:rPr>
        <w:t xml:space="preserve"> (TFBM): </w:t>
      </w:r>
    </w:p>
    <w:p w14:paraId="36BB0D19" w14:textId="1DB54A96" w:rsidR="00282BCD" w:rsidRPr="00D058C1" w:rsidRDefault="00282BCD" w:rsidP="00A7543F">
      <w:pPr>
        <w:pStyle w:val="ListParagraph"/>
        <w:numPr>
          <w:ilvl w:val="0"/>
          <w:numId w:val="50"/>
        </w:numPr>
        <w:rPr>
          <w:rFonts w:ascii="Cambria" w:hAnsi="Cambria"/>
          <w:sz w:val="22"/>
          <w:szCs w:val="22"/>
        </w:rPr>
      </w:pPr>
      <w:r w:rsidRPr="00D058C1">
        <w:rPr>
          <w:rFonts w:ascii="Cambria" w:hAnsi="Cambria" w:cs="Arial"/>
          <w:i/>
          <w:iCs/>
          <w:sz w:val="22"/>
          <w:szCs w:val="22"/>
        </w:rPr>
        <w:t xml:space="preserve">World Bank ($2.3 million, 2017 -2019) </w:t>
      </w:r>
      <w:r w:rsidRPr="00D058C1">
        <w:rPr>
          <w:rFonts w:ascii="Cambria" w:hAnsi="Cambria"/>
          <w:sz w:val="22"/>
          <w:szCs w:val="22"/>
        </w:rPr>
        <w:t>–</w:t>
      </w:r>
      <w:r w:rsidR="00A7543F" w:rsidRPr="00D058C1">
        <w:rPr>
          <w:rFonts w:ascii="Cambria" w:hAnsi="Cambria"/>
          <w:sz w:val="22"/>
          <w:szCs w:val="22"/>
        </w:rPr>
        <w:t xml:space="preserve"> </w:t>
      </w:r>
      <w:r w:rsidRPr="00D058C1">
        <w:rPr>
          <w:rFonts w:ascii="Cambria" w:hAnsi="Cambria"/>
          <w:sz w:val="22"/>
          <w:szCs w:val="22"/>
        </w:rPr>
        <w:t>providing the Philippine Government</w:t>
      </w:r>
      <w:r w:rsidR="00A7543F" w:rsidRPr="00D058C1">
        <w:rPr>
          <w:rFonts w:ascii="Cambria" w:hAnsi="Cambria"/>
          <w:sz w:val="22"/>
          <w:szCs w:val="22"/>
        </w:rPr>
        <w:t xml:space="preserve"> </w:t>
      </w:r>
      <w:r w:rsidRPr="00D058C1">
        <w:rPr>
          <w:rFonts w:ascii="Cambria" w:hAnsi="Cambria"/>
          <w:sz w:val="22"/>
          <w:szCs w:val="22"/>
        </w:rPr>
        <w:t xml:space="preserve">with technical assistance and advisory services on the recovery, reconstruction and rehabilitation of Marawi City, including on resolving contested land titles </w:t>
      </w:r>
    </w:p>
    <w:p w14:paraId="1163E5F9" w14:textId="77777777" w:rsidR="00A7543F" w:rsidRPr="00D058C1" w:rsidRDefault="00A7543F" w:rsidP="00282BCD">
      <w:pPr>
        <w:rPr>
          <w:rFonts w:ascii="Cambria" w:hAnsi="Cambria" w:cs="Arial"/>
          <w:i/>
          <w:iCs/>
          <w:sz w:val="22"/>
          <w:szCs w:val="22"/>
        </w:rPr>
      </w:pPr>
    </w:p>
    <w:p w14:paraId="40F24795" w14:textId="4EFB1510" w:rsidR="00282BCD" w:rsidRPr="00D058C1" w:rsidRDefault="00282BCD" w:rsidP="00282BCD">
      <w:pPr>
        <w:rPr>
          <w:rFonts w:ascii="Cambria" w:hAnsi="Cambria"/>
        </w:rPr>
      </w:pPr>
      <w:r w:rsidRPr="00D058C1">
        <w:rPr>
          <w:rFonts w:ascii="Cambria" w:hAnsi="Cambria" w:cs="Arial"/>
          <w:i/>
          <w:iCs/>
          <w:sz w:val="22"/>
          <w:szCs w:val="22"/>
        </w:rPr>
        <w:t xml:space="preserve">Support Preventing Violent Extremism in Asia-- </w:t>
      </w:r>
      <w:r w:rsidRPr="00D058C1">
        <w:rPr>
          <w:rFonts w:ascii="Cambria" w:hAnsi="Cambria"/>
          <w:sz w:val="22"/>
          <w:szCs w:val="22"/>
        </w:rPr>
        <w:t xml:space="preserve">Global Community Engagement Resilience Fund (GCERF) </w:t>
      </w:r>
      <w:r w:rsidRPr="00D058C1">
        <w:rPr>
          <w:rFonts w:ascii="Cambria" w:hAnsi="Cambria" w:cs="Arial"/>
          <w:i/>
          <w:iCs/>
          <w:sz w:val="22"/>
          <w:szCs w:val="22"/>
        </w:rPr>
        <w:t xml:space="preserve">($2 million, April 2019—June 2020) </w:t>
      </w:r>
    </w:p>
    <w:p w14:paraId="29B0EE41" w14:textId="2F3B993C" w:rsidR="00282BCD" w:rsidRPr="00D058C1" w:rsidRDefault="00282BCD" w:rsidP="00A7543F">
      <w:pPr>
        <w:pStyle w:val="ListParagraph"/>
        <w:numPr>
          <w:ilvl w:val="0"/>
          <w:numId w:val="50"/>
        </w:numPr>
        <w:rPr>
          <w:rFonts w:ascii="Cambria" w:hAnsi="Cambria"/>
        </w:rPr>
      </w:pPr>
      <w:r w:rsidRPr="00D058C1">
        <w:rPr>
          <w:rFonts w:ascii="Cambria" w:hAnsi="Cambria"/>
          <w:sz w:val="22"/>
          <w:szCs w:val="22"/>
        </w:rPr>
        <w:t xml:space="preserve">in partnership with the Philippines Department of the Interior and Local Government (DILG) it is supporting a grants program for activities that will address local drivers of VE (social cohesion, community agency, equal access opportunities, and sense of purpose) </w:t>
      </w:r>
    </w:p>
    <w:p w14:paraId="1FB0481C" w14:textId="77777777" w:rsidR="00A7543F" w:rsidRPr="00D058C1" w:rsidRDefault="00A7543F" w:rsidP="00282BCD">
      <w:pPr>
        <w:rPr>
          <w:rFonts w:ascii="Cambria" w:hAnsi="Cambria" w:cs="Arial"/>
          <w:i/>
          <w:iCs/>
          <w:sz w:val="22"/>
          <w:szCs w:val="22"/>
        </w:rPr>
      </w:pPr>
    </w:p>
    <w:p w14:paraId="03B10643" w14:textId="5E87ED87" w:rsidR="00282BCD" w:rsidRPr="00D058C1" w:rsidRDefault="00282BCD" w:rsidP="00282BCD">
      <w:pPr>
        <w:rPr>
          <w:rFonts w:ascii="Cambria" w:hAnsi="Cambria"/>
          <w:u w:val="single"/>
        </w:rPr>
      </w:pPr>
      <w:r w:rsidRPr="00D058C1">
        <w:rPr>
          <w:rFonts w:ascii="Cambria" w:hAnsi="Cambria" w:cs="Arial"/>
          <w:i/>
          <w:iCs/>
          <w:sz w:val="22"/>
          <w:szCs w:val="22"/>
          <w:u w:val="single"/>
        </w:rPr>
        <w:t xml:space="preserve">Small value activities delivered through the Flexible Peace and Stability Fund </w:t>
      </w:r>
    </w:p>
    <w:p w14:paraId="3949F93A" w14:textId="041257FD" w:rsidR="00282BCD" w:rsidRPr="00D058C1" w:rsidRDefault="00282BCD" w:rsidP="00282BCD">
      <w:pPr>
        <w:numPr>
          <w:ilvl w:val="0"/>
          <w:numId w:val="47"/>
        </w:numPr>
        <w:rPr>
          <w:rFonts w:ascii="Cambria" w:hAnsi="Cambria"/>
        </w:rPr>
      </w:pPr>
      <w:r w:rsidRPr="00D058C1">
        <w:rPr>
          <w:rFonts w:ascii="Cambria" w:hAnsi="Cambria" w:cs="Arial"/>
          <w:i/>
          <w:iCs/>
          <w:sz w:val="22"/>
          <w:szCs w:val="22"/>
        </w:rPr>
        <w:t>International Crisis Group</w:t>
      </w:r>
      <w:r w:rsidRPr="00D058C1">
        <w:rPr>
          <w:rFonts w:ascii="Cambria" w:hAnsi="Cambria"/>
          <w:sz w:val="22"/>
          <w:szCs w:val="22"/>
        </w:rPr>
        <w:t xml:space="preserve">: research project on new militancy in South East Asia to investigate links between extremist groups </w:t>
      </w:r>
    </w:p>
    <w:p w14:paraId="65EB0B72" w14:textId="1E17D961" w:rsidR="00282BCD" w:rsidRPr="00D058C1" w:rsidRDefault="00282BCD" w:rsidP="00282BCD">
      <w:pPr>
        <w:numPr>
          <w:ilvl w:val="0"/>
          <w:numId w:val="47"/>
        </w:numPr>
        <w:rPr>
          <w:rFonts w:ascii="Cambria" w:hAnsi="Cambria"/>
        </w:rPr>
      </w:pPr>
      <w:r w:rsidRPr="00D058C1">
        <w:rPr>
          <w:rFonts w:ascii="Cambria" w:hAnsi="Cambria" w:cs="Arial"/>
          <w:i/>
          <w:iCs/>
          <w:sz w:val="22"/>
          <w:szCs w:val="22"/>
        </w:rPr>
        <w:t>The Asia Foundation (Malaysia)</w:t>
      </w:r>
      <w:r w:rsidRPr="00D058C1">
        <w:rPr>
          <w:rFonts w:ascii="Cambria" w:hAnsi="Cambria"/>
          <w:sz w:val="22"/>
          <w:szCs w:val="22"/>
        </w:rPr>
        <w:t xml:space="preserve">: build the capacity of youth leaders in the border regions of Sabah, Malaysia, to counter violent extremist influences, build peace and participate in community law enforcement </w:t>
      </w:r>
    </w:p>
    <w:p w14:paraId="05230B67" w14:textId="7D1A7A6B" w:rsidR="00282BCD" w:rsidRPr="00D058C1" w:rsidRDefault="00282BCD" w:rsidP="00282BCD">
      <w:pPr>
        <w:numPr>
          <w:ilvl w:val="0"/>
          <w:numId w:val="47"/>
        </w:numPr>
        <w:rPr>
          <w:rFonts w:ascii="Cambria" w:hAnsi="Cambria"/>
        </w:rPr>
      </w:pPr>
      <w:r w:rsidRPr="00D058C1">
        <w:rPr>
          <w:rFonts w:ascii="Cambria" w:hAnsi="Cambria" w:cs="Arial"/>
          <w:i/>
          <w:iCs/>
          <w:sz w:val="22"/>
          <w:szCs w:val="22"/>
        </w:rPr>
        <w:t xml:space="preserve">The Asia Foundation and </w:t>
      </w:r>
      <w:proofErr w:type="spellStart"/>
      <w:r w:rsidRPr="00D058C1">
        <w:rPr>
          <w:rFonts w:ascii="Cambria" w:hAnsi="Cambria" w:cs="Arial"/>
          <w:i/>
          <w:iCs/>
          <w:sz w:val="22"/>
          <w:szCs w:val="22"/>
        </w:rPr>
        <w:t>Balay</w:t>
      </w:r>
      <w:proofErr w:type="spellEnd"/>
      <w:r w:rsidRPr="00D058C1">
        <w:rPr>
          <w:rFonts w:ascii="Cambria" w:hAnsi="Cambria" w:cs="Arial"/>
          <w:i/>
          <w:iCs/>
          <w:sz w:val="22"/>
          <w:szCs w:val="22"/>
        </w:rPr>
        <w:t xml:space="preserve"> </w:t>
      </w:r>
      <w:proofErr w:type="spellStart"/>
      <w:r w:rsidRPr="00D058C1">
        <w:rPr>
          <w:rFonts w:ascii="Cambria" w:hAnsi="Cambria" w:cs="Arial"/>
          <w:i/>
          <w:iCs/>
          <w:sz w:val="22"/>
          <w:szCs w:val="22"/>
        </w:rPr>
        <w:t>Mindanaw</w:t>
      </w:r>
      <w:proofErr w:type="spellEnd"/>
      <w:r w:rsidRPr="00D058C1">
        <w:rPr>
          <w:rFonts w:ascii="Cambria" w:hAnsi="Cambria" w:cs="Arial"/>
          <w:i/>
          <w:iCs/>
          <w:sz w:val="22"/>
          <w:szCs w:val="22"/>
        </w:rPr>
        <w:t xml:space="preserve"> Foundation--Communities of Inclusion and Resilience through Collaborative Local Engagements (Project CIRCLE): </w:t>
      </w:r>
      <w:r w:rsidRPr="00D058C1">
        <w:rPr>
          <w:rFonts w:ascii="Cambria" w:hAnsi="Cambria"/>
          <w:sz w:val="22"/>
          <w:szCs w:val="22"/>
        </w:rPr>
        <w:t xml:space="preserve">supporting local government units to reduce threats in VE and increase resilience of communities </w:t>
      </w:r>
    </w:p>
    <w:p w14:paraId="2C7932FB" w14:textId="2389A1FC" w:rsidR="00282BCD" w:rsidRPr="00D058C1" w:rsidRDefault="00282BCD" w:rsidP="00282BCD">
      <w:pPr>
        <w:numPr>
          <w:ilvl w:val="0"/>
          <w:numId w:val="47"/>
        </w:numPr>
        <w:rPr>
          <w:rFonts w:ascii="Cambria" w:hAnsi="Cambria"/>
        </w:rPr>
      </w:pPr>
      <w:r w:rsidRPr="00D058C1">
        <w:rPr>
          <w:rFonts w:ascii="Cambria" w:hAnsi="Cambria" w:cs="Arial"/>
          <w:i/>
          <w:iCs/>
          <w:sz w:val="22"/>
          <w:szCs w:val="22"/>
        </w:rPr>
        <w:t>Ayala Foundation</w:t>
      </w:r>
      <w:r w:rsidRPr="00D058C1">
        <w:rPr>
          <w:rFonts w:ascii="Cambria" w:hAnsi="Cambria"/>
          <w:sz w:val="22"/>
          <w:szCs w:val="22"/>
        </w:rPr>
        <w:t xml:space="preserve">: Bangsamoro Young Leaders Program-Leadership Communities: a youth leadership program in the BARMM that aims to empower and develop youth leaders to provide sustainable solutions addressing the pressing needs of their communities. </w:t>
      </w:r>
    </w:p>
    <w:p w14:paraId="288789BF" w14:textId="32E80F61" w:rsidR="00282BCD" w:rsidRPr="00D058C1" w:rsidRDefault="00282BCD" w:rsidP="00CA6043">
      <w:pPr>
        <w:numPr>
          <w:ilvl w:val="0"/>
          <w:numId w:val="47"/>
        </w:numPr>
        <w:rPr>
          <w:rFonts w:ascii="Cambria" w:hAnsi="Cambria"/>
        </w:rPr>
      </w:pPr>
      <w:proofErr w:type="spellStart"/>
      <w:r w:rsidRPr="00D058C1">
        <w:rPr>
          <w:rFonts w:ascii="Cambria" w:hAnsi="Cambria" w:cs="Arial"/>
          <w:i/>
          <w:iCs/>
          <w:sz w:val="22"/>
          <w:szCs w:val="22"/>
        </w:rPr>
        <w:t>Balay</w:t>
      </w:r>
      <w:proofErr w:type="spellEnd"/>
      <w:r w:rsidRPr="00D058C1">
        <w:rPr>
          <w:rFonts w:ascii="Cambria" w:hAnsi="Cambria" w:cs="Arial"/>
          <w:i/>
          <w:iCs/>
          <w:sz w:val="22"/>
          <w:szCs w:val="22"/>
        </w:rPr>
        <w:t xml:space="preserve"> </w:t>
      </w:r>
      <w:proofErr w:type="spellStart"/>
      <w:r w:rsidRPr="00D058C1">
        <w:rPr>
          <w:rFonts w:ascii="Cambria" w:hAnsi="Cambria" w:cs="Arial"/>
          <w:i/>
          <w:iCs/>
          <w:sz w:val="22"/>
          <w:szCs w:val="22"/>
        </w:rPr>
        <w:t>Mindanaw</w:t>
      </w:r>
      <w:proofErr w:type="spellEnd"/>
      <w:r w:rsidRPr="00D058C1">
        <w:rPr>
          <w:rFonts w:ascii="Cambria" w:hAnsi="Cambria" w:cs="Arial"/>
          <w:i/>
          <w:iCs/>
          <w:sz w:val="22"/>
          <w:szCs w:val="22"/>
        </w:rPr>
        <w:t xml:space="preserve"> Foundation</w:t>
      </w:r>
      <w:r w:rsidRPr="00D058C1">
        <w:rPr>
          <w:rFonts w:ascii="Cambria" w:hAnsi="Cambria"/>
          <w:sz w:val="22"/>
          <w:szCs w:val="22"/>
        </w:rPr>
        <w:t>: reintegration program for Abu Sayyaf returnees in Basilan Bridging leadership for the Office of the Presidential Adviser on Peace, Reconciliation and Unity</w:t>
      </w:r>
    </w:p>
    <w:p w14:paraId="10D52A9A" w14:textId="77777777" w:rsidR="00CA6043" w:rsidRPr="00D058C1" w:rsidRDefault="00CA6043" w:rsidP="006974B7">
      <w:pPr>
        <w:jc w:val="both"/>
        <w:rPr>
          <w:rFonts w:ascii="Cambria" w:hAnsi="Cambria"/>
        </w:rPr>
      </w:pPr>
    </w:p>
    <w:p w14:paraId="1188E482" w14:textId="77777777" w:rsidR="00CA6043" w:rsidRPr="00D058C1" w:rsidRDefault="00CA6043" w:rsidP="001C74B8">
      <w:pPr>
        <w:pStyle w:val="NormalWeb"/>
        <w:spacing w:before="0" w:beforeAutospacing="0" w:after="0" w:afterAutospacing="0"/>
        <w:contextualSpacing/>
        <w:rPr>
          <w:rFonts w:ascii="Cambria" w:hAnsi="Cambria"/>
        </w:rPr>
      </w:pPr>
      <w:r w:rsidRPr="00D058C1">
        <w:rPr>
          <w:rFonts w:ascii="Cambria" w:hAnsi="Cambria" w:cs="Arial"/>
          <w:b/>
          <w:bCs/>
          <w:sz w:val="22"/>
          <w:szCs w:val="22"/>
        </w:rPr>
        <w:t xml:space="preserve">Methodology </w:t>
      </w:r>
    </w:p>
    <w:p w14:paraId="523F0CEE" w14:textId="77777777" w:rsidR="00C519E2" w:rsidRPr="00D058C1" w:rsidRDefault="00C519E2" w:rsidP="001C74B8">
      <w:pPr>
        <w:pStyle w:val="NormalWeb"/>
        <w:spacing w:before="0" w:beforeAutospacing="0" w:after="0" w:afterAutospacing="0"/>
        <w:contextualSpacing/>
        <w:rPr>
          <w:rFonts w:ascii="Cambria" w:hAnsi="Cambria"/>
          <w:sz w:val="22"/>
          <w:szCs w:val="22"/>
        </w:rPr>
      </w:pPr>
    </w:p>
    <w:p w14:paraId="4BB3010E" w14:textId="3956CE8F" w:rsidR="00CA6043" w:rsidRPr="00D058C1" w:rsidRDefault="00CA6043"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While the specific methodologies will be determined by the review team in consultation with Manila Post, it is expected that the review will cover the following approaches: </w:t>
      </w:r>
    </w:p>
    <w:p w14:paraId="2D3C47E9" w14:textId="402C51AF" w:rsidR="00CA6043" w:rsidRPr="00D058C1" w:rsidRDefault="00CA6043" w:rsidP="001C74B8">
      <w:pPr>
        <w:pStyle w:val="NormalWeb"/>
        <w:numPr>
          <w:ilvl w:val="0"/>
          <w:numId w:val="51"/>
        </w:numPr>
        <w:spacing w:before="0" w:beforeAutospacing="0" w:after="0" w:afterAutospacing="0"/>
        <w:contextualSpacing/>
        <w:rPr>
          <w:rFonts w:ascii="Cambria" w:hAnsi="Cambria"/>
        </w:rPr>
      </w:pPr>
      <w:r w:rsidRPr="00D058C1">
        <w:rPr>
          <w:rFonts w:ascii="Cambria" w:hAnsi="Cambria"/>
          <w:sz w:val="22"/>
          <w:szCs w:val="22"/>
        </w:rPr>
        <w:t xml:space="preserve">Document review (as per reference list) </w:t>
      </w:r>
    </w:p>
    <w:p w14:paraId="7C9F769B" w14:textId="5973B3A1" w:rsidR="00CA6043" w:rsidRPr="00D058C1" w:rsidRDefault="00CA6043" w:rsidP="001C74B8">
      <w:pPr>
        <w:pStyle w:val="NormalWeb"/>
        <w:numPr>
          <w:ilvl w:val="0"/>
          <w:numId w:val="51"/>
        </w:numPr>
        <w:spacing w:before="0" w:beforeAutospacing="0" w:after="0" w:afterAutospacing="0"/>
        <w:contextualSpacing/>
        <w:rPr>
          <w:rFonts w:ascii="Cambria" w:hAnsi="Cambria"/>
        </w:rPr>
      </w:pPr>
      <w:r w:rsidRPr="00D058C1">
        <w:rPr>
          <w:rFonts w:ascii="Cambria" w:hAnsi="Cambria"/>
          <w:sz w:val="22"/>
          <w:szCs w:val="22"/>
        </w:rPr>
        <w:lastRenderedPageBreak/>
        <w:t xml:space="preserve">Key informant interviews (suggested list below) </w:t>
      </w:r>
    </w:p>
    <w:p w14:paraId="0C9604A9" w14:textId="17464DE0" w:rsidR="00CA6043" w:rsidRPr="00D058C1" w:rsidRDefault="00CA6043" w:rsidP="001C74B8">
      <w:pPr>
        <w:pStyle w:val="NormalWeb"/>
        <w:numPr>
          <w:ilvl w:val="0"/>
          <w:numId w:val="51"/>
        </w:numPr>
        <w:spacing w:before="0" w:beforeAutospacing="0" w:after="0" w:afterAutospacing="0"/>
        <w:contextualSpacing/>
        <w:rPr>
          <w:rFonts w:ascii="Cambria" w:hAnsi="Cambria"/>
        </w:rPr>
      </w:pPr>
      <w:r w:rsidRPr="00D058C1">
        <w:rPr>
          <w:rFonts w:ascii="Cambria" w:hAnsi="Cambria"/>
          <w:sz w:val="22"/>
          <w:szCs w:val="22"/>
        </w:rPr>
        <w:t xml:space="preserve">Program field visits to project locations (suggestions below) </w:t>
      </w:r>
    </w:p>
    <w:p w14:paraId="42340114" w14:textId="77777777" w:rsidR="00C519E2" w:rsidRPr="00D058C1" w:rsidRDefault="00C519E2" w:rsidP="001C74B8">
      <w:pPr>
        <w:pStyle w:val="NormalWeb"/>
        <w:spacing w:before="0" w:beforeAutospacing="0" w:after="0" w:afterAutospacing="0"/>
        <w:contextualSpacing/>
        <w:rPr>
          <w:rFonts w:ascii="Cambria" w:hAnsi="Cambria"/>
          <w:sz w:val="22"/>
          <w:szCs w:val="22"/>
        </w:rPr>
      </w:pPr>
    </w:p>
    <w:p w14:paraId="59A922FD" w14:textId="57DFDD27" w:rsidR="000A5236" w:rsidRPr="00D058C1" w:rsidRDefault="00CA6043"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Manila Post will provide a briefing to the team on the political context prior to the review mission. </w:t>
      </w:r>
    </w:p>
    <w:p w14:paraId="7B9F6982" w14:textId="4362A846" w:rsidR="000A5236" w:rsidRPr="00D058C1" w:rsidRDefault="00CA6043" w:rsidP="001C74B8">
      <w:pPr>
        <w:pStyle w:val="NormalWeb"/>
        <w:spacing w:before="0" w:beforeAutospacing="0" w:after="0" w:afterAutospacing="0"/>
        <w:contextualSpacing/>
        <w:rPr>
          <w:rFonts w:ascii="Cambria" w:hAnsi="Cambria"/>
          <w:sz w:val="22"/>
          <w:szCs w:val="22"/>
        </w:rPr>
      </w:pPr>
      <w:r w:rsidRPr="00D058C1">
        <w:rPr>
          <w:rFonts w:ascii="Cambria" w:hAnsi="Cambria"/>
          <w:sz w:val="22"/>
          <w:szCs w:val="22"/>
        </w:rPr>
        <w:t>The review will address the following criteria and (indicative) questions:</w:t>
      </w:r>
    </w:p>
    <w:p w14:paraId="65BA9C96" w14:textId="77777777" w:rsidR="00C519E2" w:rsidRPr="00D058C1" w:rsidRDefault="00C519E2" w:rsidP="001C74B8">
      <w:pPr>
        <w:pStyle w:val="NormalWeb"/>
        <w:spacing w:before="0" w:beforeAutospacing="0" w:after="0" w:afterAutospacing="0"/>
        <w:contextualSpacing/>
        <w:rPr>
          <w:rFonts w:ascii="Cambria" w:hAnsi="Cambria"/>
          <w:sz w:val="22"/>
          <w:szCs w:val="22"/>
          <w:u w:val="single"/>
        </w:rPr>
      </w:pPr>
    </w:p>
    <w:p w14:paraId="22C8DC5C" w14:textId="601A22EC" w:rsidR="00CA6043" w:rsidRPr="00D058C1" w:rsidRDefault="00CA6043" w:rsidP="001C74B8">
      <w:pPr>
        <w:pStyle w:val="NormalWeb"/>
        <w:spacing w:before="0" w:beforeAutospacing="0" w:after="0" w:afterAutospacing="0"/>
        <w:contextualSpacing/>
        <w:rPr>
          <w:rFonts w:ascii="Cambria" w:hAnsi="Cambria"/>
        </w:rPr>
      </w:pPr>
      <w:r w:rsidRPr="00D058C1">
        <w:rPr>
          <w:rFonts w:ascii="Cambria" w:hAnsi="Cambria"/>
          <w:sz w:val="22"/>
          <w:szCs w:val="22"/>
          <w:u w:val="single"/>
        </w:rPr>
        <w:t>Effectiveness:</w:t>
      </w:r>
      <w:r w:rsidRPr="00D058C1">
        <w:rPr>
          <w:rFonts w:ascii="Cambria" w:hAnsi="Cambria"/>
          <w:sz w:val="22"/>
          <w:szCs w:val="22"/>
        </w:rPr>
        <w:t xml:space="preserve"> </w:t>
      </w:r>
      <w:r w:rsidRPr="00D058C1">
        <w:rPr>
          <w:rFonts w:ascii="Cambria" w:hAnsi="Cambria" w:cs="Arial"/>
          <w:i/>
          <w:iCs/>
          <w:sz w:val="22"/>
          <w:szCs w:val="22"/>
        </w:rPr>
        <w:t xml:space="preserve">Are we achieving the outputs and outcomes that we expected </w:t>
      </w:r>
      <w:proofErr w:type="gramStart"/>
      <w:r w:rsidRPr="00D058C1">
        <w:rPr>
          <w:rFonts w:ascii="Cambria" w:hAnsi="Cambria" w:cs="Arial"/>
          <w:i/>
          <w:iCs/>
          <w:sz w:val="22"/>
          <w:szCs w:val="22"/>
        </w:rPr>
        <w:t>at this point in</w:t>
      </w:r>
      <w:r w:rsidR="000A5236" w:rsidRPr="00D058C1">
        <w:rPr>
          <w:rFonts w:ascii="Cambria" w:hAnsi="Cambria" w:cs="Arial"/>
          <w:i/>
          <w:iCs/>
          <w:sz w:val="22"/>
          <w:szCs w:val="22"/>
        </w:rPr>
        <w:t xml:space="preserve"> </w:t>
      </w:r>
      <w:r w:rsidRPr="00D058C1">
        <w:rPr>
          <w:rFonts w:ascii="Cambria" w:hAnsi="Cambria" w:cs="Arial"/>
          <w:i/>
          <w:iCs/>
          <w:sz w:val="22"/>
          <w:szCs w:val="22"/>
        </w:rPr>
        <w:t>time</w:t>
      </w:r>
      <w:proofErr w:type="gramEnd"/>
      <w:r w:rsidRPr="00D058C1">
        <w:rPr>
          <w:rFonts w:ascii="Cambria" w:hAnsi="Cambria" w:cs="Arial"/>
          <w:i/>
          <w:iCs/>
          <w:sz w:val="22"/>
          <w:szCs w:val="22"/>
        </w:rPr>
        <w:t xml:space="preserve">? </w:t>
      </w:r>
    </w:p>
    <w:p w14:paraId="0EBA7603" w14:textId="54CB19AE" w:rsidR="00CA6043" w:rsidRPr="00D058C1" w:rsidRDefault="00CA6043" w:rsidP="001C74B8">
      <w:pPr>
        <w:pStyle w:val="NormalWeb"/>
        <w:numPr>
          <w:ilvl w:val="0"/>
          <w:numId w:val="56"/>
        </w:numPr>
        <w:spacing w:before="0" w:beforeAutospacing="0" w:after="0" w:afterAutospacing="0"/>
        <w:contextualSpacing/>
        <w:rPr>
          <w:rFonts w:ascii="Cambria" w:hAnsi="Cambria"/>
        </w:rPr>
      </w:pPr>
      <w:r w:rsidRPr="00D058C1">
        <w:rPr>
          <w:rFonts w:ascii="Cambria" w:hAnsi="Cambria"/>
          <w:sz w:val="22"/>
          <w:szCs w:val="22"/>
        </w:rPr>
        <w:t xml:space="preserve">Is each activity on-track to meet its outcomes and objectives? </w:t>
      </w:r>
    </w:p>
    <w:p w14:paraId="224E1A99" w14:textId="39BE0B2A" w:rsidR="00CA6043" w:rsidRPr="00D058C1" w:rsidRDefault="00CA6043" w:rsidP="001C74B8">
      <w:pPr>
        <w:pStyle w:val="NormalWeb"/>
        <w:numPr>
          <w:ilvl w:val="0"/>
          <w:numId w:val="56"/>
        </w:numPr>
        <w:spacing w:before="0" w:beforeAutospacing="0" w:after="0" w:afterAutospacing="0"/>
        <w:contextualSpacing/>
        <w:rPr>
          <w:rFonts w:ascii="Cambria" w:hAnsi="Cambria"/>
        </w:rPr>
      </w:pPr>
      <w:r w:rsidRPr="00D058C1">
        <w:rPr>
          <w:rFonts w:ascii="Cambria" w:hAnsi="Cambria"/>
          <w:sz w:val="22"/>
          <w:szCs w:val="22"/>
        </w:rPr>
        <w:t xml:space="preserve">What are the benefits and costs of DFAT’s flexible programming strategy, for both implementing partners and for DFAT? </w:t>
      </w:r>
    </w:p>
    <w:p w14:paraId="295F1A54" w14:textId="27BA319F" w:rsidR="00CA6043" w:rsidRPr="00D058C1" w:rsidRDefault="00CA6043" w:rsidP="001C74B8">
      <w:pPr>
        <w:pStyle w:val="NormalWeb"/>
        <w:numPr>
          <w:ilvl w:val="0"/>
          <w:numId w:val="56"/>
        </w:numPr>
        <w:spacing w:before="0" w:beforeAutospacing="0" w:after="0" w:afterAutospacing="0"/>
        <w:contextualSpacing/>
        <w:rPr>
          <w:rFonts w:ascii="Cambria" w:hAnsi="Cambria"/>
        </w:rPr>
      </w:pPr>
      <w:r w:rsidRPr="00D058C1">
        <w:rPr>
          <w:rFonts w:ascii="Cambria" w:hAnsi="Cambria"/>
          <w:sz w:val="22"/>
          <w:szCs w:val="22"/>
        </w:rPr>
        <w:t xml:space="preserve">Is the program </w:t>
      </w:r>
      <w:proofErr w:type="gramStart"/>
      <w:r w:rsidRPr="00D058C1">
        <w:rPr>
          <w:rFonts w:ascii="Cambria" w:hAnsi="Cambria"/>
          <w:sz w:val="22"/>
          <w:szCs w:val="22"/>
        </w:rPr>
        <w:t>as a whole addressing</w:t>
      </w:r>
      <w:proofErr w:type="gramEnd"/>
      <w:r w:rsidRPr="00D058C1">
        <w:rPr>
          <w:rFonts w:ascii="Cambria" w:hAnsi="Cambria"/>
          <w:sz w:val="22"/>
          <w:szCs w:val="22"/>
        </w:rPr>
        <w:t xml:space="preserve"> the drivers of conflict and violence? Does it meet the ‘do no harm’ standard? </w:t>
      </w:r>
    </w:p>
    <w:p w14:paraId="4081CB94" w14:textId="05A645C9" w:rsidR="00CA6043" w:rsidRPr="00D058C1" w:rsidRDefault="00CA6043" w:rsidP="001C74B8">
      <w:pPr>
        <w:pStyle w:val="NormalWeb"/>
        <w:numPr>
          <w:ilvl w:val="0"/>
          <w:numId w:val="56"/>
        </w:numPr>
        <w:spacing w:before="0" w:beforeAutospacing="0" w:after="0" w:afterAutospacing="0"/>
        <w:contextualSpacing/>
        <w:rPr>
          <w:rFonts w:ascii="Cambria" w:hAnsi="Cambria"/>
        </w:rPr>
      </w:pPr>
      <w:r w:rsidRPr="00D058C1">
        <w:rPr>
          <w:rFonts w:ascii="Cambria" w:hAnsi="Cambria"/>
          <w:sz w:val="22"/>
          <w:szCs w:val="22"/>
        </w:rPr>
        <w:t xml:space="preserve">What is the impact of the research activities being supported? Have these been used to inform policies and programs? </w:t>
      </w:r>
    </w:p>
    <w:p w14:paraId="4E6BB60C" w14:textId="78227618" w:rsidR="00CA6043" w:rsidRPr="00D058C1" w:rsidRDefault="00CA6043" w:rsidP="001C74B8">
      <w:pPr>
        <w:pStyle w:val="NormalWeb"/>
        <w:numPr>
          <w:ilvl w:val="0"/>
          <w:numId w:val="56"/>
        </w:numPr>
        <w:spacing w:before="0" w:beforeAutospacing="0" w:after="0" w:afterAutospacing="0"/>
        <w:contextualSpacing/>
        <w:rPr>
          <w:rFonts w:ascii="Cambria" w:hAnsi="Cambria"/>
        </w:rPr>
      </w:pPr>
      <w:r w:rsidRPr="00D058C1">
        <w:rPr>
          <w:rFonts w:ascii="Cambria" w:hAnsi="Cambria"/>
          <w:sz w:val="22"/>
          <w:szCs w:val="22"/>
        </w:rPr>
        <w:t xml:space="preserve">Are activities well-aligned with other Australian aid interventions in Muslim Mindanao? </w:t>
      </w:r>
    </w:p>
    <w:p w14:paraId="40E62E38" w14:textId="77777777" w:rsidR="00C519E2" w:rsidRPr="00D058C1" w:rsidRDefault="00C519E2" w:rsidP="001C74B8">
      <w:pPr>
        <w:pStyle w:val="NormalWeb"/>
        <w:spacing w:before="0" w:beforeAutospacing="0" w:after="0" w:afterAutospacing="0"/>
        <w:contextualSpacing/>
        <w:rPr>
          <w:rFonts w:ascii="Cambria" w:hAnsi="Cambria"/>
          <w:sz w:val="22"/>
          <w:szCs w:val="22"/>
          <w:u w:val="single"/>
        </w:rPr>
      </w:pPr>
    </w:p>
    <w:p w14:paraId="7BEF81BC" w14:textId="43161310" w:rsidR="00CA6043" w:rsidRPr="00D058C1" w:rsidRDefault="00CA6043" w:rsidP="001C74B8">
      <w:pPr>
        <w:pStyle w:val="NormalWeb"/>
        <w:spacing w:before="0" w:beforeAutospacing="0" w:after="0" w:afterAutospacing="0"/>
        <w:contextualSpacing/>
        <w:rPr>
          <w:rFonts w:ascii="Cambria" w:hAnsi="Cambria"/>
        </w:rPr>
      </w:pPr>
      <w:r w:rsidRPr="00D058C1">
        <w:rPr>
          <w:rFonts w:ascii="Cambria" w:hAnsi="Cambria"/>
          <w:sz w:val="22"/>
          <w:szCs w:val="22"/>
          <w:u w:val="single"/>
        </w:rPr>
        <w:t>Efficiency</w:t>
      </w:r>
      <w:r w:rsidRPr="00D058C1">
        <w:rPr>
          <w:rFonts w:ascii="Cambria" w:hAnsi="Cambria"/>
          <w:sz w:val="22"/>
          <w:szCs w:val="22"/>
        </w:rPr>
        <w:t xml:space="preserve">: </w:t>
      </w:r>
      <w:r w:rsidRPr="00D058C1">
        <w:rPr>
          <w:rFonts w:ascii="Cambria" w:hAnsi="Cambria" w:cs="Arial"/>
          <w:i/>
          <w:iCs/>
          <w:sz w:val="22"/>
          <w:szCs w:val="22"/>
        </w:rPr>
        <w:t xml:space="preserve">Are we making appropriate use of Australia’s and our partners’ time and resources to achieve outcomes? </w:t>
      </w:r>
    </w:p>
    <w:p w14:paraId="2E50F7D1" w14:textId="29954C9E" w:rsidR="00CA6043" w:rsidRPr="00D058C1" w:rsidRDefault="00CA6043" w:rsidP="001C74B8">
      <w:pPr>
        <w:pStyle w:val="NormalWeb"/>
        <w:numPr>
          <w:ilvl w:val="0"/>
          <w:numId w:val="57"/>
        </w:numPr>
        <w:spacing w:before="0" w:beforeAutospacing="0" w:after="0" w:afterAutospacing="0"/>
        <w:contextualSpacing/>
        <w:rPr>
          <w:rFonts w:ascii="Cambria" w:hAnsi="Cambria"/>
        </w:rPr>
      </w:pPr>
      <w:r w:rsidRPr="00D058C1">
        <w:rPr>
          <w:rFonts w:ascii="Cambria" w:hAnsi="Cambria"/>
          <w:sz w:val="22"/>
          <w:szCs w:val="22"/>
        </w:rPr>
        <w:t xml:space="preserve">Is each activity able to monitor both the delivery of outputs and remain within the budget allocated? </w:t>
      </w:r>
    </w:p>
    <w:p w14:paraId="733FE3C4" w14:textId="07D87855" w:rsidR="00CA6043" w:rsidRPr="00D058C1" w:rsidRDefault="00CA6043" w:rsidP="001C74B8">
      <w:pPr>
        <w:pStyle w:val="NormalWeb"/>
        <w:numPr>
          <w:ilvl w:val="0"/>
          <w:numId w:val="57"/>
        </w:numPr>
        <w:spacing w:before="0" w:beforeAutospacing="0" w:after="0" w:afterAutospacing="0"/>
        <w:contextualSpacing/>
        <w:rPr>
          <w:rFonts w:ascii="Cambria" w:hAnsi="Cambria"/>
        </w:rPr>
      </w:pPr>
      <w:r w:rsidRPr="00D058C1">
        <w:rPr>
          <w:rFonts w:ascii="Cambria" w:hAnsi="Cambria"/>
          <w:sz w:val="22"/>
          <w:szCs w:val="22"/>
        </w:rPr>
        <w:t xml:space="preserve">Are there other modalities that would be more appropriate to deliver the activities? </w:t>
      </w:r>
    </w:p>
    <w:p w14:paraId="7511C40C" w14:textId="42299816" w:rsidR="00CA6043" w:rsidRPr="00D058C1" w:rsidRDefault="00CA6043" w:rsidP="001C74B8">
      <w:pPr>
        <w:pStyle w:val="NormalWeb"/>
        <w:numPr>
          <w:ilvl w:val="0"/>
          <w:numId w:val="57"/>
        </w:numPr>
        <w:spacing w:before="0" w:beforeAutospacing="0" w:after="0" w:afterAutospacing="0"/>
        <w:contextualSpacing/>
        <w:rPr>
          <w:rFonts w:ascii="Cambria" w:hAnsi="Cambria"/>
        </w:rPr>
      </w:pPr>
      <w:r w:rsidRPr="00D058C1">
        <w:rPr>
          <w:rFonts w:ascii="Cambria" w:hAnsi="Cambria"/>
          <w:sz w:val="22"/>
          <w:szCs w:val="22"/>
        </w:rPr>
        <w:t xml:space="preserve">The current implementation modalities are directly engaging partners and through multilateral </w:t>
      </w:r>
      <w:proofErr w:type="spellStart"/>
      <w:r w:rsidRPr="00D058C1">
        <w:rPr>
          <w:rFonts w:ascii="Cambria" w:hAnsi="Cambria"/>
          <w:sz w:val="22"/>
          <w:szCs w:val="22"/>
        </w:rPr>
        <w:t>organisations</w:t>
      </w:r>
      <w:proofErr w:type="spellEnd"/>
      <w:r w:rsidRPr="00D058C1">
        <w:rPr>
          <w:rFonts w:ascii="Cambria" w:hAnsi="Cambria"/>
          <w:sz w:val="22"/>
          <w:szCs w:val="22"/>
        </w:rPr>
        <w:t xml:space="preserve">. What are benefits and costs of DFAT with these modalities rather than working through other modalities, such as a managing contractor? </w:t>
      </w:r>
    </w:p>
    <w:p w14:paraId="5072F7F4" w14:textId="77777777" w:rsidR="00C519E2" w:rsidRPr="00D058C1" w:rsidRDefault="00C519E2" w:rsidP="001C74B8">
      <w:pPr>
        <w:pStyle w:val="NormalWeb"/>
        <w:spacing w:before="0" w:beforeAutospacing="0" w:after="0" w:afterAutospacing="0"/>
        <w:contextualSpacing/>
        <w:rPr>
          <w:rFonts w:ascii="Cambria" w:hAnsi="Cambria"/>
          <w:sz w:val="22"/>
          <w:szCs w:val="22"/>
          <w:u w:val="single"/>
        </w:rPr>
      </w:pPr>
    </w:p>
    <w:p w14:paraId="459AE54A" w14:textId="5987F947" w:rsidR="00CA6043" w:rsidRPr="00D058C1" w:rsidRDefault="00CA6043" w:rsidP="001C74B8">
      <w:pPr>
        <w:pStyle w:val="NormalWeb"/>
        <w:spacing w:before="0" w:beforeAutospacing="0" w:after="0" w:afterAutospacing="0"/>
        <w:contextualSpacing/>
        <w:rPr>
          <w:rFonts w:ascii="Cambria" w:hAnsi="Cambria"/>
        </w:rPr>
      </w:pPr>
      <w:r w:rsidRPr="00D058C1">
        <w:rPr>
          <w:rFonts w:ascii="Cambria" w:hAnsi="Cambria"/>
          <w:sz w:val="22"/>
          <w:szCs w:val="22"/>
          <w:u w:val="single"/>
        </w:rPr>
        <w:t>Relevance:</w:t>
      </w:r>
      <w:r w:rsidRPr="00D058C1">
        <w:rPr>
          <w:rFonts w:ascii="Cambria" w:hAnsi="Cambria"/>
          <w:sz w:val="22"/>
          <w:szCs w:val="22"/>
        </w:rPr>
        <w:t xml:space="preserve"> </w:t>
      </w:r>
      <w:r w:rsidRPr="00D058C1">
        <w:rPr>
          <w:rFonts w:ascii="Cambria" w:hAnsi="Cambria" w:cs="Arial"/>
          <w:i/>
          <w:iCs/>
          <w:sz w:val="22"/>
          <w:szCs w:val="22"/>
        </w:rPr>
        <w:t xml:space="preserve">Is this still the right thing to do? </w:t>
      </w:r>
    </w:p>
    <w:p w14:paraId="5B469D9B" w14:textId="7272393C" w:rsidR="00CA6043" w:rsidRPr="00D058C1" w:rsidRDefault="00CA6043" w:rsidP="00C519E2">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How well have current programs adapted in response to the change in context? Are</w:t>
      </w:r>
      <w:r w:rsidR="00C519E2" w:rsidRPr="00D058C1">
        <w:rPr>
          <w:rFonts w:ascii="Cambria" w:hAnsi="Cambria"/>
          <w:sz w:val="22"/>
          <w:szCs w:val="22"/>
        </w:rPr>
        <w:t xml:space="preserve"> </w:t>
      </w:r>
      <w:r w:rsidRPr="00D058C1">
        <w:rPr>
          <w:rFonts w:ascii="Cambria" w:hAnsi="Cambria"/>
          <w:sz w:val="22"/>
          <w:szCs w:val="22"/>
        </w:rPr>
        <w:t xml:space="preserve">there programs/partners that are no longer relevant? </w:t>
      </w:r>
    </w:p>
    <w:p w14:paraId="3F191E7F" w14:textId="77777777" w:rsidR="00CA6043" w:rsidRPr="00D058C1" w:rsidRDefault="00CA6043" w:rsidP="001C74B8">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 xml:space="preserve">b)  How well aligned or integrated is the program with the broader range of new initiatives being implemented and planned in the BARMM? </w:t>
      </w:r>
    </w:p>
    <w:p w14:paraId="41B3CA26" w14:textId="77777777" w:rsidR="00CA6043" w:rsidRPr="00D058C1" w:rsidRDefault="00CA6043" w:rsidP="001C74B8">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 xml:space="preserve">c)  What new initiatives/objectives/partners are needed to support the transition of the BARMM government and ongoing governance in the BARMM? </w:t>
      </w:r>
    </w:p>
    <w:p w14:paraId="295EEFBE" w14:textId="77777777" w:rsidR="00CA6043" w:rsidRPr="00D058C1" w:rsidRDefault="00CA6043" w:rsidP="001C74B8">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 xml:space="preserve">d)  To what extent do the programs support regional security and economic growth? </w:t>
      </w:r>
    </w:p>
    <w:p w14:paraId="29E1833A" w14:textId="77777777" w:rsidR="001C74B8" w:rsidRPr="00D058C1" w:rsidRDefault="00CA6043" w:rsidP="001C74B8">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 xml:space="preserve">e)  What future activities should be considered post the political transition? </w:t>
      </w:r>
    </w:p>
    <w:p w14:paraId="1EF02770" w14:textId="0F96DE79" w:rsidR="001C74B8" w:rsidRPr="00D058C1" w:rsidRDefault="001C74B8" w:rsidP="001C74B8">
      <w:pPr>
        <w:pStyle w:val="NormalWeb"/>
        <w:numPr>
          <w:ilvl w:val="0"/>
          <w:numId w:val="61"/>
        </w:numPr>
        <w:spacing w:before="0" w:beforeAutospacing="0" w:after="0" w:afterAutospacing="0"/>
        <w:contextualSpacing/>
        <w:rPr>
          <w:rFonts w:ascii="Cambria" w:hAnsi="Cambria"/>
        </w:rPr>
      </w:pPr>
      <w:r w:rsidRPr="00D058C1">
        <w:rPr>
          <w:rFonts w:ascii="Cambria" w:hAnsi="Cambria"/>
          <w:sz w:val="22"/>
          <w:szCs w:val="22"/>
        </w:rPr>
        <w:t xml:space="preserve">How well are the current programs responding to the different kinds of conflict in the region – violent extremism, community/clan-based, and political? Are we targeting the correct drivers of these conflicts? </w:t>
      </w:r>
    </w:p>
    <w:p w14:paraId="6D00530E" w14:textId="77777777" w:rsidR="00C519E2" w:rsidRPr="00D058C1" w:rsidRDefault="00C519E2" w:rsidP="001C74B8">
      <w:pPr>
        <w:pStyle w:val="NormalWeb"/>
        <w:spacing w:before="0" w:beforeAutospacing="0" w:after="0" w:afterAutospacing="0"/>
        <w:contextualSpacing/>
        <w:rPr>
          <w:rFonts w:ascii="Cambria" w:hAnsi="Cambria"/>
          <w:sz w:val="22"/>
          <w:szCs w:val="22"/>
          <w:u w:val="single"/>
        </w:rPr>
      </w:pPr>
    </w:p>
    <w:p w14:paraId="7E25A822" w14:textId="230AB64C"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u w:val="single"/>
        </w:rPr>
        <w:t>Gender Equality:</w:t>
      </w:r>
      <w:r w:rsidRPr="00D058C1">
        <w:rPr>
          <w:rFonts w:ascii="Cambria" w:hAnsi="Cambria"/>
          <w:sz w:val="22"/>
          <w:szCs w:val="22"/>
        </w:rPr>
        <w:t xml:space="preserve"> </w:t>
      </w:r>
      <w:r w:rsidRPr="00D058C1">
        <w:rPr>
          <w:rFonts w:ascii="Cambria" w:hAnsi="Cambria" w:cs="Arial"/>
          <w:i/>
          <w:iCs/>
          <w:sz w:val="22"/>
          <w:szCs w:val="22"/>
        </w:rPr>
        <w:t xml:space="preserve">Are we contributing towards gender equality and empowering women and girls? </w:t>
      </w:r>
    </w:p>
    <w:p w14:paraId="05B02641" w14:textId="77777777" w:rsidR="001C74B8" w:rsidRPr="00D058C1" w:rsidRDefault="001C74B8" w:rsidP="001C74B8">
      <w:pPr>
        <w:pStyle w:val="NormalWeb"/>
        <w:spacing w:before="0" w:beforeAutospacing="0" w:after="0" w:afterAutospacing="0"/>
        <w:ind w:left="360"/>
        <w:contextualSpacing/>
        <w:rPr>
          <w:rFonts w:ascii="Cambria" w:hAnsi="Cambria"/>
        </w:rPr>
      </w:pPr>
      <w:r w:rsidRPr="00D058C1">
        <w:rPr>
          <w:rFonts w:ascii="Cambria" w:hAnsi="Cambria"/>
          <w:sz w:val="22"/>
          <w:szCs w:val="22"/>
        </w:rPr>
        <w:t xml:space="preserve">a)  Is the program as a whole making progress as expected in effectively promoting gender equality and women's empowerment? </w:t>
      </w:r>
    </w:p>
    <w:p w14:paraId="51B82F81" w14:textId="77777777" w:rsidR="001C74B8" w:rsidRPr="00D058C1" w:rsidRDefault="001C74B8" w:rsidP="001C74B8">
      <w:pPr>
        <w:pStyle w:val="NormalWeb"/>
        <w:spacing w:before="0" w:beforeAutospacing="0" w:after="0" w:afterAutospacing="0"/>
        <w:ind w:left="360"/>
        <w:contextualSpacing/>
        <w:rPr>
          <w:rFonts w:ascii="Cambria" w:hAnsi="Cambria"/>
        </w:rPr>
      </w:pPr>
      <w:r w:rsidRPr="00D058C1">
        <w:rPr>
          <w:rFonts w:ascii="Cambria" w:hAnsi="Cambria"/>
          <w:sz w:val="22"/>
          <w:szCs w:val="22"/>
        </w:rPr>
        <w:t xml:space="preserve">b)  Are the individual gender action plans being effectively </w:t>
      </w:r>
      <w:proofErr w:type="spellStart"/>
      <w:r w:rsidRPr="00D058C1">
        <w:rPr>
          <w:rFonts w:ascii="Cambria" w:hAnsi="Cambria"/>
          <w:sz w:val="22"/>
          <w:szCs w:val="22"/>
        </w:rPr>
        <w:t>utilised</w:t>
      </w:r>
      <w:proofErr w:type="spellEnd"/>
      <w:r w:rsidRPr="00D058C1">
        <w:rPr>
          <w:rFonts w:ascii="Cambria" w:hAnsi="Cambria"/>
          <w:sz w:val="22"/>
          <w:szCs w:val="22"/>
        </w:rPr>
        <w:t xml:space="preserve"> by partners? </w:t>
      </w:r>
    </w:p>
    <w:p w14:paraId="220341EE" w14:textId="77777777" w:rsidR="001C74B8" w:rsidRPr="00D058C1" w:rsidRDefault="001C74B8" w:rsidP="001C74B8">
      <w:pPr>
        <w:pStyle w:val="NormalWeb"/>
        <w:spacing w:before="0" w:beforeAutospacing="0" w:after="0" w:afterAutospacing="0"/>
        <w:ind w:left="360"/>
        <w:contextualSpacing/>
        <w:rPr>
          <w:rFonts w:ascii="Cambria" w:hAnsi="Cambria"/>
        </w:rPr>
      </w:pPr>
      <w:r w:rsidRPr="00D058C1">
        <w:rPr>
          <w:rFonts w:ascii="Cambria" w:hAnsi="Cambria"/>
          <w:sz w:val="22"/>
          <w:szCs w:val="22"/>
        </w:rPr>
        <w:t xml:space="preserve">c)  To what extent did the program contribute to the Women, Peace and Security agenda? </w:t>
      </w:r>
    </w:p>
    <w:p w14:paraId="699EED8F" w14:textId="77777777" w:rsidR="00C519E2" w:rsidRPr="00D058C1" w:rsidRDefault="00C519E2" w:rsidP="001C74B8">
      <w:pPr>
        <w:pStyle w:val="NormalWeb"/>
        <w:spacing w:before="0" w:beforeAutospacing="0" w:after="0" w:afterAutospacing="0"/>
        <w:contextualSpacing/>
        <w:rPr>
          <w:rFonts w:ascii="Cambria" w:hAnsi="Cambria"/>
          <w:sz w:val="22"/>
          <w:szCs w:val="22"/>
          <w:u w:val="single"/>
        </w:rPr>
      </w:pPr>
    </w:p>
    <w:p w14:paraId="720507AC" w14:textId="407F2AEF"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u w:val="single"/>
        </w:rPr>
        <w:t>Disability Inclusion</w:t>
      </w:r>
      <w:r w:rsidRPr="00D058C1">
        <w:rPr>
          <w:rFonts w:ascii="Cambria" w:hAnsi="Cambria"/>
          <w:sz w:val="22"/>
          <w:szCs w:val="22"/>
        </w:rPr>
        <w:t xml:space="preserve">: </w:t>
      </w:r>
      <w:r w:rsidRPr="00D058C1">
        <w:rPr>
          <w:rFonts w:ascii="Cambria" w:hAnsi="Cambria" w:cs="Arial"/>
          <w:i/>
          <w:iCs/>
          <w:sz w:val="22"/>
          <w:szCs w:val="22"/>
        </w:rPr>
        <w:t xml:space="preserve">Is the investment actively involving people with disabilities? </w:t>
      </w:r>
    </w:p>
    <w:p w14:paraId="460444E0" w14:textId="77777777" w:rsidR="001C74B8" w:rsidRPr="00D058C1" w:rsidRDefault="001C74B8" w:rsidP="001C74B8">
      <w:pPr>
        <w:pStyle w:val="NormalWeb"/>
        <w:spacing w:before="0" w:beforeAutospacing="0" w:after="0" w:afterAutospacing="0"/>
        <w:ind w:left="360"/>
        <w:contextualSpacing/>
        <w:rPr>
          <w:rFonts w:ascii="Cambria" w:hAnsi="Cambria"/>
        </w:rPr>
      </w:pPr>
      <w:r w:rsidRPr="00D058C1">
        <w:rPr>
          <w:rFonts w:ascii="Cambria" w:hAnsi="Cambria"/>
          <w:sz w:val="22"/>
          <w:szCs w:val="22"/>
        </w:rPr>
        <w:t xml:space="preserve">a)  How well does the investment actively involve people with disabilities and/or disabled peoples’ </w:t>
      </w:r>
      <w:proofErr w:type="spellStart"/>
      <w:r w:rsidRPr="00D058C1">
        <w:rPr>
          <w:rFonts w:ascii="Cambria" w:hAnsi="Cambria"/>
          <w:sz w:val="22"/>
          <w:szCs w:val="22"/>
        </w:rPr>
        <w:t>organisations</w:t>
      </w:r>
      <w:proofErr w:type="spellEnd"/>
      <w:r w:rsidRPr="00D058C1">
        <w:rPr>
          <w:rFonts w:ascii="Cambria" w:hAnsi="Cambria"/>
          <w:sz w:val="22"/>
          <w:szCs w:val="22"/>
        </w:rPr>
        <w:t xml:space="preserve"> in planning, implementation, monitoring &amp; evaluation? </w:t>
      </w:r>
    </w:p>
    <w:p w14:paraId="2CD314BA" w14:textId="77777777" w:rsidR="001C74B8" w:rsidRPr="00D058C1" w:rsidRDefault="001C74B8" w:rsidP="001C74B8">
      <w:pPr>
        <w:pStyle w:val="NormalWeb"/>
        <w:spacing w:before="0" w:beforeAutospacing="0" w:after="0" w:afterAutospacing="0"/>
        <w:ind w:left="360"/>
        <w:contextualSpacing/>
        <w:rPr>
          <w:rFonts w:ascii="Cambria" w:hAnsi="Cambria"/>
        </w:rPr>
      </w:pPr>
      <w:r w:rsidRPr="00D058C1">
        <w:rPr>
          <w:rFonts w:ascii="Cambria" w:hAnsi="Cambria"/>
          <w:sz w:val="22"/>
          <w:szCs w:val="22"/>
        </w:rPr>
        <w:t xml:space="preserve">b)  How well does the investment identify and addresses barriers to inclusion and opportunities for participation for people with disabilities to enable them to benefit equally from the aid investment? </w:t>
      </w:r>
    </w:p>
    <w:p w14:paraId="2878D70A" w14:textId="77777777" w:rsidR="00C519E2" w:rsidRPr="00D058C1" w:rsidRDefault="00C519E2" w:rsidP="001C74B8">
      <w:pPr>
        <w:pStyle w:val="NormalWeb"/>
        <w:spacing w:before="0" w:beforeAutospacing="0" w:after="0" w:afterAutospacing="0"/>
        <w:contextualSpacing/>
        <w:rPr>
          <w:rFonts w:ascii="Cambria" w:hAnsi="Cambria"/>
          <w:sz w:val="22"/>
          <w:szCs w:val="22"/>
        </w:rPr>
      </w:pPr>
    </w:p>
    <w:p w14:paraId="38CEE4C2" w14:textId="110C85E2"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The review should use responses to these criteria to make recommendations on the utility of individual activities in the future. The review should also make recommendations for improvements that could be made over the remaining implementation period as well as how the program can best adapt to the changing context now and in the future. </w:t>
      </w:r>
    </w:p>
    <w:p w14:paraId="761603E9" w14:textId="77777777" w:rsidR="00C519E2" w:rsidRPr="00D058C1" w:rsidRDefault="00C519E2" w:rsidP="001C74B8">
      <w:pPr>
        <w:pStyle w:val="NormalWeb"/>
        <w:spacing w:before="0" w:beforeAutospacing="0" w:after="0" w:afterAutospacing="0"/>
        <w:contextualSpacing/>
        <w:rPr>
          <w:rFonts w:ascii="Cambria" w:hAnsi="Cambria" w:cs="Arial"/>
          <w:b/>
          <w:bCs/>
          <w:sz w:val="22"/>
          <w:szCs w:val="22"/>
        </w:rPr>
      </w:pPr>
    </w:p>
    <w:p w14:paraId="742AC15D" w14:textId="3EDE6D5B"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cs="Arial"/>
          <w:b/>
          <w:bCs/>
          <w:sz w:val="22"/>
          <w:szCs w:val="22"/>
        </w:rPr>
        <w:t xml:space="preserve">Outputs/ Deliverables </w:t>
      </w:r>
    </w:p>
    <w:p w14:paraId="4DED46DA" w14:textId="77777777" w:rsidR="00C519E2" w:rsidRPr="00D058C1" w:rsidRDefault="00C519E2" w:rsidP="001C74B8">
      <w:pPr>
        <w:pStyle w:val="NormalWeb"/>
        <w:spacing w:before="0" w:beforeAutospacing="0" w:after="0" w:afterAutospacing="0"/>
        <w:contextualSpacing/>
        <w:rPr>
          <w:rFonts w:ascii="Cambria" w:hAnsi="Cambria"/>
          <w:sz w:val="22"/>
          <w:szCs w:val="22"/>
        </w:rPr>
      </w:pPr>
    </w:p>
    <w:p w14:paraId="2748F34A" w14:textId="45A10944"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The review team will produce: </w:t>
      </w:r>
    </w:p>
    <w:p w14:paraId="34AA23F1" w14:textId="77777777" w:rsidR="001C74B8" w:rsidRPr="00D058C1" w:rsidRDefault="001C74B8" w:rsidP="001C74B8">
      <w:pPr>
        <w:pStyle w:val="NormalWeb"/>
        <w:numPr>
          <w:ilvl w:val="0"/>
          <w:numId w:val="60"/>
        </w:numPr>
        <w:spacing w:before="0" w:beforeAutospacing="0" w:after="0" w:afterAutospacing="0"/>
        <w:contextualSpacing/>
        <w:rPr>
          <w:rFonts w:ascii="Cambria" w:hAnsi="Cambria"/>
          <w:sz w:val="22"/>
          <w:szCs w:val="22"/>
        </w:rPr>
      </w:pPr>
      <w:r w:rsidRPr="00D058C1">
        <w:rPr>
          <w:rFonts w:ascii="Cambria" w:hAnsi="Cambria"/>
          <w:sz w:val="22"/>
          <w:szCs w:val="22"/>
        </w:rPr>
        <w:t xml:space="preserve">A debriefing presentation for Embassy staff on the mission’s findings; </w:t>
      </w:r>
    </w:p>
    <w:p w14:paraId="5207AEFE" w14:textId="7A2EC612" w:rsidR="001C74B8" w:rsidRPr="00D058C1" w:rsidRDefault="001C74B8" w:rsidP="00C519E2">
      <w:pPr>
        <w:pStyle w:val="NormalWeb"/>
        <w:numPr>
          <w:ilvl w:val="0"/>
          <w:numId w:val="60"/>
        </w:numPr>
        <w:spacing w:before="0" w:beforeAutospacing="0" w:after="0" w:afterAutospacing="0"/>
        <w:contextualSpacing/>
        <w:rPr>
          <w:rFonts w:ascii="Cambria" w:hAnsi="Cambria"/>
          <w:sz w:val="22"/>
          <w:szCs w:val="22"/>
        </w:rPr>
      </w:pPr>
      <w:r w:rsidRPr="00D058C1">
        <w:rPr>
          <w:rFonts w:ascii="Cambria" w:hAnsi="Cambria"/>
          <w:sz w:val="22"/>
          <w:szCs w:val="22"/>
        </w:rPr>
        <w:t xml:space="preserve">A final report outlining the assessment and recommendations, submitted no more than 10 working days after completing the mission. The report should be no more than 15 pages long excluding annexes and include an executive summary of no more than two pages. </w:t>
      </w:r>
    </w:p>
    <w:p w14:paraId="3DE2DF8F" w14:textId="77777777" w:rsidR="00C519E2" w:rsidRPr="00D058C1" w:rsidRDefault="00C519E2" w:rsidP="001C74B8">
      <w:pPr>
        <w:pStyle w:val="NormalWeb"/>
        <w:spacing w:before="0" w:beforeAutospacing="0" w:after="0" w:afterAutospacing="0"/>
        <w:contextualSpacing/>
        <w:rPr>
          <w:rFonts w:ascii="Cambria" w:hAnsi="Cambria"/>
          <w:sz w:val="22"/>
          <w:szCs w:val="22"/>
        </w:rPr>
      </w:pPr>
    </w:p>
    <w:p w14:paraId="0BD124C3" w14:textId="3227D9FF"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An </w:t>
      </w:r>
      <w:proofErr w:type="spellStart"/>
      <w:r w:rsidRPr="00D058C1">
        <w:rPr>
          <w:rFonts w:ascii="Cambria" w:hAnsi="Cambria"/>
          <w:sz w:val="22"/>
          <w:szCs w:val="22"/>
        </w:rPr>
        <w:t>annexe</w:t>
      </w:r>
      <w:proofErr w:type="spellEnd"/>
      <w:r w:rsidRPr="00D058C1">
        <w:rPr>
          <w:rFonts w:ascii="Cambria" w:hAnsi="Cambria"/>
          <w:sz w:val="22"/>
          <w:szCs w:val="22"/>
        </w:rPr>
        <w:t xml:space="preserve"> to this report will be the results of a peer review. The peer review will </w:t>
      </w:r>
    </w:p>
    <w:p w14:paraId="717C0230" w14:textId="77777777" w:rsidR="001C74B8" w:rsidRPr="00D058C1" w:rsidRDefault="001C74B8" w:rsidP="001C74B8">
      <w:pPr>
        <w:pStyle w:val="NormalWeb"/>
        <w:spacing w:before="0" w:beforeAutospacing="0" w:after="0" w:afterAutospacing="0"/>
        <w:contextualSpacing/>
        <w:rPr>
          <w:rFonts w:ascii="Cambria" w:hAnsi="Cambria"/>
        </w:rPr>
      </w:pPr>
      <w:r w:rsidRPr="00D058C1">
        <w:rPr>
          <w:rFonts w:ascii="Cambria" w:hAnsi="Cambria"/>
          <w:sz w:val="22"/>
          <w:szCs w:val="22"/>
        </w:rPr>
        <w:t xml:space="preserve">bring all partners together to provide their own analysis of conflict, context and political economy. It will take place during the broader strategic review mission and then inform the final conclusions of the review. </w:t>
      </w:r>
    </w:p>
    <w:p w14:paraId="45536835" w14:textId="77777777" w:rsidR="001C74B8" w:rsidRPr="00D058C1" w:rsidRDefault="001C74B8" w:rsidP="001C74B8">
      <w:pPr>
        <w:pStyle w:val="NormalWeb"/>
        <w:spacing w:before="0" w:beforeAutospacing="0" w:after="0" w:afterAutospacing="0"/>
        <w:contextualSpacing/>
        <w:rPr>
          <w:rFonts w:ascii="Cambria" w:hAnsi="Cambria" w:cs="Arial"/>
          <w:b/>
          <w:bCs/>
          <w:sz w:val="22"/>
          <w:szCs w:val="22"/>
        </w:rPr>
      </w:pPr>
    </w:p>
    <w:p w14:paraId="52DCCBAD" w14:textId="13D6D601" w:rsidR="001C74B8" w:rsidRPr="00D058C1" w:rsidRDefault="001C74B8" w:rsidP="00DD64E3">
      <w:pPr>
        <w:pStyle w:val="NormalWeb"/>
        <w:spacing w:before="0" w:beforeAutospacing="0" w:after="0" w:afterAutospacing="0"/>
        <w:contextualSpacing/>
        <w:rPr>
          <w:rFonts w:ascii="Cambria" w:hAnsi="Cambria"/>
        </w:rPr>
      </w:pPr>
      <w:r w:rsidRPr="00D058C1">
        <w:rPr>
          <w:rFonts w:ascii="Cambria" w:hAnsi="Cambria" w:cs="Arial"/>
          <w:b/>
          <w:bCs/>
          <w:sz w:val="22"/>
          <w:szCs w:val="22"/>
        </w:rPr>
        <w:t xml:space="preserve">Indicative Timeframe </w:t>
      </w:r>
    </w:p>
    <w:tbl>
      <w:tblPr>
        <w:tblStyle w:val="TableGrid"/>
        <w:tblW w:w="0" w:type="auto"/>
        <w:tblLook w:val="04A0" w:firstRow="1" w:lastRow="0" w:firstColumn="1" w:lastColumn="0" w:noHBand="0" w:noVBand="1"/>
      </w:tblPr>
      <w:tblGrid>
        <w:gridCol w:w="3964"/>
        <w:gridCol w:w="1134"/>
        <w:gridCol w:w="1985"/>
        <w:gridCol w:w="1547"/>
      </w:tblGrid>
      <w:tr w:rsidR="001C74B8" w:rsidRPr="00D058C1" w14:paraId="1C880339" w14:textId="77777777" w:rsidTr="003E67A9">
        <w:trPr>
          <w:trHeight w:val="65"/>
          <w:tblHeader/>
        </w:trPr>
        <w:tc>
          <w:tcPr>
            <w:tcW w:w="3964" w:type="dxa"/>
            <w:vAlign w:val="center"/>
          </w:tcPr>
          <w:p w14:paraId="0890E311" w14:textId="3CD9B1FD" w:rsidR="001C74B8" w:rsidRPr="00D058C1" w:rsidRDefault="001C74B8" w:rsidP="006706B0">
            <w:pPr>
              <w:jc w:val="both"/>
              <w:rPr>
                <w:rFonts w:ascii="Cambria" w:hAnsi="Cambria"/>
              </w:rPr>
            </w:pPr>
            <w:r w:rsidRPr="00D058C1">
              <w:rPr>
                <w:rFonts w:ascii="Cambria" w:hAnsi="Cambria" w:cs="Arial"/>
                <w:sz w:val="20"/>
                <w:szCs w:val="20"/>
              </w:rPr>
              <w:t xml:space="preserve">Review Phase &amp; Actions </w:t>
            </w:r>
          </w:p>
        </w:tc>
        <w:tc>
          <w:tcPr>
            <w:tcW w:w="1134" w:type="dxa"/>
            <w:vAlign w:val="center"/>
          </w:tcPr>
          <w:p w14:paraId="19786620" w14:textId="77777777" w:rsidR="001C74B8" w:rsidRPr="00D058C1" w:rsidRDefault="001C74B8" w:rsidP="006706B0">
            <w:pPr>
              <w:pStyle w:val="NormalWeb"/>
              <w:spacing w:before="0" w:beforeAutospacing="0" w:after="0" w:afterAutospacing="0"/>
              <w:divId w:val="489055330"/>
              <w:rPr>
                <w:rFonts w:ascii="Cambria" w:hAnsi="Cambria"/>
              </w:rPr>
            </w:pPr>
            <w:r w:rsidRPr="00D058C1">
              <w:rPr>
                <w:rFonts w:ascii="Cambria" w:hAnsi="Cambria" w:cs="Arial"/>
                <w:sz w:val="20"/>
                <w:szCs w:val="20"/>
              </w:rPr>
              <w:t xml:space="preserve">Location </w:t>
            </w:r>
          </w:p>
          <w:p w14:paraId="3963B022" w14:textId="61851B7A" w:rsidR="001C74B8" w:rsidRPr="00D058C1" w:rsidRDefault="001C74B8" w:rsidP="006706B0">
            <w:pPr>
              <w:jc w:val="both"/>
              <w:rPr>
                <w:rFonts w:ascii="Cambria" w:hAnsi="Cambria"/>
              </w:rPr>
            </w:pPr>
            <w:r w:rsidRPr="00D058C1">
              <w:rPr>
                <w:rFonts w:ascii="Cambria" w:hAnsi="Cambria"/>
              </w:rPr>
              <w:fldChar w:fldCharType="begin"/>
            </w:r>
            <w:r w:rsidR="00061123">
              <w:rPr>
                <w:rFonts w:ascii="Cambria" w:hAnsi="Cambria"/>
              </w:rPr>
              <w:instrText xml:space="preserve"> INCLUDEPICTURE "C:\\var\\folders\\b2\\_lnnpdjn0_7f2c8qzjrp35gr0000gn\\T\\com.microsoft.Word\\WebArchiveCopyPasteTempFiles\\page6image12346752" \* MERGEFORMAT </w:instrText>
            </w:r>
            <w:r w:rsidRPr="00D058C1">
              <w:rPr>
                <w:rFonts w:ascii="Cambria" w:hAnsi="Cambria"/>
              </w:rPr>
              <w:fldChar w:fldCharType="separate"/>
            </w:r>
            <w:r w:rsidR="00DB5ECD"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"C:\\var\\folders\\b2\\_lnnpdjn0_7f2c8qzjrp35gr0000gn\\T\\com.microsoft.Word\\WebArchiveCopyPasteTempFiles\\page6image12346752" \* MERGEFORMAT </w:instrText>
            </w:r>
            <w:r w:rsidR="00DB5ECD" w:rsidRPr="00D058C1">
              <w:rPr>
                <w:rFonts w:ascii="Cambria" w:hAnsi="Cambria"/>
                <w:noProof/>
              </w:rPr>
              <w:fldChar w:fldCharType="separate"/>
            </w:r>
            <w:r w:rsidR="006A685F"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"C:\\var\\folders\\b2\\_lnnpdjn0_7f2c8qzjrp35gr0000gn\\T\\com.microsoft.Word\\WebArchiveCopyPasteTempFiles\\page6image12346752" \* MERGEFORMAT </w:instrText>
            </w:r>
            <w:r w:rsidR="006A685F" w:rsidRPr="00D058C1">
              <w:rPr>
                <w:rFonts w:ascii="Cambria" w:hAnsi="Cambria"/>
                <w:noProof/>
              </w:rPr>
              <w:fldChar w:fldCharType="separate"/>
            </w:r>
            <w:r w:rsidR="00CE7263"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"C:\\var\\folders\\b2\\_lnnpdjn0_7f2c8qzjrp35gr0000gn\\T\\com.microsoft.Word\\WebArchiveCopyPasteTempFiles\\page6image12346752" \* MERGEFORMAT </w:instrText>
            </w:r>
            <w:r w:rsidR="00CE7263" w:rsidRPr="00D058C1">
              <w:rPr>
                <w:rFonts w:ascii="Cambria" w:hAnsi="Cambria"/>
                <w:noProof/>
              </w:rPr>
              <w:fldChar w:fldCharType="separate"/>
            </w:r>
            <w:r w:rsidR="00952156">
              <w:rPr>
                <w:rFonts w:ascii="Cambria" w:hAnsi="Cambria"/>
                <w:noProof/>
              </w:rPr>
              <w:fldChar w:fldCharType="begin"/>
            </w:r>
            <w:r w:rsidR="00952156">
              <w:rPr>
                <w:rFonts w:ascii="Cambria" w:hAnsi="Cambria"/>
                <w:noProof/>
              </w:rPr>
              <w:instrText xml:space="preserve"> INCLUDEPICTURE  "\\\\var\\folders\\b2\\_lnnpdjn0_7f2c8qzjrp35gr0000gn\\T\\com.microsoft.Word\\WebArchiveCopyPasteTempFiles\\page6image12346752" \* MERGEFORMATINET </w:instrText>
            </w:r>
            <w:r w:rsidR="00952156">
              <w:rPr>
                <w:rFonts w:ascii="Cambria" w:hAnsi="Cambria"/>
                <w:noProof/>
              </w:rPr>
              <w:fldChar w:fldCharType="separate"/>
            </w:r>
            <w:r w:rsidR="00680CA0">
              <w:rPr>
                <w:rFonts w:ascii="Cambria" w:hAnsi="Cambria"/>
                <w:noProof/>
              </w:rPr>
              <w:fldChar w:fldCharType="begin"/>
            </w:r>
            <w:r w:rsidR="00680CA0">
              <w:rPr>
                <w:rFonts w:ascii="Cambria" w:hAnsi="Cambria"/>
                <w:noProof/>
              </w:rPr>
              <w:instrText xml:space="preserve"> INCLUDEPICTURE  "\\\\var\\folders\\b2\\_lnnpdjn0_7f2c8qzjrp35gr0000gn\\T\\com.microsoft.Word\\WebArchiveCopyPasteTempFiles\\page6image12346752" \* MERGEFORMATINET </w:instrText>
            </w:r>
            <w:r w:rsidR="00680CA0">
              <w:rPr>
                <w:rFonts w:ascii="Cambria" w:hAnsi="Cambria"/>
                <w:noProof/>
              </w:rPr>
              <w:fldChar w:fldCharType="separate"/>
            </w:r>
            <w:r w:rsidR="00F53AEC">
              <w:rPr>
                <w:rFonts w:ascii="Cambria" w:hAnsi="Cambria"/>
                <w:noProof/>
              </w:rPr>
              <w:fldChar w:fldCharType="begin"/>
            </w:r>
            <w:r w:rsidR="00F53AEC">
              <w:rPr>
                <w:rFonts w:ascii="Cambria" w:hAnsi="Cambria"/>
                <w:noProof/>
              </w:rPr>
              <w:instrText xml:space="preserve"> INCLUDEPICTURE  "\\\\var\\folders\\b2\\_lnnpdjn0_7f2c8qzjrp35gr0000gn\\T\\com.microsoft.Word\\WebArchiveCopyPasteTempFiles\\page6image12346752" \* MERGEFORMATINET </w:instrText>
            </w:r>
            <w:r w:rsidR="00F53AEC">
              <w:rPr>
                <w:rFonts w:ascii="Cambria" w:hAnsi="Cambria"/>
                <w:noProof/>
              </w:rPr>
              <w:fldChar w:fldCharType="separate"/>
            </w:r>
            <w:r w:rsidR="002051FA">
              <w:rPr>
                <w:rFonts w:ascii="Cambria" w:hAnsi="Cambria"/>
                <w:noProof/>
              </w:rPr>
              <w:fldChar w:fldCharType="begin"/>
            </w:r>
            <w:r w:rsidR="002051FA">
              <w:rPr>
                <w:rFonts w:ascii="Cambria" w:hAnsi="Cambria"/>
                <w:noProof/>
              </w:rPr>
              <w:instrText xml:space="preserve"> INCLUDEPICTURE  "\\\\var\\folders\\b2\\_lnnpdjn0_7f2c8qzjrp35gr0000gn\\T\\com.microsoft.Word\\WebArchiveCopyPasteTempFiles\\page6image12346752" \* MERGEFORMATINET </w:instrText>
            </w:r>
            <w:r w:rsidR="002051FA">
              <w:rPr>
                <w:rFonts w:ascii="Cambria" w:hAnsi="Cambria"/>
                <w:noProof/>
              </w:rPr>
              <w:fldChar w:fldCharType="separate"/>
            </w:r>
            <w:r w:rsidR="00A330F0">
              <w:rPr>
                <w:rFonts w:ascii="Cambria" w:hAnsi="Cambria"/>
                <w:noProof/>
              </w:rPr>
              <w:fldChar w:fldCharType="begin"/>
            </w:r>
            <w:r w:rsidR="00A330F0">
              <w:rPr>
                <w:rFonts w:ascii="Cambria" w:hAnsi="Cambria"/>
                <w:noProof/>
              </w:rPr>
              <w:instrText xml:space="preserve"> INCLUDEPICTURE  "\\\\var\\folders\\b2\\_lnnpdjn0_7f2c8qzjrp35gr0000gn\\T\\com.microsoft.Word\\WebArchiveCopyPasteTempFiles\\page6image12346752" \* MERGEFORMATINET </w:instrText>
            </w:r>
            <w:r w:rsidR="00A330F0">
              <w:rPr>
                <w:rFonts w:ascii="Cambria" w:hAnsi="Cambria"/>
                <w:noProof/>
              </w:rPr>
              <w:fldChar w:fldCharType="separate"/>
            </w:r>
            <w:r w:rsidR="009C789A">
              <w:rPr>
                <w:rFonts w:ascii="Cambria" w:hAnsi="Cambria"/>
                <w:noProof/>
              </w:rPr>
              <w:fldChar w:fldCharType="begin"/>
            </w:r>
            <w:r w:rsidR="009C789A">
              <w:rPr>
                <w:rFonts w:ascii="Cambria" w:hAnsi="Cambria"/>
                <w:noProof/>
              </w:rPr>
              <w:instrText xml:space="preserve"> INCLUDEPICTURE  "\\\\var\\folders\\b2\\_lnnpdjn0_7f2c8qzjrp35gr0000gn\\T\\com.microsoft.Word\\WebArchiveCopyPasteTempFiles\\page6image12346752" \* MERGEFORMATINET </w:instrText>
            </w:r>
            <w:r w:rsidR="009C789A">
              <w:rPr>
                <w:rFonts w:ascii="Cambria" w:hAnsi="Cambria"/>
                <w:noProof/>
              </w:rPr>
              <w:fldChar w:fldCharType="separate"/>
            </w:r>
            <w:r w:rsidR="00867E8E">
              <w:rPr>
                <w:rFonts w:ascii="Cambria" w:hAnsi="Cambria"/>
                <w:noProof/>
              </w:rPr>
              <w:fldChar w:fldCharType="begin"/>
            </w:r>
            <w:r w:rsidR="007D7F30">
              <w:rPr>
                <w:rFonts w:ascii="Cambria" w:hAnsi="Cambria"/>
                <w:noProof/>
              </w:rPr>
              <w:instrText xml:space="preserve"> INCLUDEPICTURE "C:\\var\\folders\\b2\\_lnnpdjn0_7f2c8qzjrp35gr0000gn\\T\\com.microsoft.Word\\WebArchiveCopyPasteTempFiles\\page6image12346752" \* MERGEFORMAT </w:instrText>
            </w:r>
            <w:r w:rsidR="00867E8E">
              <w:rPr>
                <w:rFonts w:ascii="Cambria" w:hAnsi="Cambria"/>
                <w:noProof/>
              </w:rPr>
              <w:fldChar w:fldCharType="separate"/>
            </w:r>
            <w:r w:rsidR="0061019C">
              <w:rPr>
                <w:rFonts w:ascii="Cambria" w:hAnsi="Cambria"/>
                <w:noProof/>
              </w:rPr>
              <w:fldChar w:fldCharType="begin"/>
            </w:r>
            <w:r w:rsidR="0061019C">
              <w:rPr>
                <w:rFonts w:ascii="Cambria" w:hAnsi="Cambria"/>
                <w:noProof/>
              </w:rPr>
              <w:instrText xml:space="preserve"> INCLUDEPICTURE  "\\\\var\\folders\\b2\\_lnnpdjn0_7f2c8qzjrp35gr0000gn\\T\\com.microsoft.Word\\WebArchiveCopyPasteTempFiles\\page6image12346752" \* MERGEFORMATINET </w:instrText>
            </w:r>
            <w:r w:rsidR="0061019C">
              <w:rPr>
                <w:rFonts w:ascii="Cambria" w:hAnsi="Cambria"/>
                <w:noProof/>
              </w:rPr>
              <w:fldChar w:fldCharType="separate"/>
            </w:r>
            <w:r w:rsidR="00AC1CB1">
              <w:rPr>
                <w:rFonts w:ascii="Cambria" w:hAnsi="Cambria"/>
                <w:noProof/>
              </w:rPr>
              <w:fldChar w:fldCharType="begin"/>
            </w:r>
            <w:r w:rsidR="00AC1CB1">
              <w:rPr>
                <w:rFonts w:ascii="Cambria" w:hAnsi="Cambria"/>
                <w:noProof/>
              </w:rPr>
              <w:instrText xml:space="preserve"> INCLUDEPICTURE  "\\\\var\\folders\\b2\\_lnnpdjn0_7f2c8qzjrp35gr0000gn\\T\\com.microsoft.Word\\WebArchiveCopyPasteTempFiles\\page6image12346752" \* MERGEFORMATINET </w:instrText>
            </w:r>
            <w:r w:rsidR="00AC1CB1">
              <w:rPr>
                <w:rFonts w:ascii="Cambria" w:hAnsi="Cambria"/>
                <w:noProof/>
              </w:rPr>
              <w:fldChar w:fldCharType="separate"/>
            </w:r>
            <w:r w:rsidR="003D2761">
              <w:rPr>
                <w:rFonts w:ascii="Cambria" w:hAnsi="Cambria"/>
                <w:noProof/>
              </w:rPr>
              <w:fldChar w:fldCharType="begin"/>
            </w:r>
            <w:r w:rsidR="003D2761">
              <w:rPr>
                <w:rFonts w:ascii="Cambria" w:hAnsi="Cambria"/>
                <w:noProof/>
              </w:rPr>
              <w:instrText xml:space="preserve"> INCLUDEPICTURE  "\\\\var\\folders\\b2\\_lnnpdjn0_7f2c8qzjrp35gr0000gn\\T\\com.microsoft.Word\\WebArchiveCopyPasteTempFiles\\page6image12346752" \* MERGEFORMATINET </w:instrText>
            </w:r>
            <w:r w:rsidR="003D2761">
              <w:rPr>
                <w:rFonts w:ascii="Cambria" w:hAnsi="Cambria"/>
                <w:noProof/>
              </w:rPr>
              <w:fldChar w:fldCharType="separate"/>
            </w:r>
            <w:r w:rsidR="0058524B">
              <w:rPr>
                <w:rFonts w:ascii="Cambria" w:hAnsi="Cambria"/>
                <w:noProof/>
              </w:rPr>
              <w:fldChar w:fldCharType="begin"/>
            </w:r>
            <w:r w:rsidR="0058524B">
              <w:rPr>
                <w:rFonts w:ascii="Cambria" w:hAnsi="Cambria"/>
                <w:noProof/>
              </w:rPr>
              <w:instrText xml:space="preserve"> INCLUDEPICTURE  "\\\\var\\folders\\b2\\_lnnpdjn0_7f2c8qzjrp35gr0000gn\\T\\com.microsoft.Word\\WebArchiveCopyPasteTempFiles\\page6image12346752" \* MERGEFORMATINET </w:instrText>
            </w:r>
            <w:r w:rsidR="0058524B">
              <w:rPr>
                <w:rFonts w:ascii="Cambria" w:hAnsi="Cambria"/>
                <w:noProof/>
              </w:rPr>
              <w:fldChar w:fldCharType="separate"/>
            </w:r>
            <w:r w:rsidR="00191EA1">
              <w:rPr>
                <w:rFonts w:ascii="Cambria" w:hAnsi="Cambria"/>
                <w:noProof/>
              </w:rPr>
              <w:fldChar w:fldCharType="begin"/>
            </w:r>
            <w:r w:rsidR="00191EA1">
              <w:rPr>
                <w:rFonts w:ascii="Cambria" w:hAnsi="Cambria"/>
                <w:noProof/>
              </w:rPr>
              <w:instrText xml:space="preserve"> INCLUDEPICTURE  "\\\\var\\folders\\b2\\_lnnpdjn0_7f2c8qzjrp35gr0000gn\\T\\com.microsoft.Word\\WebArchiveCopyPasteTempFiles\\page6image12346752" \* MERGEFORMATINET </w:instrText>
            </w:r>
            <w:r w:rsidR="00191EA1">
              <w:rPr>
                <w:rFonts w:ascii="Cambria" w:hAnsi="Cambria"/>
                <w:noProof/>
              </w:rPr>
              <w:fldChar w:fldCharType="separate"/>
            </w:r>
            <w:r w:rsidR="00CC2A08">
              <w:rPr>
                <w:rFonts w:ascii="Cambria" w:hAnsi="Cambria"/>
                <w:noProof/>
              </w:rPr>
              <w:fldChar w:fldCharType="begin"/>
            </w:r>
            <w:r w:rsidR="00CC2A08">
              <w:rPr>
                <w:rFonts w:ascii="Cambria" w:hAnsi="Cambria"/>
                <w:noProof/>
              </w:rPr>
              <w:instrText xml:space="preserve"> INCLUDEPICTURE  "\\\\var\\folders\\b2\\_lnnpdjn0_7f2c8qzjrp35gr0000gn\\T\\com.microsoft.Word\\WebArchiveCopyPasteTempFiles\\page6image12346752" \* MERGEFORMATINET </w:instrText>
            </w:r>
            <w:r w:rsidR="00CC2A08">
              <w:rPr>
                <w:rFonts w:ascii="Cambria" w:hAnsi="Cambria"/>
                <w:noProof/>
              </w:rPr>
              <w:fldChar w:fldCharType="separate"/>
            </w:r>
            <w:r w:rsidR="00852ABD">
              <w:rPr>
                <w:rFonts w:ascii="Cambria" w:hAnsi="Cambria"/>
                <w:noProof/>
              </w:rPr>
              <w:fldChar w:fldCharType="begin"/>
            </w:r>
            <w:r w:rsidR="00852ABD">
              <w:rPr>
                <w:rFonts w:ascii="Cambria" w:hAnsi="Cambria"/>
                <w:noProof/>
              </w:rPr>
              <w:instrText xml:space="preserve"> INCLUDEPICTURE  "\\\\var\\folders\\b2\\_lnnpdjn0_7f2c8qzjrp35gr0000gn\\T\\com.microsoft.Word\\WebArchiveCopyPasteTempFiles\\page6image12346752" \* MERGEFORMATINET </w:instrText>
            </w:r>
            <w:r w:rsidR="00852ABD">
              <w:rPr>
                <w:rFonts w:ascii="Cambria" w:hAnsi="Cambria"/>
                <w:noProof/>
              </w:rPr>
              <w:fldChar w:fldCharType="separate"/>
            </w:r>
            <w:r w:rsidR="00D12C68">
              <w:rPr>
                <w:rFonts w:ascii="Cambria" w:hAnsi="Cambria"/>
                <w:noProof/>
              </w:rPr>
              <w:fldChar w:fldCharType="begin"/>
            </w:r>
            <w:r w:rsidR="00D12C68">
              <w:rPr>
                <w:rFonts w:ascii="Cambria" w:hAnsi="Cambria"/>
                <w:noProof/>
              </w:rPr>
              <w:instrText xml:space="preserve"> INCLUDEPICTURE  "\\\\var\\folders\\b2\\_lnnpdjn0_7f2c8qzjrp35gr0000gn\\T\\com.microsoft.Word\\WebArchiveCopyPasteTempFiles\\page6image12346752" \* MERGEFORMATINET </w:instrText>
            </w:r>
            <w:r w:rsidR="00D12C68">
              <w:rPr>
                <w:rFonts w:ascii="Cambria" w:hAnsi="Cambria"/>
                <w:noProof/>
              </w:rPr>
              <w:fldChar w:fldCharType="separate"/>
            </w:r>
            <w:r w:rsidR="00F34DFB">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"C:\\var\\folders\\b2\\_lnnpdjn0_7f2c8qzjrp35gr0000gn\\T\\com.microsoft.Word\\WebArchiveCopyPasteTempFiles\\page6image12346752" \* MERGEFORMAT </w:instrText>
            </w:r>
            <w:r w:rsidR="00F34DFB">
              <w:rPr>
                <w:rFonts w:ascii="Cambria" w:hAnsi="Cambria"/>
                <w:noProof/>
              </w:rPr>
              <w:fldChar w:fldCharType="separate"/>
            </w:r>
            <w:r w:rsidR="0002234D">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"C:\\var\\folders\\b2\\_lnnpdjn0_7f2c8qzjrp35gr0000gn\\T\\com.microsoft.Word\\WebArchiveCopyPasteTempFiles\\page6image12346752" \* MERGEFORMAT </w:instrText>
            </w:r>
            <w:r w:rsidR="0002234D">
              <w:rPr>
                <w:rFonts w:ascii="Cambria" w:hAnsi="Cambria"/>
                <w:noProof/>
              </w:rPr>
              <w:fldChar w:fldCharType="separate"/>
            </w:r>
            <w:r w:rsidR="009E5140">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"C:\\var\\folders\\b2\\_lnnpdjn0_7f2c8qzjrp35gr0000gn\\T\\com.microsoft.Word\\WebArchiveCopyPasteTempFiles\\page6image12346752" \* MERGEFORMAT </w:instrText>
            </w:r>
            <w:r w:rsidR="009E5140">
              <w:rPr>
                <w:rFonts w:ascii="Cambria" w:hAnsi="Cambria"/>
                <w:noProof/>
              </w:rPr>
              <w:fldChar w:fldCharType="separate"/>
            </w:r>
            <w:r w:rsidR="005957D3">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"C:\\var\\folders\\b2\\_lnnpdjn0_7f2c8qzjrp35gr0000gn\\T\\com.microsoft.Word\\WebArchiveCopyPasteTempFiles\\page6image12346752" \* MERGEFORMAT </w:instrText>
            </w:r>
            <w:r w:rsidR="005957D3">
              <w:rPr>
                <w:rFonts w:ascii="Cambria" w:hAnsi="Cambria"/>
                <w:noProof/>
              </w:rPr>
              <w:fldChar w:fldCharType="separate"/>
            </w:r>
            <w:r w:rsidR="00AE451A">
              <w:rPr>
                <w:rFonts w:ascii="Cambria" w:hAnsi="Cambria"/>
                <w:noProof/>
              </w:rPr>
              <w:fldChar w:fldCharType="begin"/>
            </w:r>
            <w:r w:rsidR="00AE451A">
              <w:rPr>
                <w:rFonts w:ascii="Cambria" w:hAnsi="Cambria"/>
                <w:noProof/>
              </w:rPr>
              <w:instrText xml:space="preserve"> INCLUDEPICTURE  "\\\\var\\folders\\b2\\_lnnpdjn0_7f2c8qzjrp35gr0000gn\\T\\com.microsoft.Word\\WebArchiveCopyPasteTempFiles\\page6image12346752" \* MERGEFORMATINET </w:instrText>
            </w:r>
            <w:r w:rsidR="00AE451A">
              <w:rPr>
                <w:rFonts w:ascii="Cambria" w:hAnsi="Cambria"/>
                <w:noProof/>
              </w:rPr>
              <w:fldChar w:fldCharType="separate"/>
            </w:r>
            <w:r w:rsidR="00AE0B1E">
              <w:rPr>
                <w:rFonts w:ascii="Cambria" w:hAnsi="Cambria"/>
                <w:noProof/>
              </w:rPr>
              <w:fldChar w:fldCharType="begin"/>
            </w:r>
            <w:r w:rsidR="00AE0B1E">
              <w:rPr>
                <w:rFonts w:ascii="Cambria" w:hAnsi="Cambria"/>
                <w:noProof/>
              </w:rPr>
              <w:instrText xml:space="preserve"> INCLUDEPICTURE  "\\\\var\\folders\\b2\\_lnnpdjn0_7f2c8qzjrp35gr0000gn\\T\\com.microsoft.Word\\WebArchiveCopyPasteTempFiles\\page6image12346752" \* MERGEFORMATINET </w:instrText>
            </w:r>
            <w:r w:rsidR="00AE0B1E">
              <w:rPr>
                <w:rFonts w:ascii="Cambria" w:hAnsi="Cambria"/>
                <w:noProof/>
              </w:rPr>
              <w:fldChar w:fldCharType="separate"/>
            </w:r>
            <w:r w:rsidR="002D33AB">
              <w:rPr>
                <w:rFonts w:ascii="Cambria" w:hAnsi="Cambria"/>
                <w:noProof/>
              </w:rPr>
              <w:fldChar w:fldCharType="begin"/>
            </w:r>
            <w:r w:rsidR="002D33AB">
              <w:rPr>
                <w:rFonts w:ascii="Cambria" w:hAnsi="Cambria"/>
                <w:noProof/>
              </w:rPr>
              <w:instrText xml:space="preserve"> INCLUDEPICTURE  "\\\\var\\folders\\b2\\_lnnpdjn0_7f2c8qzjrp35gr0000gn\\T\\com.microsoft.Word\\WebArchiveCopyPasteTempFiles\\page6image12346752" \* MERGEFORMATINET </w:instrText>
            </w:r>
            <w:r w:rsidR="002D33AB">
              <w:rPr>
                <w:rFonts w:ascii="Cambria" w:hAnsi="Cambria"/>
                <w:noProof/>
              </w:rPr>
              <w:fldChar w:fldCharType="separate"/>
            </w:r>
            <w:r w:rsidR="008274E7">
              <w:rPr>
                <w:rFonts w:ascii="Cambria" w:hAnsi="Cambria"/>
                <w:noProof/>
              </w:rPr>
              <w:fldChar w:fldCharType="begin"/>
            </w:r>
            <w:r w:rsidR="008274E7">
              <w:rPr>
                <w:rFonts w:ascii="Cambria" w:hAnsi="Cambria"/>
                <w:noProof/>
              </w:rPr>
              <w:instrText xml:space="preserve"> INCLUDEPICTURE  "\\\\var\\folders\\b2\\_lnnpdjn0_7f2c8qzjrp35gr0000gn\\T\\com.microsoft.Word\\WebArchiveCopyPasteTempFiles\\page6image12346752" \* MERGEFORMATINET </w:instrText>
            </w:r>
            <w:r w:rsidR="008274E7">
              <w:rPr>
                <w:rFonts w:ascii="Cambria" w:hAnsi="Cambria"/>
                <w:noProof/>
              </w:rPr>
              <w:fldChar w:fldCharType="separate"/>
            </w:r>
            <w:r w:rsidR="0034383C">
              <w:rPr>
                <w:rFonts w:ascii="Cambria" w:hAnsi="Cambria"/>
                <w:noProof/>
              </w:rPr>
              <w:fldChar w:fldCharType="begin"/>
            </w:r>
            <w:r w:rsidR="0034383C">
              <w:rPr>
                <w:rFonts w:ascii="Cambria" w:hAnsi="Cambria"/>
                <w:noProof/>
              </w:rPr>
              <w:instrText xml:space="preserve"> INCLUDEPICTURE  "\\\\var\\folders\\b2\\_lnnpdjn0_7f2c8qzjrp35gr0000gn\\T\\com.microsoft.Word\\WebArchiveCopyPasteTempFiles\\page6image12346752" \* MERGEFORMATINET </w:instrText>
            </w:r>
            <w:r w:rsidR="0034383C">
              <w:rPr>
                <w:rFonts w:ascii="Cambria" w:hAnsi="Cambria"/>
                <w:noProof/>
              </w:rPr>
              <w:fldChar w:fldCharType="separate"/>
            </w:r>
            <w:r w:rsidR="001337CA">
              <w:rPr>
                <w:rFonts w:ascii="Cambria" w:hAnsi="Cambria"/>
                <w:noProof/>
              </w:rPr>
              <w:fldChar w:fldCharType="begin"/>
            </w:r>
            <w:r w:rsidR="001337CA">
              <w:rPr>
                <w:rFonts w:ascii="Cambria" w:hAnsi="Cambria"/>
                <w:noProof/>
              </w:rPr>
              <w:instrText xml:space="preserve"> INCLUDEPICTURE  "\\\\var\\folders\\b2\\_lnnpdjn0_7f2c8qzjrp35gr0000gn\\T\\com.microsoft.Word\\WebArchiveCopyPasteTempFiles\\page6image12346752" \* MERGEFORMATINET </w:instrText>
            </w:r>
            <w:r w:rsidR="001337CA">
              <w:rPr>
                <w:rFonts w:ascii="Cambria" w:hAnsi="Cambria"/>
                <w:noProof/>
              </w:rPr>
              <w:fldChar w:fldCharType="separate"/>
            </w:r>
            <w:r w:rsidR="003D727D">
              <w:rPr>
                <w:rFonts w:ascii="Cambria" w:hAnsi="Cambria"/>
                <w:noProof/>
              </w:rPr>
              <w:fldChar w:fldCharType="begin"/>
            </w:r>
            <w:r w:rsidR="003D727D">
              <w:rPr>
                <w:rFonts w:ascii="Cambria" w:hAnsi="Cambria"/>
                <w:noProof/>
              </w:rPr>
              <w:instrText xml:space="preserve"> INCLUDEPICTURE  "\\\\var\\folders\\b2\\_lnnpdjn0_7f2c8qzjrp35gr0000gn\\T\\com.microsoft.Word\\WebArchiveCopyPasteTempFiles\\page6image12346752" \* MERGEFORMATINET </w:instrText>
            </w:r>
            <w:r w:rsidR="003D727D">
              <w:rPr>
                <w:rFonts w:ascii="Cambria" w:hAnsi="Cambria"/>
                <w:noProof/>
              </w:rPr>
              <w:fldChar w:fldCharType="separate"/>
            </w:r>
            <w:r w:rsidR="007D361C">
              <w:rPr>
                <w:rFonts w:ascii="Cambria" w:hAnsi="Cambria"/>
                <w:noProof/>
              </w:rPr>
              <w:fldChar w:fldCharType="begin"/>
            </w:r>
            <w:r w:rsidR="007D361C">
              <w:rPr>
                <w:rFonts w:ascii="Cambria" w:hAnsi="Cambria"/>
                <w:noProof/>
              </w:rPr>
              <w:instrText xml:space="preserve"> INCLUDEPICTURE  "\\\\var\\folders\\b2\\_lnnpdjn0_7f2c8qzjrp35gr0000gn\\T\\com.microsoft.Word\\WebArchiveCopyPasteTempFiles\\page6image12346752" \* MERGEFORMATINET </w:instrText>
            </w:r>
            <w:r w:rsidR="007D361C">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"\\\\var\\folders\\b2\\_lnnpdjn0_7f2c8qzjrp35gr0000gn\\T\\com.microsoft.Word\\WebArchiveCopyPasteTempFiles\\page6image12346752" \* MERGEFORMATINET </w:instrText>
            </w:r>
            <w:r w:rsidR="00DB1264">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"\\\\var\\folders\\b2\\_lnnpdjn0_7f2c8qzjrp35gr0000gn\\T\\com.microsoft.Word\\WebArchiveCopyPasteTempFiles\\page6image12346752" \* MERGEFORMATINET </w:instrText>
            </w:r>
            <w:r w:rsidR="00DB1264">
              <w:rPr>
                <w:rFonts w:ascii="Cambria" w:hAnsi="Cambria"/>
                <w:noProof/>
              </w:rPr>
              <w:fldChar w:fldCharType="separate"/>
            </w:r>
            <w:r w:rsidR="000249AB">
              <w:rPr>
                <w:rFonts w:ascii="Cambria" w:hAnsi="Cambria"/>
                <w:noProof/>
              </w:rPr>
              <w:fldChar w:fldCharType="begin"/>
            </w:r>
            <w:r w:rsidR="000249AB">
              <w:rPr>
                <w:rFonts w:ascii="Cambria" w:hAnsi="Cambria"/>
                <w:noProof/>
              </w:rPr>
              <w:instrText xml:space="preserve"> </w:instrText>
            </w:r>
            <w:r w:rsidR="000249AB">
              <w:rPr>
                <w:rFonts w:ascii="Cambria" w:hAnsi="Cambria"/>
                <w:noProof/>
              </w:rPr>
              <w:instrText>INCLUDEPICTURE  "\\\\var\\folders\\b2\\_lnnpdjn0_7f2c8qzjrp35gr0000</w:instrText>
            </w:r>
            <w:r w:rsidR="000249AB">
              <w:rPr>
                <w:rFonts w:ascii="Cambria" w:hAnsi="Cambria"/>
                <w:noProof/>
              </w:rPr>
              <w:instrText>gn\\T\\com.microsoft.Word\\WebArchiveCopyPasteTempFiles\\page6image12346752" \* MERGEFORMATINET</w:instrText>
            </w:r>
            <w:r w:rsidR="000249AB">
              <w:rPr>
                <w:rFonts w:ascii="Cambria" w:hAnsi="Cambria"/>
                <w:noProof/>
              </w:rPr>
              <w:instrText xml:space="preserve"> </w:instrText>
            </w:r>
            <w:r w:rsidR="000249AB">
              <w:rPr>
                <w:rFonts w:ascii="Cambria" w:hAnsi="Cambria"/>
                <w:noProof/>
              </w:rPr>
              <w:fldChar w:fldCharType="separate"/>
            </w:r>
            <w:r w:rsidR="000249AB">
              <w:rPr>
                <w:rFonts w:ascii="Cambria" w:hAnsi="Cambria"/>
                <w:noProof/>
              </w:rPr>
              <w:pict w14:anchorId="3901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6image12346752" style="width:7.5pt;height:7.5pt;mso-width-percent:0;mso-height-percent:0;mso-width-percent:0;mso-height-percent:0">
                  <v:imagedata r:id="rId11" r:href="rId12"/>
                </v:shape>
              </w:pict>
            </w:r>
            <w:r w:rsidR="000249AB">
              <w:rPr>
                <w:rFonts w:ascii="Cambria" w:hAnsi="Cambria"/>
                <w:noProof/>
                <w:sz w:val="24"/>
                <w:szCs w:val="24"/>
              </w:rPr>
              <w:fldChar w:fldCharType="end"/>
            </w:r>
            <w:r w:rsidR="00DB1264">
              <w:rPr>
                <w:rFonts w:ascii="Cambria" w:hAnsi="Cambria"/>
                <w:noProof/>
              </w:rPr>
              <w:fldChar w:fldCharType="end"/>
            </w:r>
            <w:r w:rsidR="00DB1264">
              <w:rPr>
                <w:rFonts w:ascii="Cambria" w:hAnsi="Cambria"/>
                <w:noProof/>
              </w:rPr>
              <w:fldChar w:fldCharType="end"/>
            </w:r>
            <w:r w:rsidR="007D361C">
              <w:rPr>
                <w:rFonts w:ascii="Cambria" w:hAnsi="Cambria"/>
                <w:noProof/>
              </w:rPr>
              <w:fldChar w:fldCharType="end"/>
            </w:r>
            <w:r w:rsidR="003D727D">
              <w:rPr>
                <w:rFonts w:ascii="Cambria" w:hAnsi="Cambria"/>
                <w:noProof/>
              </w:rPr>
              <w:fldChar w:fldCharType="end"/>
            </w:r>
            <w:r w:rsidR="001337CA">
              <w:rPr>
                <w:rFonts w:ascii="Cambria" w:hAnsi="Cambria"/>
                <w:noProof/>
              </w:rPr>
              <w:fldChar w:fldCharType="end"/>
            </w:r>
            <w:r w:rsidR="0034383C">
              <w:rPr>
                <w:rFonts w:ascii="Cambria" w:hAnsi="Cambria"/>
                <w:noProof/>
              </w:rPr>
              <w:fldChar w:fldCharType="end"/>
            </w:r>
            <w:r w:rsidR="008274E7">
              <w:rPr>
                <w:rFonts w:ascii="Cambria" w:hAnsi="Cambria"/>
                <w:noProof/>
              </w:rPr>
              <w:fldChar w:fldCharType="end"/>
            </w:r>
            <w:r w:rsidR="002D33AB">
              <w:rPr>
                <w:rFonts w:ascii="Cambria" w:hAnsi="Cambria"/>
                <w:noProof/>
              </w:rPr>
              <w:fldChar w:fldCharType="end"/>
            </w:r>
            <w:r w:rsidR="00AE0B1E">
              <w:rPr>
                <w:rFonts w:ascii="Cambria" w:hAnsi="Cambria"/>
                <w:noProof/>
              </w:rPr>
              <w:fldChar w:fldCharType="end"/>
            </w:r>
            <w:r w:rsidR="00AE451A">
              <w:rPr>
                <w:rFonts w:ascii="Cambria" w:hAnsi="Cambria"/>
                <w:noProof/>
              </w:rPr>
              <w:fldChar w:fldCharType="end"/>
            </w:r>
            <w:r w:rsidR="005957D3">
              <w:rPr>
                <w:rFonts w:ascii="Cambria" w:hAnsi="Cambria"/>
                <w:noProof/>
              </w:rPr>
              <w:fldChar w:fldCharType="end"/>
            </w:r>
            <w:r w:rsidR="009E5140">
              <w:rPr>
                <w:rFonts w:ascii="Cambria" w:hAnsi="Cambria"/>
                <w:noProof/>
              </w:rPr>
              <w:fldChar w:fldCharType="end"/>
            </w:r>
            <w:r w:rsidR="0002234D">
              <w:rPr>
                <w:rFonts w:ascii="Cambria" w:hAnsi="Cambria"/>
                <w:noProof/>
              </w:rPr>
              <w:fldChar w:fldCharType="end"/>
            </w:r>
            <w:r w:rsidR="00F34DFB">
              <w:rPr>
                <w:rFonts w:ascii="Cambria" w:hAnsi="Cambria"/>
                <w:noProof/>
              </w:rPr>
              <w:fldChar w:fldCharType="end"/>
            </w:r>
            <w:r w:rsidR="00D12C68">
              <w:rPr>
                <w:rFonts w:ascii="Cambria" w:hAnsi="Cambria"/>
                <w:noProof/>
              </w:rPr>
              <w:fldChar w:fldCharType="end"/>
            </w:r>
            <w:r w:rsidR="00852ABD">
              <w:rPr>
                <w:rFonts w:ascii="Cambria" w:hAnsi="Cambria"/>
                <w:noProof/>
              </w:rPr>
              <w:fldChar w:fldCharType="end"/>
            </w:r>
            <w:r w:rsidR="00CC2A08">
              <w:rPr>
                <w:rFonts w:ascii="Cambria" w:hAnsi="Cambria"/>
                <w:noProof/>
              </w:rPr>
              <w:fldChar w:fldCharType="end"/>
            </w:r>
            <w:r w:rsidR="00191EA1">
              <w:rPr>
                <w:rFonts w:ascii="Cambria" w:hAnsi="Cambria"/>
                <w:noProof/>
              </w:rPr>
              <w:fldChar w:fldCharType="end"/>
            </w:r>
            <w:r w:rsidR="0058524B">
              <w:rPr>
                <w:rFonts w:ascii="Cambria" w:hAnsi="Cambria"/>
                <w:noProof/>
              </w:rPr>
              <w:fldChar w:fldCharType="end"/>
            </w:r>
            <w:r w:rsidR="003D2761">
              <w:rPr>
                <w:rFonts w:ascii="Cambria" w:hAnsi="Cambria"/>
                <w:noProof/>
              </w:rPr>
              <w:fldChar w:fldCharType="end"/>
            </w:r>
            <w:r w:rsidR="00AC1CB1">
              <w:rPr>
                <w:rFonts w:ascii="Cambria" w:hAnsi="Cambria"/>
                <w:noProof/>
              </w:rPr>
              <w:fldChar w:fldCharType="end"/>
            </w:r>
            <w:r w:rsidR="0061019C">
              <w:rPr>
                <w:rFonts w:ascii="Cambria" w:hAnsi="Cambria"/>
                <w:noProof/>
              </w:rPr>
              <w:fldChar w:fldCharType="end"/>
            </w:r>
            <w:r w:rsidR="00867E8E">
              <w:rPr>
                <w:rFonts w:ascii="Cambria" w:hAnsi="Cambria"/>
                <w:noProof/>
              </w:rPr>
              <w:fldChar w:fldCharType="end"/>
            </w:r>
            <w:r w:rsidR="009C789A">
              <w:rPr>
                <w:rFonts w:ascii="Cambria" w:hAnsi="Cambria"/>
                <w:noProof/>
              </w:rPr>
              <w:fldChar w:fldCharType="end"/>
            </w:r>
            <w:r w:rsidR="00A330F0">
              <w:rPr>
                <w:rFonts w:ascii="Cambria" w:hAnsi="Cambria"/>
                <w:noProof/>
              </w:rPr>
              <w:fldChar w:fldCharType="end"/>
            </w:r>
            <w:r w:rsidR="002051FA">
              <w:rPr>
                <w:rFonts w:ascii="Cambria" w:hAnsi="Cambria"/>
                <w:noProof/>
              </w:rPr>
              <w:fldChar w:fldCharType="end"/>
            </w:r>
            <w:r w:rsidR="00F53AEC">
              <w:rPr>
                <w:rFonts w:ascii="Cambria" w:hAnsi="Cambria"/>
                <w:noProof/>
              </w:rPr>
              <w:fldChar w:fldCharType="end"/>
            </w:r>
            <w:r w:rsidR="00680CA0">
              <w:rPr>
                <w:rFonts w:ascii="Cambria" w:hAnsi="Cambria"/>
                <w:noProof/>
              </w:rPr>
              <w:fldChar w:fldCharType="end"/>
            </w:r>
            <w:r w:rsidR="00952156">
              <w:rPr>
                <w:rFonts w:ascii="Cambria" w:hAnsi="Cambria"/>
                <w:noProof/>
              </w:rPr>
              <w:fldChar w:fldCharType="end"/>
            </w:r>
            <w:r w:rsidR="00CE7263" w:rsidRPr="00D058C1">
              <w:rPr>
                <w:rFonts w:ascii="Cambria" w:hAnsi="Cambria"/>
                <w:noProof/>
              </w:rPr>
              <w:fldChar w:fldCharType="end"/>
            </w:r>
            <w:r w:rsidR="006A685F" w:rsidRPr="00D058C1">
              <w:rPr>
                <w:rFonts w:ascii="Cambria" w:hAnsi="Cambria"/>
                <w:noProof/>
              </w:rPr>
              <w:fldChar w:fldCharType="end"/>
            </w:r>
            <w:r w:rsidR="00DB5ECD" w:rsidRPr="00D058C1">
              <w:rPr>
                <w:rFonts w:ascii="Cambria" w:hAnsi="Cambria"/>
                <w:noProof/>
              </w:rPr>
              <w:fldChar w:fldCharType="end"/>
            </w:r>
            <w:r w:rsidRPr="00D058C1">
              <w:rPr>
                <w:rFonts w:ascii="Cambria" w:hAnsi="Cambria"/>
              </w:rPr>
              <w:fldChar w:fldCharType="end"/>
            </w:r>
          </w:p>
        </w:tc>
        <w:tc>
          <w:tcPr>
            <w:tcW w:w="1985" w:type="dxa"/>
            <w:vAlign w:val="center"/>
          </w:tcPr>
          <w:p w14:paraId="4068E197" w14:textId="6F279C91" w:rsidR="001C74B8" w:rsidRPr="00D058C1" w:rsidRDefault="001C74B8" w:rsidP="006706B0">
            <w:pPr>
              <w:pStyle w:val="NormalWeb"/>
              <w:spacing w:before="0" w:beforeAutospacing="0" w:after="0" w:afterAutospacing="0"/>
              <w:divId w:val="2135442882"/>
              <w:rPr>
                <w:rFonts w:ascii="Cambria" w:hAnsi="Cambria"/>
              </w:rPr>
            </w:pPr>
            <w:r w:rsidRPr="00D058C1">
              <w:rPr>
                <w:rFonts w:ascii="Cambria" w:hAnsi="Cambria" w:cs="Arial"/>
                <w:sz w:val="20"/>
                <w:szCs w:val="20"/>
              </w:rPr>
              <w:t xml:space="preserve">Indicative Days (input days, maximum </w:t>
            </w:r>
          </w:p>
        </w:tc>
        <w:tc>
          <w:tcPr>
            <w:tcW w:w="1547" w:type="dxa"/>
            <w:vAlign w:val="center"/>
          </w:tcPr>
          <w:p w14:paraId="12A34483" w14:textId="2A79A2E9" w:rsidR="001C74B8" w:rsidRPr="00D058C1" w:rsidRDefault="001C74B8" w:rsidP="006706B0">
            <w:pPr>
              <w:jc w:val="both"/>
              <w:rPr>
                <w:rFonts w:ascii="Cambria" w:hAnsi="Cambria"/>
              </w:rPr>
            </w:pPr>
            <w:r w:rsidRPr="00D058C1">
              <w:rPr>
                <w:rFonts w:ascii="Cambria" w:hAnsi="Cambria" w:cs="Arial"/>
                <w:sz w:val="20"/>
                <w:szCs w:val="20"/>
              </w:rPr>
              <w:t xml:space="preserve">Indicative Dates </w:t>
            </w:r>
          </w:p>
        </w:tc>
      </w:tr>
      <w:tr w:rsidR="001C74B8" w:rsidRPr="00D058C1" w14:paraId="195A731E" w14:textId="77777777" w:rsidTr="001C74B8">
        <w:tc>
          <w:tcPr>
            <w:tcW w:w="3964" w:type="dxa"/>
            <w:vAlign w:val="center"/>
          </w:tcPr>
          <w:p w14:paraId="11E623AF" w14:textId="77777777" w:rsidR="001C74B8" w:rsidRPr="00D058C1" w:rsidRDefault="001C74B8" w:rsidP="006706B0">
            <w:pPr>
              <w:pStyle w:val="NormalWeb"/>
              <w:spacing w:before="0" w:beforeAutospacing="0" w:after="0" w:afterAutospacing="0"/>
              <w:divId w:val="544372787"/>
              <w:rPr>
                <w:rFonts w:ascii="Cambria" w:hAnsi="Cambria"/>
              </w:rPr>
            </w:pPr>
            <w:r w:rsidRPr="00D058C1">
              <w:rPr>
                <w:rFonts w:ascii="Cambria" w:hAnsi="Cambria" w:cs="Arial"/>
                <w:sz w:val="20"/>
                <w:szCs w:val="20"/>
              </w:rPr>
              <w:t xml:space="preserve">1. Inception </w:t>
            </w:r>
          </w:p>
          <w:p w14:paraId="44F3BCB4" w14:textId="4E9633EB" w:rsidR="001C74B8" w:rsidRPr="00D058C1" w:rsidRDefault="001C74B8" w:rsidP="006706B0">
            <w:pPr>
              <w:pStyle w:val="NormalWeb"/>
              <w:numPr>
                <w:ilvl w:val="0"/>
                <w:numId w:val="62"/>
              </w:numPr>
              <w:spacing w:before="0" w:beforeAutospacing="0" w:after="0" w:afterAutospacing="0"/>
              <w:divId w:val="544372787"/>
              <w:rPr>
                <w:rFonts w:ascii="Cambria" w:hAnsi="Cambria"/>
              </w:rPr>
            </w:pPr>
            <w:r w:rsidRPr="00D058C1">
              <w:rPr>
                <w:rFonts w:ascii="Cambria" w:hAnsi="Cambria"/>
                <w:sz w:val="20"/>
                <w:szCs w:val="20"/>
              </w:rPr>
              <w:t xml:space="preserve">Review Documents </w:t>
            </w:r>
          </w:p>
          <w:p w14:paraId="559B0DD8" w14:textId="4BF0A733" w:rsidR="001C74B8" w:rsidRPr="00D058C1" w:rsidRDefault="001C74B8" w:rsidP="006706B0">
            <w:pPr>
              <w:pStyle w:val="NormalWeb"/>
              <w:numPr>
                <w:ilvl w:val="0"/>
                <w:numId w:val="62"/>
              </w:numPr>
              <w:spacing w:before="0" w:beforeAutospacing="0" w:after="0" w:afterAutospacing="0"/>
              <w:divId w:val="544372787"/>
              <w:rPr>
                <w:rFonts w:ascii="Cambria" w:hAnsi="Cambria"/>
              </w:rPr>
            </w:pPr>
            <w:r w:rsidRPr="00D058C1">
              <w:rPr>
                <w:rFonts w:ascii="Cambria" w:hAnsi="Cambria"/>
                <w:sz w:val="20"/>
                <w:szCs w:val="20"/>
              </w:rPr>
              <w:t xml:space="preserve">Briefing with DFAT (via teleconference) </w:t>
            </w:r>
          </w:p>
          <w:p w14:paraId="28F06CF0" w14:textId="44C1F3B7" w:rsidR="001C74B8" w:rsidRPr="00D058C1" w:rsidRDefault="001C74B8" w:rsidP="006706B0">
            <w:pPr>
              <w:pStyle w:val="NormalWeb"/>
              <w:numPr>
                <w:ilvl w:val="0"/>
                <w:numId w:val="62"/>
              </w:numPr>
              <w:spacing w:before="0" w:beforeAutospacing="0" w:after="0" w:afterAutospacing="0"/>
              <w:divId w:val="544372787"/>
              <w:rPr>
                <w:rFonts w:ascii="Cambria" w:hAnsi="Cambria"/>
              </w:rPr>
            </w:pPr>
            <w:r w:rsidRPr="00D058C1">
              <w:rPr>
                <w:rFonts w:ascii="Cambria" w:hAnsi="Cambria"/>
                <w:sz w:val="20"/>
                <w:szCs w:val="20"/>
              </w:rPr>
              <w:t xml:space="preserve">Draft Evaluation Plan </w:t>
            </w:r>
          </w:p>
        </w:tc>
        <w:tc>
          <w:tcPr>
            <w:tcW w:w="1134" w:type="dxa"/>
            <w:vAlign w:val="center"/>
          </w:tcPr>
          <w:p w14:paraId="2A8FF4C0" w14:textId="371340B6" w:rsidR="001C74B8" w:rsidRPr="00D058C1" w:rsidRDefault="001C74B8" w:rsidP="006706B0">
            <w:pPr>
              <w:jc w:val="both"/>
              <w:rPr>
                <w:rFonts w:ascii="Cambria" w:hAnsi="Cambria"/>
              </w:rPr>
            </w:pPr>
            <w:r w:rsidRPr="00D058C1">
              <w:rPr>
                <w:rFonts w:ascii="Cambria" w:hAnsi="Cambria"/>
                <w:sz w:val="20"/>
                <w:szCs w:val="20"/>
              </w:rPr>
              <w:t xml:space="preserve">Desk- based </w:t>
            </w:r>
          </w:p>
        </w:tc>
        <w:tc>
          <w:tcPr>
            <w:tcW w:w="1985" w:type="dxa"/>
            <w:vAlign w:val="center"/>
          </w:tcPr>
          <w:p w14:paraId="6FAD411D" w14:textId="78A65D41" w:rsidR="001C74B8" w:rsidRPr="00D058C1" w:rsidRDefault="001C74B8" w:rsidP="006706B0">
            <w:pPr>
              <w:jc w:val="both"/>
              <w:rPr>
                <w:rFonts w:ascii="Cambria" w:hAnsi="Cambria"/>
              </w:rPr>
            </w:pPr>
            <w:r w:rsidRPr="00D058C1">
              <w:rPr>
                <w:rFonts w:ascii="Cambria" w:hAnsi="Cambria"/>
                <w:sz w:val="20"/>
                <w:szCs w:val="20"/>
              </w:rPr>
              <w:t xml:space="preserve">3 working days </w:t>
            </w:r>
          </w:p>
        </w:tc>
        <w:tc>
          <w:tcPr>
            <w:tcW w:w="1547" w:type="dxa"/>
            <w:vAlign w:val="center"/>
          </w:tcPr>
          <w:p w14:paraId="64A7EDCB" w14:textId="21549055" w:rsidR="001C74B8" w:rsidRPr="00D058C1" w:rsidRDefault="001C74B8" w:rsidP="006706B0">
            <w:pPr>
              <w:jc w:val="both"/>
              <w:rPr>
                <w:rFonts w:ascii="Cambria" w:hAnsi="Cambria"/>
              </w:rPr>
            </w:pPr>
            <w:r w:rsidRPr="00D058C1">
              <w:rPr>
                <w:rFonts w:ascii="Cambria" w:hAnsi="Cambria"/>
                <w:sz w:val="20"/>
                <w:szCs w:val="20"/>
              </w:rPr>
              <w:t xml:space="preserve">13-17 January 2020 </w:t>
            </w:r>
          </w:p>
        </w:tc>
      </w:tr>
      <w:tr w:rsidR="001C74B8" w:rsidRPr="00D058C1" w14:paraId="10E90A0E" w14:textId="77777777" w:rsidTr="001C74B8">
        <w:tc>
          <w:tcPr>
            <w:tcW w:w="3964" w:type="dxa"/>
            <w:vAlign w:val="center"/>
          </w:tcPr>
          <w:p w14:paraId="489DFBD4" w14:textId="77777777" w:rsidR="001C74B8" w:rsidRPr="00D058C1" w:rsidRDefault="001C74B8" w:rsidP="006706B0">
            <w:pPr>
              <w:pStyle w:val="NormalWeb"/>
              <w:spacing w:before="0" w:beforeAutospacing="0" w:after="0" w:afterAutospacing="0"/>
              <w:divId w:val="1916234378"/>
              <w:rPr>
                <w:rFonts w:ascii="Cambria" w:hAnsi="Cambria"/>
              </w:rPr>
            </w:pPr>
            <w:r w:rsidRPr="00D058C1">
              <w:rPr>
                <w:rFonts w:ascii="Cambria" w:hAnsi="Cambria" w:cs="Arial"/>
                <w:sz w:val="20"/>
                <w:szCs w:val="20"/>
              </w:rPr>
              <w:t xml:space="preserve">2. Consultation/ Program Field visit </w:t>
            </w:r>
          </w:p>
          <w:p w14:paraId="3DFF0EBB" w14:textId="3ACFC89B" w:rsidR="001C74B8" w:rsidRPr="00D058C1" w:rsidRDefault="001C74B8" w:rsidP="006706B0">
            <w:pPr>
              <w:jc w:val="both"/>
              <w:rPr>
                <w:rFonts w:ascii="Cambria" w:hAnsi="Cambria"/>
              </w:rPr>
            </w:pPr>
          </w:p>
        </w:tc>
        <w:tc>
          <w:tcPr>
            <w:tcW w:w="1134" w:type="dxa"/>
            <w:vAlign w:val="center"/>
          </w:tcPr>
          <w:p w14:paraId="7CE4E4B0" w14:textId="1820FE21" w:rsidR="001C74B8" w:rsidRPr="00D058C1" w:rsidRDefault="001C74B8" w:rsidP="006706B0">
            <w:pPr>
              <w:rPr>
                <w:rFonts w:ascii="Cambria" w:hAnsi="Cambria"/>
              </w:rPr>
            </w:pPr>
            <w:r w:rsidRPr="00D058C1">
              <w:rPr>
                <w:rFonts w:ascii="Cambria" w:hAnsi="Cambria"/>
              </w:rPr>
              <w:fldChar w:fldCharType="begin"/>
            </w:r>
            <w:r w:rsidR="00061123">
              <w:rPr>
                <w:rFonts w:ascii="Cambria" w:hAnsi="Cambria"/>
              </w:rPr>
              <w:instrText xml:space="preserve"> INCLUDEPICTURE "C:\\var\\folders\\b2\\_lnnpdjn0_7f2c8qzjrp35gr0000gn\\T\\com.microsoft.Word\\WebArchiveCopyPasteTempFiles\\page6image12352320" \* MERGEFORMAT </w:instrText>
            </w:r>
            <w:r w:rsidRPr="00D058C1">
              <w:rPr>
                <w:rFonts w:ascii="Cambria" w:hAnsi="Cambria"/>
              </w:rPr>
              <w:fldChar w:fldCharType="separate"/>
            </w:r>
            <w:r w:rsidR="00DB5ECD"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"C:\\var\\folders\\b2\\_lnnpdjn0_7f2c8qzjrp35gr0000gn\\T\\com.microsoft.Word\\WebArchiveCopyPasteTempFiles\\page6image12352320" \* MERGEFORMAT </w:instrText>
            </w:r>
            <w:r w:rsidR="00DB5ECD" w:rsidRPr="00D058C1">
              <w:rPr>
                <w:rFonts w:ascii="Cambria" w:hAnsi="Cambria"/>
                <w:noProof/>
              </w:rPr>
              <w:fldChar w:fldCharType="separate"/>
            </w:r>
            <w:r w:rsidR="006A685F"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"C:\\var\\folders\\b2\\_lnnpdjn0_7f2c8qzjrp35gr0000gn\\T\\com.microsoft.Word\\WebArchiveCopyPasteTempFiles\\page6image12352320" \* MERGEFORMAT </w:instrText>
            </w:r>
            <w:r w:rsidR="006A685F" w:rsidRPr="00D058C1">
              <w:rPr>
                <w:rFonts w:ascii="Cambria" w:hAnsi="Cambria"/>
                <w:noProof/>
              </w:rPr>
              <w:fldChar w:fldCharType="separate"/>
            </w:r>
            <w:r w:rsidR="00CE7263"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"C:\\var\\folders\\b2\\_lnnpdjn0_7f2c8qzjrp35gr0000gn\\T\\com.microsoft.Word\\WebArchiveCopyPasteTempFiles\\page6image12352320" \* MERGEFORMAT </w:instrText>
            </w:r>
            <w:r w:rsidR="00CE7263" w:rsidRPr="00D058C1">
              <w:rPr>
                <w:rFonts w:ascii="Cambria" w:hAnsi="Cambria"/>
                <w:noProof/>
              </w:rPr>
              <w:fldChar w:fldCharType="separate"/>
            </w:r>
            <w:r w:rsidR="00952156">
              <w:rPr>
                <w:rFonts w:ascii="Cambria" w:hAnsi="Cambria"/>
                <w:noProof/>
              </w:rPr>
              <w:fldChar w:fldCharType="begin"/>
            </w:r>
            <w:r w:rsidR="00952156">
              <w:rPr>
                <w:rFonts w:ascii="Cambria" w:hAnsi="Cambria"/>
                <w:noProof/>
              </w:rPr>
              <w:instrText xml:space="preserve"> INCLUDEPICTURE  "\\\\var\\folders\\b2\\_lnnpdjn0_7f2c8qzjrp35gr0000gn\\T\\com.microsoft.Word\\WebArchiveCopyPasteTempFiles\\page6image12352320" \* MERGEFORMATINET </w:instrText>
            </w:r>
            <w:r w:rsidR="00952156">
              <w:rPr>
                <w:rFonts w:ascii="Cambria" w:hAnsi="Cambria"/>
                <w:noProof/>
              </w:rPr>
              <w:fldChar w:fldCharType="separate"/>
            </w:r>
            <w:r w:rsidR="00680CA0">
              <w:rPr>
                <w:rFonts w:ascii="Cambria" w:hAnsi="Cambria"/>
                <w:noProof/>
              </w:rPr>
              <w:fldChar w:fldCharType="begin"/>
            </w:r>
            <w:r w:rsidR="00680CA0">
              <w:rPr>
                <w:rFonts w:ascii="Cambria" w:hAnsi="Cambria"/>
                <w:noProof/>
              </w:rPr>
              <w:instrText xml:space="preserve"> INCLUDEPICTURE  "\\\\var\\folders\\b2\\_lnnpdjn0_7f2c8qzjrp35gr0000gn\\T\\com.microsoft.Word\\WebArchiveCopyPasteTempFiles\\page6image12352320" \* MERGEFORMATINET </w:instrText>
            </w:r>
            <w:r w:rsidR="00680CA0">
              <w:rPr>
                <w:rFonts w:ascii="Cambria" w:hAnsi="Cambria"/>
                <w:noProof/>
              </w:rPr>
              <w:fldChar w:fldCharType="separate"/>
            </w:r>
            <w:r w:rsidR="00F53AEC">
              <w:rPr>
                <w:rFonts w:ascii="Cambria" w:hAnsi="Cambria"/>
                <w:noProof/>
              </w:rPr>
              <w:fldChar w:fldCharType="begin"/>
            </w:r>
            <w:r w:rsidR="00F53AEC">
              <w:rPr>
                <w:rFonts w:ascii="Cambria" w:hAnsi="Cambria"/>
                <w:noProof/>
              </w:rPr>
              <w:instrText xml:space="preserve"> INCLUDEPICTURE  "\\\\var\\folders\\b2\\_lnnpdjn0_7f2c8qzjrp35gr0000gn\\T\\com.microsoft.Word\\WebArchiveCopyPasteTempFiles\\page6image12352320" \* MERGEFORMATINET </w:instrText>
            </w:r>
            <w:r w:rsidR="00F53AEC">
              <w:rPr>
                <w:rFonts w:ascii="Cambria" w:hAnsi="Cambria"/>
                <w:noProof/>
              </w:rPr>
              <w:fldChar w:fldCharType="separate"/>
            </w:r>
            <w:r w:rsidR="002051FA">
              <w:rPr>
                <w:rFonts w:ascii="Cambria" w:hAnsi="Cambria"/>
                <w:noProof/>
              </w:rPr>
              <w:fldChar w:fldCharType="begin"/>
            </w:r>
            <w:r w:rsidR="002051FA">
              <w:rPr>
                <w:rFonts w:ascii="Cambria" w:hAnsi="Cambria"/>
                <w:noProof/>
              </w:rPr>
              <w:instrText xml:space="preserve"> INCLUDEPICTURE  "\\\\var\\folders\\b2\\_lnnpdjn0_7f2c8qzjrp35gr0000gn\\T\\com.microsoft.Word\\WebArchiveCopyPasteTempFiles\\page6image12352320" \* MERGEFORMATINET </w:instrText>
            </w:r>
            <w:r w:rsidR="002051FA">
              <w:rPr>
                <w:rFonts w:ascii="Cambria" w:hAnsi="Cambria"/>
                <w:noProof/>
              </w:rPr>
              <w:fldChar w:fldCharType="separate"/>
            </w:r>
            <w:r w:rsidR="00A330F0">
              <w:rPr>
                <w:rFonts w:ascii="Cambria" w:hAnsi="Cambria"/>
                <w:noProof/>
              </w:rPr>
              <w:fldChar w:fldCharType="begin"/>
            </w:r>
            <w:r w:rsidR="00A330F0">
              <w:rPr>
                <w:rFonts w:ascii="Cambria" w:hAnsi="Cambria"/>
                <w:noProof/>
              </w:rPr>
              <w:instrText xml:space="preserve"> INCLUDEPICTURE  "\\\\var\\folders\\b2\\_lnnpdjn0_7f2c8qzjrp35gr0000gn\\T\\com.microsoft.Word\\WebArchiveCopyPasteTempFiles\\page6image12352320" \* MERGEFORMATINET </w:instrText>
            </w:r>
            <w:r w:rsidR="00A330F0">
              <w:rPr>
                <w:rFonts w:ascii="Cambria" w:hAnsi="Cambria"/>
                <w:noProof/>
              </w:rPr>
              <w:fldChar w:fldCharType="separate"/>
            </w:r>
            <w:r w:rsidR="009C789A">
              <w:rPr>
                <w:rFonts w:ascii="Cambria" w:hAnsi="Cambria"/>
                <w:noProof/>
              </w:rPr>
              <w:fldChar w:fldCharType="begin"/>
            </w:r>
            <w:r w:rsidR="009C789A">
              <w:rPr>
                <w:rFonts w:ascii="Cambria" w:hAnsi="Cambria"/>
                <w:noProof/>
              </w:rPr>
              <w:instrText xml:space="preserve"> INCLUDEPICTURE  "\\\\var\\folders\\b2\\_lnnpdjn0_7f2c8qzjrp35gr0000gn\\T\\com.microsoft.Word\\WebArchiveCopyPasteTempFiles\\page6image12352320" \* MERGEFORMATINET </w:instrText>
            </w:r>
            <w:r w:rsidR="009C789A">
              <w:rPr>
                <w:rFonts w:ascii="Cambria" w:hAnsi="Cambria"/>
                <w:noProof/>
              </w:rPr>
              <w:fldChar w:fldCharType="separate"/>
            </w:r>
            <w:r w:rsidR="00867E8E">
              <w:rPr>
                <w:rFonts w:ascii="Cambria" w:hAnsi="Cambria"/>
                <w:noProof/>
              </w:rPr>
              <w:fldChar w:fldCharType="begin"/>
            </w:r>
            <w:r w:rsidR="007D7F30">
              <w:rPr>
                <w:rFonts w:ascii="Cambria" w:hAnsi="Cambria"/>
                <w:noProof/>
              </w:rPr>
              <w:instrText xml:space="preserve"> INCLUDEPICTURE "C:\\var\\folders\\b2\\_lnnpdjn0_7f2c8qzjrp35gr0000gn\\T\\com.microsoft.Word\\WebArchiveCopyPasteTempFiles\\page6image12352320" \* MERGEFORMAT </w:instrText>
            </w:r>
            <w:r w:rsidR="00867E8E">
              <w:rPr>
                <w:rFonts w:ascii="Cambria" w:hAnsi="Cambria"/>
                <w:noProof/>
              </w:rPr>
              <w:fldChar w:fldCharType="separate"/>
            </w:r>
            <w:r w:rsidR="0061019C">
              <w:rPr>
                <w:rFonts w:ascii="Cambria" w:hAnsi="Cambria"/>
                <w:noProof/>
              </w:rPr>
              <w:fldChar w:fldCharType="begin"/>
            </w:r>
            <w:r w:rsidR="0061019C">
              <w:rPr>
                <w:rFonts w:ascii="Cambria" w:hAnsi="Cambria"/>
                <w:noProof/>
              </w:rPr>
              <w:instrText xml:space="preserve"> INCLUDEPICTURE  "\\\\var\\folders\\b2\\_lnnpdjn0_7f2c8qzjrp35gr0000gn\\T\\com.microsoft.Word\\WebArchiveCopyPasteTempFiles\\page6image12352320" \* MERGEFORMATINET </w:instrText>
            </w:r>
            <w:r w:rsidR="0061019C">
              <w:rPr>
                <w:rFonts w:ascii="Cambria" w:hAnsi="Cambria"/>
                <w:noProof/>
              </w:rPr>
              <w:fldChar w:fldCharType="separate"/>
            </w:r>
            <w:r w:rsidR="00AC1CB1">
              <w:rPr>
                <w:rFonts w:ascii="Cambria" w:hAnsi="Cambria"/>
                <w:noProof/>
              </w:rPr>
              <w:fldChar w:fldCharType="begin"/>
            </w:r>
            <w:r w:rsidR="00AC1CB1">
              <w:rPr>
                <w:rFonts w:ascii="Cambria" w:hAnsi="Cambria"/>
                <w:noProof/>
              </w:rPr>
              <w:instrText xml:space="preserve"> INCLUDEPICTURE  "\\\\var\\folders\\b2\\_lnnpdjn0_7f2c8qzjrp35gr0000gn\\T\\com.microsoft.Word\\WebArchiveCopyPasteTempFiles\\page6image12352320" \* MERGEFORMATINET </w:instrText>
            </w:r>
            <w:r w:rsidR="00AC1CB1">
              <w:rPr>
                <w:rFonts w:ascii="Cambria" w:hAnsi="Cambria"/>
                <w:noProof/>
              </w:rPr>
              <w:fldChar w:fldCharType="separate"/>
            </w:r>
            <w:r w:rsidR="003D2761">
              <w:rPr>
                <w:rFonts w:ascii="Cambria" w:hAnsi="Cambria"/>
                <w:noProof/>
              </w:rPr>
              <w:fldChar w:fldCharType="begin"/>
            </w:r>
            <w:r w:rsidR="003D2761">
              <w:rPr>
                <w:rFonts w:ascii="Cambria" w:hAnsi="Cambria"/>
                <w:noProof/>
              </w:rPr>
              <w:instrText xml:space="preserve"> INCLUDEPICTURE  "\\\\var\\folders\\b2\\_lnnpdjn0_7f2c8qzjrp35gr0000gn\\T\\com.microsoft.Word\\WebArchiveCopyPasteTempFiles\\page6image12352320" \* MERGEFORMATINET </w:instrText>
            </w:r>
            <w:r w:rsidR="003D2761">
              <w:rPr>
                <w:rFonts w:ascii="Cambria" w:hAnsi="Cambria"/>
                <w:noProof/>
              </w:rPr>
              <w:fldChar w:fldCharType="separate"/>
            </w:r>
            <w:r w:rsidR="0058524B">
              <w:rPr>
                <w:rFonts w:ascii="Cambria" w:hAnsi="Cambria"/>
                <w:noProof/>
              </w:rPr>
              <w:fldChar w:fldCharType="begin"/>
            </w:r>
            <w:r w:rsidR="0058524B">
              <w:rPr>
                <w:rFonts w:ascii="Cambria" w:hAnsi="Cambria"/>
                <w:noProof/>
              </w:rPr>
              <w:instrText xml:space="preserve"> INCLUDEPICTURE  "\\\\var\\folders\\b2\\_lnnpdjn0_7f2c8qzjrp35gr0000gn\\T\\com.microsoft.Word\\WebArchiveCopyPasteTempFiles\\page6image12352320" \* MERGEFORMATINET </w:instrText>
            </w:r>
            <w:r w:rsidR="0058524B">
              <w:rPr>
                <w:rFonts w:ascii="Cambria" w:hAnsi="Cambria"/>
                <w:noProof/>
              </w:rPr>
              <w:fldChar w:fldCharType="separate"/>
            </w:r>
            <w:r w:rsidR="00191EA1">
              <w:rPr>
                <w:rFonts w:ascii="Cambria" w:hAnsi="Cambria"/>
                <w:noProof/>
              </w:rPr>
              <w:fldChar w:fldCharType="begin"/>
            </w:r>
            <w:r w:rsidR="00191EA1">
              <w:rPr>
                <w:rFonts w:ascii="Cambria" w:hAnsi="Cambria"/>
                <w:noProof/>
              </w:rPr>
              <w:instrText xml:space="preserve"> INCLUDEPICTURE  "\\\\var\\folders\\b2\\_lnnpdjn0_7f2c8qzjrp35gr0000gn\\T\\com.microsoft.Word\\WebArchiveCopyPasteTempFiles\\page6image12352320" \* MERGEFORMATINET </w:instrText>
            </w:r>
            <w:r w:rsidR="00191EA1">
              <w:rPr>
                <w:rFonts w:ascii="Cambria" w:hAnsi="Cambria"/>
                <w:noProof/>
              </w:rPr>
              <w:fldChar w:fldCharType="separate"/>
            </w:r>
            <w:r w:rsidR="00CC2A08">
              <w:rPr>
                <w:rFonts w:ascii="Cambria" w:hAnsi="Cambria"/>
                <w:noProof/>
              </w:rPr>
              <w:fldChar w:fldCharType="begin"/>
            </w:r>
            <w:r w:rsidR="00CC2A08">
              <w:rPr>
                <w:rFonts w:ascii="Cambria" w:hAnsi="Cambria"/>
                <w:noProof/>
              </w:rPr>
              <w:instrText xml:space="preserve"> INCLUDEPICTURE  "\\\\var\\folders\\b2\\_lnnpdjn0_7f2c8qzjrp35gr0000gn\\T\\com.microsoft.Word\\WebArchiveCopyPasteTempFiles\\page6image12352320" \* MERGEFORMATINET </w:instrText>
            </w:r>
            <w:r w:rsidR="00CC2A08">
              <w:rPr>
                <w:rFonts w:ascii="Cambria" w:hAnsi="Cambria"/>
                <w:noProof/>
              </w:rPr>
              <w:fldChar w:fldCharType="separate"/>
            </w:r>
            <w:r w:rsidR="00852ABD">
              <w:rPr>
                <w:rFonts w:ascii="Cambria" w:hAnsi="Cambria"/>
                <w:noProof/>
              </w:rPr>
              <w:fldChar w:fldCharType="begin"/>
            </w:r>
            <w:r w:rsidR="00852ABD">
              <w:rPr>
                <w:rFonts w:ascii="Cambria" w:hAnsi="Cambria"/>
                <w:noProof/>
              </w:rPr>
              <w:instrText xml:space="preserve"> INCLUDEPICTURE  "\\\\var\\folders\\b2\\_lnnpdjn0_7f2c8qzjrp35gr0000gn\\T\\com.microsoft.Word\\WebArchiveCopyPasteTempFiles\\page6image12352320" \* MERGEFORMATINET </w:instrText>
            </w:r>
            <w:r w:rsidR="00852ABD">
              <w:rPr>
                <w:rFonts w:ascii="Cambria" w:hAnsi="Cambria"/>
                <w:noProof/>
              </w:rPr>
              <w:fldChar w:fldCharType="separate"/>
            </w:r>
            <w:r w:rsidR="00D12C68">
              <w:rPr>
                <w:rFonts w:ascii="Cambria" w:hAnsi="Cambria"/>
                <w:noProof/>
              </w:rPr>
              <w:fldChar w:fldCharType="begin"/>
            </w:r>
            <w:r w:rsidR="00D12C68">
              <w:rPr>
                <w:rFonts w:ascii="Cambria" w:hAnsi="Cambria"/>
                <w:noProof/>
              </w:rPr>
              <w:instrText xml:space="preserve"> INCLUDEPICTURE  "\\\\var\\folders\\b2\\_lnnpdjn0_7f2c8qzjrp35gr0000gn\\T\\com.microsoft.Word\\WebArchiveCopyPasteTempFiles\\page6image12352320" \* MERGEFORMATINET </w:instrText>
            </w:r>
            <w:r w:rsidR="00D12C68">
              <w:rPr>
                <w:rFonts w:ascii="Cambria" w:hAnsi="Cambria"/>
                <w:noProof/>
              </w:rPr>
              <w:fldChar w:fldCharType="separate"/>
            </w:r>
            <w:r w:rsidR="00F34DFB">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"C:\\var\\folders\\b2\\_lnnpdjn0_7f2c8qzjrp35gr0000gn\\T\\com.microsoft.Word\\WebArchiveCopyPasteTempFiles\\page6image12352320" \* MERGEFORMAT </w:instrText>
            </w:r>
            <w:r w:rsidR="00F34DFB">
              <w:rPr>
                <w:rFonts w:ascii="Cambria" w:hAnsi="Cambria"/>
                <w:noProof/>
              </w:rPr>
              <w:fldChar w:fldCharType="separate"/>
            </w:r>
            <w:r w:rsidR="0002234D">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"C:\\var\\folders\\b2\\_lnnpdjn0_7f2c8qzjrp35gr0000gn\\T\\com.microsoft.Word\\WebArchiveCopyPasteTempFiles\\page6image12352320" \* MERGEFORMAT </w:instrText>
            </w:r>
            <w:r w:rsidR="0002234D">
              <w:rPr>
                <w:rFonts w:ascii="Cambria" w:hAnsi="Cambria"/>
                <w:noProof/>
              </w:rPr>
              <w:fldChar w:fldCharType="separate"/>
            </w:r>
            <w:r w:rsidR="009E5140">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"C:\\var\\folders\\b2\\_lnnpdjn0_7f2c8qzjrp35gr0000gn\\T\\com.microsoft.Word\\WebArchiveCopyPasteTempFiles\\page6image12352320" \* MERGEFORMAT </w:instrText>
            </w:r>
            <w:r w:rsidR="009E5140">
              <w:rPr>
                <w:rFonts w:ascii="Cambria" w:hAnsi="Cambria"/>
                <w:noProof/>
              </w:rPr>
              <w:fldChar w:fldCharType="separate"/>
            </w:r>
            <w:r w:rsidR="005957D3">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"C:\\var\\folders\\b2\\_lnnpdjn0_7f2c8qzjrp35gr0000gn\\T\\com.microsoft.Word\\WebArchiveCopyPasteTempFiles\\page6image12352320" \* MERGEFORMAT </w:instrText>
            </w:r>
            <w:r w:rsidR="005957D3">
              <w:rPr>
                <w:rFonts w:ascii="Cambria" w:hAnsi="Cambria"/>
                <w:noProof/>
              </w:rPr>
              <w:fldChar w:fldCharType="separate"/>
            </w:r>
            <w:r w:rsidR="00AE451A">
              <w:rPr>
                <w:rFonts w:ascii="Cambria" w:hAnsi="Cambria"/>
                <w:noProof/>
              </w:rPr>
              <w:fldChar w:fldCharType="begin"/>
            </w:r>
            <w:r w:rsidR="00AE451A">
              <w:rPr>
                <w:rFonts w:ascii="Cambria" w:hAnsi="Cambria"/>
                <w:noProof/>
              </w:rPr>
              <w:instrText xml:space="preserve"> INCLUDEPICTURE  "\\\\var\\folders\\b2\\_lnnpdjn0_7f2c8qzjrp35gr0000gn\\T\\com.microsoft.Word\\WebArchiveCopyPasteTempFiles\\page6image12352320" \* MERGEFORMATINET </w:instrText>
            </w:r>
            <w:r w:rsidR="00AE451A">
              <w:rPr>
                <w:rFonts w:ascii="Cambria" w:hAnsi="Cambria"/>
                <w:noProof/>
              </w:rPr>
              <w:fldChar w:fldCharType="separate"/>
            </w:r>
            <w:r w:rsidR="00AE0B1E">
              <w:rPr>
                <w:rFonts w:ascii="Cambria" w:hAnsi="Cambria"/>
                <w:noProof/>
              </w:rPr>
              <w:fldChar w:fldCharType="begin"/>
            </w:r>
            <w:r w:rsidR="00AE0B1E">
              <w:rPr>
                <w:rFonts w:ascii="Cambria" w:hAnsi="Cambria"/>
                <w:noProof/>
              </w:rPr>
              <w:instrText xml:space="preserve"> INCLUDEPICTURE  "\\\\var\\folders\\b2\\_lnnpdjn0_7f2c8qzjrp35gr0000gn\\T\\com.microsoft.Word\\WebArchiveCopyPasteTempFiles\\page6image12352320" \* MERGEFORMATINET </w:instrText>
            </w:r>
            <w:r w:rsidR="00AE0B1E">
              <w:rPr>
                <w:rFonts w:ascii="Cambria" w:hAnsi="Cambria"/>
                <w:noProof/>
              </w:rPr>
              <w:fldChar w:fldCharType="separate"/>
            </w:r>
            <w:r w:rsidR="002D33AB">
              <w:rPr>
                <w:rFonts w:ascii="Cambria" w:hAnsi="Cambria"/>
                <w:noProof/>
              </w:rPr>
              <w:fldChar w:fldCharType="begin"/>
            </w:r>
            <w:r w:rsidR="002D33AB">
              <w:rPr>
                <w:rFonts w:ascii="Cambria" w:hAnsi="Cambria"/>
                <w:noProof/>
              </w:rPr>
              <w:instrText xml:space="preserve"> INCLUDEPICTURE  "\\\\var\\folders\\b2\\_lnnpdjn0_7f2c8qzjrp35gr0000gn\\T\\com.microsoft.Word\\WebArchiveCopyPasteTempFiles\\page6image12352320" \* MERGEFORMATINET </w:instrText>
            </w:r>
            <w:r w:rsidR="002D33AB">
              <w:rPr>
                <w:rFonts w:ascii="Cambria" w:hAnsi="Cambria"/>
                <w:noProof/>
              </w:rPr>
              <w:fldChar w:fldCharType="separate"/>
            </w:r>
            <w:r w:rsidR="008274E7">
              <w:rPr>
                <w:rFonts w:ascii="Cambria" w:hAnsi="Cambria"/>
                <w:noProof/>
              </w:rPr>
              <w:fldChar w:fldCharType="begin"/>
            </w:r>
            <w:r w:rsidR="008274E7">
              <w:rPr>
                <w:rFonts w:ascii="Cambria" w:hAnsi="Cambria"/>
                <w:noProof/>
              </w:rPr>
              <w:instrText xml:space="preserve"> INCLUDEPICTURE  "\\\\var\\folders\\b2\\_lnnpdjn0_7f2c8qzjrp35gr0000gn\\T\\com.microsoft.Word\\WebArchiveCopyPasteTempFiles\\page6image12352320" \* MERGEFORMATINET </w:instrText>
            </w:r>
            <w:r w:rsidR="008274E7">
              <w:rPr>
                <w:rFonts w:ascii="Cambria" w:hAnsi="Cambria"/>
                <w:noProof/>
              </w:rPr>
              <w:fldChar w:fldCharType="separate"/>
            </w:r>
            <w:r w:rsidR="0034383C">
              <w:rPr>
                <w:rFonts w:ascii="Cambria" w:hAnsi="Cambria"/>
                <w:noProof/>
              </w:rPr>
              <w:fldChar w:fldCharType="begin"/>
            </w:r>
            <w:r w:rsidR="0034383C">
              <w:rPr>
                <w:rFonts w:ascii="Cambria" w:hAnsi="Cambria"/>
                <w:noProof/>
              </w:rPr>
              <w:instrText xml:space="preserve"> INCLUDEPICTURE  "\\\\var\\folders\\b2\\_lnnpdjn0_7f2c8qzjrp35gr0000gn\\T\\com.microsoft.Word\\WebArchiveCopyPasteTempFiles\\page6image12352320" \* MERGEFORMATINET </w:instrText>
            </w:r>
            <w:r w:rsidR="0034383C">
              <w:rPr>
                <w:rFonts w:ascii="Cambria" w:hAnsi="Cambria"/>
                <w:noProof/>
              </w:rPr>
              <w:fldChar w:fldCharType="separate"/>
            </w:r>
            <w:r w:rsidR="001337CA">
              <w:rPr>
                <w:rFonts w:ascii="Cambria" w:hAnsi="Cambria"/>
                <w:noProof/>
              </w:rPr>
              <w:fldChar w:fldCharType="begin"/>
            </w:r>
            <w:r w:rsidR="001337CA">
              <w:rPr>
                <w:rFonts w:ascii="Cambria" w:hAnsi="Cambria"/>
                <w:noProof/>
              </w:rPr>
              <w:instrText xml:space="preserve"> INCLUDEPICTURE  "\\\\var\\folders\\b2\\_lnnpdjn0_7f2c8qzjrp35gr0000gn\\T\\com.microsoft.Word\\WebArchiveCopyPasteTempFiles\\page6image12352320" \* MERGEFORMATINET </w:instrText>
            </w:r>
            <w:r w:rsidR="001337CA">
              <w:rPr>
                <w:rFonts w:ascii="Cambria" w:hAnsi="Cambria"/>
                <w:noProof/>
              </w:rPr>
              <w:fldChar w:fldCharType="separate"/>
            </w:r>
            <w:r w:rsidR="003D727D">
              <w:rPr>
                <w:rFonts w:ascii="Cambria" w:hAnsi="Cambria"/>
                <w:noProof/>
              </w:rPr>
              <w:fldChar w:fldCharType="begin"/>
            </w:r>
            <w:r w:rsidR="003D727D">
              <w:rPr>
                <w:rFonts w:ascii="Cambria" w:hAnsi="Cambria"/>
                <w:noProof/>
              </w:rPr>
              <w:instrText xml:space="preserve"> INCLUDEPICTURE  "\\\\var\\folders\\b2\\_lnnpdjn0_7f2c8qzjrp35gr0000gn\\T\\com.microsoft.Word\\WebArchiveCopyPasteTempFiles\\page6image12352320" \* MERGEFORMATINET </w:instrText>
            </w:r>
            <w:r w:rsidR="003D727D">
              <w:rPr>
                <w:rFonts w:ascii="Cambria" w:hAnsi="Cambria"/>
                <w:noProof/>
              </w:rPr>
              <w:fldChar w:fldCharType="separate"/>
            </w:r>
            <w:r w:rsidR="007D361C">
              <w:rPr>
                <w:rFonts w:ascii="Cambria" w:hAnsi="Cambria"/>
                <w:noProof/>
              </w:rPr>
              <w:fldChar w:fldCharType="begin"/>
            </w:r>
            <w:r w:rsidR="007D361C">
              <w:rPr>
                <w:rFonts w:ascii="Cambria" w:hAnsi="Cambria"/>
                <w:noProof/>
              </w:rPr>
              <w:instrText xml:space="preserve"> INCLUDEPICTURE  "\\\\var\\folders\\b2\\_lnnpdjn0_7f2c8qzjrp35gr0000gn\\T\\com.microsoft.Word\\WebArchiveCopyPasteTempFiles\\page6image12352320" \* MERGEFORMATINET </w:instrText>
            </w:r>
            <w:r w:rsidR="007D361C">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"\\\\var\\folders\\b2\\_lnnpdjn0_7f2c8qzjrp35gr0000gn\\T\\com.microsoft.Word\\WebArchiveCopyPasteTempFiles\\page6image12352320" \* MERGEFORMATINET </w:instrText>
            </w:r>
            <w:r w:rsidR="00DB1264">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"\\\\var\\folders\\b2\\_lnnpdjn0_7f2c8qzjrp35gr0000gn\\T\\com.microsoft.Word\\WebArchiveCopyPasteTempFiles\\page6image12352320" \* MERGEFORMATINET </w:instrText>
            </w:r>
            <w:r w:rsidR="00DB1264">
              <w:rPr>
                <w:rFonts w:ascii="Cambria" w:hAnsi="Cambria"/>
                <w:noProof/>
              </w:rPr>
              <w:fldChar w:fldCharType="separate"/>
            </w:r>
            <w:r w:rsidR="000249AB">
              <w:rPr>
                <w:rFonts w:ascii="Cambria" w:hAnsi="Cambria"/>
                <w:noProof/>
              </w:rPr>
              <w:fldChar w:fldCharType="begin"/>
            </w:r>
            <w:r w:rsidR="000249AB">
              <w:rPr>
                <w:rFonts w:ascii="Cambria" w:hAnsi="Cambria"/>
                <w:noProof/>
              </w:rPr>
              <w:instrText xml:space="preserve"> </w:instrText>
            </w:r>
            <w:r w:rsidR="000249AB">
              <w:rPr>
                <w:rFonts w:ascii="Cambria" w:hAnsi="Cambria"/>
                <w:noProof/>
              </w:rPr>
              <w:instrText>INCLUDEPICTURE  "\\\\var\\folders\\b2\\_lnnpdjn0_7f2c8qzjrp35gr0000gn\\T\\com.microsoft.Word\\WebArchiveCopyPasteTempFi</w:instrText>
            </w:r>
            <w:r w:rsidR="000249AB">
              <w:rPr>
                <w:rFonts w:ascii="Cambria" w:hAnsi="Cambria"/>
                <w:noProof/>
              </w:rPr>
              <w:instrText>les\\page6image12352320" \* MERGEFORMATINET</w:instrText>
            </w:r>
            <w:r w:rsidR="000249AB">
              <w:rPr>
                <w:rFonts w:ascii="Cambria" w:hAnsi="Cambria"/>
                <w:noProof/>
              </w:rPr>
              <w:instrText xml:space="preserve"> </w:instrText>
            </w:r>
            <w:r w:rsidR="000249AB">
              <w:rPr>
                <w:rFonts w:ascii="Cambria" w:hAnsi="Cambria"/>
                <w:noProof/>
              </w:rPr>
              <w:fldChar w:fldCharType="separate"/>
            </w:r>
            <w:r w:rsidR="000249AB">
              <w:rPr>
                <w:rFonts w:ascii="Cambria" w:hAnsi="Cambria"/>
                <w:noProof/>
              </w:rPr>
              <w:pict w14:anchorId="5A6ED3C2">
                <v:shape id="_x0000_i1026" type="#_x0000_t75" alt="page6image12352320" style="width:7.5pt;height:7.5pt;mso-width-percent:0;mso-height-percent:0;mso-width-percent:0;mso-height-percent:0">
                  <v:imagedata r:id="rId11" r:href="rId13"/>
                </v:shape>
              </w:pict>
            </w:r>
            <w:r w:rsidR="000249AB">
              <w:rPr>
                <w:rFonts w:ascii="Cambria" w:hAnsi="Cambria"/>
                <w:noProof/>
                <w:sz w:val="24"/>
                <w:szCs w:val="24"/>
              </w:rPr>
              <w:fldChar w:fldCharType="end"/>
            </w:r>
            <w:r w:rsidR="00DB1264">
              <w:rPr>
                <w:rFonts w:ascii="Cambria" w:hAnsi="Cambria"/>
                <w:noProof/>
              </w:rPr>
              <w:fldChar w:fldCharType="end"/>
            </w:r>
            <w:r w:rsidR="00DB1264">
              <w:rPr>
                <w:rFonts w:ascii="Cambria" w:hAnsi="Cambria"/>
                <w:noProof/>
              </w:rPr>
              <w:fldChar w:fldCharType="end"/>
            </w:r>
            <w:r w:rsidR="007D361C">
              <w:rPr>
                <w:rFonts w:ascii="Cambria" w:hAnsi="Cambria"/>
                <w:noProof/>
              </w:rPr>
              <w:fldChar w:fldCharType="end"/>
            </w:r>
            <w:r w:rsidR="003D727D">
              <w:rPr>
                <w:rFonts w:ascii="Cambria" w:hAnsi="Cambria"/>
                <w:noProof/>
              </w:rPr>
              <w:fldChar w:fldCharType="end"/>
            </w:r>
            <w:r w:rsidR="001337CA">
              <w:rPr>
                <w:rFonts w:ascii="Cambria" w:hAnsi="Cambria"/>
                <w:noProof/>
              </w:rPr>
              <w:fldChar w:fldCharType="end"/>
            </w:r>
            <w:r w:rsidR="0034383C">
              <w:rPr>
                <w:rFonts w:ascii="Cambria" w:hAnsi="Cambria"/>
                <w:noProof/>
              </w:rPr>
              <w:fldChar w:fldCharType="end"/>
            </w:r>
            <w:r w:rsidR="008274E7">
              <w:rPr>
                <w:rFonts w:ascii="Cambria" w:hAnsi="Cambria"/>
                <w:noProof/>
              </w:rPr>
              <w:fldChar w:fldCharType="end"/>
            </w:r>
            <w:r w:rsidR="002D33AB">
              <w:rPr>
                <w:rFonts w:ascii="Cambria" w:hAnsi="Cambria"/>
                <w:noProof/>
              </w:rPr>
              <w:fldChar w:fldCharType="end"/>
            </w:r>
            <w:r w:rsidR="00AE0B1E">
              <w:rPr>
                <w:rFonts w:ascii="Cambria" w:hAnsi="Cambria"/>
                <w:noProof/>
              </w:rPr>
              <w:fldChar w:fldCharType="end"/>
            </w:r>
            <w:r w:rsidR="00AE451A">
              <w:rPr>
                <w:rFonts w:ascii="Cambria" w:hAnsi="Cambria"/>
                <w:noProof/>
              </w:rPr>
              <w:fldChar w:fldCharType="end"/>
            </w:r>
            <w:r w:rsidR="005957D3">
              <w:rPr>
                <w:rFonts w:ascii="Cambria" w:hAnsi="Cambria"/>
                <w:noProof/>
              </w:rPr>
              <w:fldChar w:fldCharType="end"/>
            </w:r>
            <w:r w:rsidR="009E5140">
              <w:rPr>
                <w:rFonts w:ascii="Cambria" w:hAnsi="Cambria"/>
                <w:noProof/>
              </w:rPr>
              <w:fldChar w:fldCharType="end"/>
            </w:r>
            <w:r w:rsidR="0002234D">
              <w:rPr>
                <w:rFonts w:ascii="Cambria" w:hAnsi="Cambria"/>
                <w:noProof/>
              </w:rPr>
              <w:fldChar w:fldCharType="end"/>
            </w:r>
            <w:r w:rsidR="00F34DFB">
              <w:rPr>
                <w:rFonts w:ascii="Cambria" w:hAnsi="Cambria"/>
                <w:noProof/>
              </w:rPr>
              <w:fldChar w:fldCharType="end"/>
            </w:r>
            <w:r w:rsidR="00D12C68">
              <w:rPr>
                <w:rFonts w:ascii="Cambria" w:hAnsi="Cambria"/>
                <w:noProof/>
              </w:rPr>
              <w:fldChar w:fldCharType="end"/>
            </w:r>
            <w:r w:rsidR="00852ABD">
              <w:rPr>
                <w:rFonts w:ascii="Cambria" w:hAnsi="Cambria"/>
                <w:noProof/>
              </w:rPr>
              <w:fldChar w:fldCharType="end"/>
            </w:r>
            <w:r w:rsidR="00CC2A08">
              <w:rPr>
                <w:rFonts w:ascii="Cambria" w:hAnsi="Cambria"/>
                <w:noProof/>
              </w:rPr>
              <w:fldChar w:fldCharType="end"/>
            </w:r>
            <w:r w:rsidR="00191EA1">
              <w:rPr>
                <w:rFonts w:ascii="Cambria" w:hAnsi="Cambria"/>
                <w:noProof/>
              </w:rPr>
              <w:fldChar w:fldCharType="end"/>
            </w:r>
            <w:r w:rsidR="0058524B">
              <w:rPr>
                <w:rFonts w:ascii="Cambria" w:hAnsi="Cambria"/>
                <w:noProof/>
              </w:rPr>
              <w:fldChar w:fldCharType="end"/>
            </w:r>
            <w:r w:rsidR="003D2761">
              <w:rPr>
                <w:rFonts w:ascii="Cambria" w:hAnsi="Cambria"/>
                <w:noProof/>
              </w:rPr>
              <w:fldChar w:fldCharType="end"/>
            </w:r>
            <w:r w:rsidR="00AC1CB1">
              <w:rPr>
                <w:rFonts w:ascii="Cambria" w:hAnsi="Cambria"/>
                <w:noProof/>
              </w:rPr>
              <w:fldChar w:fldCharType="end"/>
            </w:r>
            <w:r w:rsidR="0061019C">
              <w:rPr>
                <w:rFonts w:ascii="Cambria" w:hAnsi="Cambria"/>
                <w:noProof/>
              </w:rPr>
              <w:fldChar w:fldCharType="end"/>
            </w:r>
            <w:r w:rsidR="00867E8E">
              <w:rPr>
                <w:rFonts w:ascii="Cambria" w:hAnsi="Cambria"/>
                <w:noProof/>
              </w:rPr>
              <w:fldChar w:fldCharType="end"/>
            </w:r>
            <w:r w:rsidR="009C789A">
              <w:rPr>
                <w:rFonts w:ascii="Cambria" w:hAnsi="Cambria"/>
                <w:noProof/>
              </w:rPr>
              <w:fldChar w:fldCharType="end"/>
            </w:r>
            <w:r w:rsidR="00A330F0">
              <w:rPr>
                <w:rFonts w:ascii="Cambria" w:hAnsi="Cambria"/>
                <w:noProof/>
              </w:rPr>
              <w:fldChar w:fldCharType="end"/>
            </w:r>
            <w:r w:rsidR="002051FA">
              <w:rPr>
                <w:rFonts w:ascii="Cambria" w:hAnsi="Cambria"/>
                <w:noProof/>
              </w:rPr>
              <w:fldChar w:fldCharType="end"/>
            </w:r>
            <w:r w:rsidR="00F53AEC">
              <w:rPr>
                <w:rFonts w:ascii="Cambria" w:hAnsi="Cambria"/>
                <w:noProof/>
              </w:rPr>
              <w:fldChar w:fldCharType="end"/>
            </w:r>
            <w:r w:rsidR="00680CA0">
              <w:rPr>
                <w:rFonts w:ascii="Cambria" w:hAnsi="Cambria"/>
                <w:noProof/>
              </w:rPr>
              <w:fldChar w:fldCharType="end"/>
            </w:r>
            <w:r w:rsidR="00952156">
              <w:rPr>
                <w:rFonts w:ascii="Cambria" w:hAnsi="Cambria"/>
                <w:noProof/>
              </w:rPr>
              <w:fldChar w:fldCharType="end"/>
            </w:r>
            <w:r w:rsidR="00CE7263" w:rsidRPr="00D058C1">
              <w:rPr>
                <w:rFonts w:ascii="Cambria" w:hAnsi="Cambria"/>
                <w:noProof/>
              </w:rPr>
              <w:fldChar w:fldCharType="end"/>
            </w:r>
            <w:r w:rsidR="006A685F" w:rsidRPr="00D058C1">
              <w:rPr>
                <w:rFonts w:ascii="Cambria" w:hAnsi="Cambria"/>
                <w:noProof/>
              </w:rPr>
              <w:fldChar w:fldCharType="end"/>
            </w:r>
            <w:r w:rsidR="00DB5ECD" w:rsidRPr="00D058C1">
              <w:rPr>
                <w:rFonts w:ascii="Cambria" w:hAnsi="Cambria"/>
                <w:noProof/>
              </w:rPr>
              <w:fldChar w:fldCharType="end"/>
            </w:r>
            <w:r w:rsidRPr="00D058C1">
              <w:rPr>
                <w:rFonts w:ascii="Cambria" w:hAnsi="Cambria"/>
              </w:rPr>
              <w:fldChar w:fldCharType="end"/>
            </w:r>
            <w:r w:rsidRPr="00D058C1">
              <w:rPr>
                <w:rFonts w:ascii="Cambria" w:hAnsi="Cambria"/>
                <w:sz w:val="20"/>
                <w:szCs w:val="20"/>
              </w:rPr>
              <w:t xml:space="preserve">Manila, Cotabato </w:t>
            </w:r>
          </w:p>
        </w:tc>
        <w:tc>
          <w:tcPr>
            <w:tcW w:w="1985" w:type="dxa"/>
            <w:vAlign w:val="center"/>
          </w:tcPr>
          <w:p w14:paraId="74261C16" w14:textId="06178B40" w:rsidR="001C74B8" w:rsidRPr="00D058C1" w:rsidRDefault="001C74B8" w:rsidP="006706B0">
            <w:pPr>
              <w:rPr>
                <w:rFonts w:ascii="Cambria" w:hAnsi="Cambria"/>
              </w:rPr>
            </w:pPr>
            <w:r w:rsidRPr="00D058C1">
              <w:rPr>
                <w:rFonts w:ascii="Cambria" w:hAnsi="Cambria"/>
              </w:rPr>
              <w:fldChar w:fldCharType="begin"/>
            </w:r>
            <w:r w:rsidR="00061123">
              <w:rPr>
                <w:rFonts w:ascii="Cambria" w:hAnsi="Cambria"/>
              </w:rPr>
              <w:instrText xml:space="preserve"> INCLUDEPICTURE "C:\\var\\folders\\b2\\_lnnpdjn0_7f2c8qzjrp35gr0000gn\\T\\com.microsoft.Word\\WebArchiveCopyPasteTempFiles\\page6image12321152" \* MERGEFORMAT </w:instrText>
            </w:r>
            <w:r w:rsidRPr="00D058C1">
              <w:rPr>
                <w:rFonts w:ascii="Cambria" w:hAnsi="Cambria"/>
              </w:rPr>
              <w:fldChar w:fldCharType="separate"/>
            </w:r>
            <w:r w:rsidR="00DB5ECD"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"C:\\var\\folders\\b2\\_lnnpdjn0_7f2c8qzjrp35gr0000gn\\T\\com.microsoft.Word\\WebArchiveCopyPasteTempFiles\\page6image12321152" \* MERGEFORMAT </w:instrText>
            </w:r>
            <w:r w:rsidR="00DB5ECD" w:rsidRPr="00D058C1">
              <w:rPr>
                <w:rFonts w:ascii="Cambria" w:hAnsi="Cambria"/>
                <w:noProof/>
              </w:rPr>
              <w:fldChar w:fldCharType="separate"/>
            </w:r>
            <w:r w:rsidR="006A685F"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"C:\\var\\folders\\b2\\_lnnpdjn0_7f2c8qzjrp35gr0000gn\\T\\com.microsoft.Word\\WebArchiveCopyPasteTempFiles\\page6image12321152" \* MERGEFORMAT </w:instrText>
            </w:r>
            <w:r w:rsidR="006A685F" w:rsidRPr="00D058C1">
              <w:rPr>
                <w:rFonts w:ascii="Cambria" w:hAnsi="Cambria"/>
                <w:noProof/>
              </w:rPr>
              <w:fldChar w:fldCharType="separate"/>
            </w:r>
            <w:r w:rsidR="00CE7263" w:rsidRPr="00D058C1">
              <w:rPr>
                <w:rFonts w:ascii="Cambria" w:hAnsi="Cambria"/>
                <w:noProof/>
              </w:rPr>
              <w:fldChar w:fldCharType="begin"/>
            </w:r>
            <w:r w:rsidR="00061123">
              <w:rPr>
                <w:rFonts w:ascii="Cambria" w:hAnsi="Cambria"/>
                <w:noProof/>
              </w:rPr>
              <w:instrText xml:space="preserve"> INCLUDEPICTURE "C:\\var\\folders\\b2\\_lnnpdjn0_7f2c8qzjrp35gr0000gn\\T\\com.microsoft.Word\\WebArchiveCopyPasteTempFiles\\page6image12321152" \* MERGEFORMAT </w:instrText>
            </w:r>
            <w:r w:rsidR="00CE7263" w:rsidRPr="00D058C1">
              <w:rPr>
                <w:rFonts w:ascii="Cambria" w:hAnsi="Cambria"/>
                <w:noProof/>
              </w:rPr>
              <w:fldChar w:fldCharType="separate"/>
            </w:r>
            <w:r w:rsidR="00952156">
              <w:rPr>
                <w:rFonts w:ascii="Cambria" w:hAnsi="Cambria"/>
                <w:noProof/>
              </w:rPr>
              <w:fldChar w:fldCharType="begin"/>
            </w:r>
            <w:r w:rsidR="00952156">
              <w:rPr>
                <w:rFonts w:ascii="Cambria" w:hAnsi="Cambria"/>
                <w:noProof/>
              </w:rPr>
              <w:instrText xml:space="preserve"> INCLUDEPICTURE  "\\\\var\\folders\\b2\\_lnnpdjn0_7f2c8qzjrp35gr0000gn\\T\\com.microsoft.Word\\WebArchiveCopyPasteTempFiles\\page6image12321152" \* MERGEFORMATINET </w:instrText>
            </w:r>
            <w:r w:rsidR="00952156">
              <w:rPr>
                <w:rFonts w:ascii="Cambria" w:hAnsi="Cambria"/>
                <w:noProof/>
              </w:rPr>
              <w:fldChar w:fldCharType="separate"/>
            </w:r>
            <w:r w:rsidR="00680CA0">
              <w:rPr>
                <w:rFonts w:ascii="Cambria" w:hAnsi="Cambria"/>
                <w:noProof/>
              </w:rPr>
              <w:fldChar w:fldCharType="begin"/>
            </w:r>
            <w:r w:rsidR="00680CA0">
              <w:rPr>
                <w:rFonts w:ascii="Cambria" w:hAnsi="Cambria"/>
                <w:noProof/>
              </w:rPr>
              <w:instrText xml:space="preserve"> INCLUDEPICTURE  "\\\\var\\folders\\b2\\_lnnpdjn0_7f2c8qzjrp35gr0000gn\\T\\com.microsoft.Word\\WebArchiveCopyPasteTempFiles\\page6image12321152" \* MERGEFORMATINET </w:instrText>
            </w:r>
            <w:r w:rsidR="00680CA0">
              <w:rPr>
                <w:rFonts w:ascii="Cambria" w:hAnsi="Cambria"/>
                <w:noProof/>
              </w:rPr>
              <w:fldChar w:fldCharType="separate"/>
            </w:r>
            <w:r w:rsidR="00F53AEC">
              <w:rPr>
                <w:rFonts w:ascii="Cambria" w:hAnsi="Cambria"/>
                <w:noProof/>
              </w:rPr>
              <w:fldChar w:fldCharType="begin"/>
            </w:r>
            <w:r w:rsidR="00F53AEC">
              <w:rPr>
                <w:rFonts w:ascii="Cambria" w:hAnsi="Cambria"/>
                <w:noProof/>
              </w:rPr>
              <w:instrText xml:space="preserve"> INCLUDEPICTURE  "\\\\var\\folders\\b2\\_lnnpdjn0_7f2c8qzjrp35gr0000gn\\T\\com.microsoft.Word\\WebArchiveCopyPasteTempFiles\\page6image12321152" \* MERGEFORMATINET </w:instrText>
            </w:r>
            <w:r w:rsidR="00F53AEC">
              <w:rPr>
                <w:rFonts w:ascii="Cambria" w:hAnsi="Cambria"/>
                <w:noProof/>
              </w:rPr>
              <w:fldChar w:fldCharType="separate"/>
            </w:r>
            <w:r w:rsidR="002051FA">
              <w:rPr>
                <w:rFonts w:ascii="Cambria" w:hAnsi="Cambria"/>
                <w:noProof/>
              </w:rPr>
              <w:fldChar w:fldCharType="begin"/>
            </w:r>
            <w:r w:rsidR="002051FA">
              <w:rPr>
                <w:rFonts w:ascii="Cambria" w:hAnsi="Cambria"/>
                <w:noProof/>
              </w:rPr>
              <w:instrText xml:space="preserve"> INCLUDEPICTURE  "\\\\var\\folders\\b2\\_lnnpdjn0_7f2c8qzjrp35gr0000gn\\T\\com.microsoft.Word\\WebArchiveCopyPasteTempFiles\\page6image12321152" \* MERGEFORMATINET </w:instrText>
            </w:r>
            <w:r w:rsidR="002051FA">
              <w:rPr>
                <w:rFonts w:ascii="Cambria" w:hAnsi="Cambria"/>
                <w:noProof/>
              </w:rPr>
              <w:fldChar w:fldCharType="separate"/>
            </w:r>
            <w:r w:rsidR="00A330F0">
              <w:rPr>
                <w:rFonts w:ascii="Cambria" w:hAnsi="Cambria"/>
                <w:noProof/>
              </w:rPr>
              <w:fldChar w:fldCharType="begin"/>
            </w:r>
            <w:r w:rsidR="00A330F0">
              <w:rPr>
                <w:rFonts w:ascii="Cambria" w:hAnsi="Cambria"/>
                <w:noProof/>
              </w:rPr>
              <w:instrText xml:space="preserve"> INCLUDEPICTURE  "\\\\var\\folders\\b2\\_lnnpdjn0_7f2c8qzjrp35gr0000gn\\T\\com.microsoft.Word\\WebArchiveCopyPasteTempFiles\\page6image12321152" \* MERGEFORMATINET </w:instrText>
            </w:r>
            <w:r w:rsidR="00A330F0">
              <w:rPr>
                <w:rFonts w:ascii="Cambria" w:hAnsi="Cambria"/>
                <w:noProof/>
              </w:rPr>
              <w:fldChar w:fldCharType="separate"/>
            </w:r>
            <w:r w:rsidR="009C789A">
              <w:rPr>
                <w:rFonts w:ascii="Cambria" w:hAnsi="Cambria"/>
                <w:noProof/>
              </w:rPr>
              <w:fldChar w:fldCharType="begin"/>
            </w:r>
            <w:r w:rsidR="009C789A">
              <w:rPr>
                <w:rFonts w:ascii="Cambria" w:hAnsi="Cambria"/>
                <w:noProof/>
              </w:rPr>
              <w:instrText xml:space="preserve"> INCLUDEPICTURE  "\\\\var\\folders\\b2\\_lnnpdjn0_7f2c8qzjrp35gr0000gn\\T\\com.microsoft.Word\\WebArchiveCopyPasteTempFiles\\page6image12321152" \* MERGEFORMATINET </w:instrText>
            </w:r>
            <w:r w:rsidR="009C789A">
              <w:rPr>
                <w:rFonts w:ascii="Cambria" w:hAnsi="Cambria"/>
                <w:noProof/>
              </w:rPr>
              <w:fldChar w:fldCharType="separate"/>
            </w:r>
            <w:r w:rsidR="00867E8E">
              <w:rPr>
                <w:rFonts w:ascii="Cambria" w:hAnsi="Cambria"/>
                <w:noProof/>
              </w:rPr>
              <w:fldChar w:fldCharType="begin"/>
            </w:r>
            <w:r w:rsidR="007D7F30">
              <w:rPr>
                <w:rFonts w:ascii="Cambria" w:hAnsi="Cambria"/>
                <w:noProof/>
              </w:rPr>
              <w:instrText xml:space="preserve"> INCLUDEPICTURE "C:\\var\\folders\\b2\\_lnnpdjn0_7f2c8qzjrp35gr0000gn\\T\\com.microsoft.Word\\WebArchiveCopyPasteTempFiles\\page6image12321152" \* MERGEFORMAT </w:instrText>
            </w:r>
            <w:r w:rsidR="00867E8E">
              <w:rPr>
                <w:rFonts w:ascii="Cambria" w:hAnsi="Cambria"/>
                <w:noProof/>
              </w:rPr>
              <w:fldChar w:fldCharType="separate"/>
            </w:r>
            <w:r w:rsidR="0061019C">
              <w:rPr>
                <w:rFonts w:ascii="Cambria" w:hAnsi="Cambria"/>
                <w:noProof/>
              </w:rPr>
              <w:fldChar w:fldCharType="begin"/>
            </w:r>
            <w:r w:rsidR="0061019C">
              <w:rPr>
                <w:rFonts w:ascii="Cambria" w:hAnsi="Cambria"/>
                <w:noProof/>
              </w:rPr>
              <w:instrText xml:space="preserve"> INCLUDEPICTURE  "\\\\var\\folders\\b2\\_lnnpdjn0_7f2c8qzjrp35gr0000gn\\T\\com.microsoft.Word\\WebArchiveCopyPasteTempFiles\\page6image12321152" \* MERGEFORMATINET </w:instrText>
            </w:r>
            <w:r w:rsidR="0061019C">
              <w:rPr>
                <w:rFonts w:ascii="Cambria" w:hAnsi="Cambria"/>
                <w:noProof/>
              </w:rPr>
              <w:fldChar w:fldCharType="separate"/>
            </w:r>
            <w:r w:rsidR="00AC1CB1">
              <w:rPr>
                <w:rFonts w:ascii="Cambria" w:hAnsi="Cambria"/>
                <w:noProof/>
              </w:rPr>
              <w:fldChar w:fldCharType="begin"/>
            </w:r>
            <w:r w:rsidR="00AC1CB1">
              <w:rPr>
                <w:rFonts w:ascii="Cambria" w:hAnsi="Cambria"/>
                <w:noProof/>
              </w:rPr>
              <w:instrText xml:space="preserve"> INCLUDEPICTURE  "\\\\var\\folders\\b2\\_lnnpdjn0_7f2c8qzjrp35gr0000gn\\T\\com.microsoft.Word\\WebArchiveCopyPasteTempFiles\\page6image12321152" \* MERGEFORMATINET </w:instrText>
            </w:r>
            <w:r w:rsidR="00AC1CB1">
              <w:rPr>
                <w:rFonts w:ascii="Cambria" w:hAnsi="Cambria"/>
                <w:noProof/>
              </w:rPr>
              <w:fldChar w:fldCharType="separate"/>
            </w:r>
            <w:r w:rsidR="003D2761">
              <w:rPr>
                <w:rFonts w:ascii="Cambria" w:hAnsi="Cambria"/>
                <w:noProof/>
              </w:rPr>
              <w:fldChar w:fldCharType="begin"/>
            </w:r>
            <w:r w:rsidR="003D2761">
              <w:rPr>
                <w:rFonts w:ascii="Cambria" w:hAnsi="Cambria"/>
                <w:noProof/>
              </w:rPr>
              <w:instrText xml:space="preserve"> INCLUDEPICTURE  "\\\\var\\folders\\b2\\_lnnpdjn0_7f2c8qzjrp35gr0000gn\\T\\com.microsoft.Word\\WebArchiveCopyPasteTempFiles\\page6image12321152" \* MERGEFORMATINET </w:instrText>
            </w:r>
            <w:r w:rsidR="003D2761">
              <w:rPr>
                <w:rFonts w:ascii="Cambria" w:hAnsi="Cambria"/>
                <w:noProof/>
              </w:rPr>
              <w:fldChar w:fldCharType="separate"/>
            </w:r>
            <w:r w:rsidR="0058524B">
              <w:rPr>
                <w:rFonts w:ascii="Cambria" w:hAnsi="Cambria"/>
                <w:noProof/>
              </w:rPr>
              <w:fldChar w:fldCharType="begin"/>
            </w:r>
            <w:r w:rsidR="0058524B">
              <w:rPr>
                <w:rFonts w:ascii="Cambria" w:hAnsi="Cambria"/>
                <w:noProof/>
              </w:rPr>
              <w:instrText xml:space="preserve"> INCLUDEPICTURE  "\\\\var\\folders\\b2\\_lnnpdjn0_7f2c8qzjrp35gr0000gn\\T\\com.microsoft.Word\\WebArchiveCopyPasteTempFiles\\page6image12321152" \* MERGEFORMATINET </w:instrText>
            </w:r>
            <w:r w:rsidR="0058524B">
              <w:rPr>
                <w:rFonts w:ascii="Cambria" w:hAnsi="Cambria"/>
                <w:noProof/>
              </w:rPr>
              <w:fldChar w:fldCharType="separate"/>
            </w:r>
            <w:r w:rsidR="00191EA1">
              <w:rPr>
                <w:rFonts w:ascii="Cambria" w:hAnsi="Cambria"/>
                <w:noProof/>
              </w:rPr>
              <w:fldChar w:fldCharType="begin"/>
            </w:r>
            <w:r w:rsidR="00191EA1">
              <w:rPr>
                <w:rFonts w:ascii="Cambria" w:hAnsi="Cambria"/>
                <w:noProof/>
              </w:rPr>
              <w:instrText xml:space="preserve"> INCLUDEPICTURE  "\\\\var\\folders\\b2\\_lnnpdjn0_7f2c8qzjrp35gr0000gn\\T\\com.microsoft.Word\\WebArchiveCopyPasteTempFiles\\page6image12321152" \* MERGEFORMATINET </w:instrText>
            </w:r>
            <w:r w:rsidR="00191EA1">
              <w:rPr>
                <w:rFonts w:ascii="Cambria" w:hAnsi="Cambria"/>
                <w:noProof/>
              </w:rPr>
              <w:fldChar w:fldCharType="separate"/>
            </w:r>
            <w:r w:rsidR="00CC2A08">
              <w:rPr>
                <w:rFonts w:ascii="Cambria" w:hAnsi="Cambria"/>
                <w:noProof/>
              </w:rPr>
              <w:fldChar w:fldCharType="begin"/>
            </w:r>
            <w:r w:rsidR="00CC2A08">
              <w:rPr>
                <w:rFonts w:ascii="Cambria" w:hAnsi="Cambria"/>
                <w:noProof/>
              </w:rPr>
              <w:instrText xml:space="preserve"> INCLUDEPICTURE  "\\\\var\\folders\\b2\\_lnnpdjn0_7f2c8qzjrp35gr0000gn\\T\\com.microsoft.Word\\WebArchiveCopyPasteTempFiles\\page6image12321152" \* MERGEFORMATINET </w:instrText>
            </w:r>
            <w:r w:rsidR="00CC2A08">
              <w:rPr>
                <w:rFonts w:ascii="Cambria" w:hAnsi="Cambria"/>
                <w:noProof/>
              </w:rPr>
              <w:fldChar w:fldCharType="separate"/>
            </w:r>
            <w:r w:rsidR="00852ABD">
              <w:rPr>
                <w:rFonts w:ascii="Cambria" w:hAnsi="Cambria"/>
                <w:noProof/>
              </w:rPr>
              <w:fldChar w:fldCharType="begin"/>
            </w:r>
            <w:r w:rsidR="00852ABD">
              <w:rPr>
                <w:rFonts w:ascii="Cambria" w:hAnsi="Cambria"/>
                <w:noProof/>
              </w:rPr>
              <w:instrText xml:space="preserve"> INCLUDEPICTURE  "\\\\var\\folders\\b2\\_lnnpdjn0_7f2c8qzjrp35gr0000gn\\T\\com.microsoft.Word\\WebArchiveCopyPasteTempFiles\\page6image12321152" \* MERGEFORMATINET </w:instrText>
            </w:r>
            <w:r w:rsidR="00852ABD">
              <w:rPr>
                <w:rFonts w:ascii="Cambria" w:hAnsi="Cambria"/>
                <w:noProof/>
              </w:rPr>
              <w:fldChar w:fldCharType="separate"/>
            </w:r>
            <w:r w:rsidR="00D12C68">
              <w:rPr>
                <w:rFonts w:ascii="Cambria" w:hAnsi="Cambria"/>
                <w:noProof/>
              </w:rPr>
              <w:fldChar w:fldCharType="begin"/>
            </w:r>
            <w:r w:rsidR="00D12C68">
              <w:rPr>
                <w:rFonts w:ascii="Cambria" w:hAnsi="Cambria"/>
                <w:noProof/>
              </w:rPr>
              <w:instrText xml:space="preserve"> INCLUDEPICTURE  "\\\\var\\folders\\b2\\_lnnpdjn0_7f2c8qzjrp35gr0000gn\\T\\com.microsoft.Word\\WebArchiveCopyPasteTempFiles\\page6image12321152" \* MERGEFORMATINET </w:instrText>
            </w:r>
            <w:r w:rsidR="00D12C68">
              <w:rPr>
                <w:rFonts w:ascii="Cambria" w:hAnsi="Cambria"/>
                <w:noProof/>
              </w:rPr>
              <w:fldChar w:fldCharType="separate"/>
            </w:r>
            <w:r w:rsidR="00F34DFB">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"C:\\var\\folders\\b2\\_lnnpdjn0_7f2c8qzjrp35gr0000gn\\T\\com.microsoft.Word\\WebArchiveCopyPasteTempFiles\\page6image12321152" \* MERGEFORMAT </w:instrText>
            </w:r>
            <w:r w:rsidR="00F34DFB">
              <w:rPr>
                <w:rFonts w:ascii="Cambria" w:hAnsi="Cambria"/>
                <w:noProof/>
              </w:rPr>
              <w:fldChar w:fldCharType="separate"/>
            </w:r>
            <w:r w:rsidR="0002234D">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"C:\\var\\folders\\b2\\_lnnpdjn0_7f2c8qzjrp35gr0000gn\\T\\com.microsoft.Word\\WebArchiveCopyPasteTempFiles\\page6image12321152" \* MERGEFORMAT </w:instrText>
            </w:r>
            <w:r w:rsidR="0002234D">
              <w:rPr>
                <w:rFonts w:ascii="Cambria" w:hAnsi="Cambria"/>
                <w:noProof/>
              </w:rPr>
              <w:fldChar w:fldCharType="separate"/>
            </w:r>
            <w:r w:rsidR="009E5140">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"C:\\var\\folders\\b2\\_lnnpdjn0_7f2c8qzjrp35gr0000gn\\T\\com.microsoft.Word\\WebArchiveCopyPasteTempFiles\\page6image12321152" \* MERGEFORMAT </w:instrText>
            </w:r>
            <w:r w:rsidR="009E5140">
              <w:rPr>
                <w:rFonts w:ascii="Cambria" w:hAnsi="Cambria"/>
                <w:noProof/>
              </w:rPr>
              <w:fldChar w:fldCharType="separate"/>
            </w:r>
            <w:r w:rsidR="005957D3">
              <w:rPr>
                <w:rFonts w:ascii="Cambria" w:hAnsi="Cambria"/>
                <w:noProof/>
              </w:rPr>
              <w:fldChar w:fldCharType="begin"/>
            </w:r>
            <w:r w:rsidR="00127C76">
              <w:rPr>
                <w:rFonts w:ascii="Cambria" w:hAnsi="Cambria"/>
                <w:noProof/>
              </w:rPr>
              <w:instrText xml:space="preserve"> INCLUDEPICTURE "C:\\var\\folders\\b2\\_lnnpdjn0_7f2c8qzjrp35gr0000gn\\T\\com.microsoft.Word\\WebArchiveCopyPasteTempFiles\\page6image12321152" \* MERGEFORMAT </w:instrText>
            </w:r>
            <w:r w:rsidR="005957D3">
              <w:rPr>
                <w:rFonts w:ascii="Cambria" w:hAnsi="Cambria"/>
                <w:noProof/>
              </w:rPr>
              <w:fldChar w:fldCharType="separate"/>
            </w:r>
            <w:r w:rsidR="00AE451A">
              <w:rPr>
                <w:rFonts w:ascii="Cambria" w:hAnsi="Cambria"/>
                <w:noProof/>
              </w:rPr>
              <w:fldChar w:fldCharType="begin"/>
            </w:r>
            <w:r w:rsidR="00AE451A">
              <w:rPr>
                <w:rFonts w:ascii="Cambria" w:hAnsi="Cambria"/>
                <w:noProof/>
              </w:rPr>
              <w:instrText xml:space="preserve"> INCLUDEPICTURE  "\\\\var\\folders\\b2\\_lnnpdjn0_7f2c8qzjrp35gr0000gn\\T\\com.microsoft.Word\\WebArchiveCopyPasteTempFiles\\page6image12321152" \* MERGEFORMATINET </w:instrText>
            </w:r>
            <w:r w:rsidR="00AE451A">
              <w:rPr>
                <w:rFonts w:ascii="Cambria" w:hAnsi="Cambria"/>
                <w:noProof/>
              </w:rPr>
              <w:fldChar w:fldCharType="separate"/>
            </w:r>
            <w:r w:rsidR="00AE0B1E">
              <w:rPr>
                <w:rFonts w:ascii="Cambria" w:hAnsi="Cambria"/>
                <w:noProof/>
              </w:rPr>
              <w:fldChar w:fldCharType="begin"/>
            </w:r>
            <w:r w:rsidR="00AE0B1E">
              <w:rPr>
                <w:rFonts w:ascii="Cambria" w:hAnsi="Cambria"/>
                <w:noProof/>
              </w:rPr>
              <w:instrText xml:space="preserve"> INCLUDEPICTURE  "\\\\var\\folders\\b2\\_lnnpdjn0_7f2c8qzjrp35gr0000gn\\T\\com.microsoft.Word\\WebArchiveCopyPasteTempFiles\\page6image12321152" \* MERGEFORMATINET </w:instrText>
            </w:r>
            <w:r w:rsidR="00AE0B1E">
              <w:rPr>
                <w:rFonts w:ascii="Cambria" w:hAnsi="Cambria"/>
                <w:noProof/>
              </w:rPr>
              <w:fldChar w:fldCharType="separate"/>
            </w:r>
            <w:r w:rsidR="002D33AB">
              <w:rPr>
                <w:rFonts w:ascii="Cambria" w:hAnsi="Cambria"/>
                <w:noProof/>
              </w:rPr>
              <w:fldChar w:fldCharType="begin"/>
            </w:r>
            <w:r w:rsidR="002D33AB">
              <w:rPr>
                <w:rFonts w:ascii="Cambria" w:hAnsi="Cambria"/>
                <w:noProof/>
              </w:rPr>
              <w:instrText xml:space="preserve"> INCLUDEPICTURE  "\\\\var\\folders\\b2\\_lnnpdjn0_7f2c8qzjrp35gr0000gn\\T\\com.microsoft.Word\\WebArchiveCopyPasteTempFiles\\page6image12321152" \* MERGEFORMATINET </w:instrText>
            </w:r>
            <w:r w:rsidR="002D33AB">
              <w:rPr>
                <w:rFonts w:ascii="Cambria" w:hAnsi="Cambria"/>
                <w:noProof/>
              </w:rPr>
              <w:fldChar w:fldCharType="separate"/>
            </w:r>
            <w:r w:rsidR="008274E7">
              <w:rPr>
                <w:rFonts w:ascii="Cambria" w:hAnsi="Cambria"/>
                <w:noProof/>
              </w:rPr>
              <w:fldChar w:fldCharType="begin"/>
            </w:r>
            <w:r w:rsidR="008274E7">
              <w:rPr>
                <w:rFonts w:ascii="Cambria" w:hAnsi="Cambria"/>
                <w:noProof/>
              </w:rPr>
              <w:instrText xml:space="preserve"> INCLUDEPICTURE  "\\\\var\\folders\\b2\\_lnnpdjn0_7f2c8qzjrp35gr0000gn\\T\\com.microsoft.Word\\WebArchiveCopyPasteTempFiles\\page6image12321152" \* MERGEFORMATINET </w:instrText>
            </w:r>
            <w:r w:rsidR="008274E7">
              <w:rPr>
                <w:rFonts w:ascii="Cambria" w:hAnsi="Cambria"/>
                <w:noProof/>
              </w:rPr>
              <w:fldChar w:fldCharType="separate"/>
            </w:r>
            <w:r w:rsidR="0034383C">
              <w:rPr>
                <w:rFonts w:ascii="Cambria" w:hAnsi="Cambria"/>
                <w:noProof/>
              </w:rPr>
              <w:fldChar w:fldCharType="begin"/>
            </w:r>
            <w:r w:rsidR="0034383C">
              <w:rPr>
                <w:rFonts w:ascii="Cambria" w:hAnsi="Cambria"/>
                <w:noProof/>
              </w:rPr>
              <w:instrText xml:space="preserve"> INCLUDEPICTURE  "\\\\var\\folders\\b2\\_lnnpdjn0_7f2c8qzjrp35gr0000gn\\T\\com.microsoft.Word\\WebArchiveCopyPasteTempFiles\\page6image12321152" \* MERGEFORMATINET </w:instrText>
            </w:r>
            <w:r w:rsidR="0034383C">
              <w:rPr>
                <w:rFonts w:ascii="Cambria" w:hAnsi="Cambria"/>
                <w:noProof/>
              </w:rPr>
              <w:fldChar w:fldCharType="separate"/>
            </w:r>
            <w:r w:rsidR="001337CA">
              <w:rPr>
                <w:rFonts w:ascii="Cambria" w:hAnsi="Cambria"/>
                <w:noProof/>
              </w:rPr>
              <w:fldChar w:fldCharType="begin"/>
            </w:r>
            <w:r w:rsidR="001337CA">
              <w:rPr>
                <w:rFonts w:ascii="Cambria" w:hAnsi="Cambria"/>
                <w:noProof/>
              </w:rPr>
              <w:instrText xml:space="preserve"> INCLUDEPICTURE  "\\\\var\\folders\\b2\\_lnnpdjn0_7f2c8qzjrp35gr0000gn\\T\\com.microsoft.Word\\WebArchiveCopyPasteTempFiles\\page6image12321152" \* MERGEFORMATINET </w:instrText>
            </w:r>
            <w:r w:rsidR="001337CA">
              <w:rPr>
                <w:rFonts w:ascii="Cambria" w:hAnsi="Cambria"/>
                <w:noProof/>
              </w:rPr>
              <w:fldChar w:fldCharType="separate"/>
            </w:r>
            <w:r w:rsidR="003D727D">
              <w:rPr>
                <w:rFonts w:ascii="Cambria" w:hAnsi="Cambria"/>
                <w:noProof/>
              </w:rPr>
              <w:fldChar w:fldCharType="begin"/>
            </w:r>
            <w:r w:rsidR="003D727D">
              <w:rPr>
                <w:rFonts w:ascii="Cambria" w:hAnsi="Cambria"/>
                <w:noProof/>
              </w:rPr>
              <w:instrText xml:space="preserve"> INCLUDEPICTURE  "\\\\var\\folders\\b2\\_lnnpdjn0_7f2c8qzjrp35gr0000gn\\T\\com.microsoft.Word\\WebArchiveCopyPasteTempFiles\\page6image12321152" \* MERGEFORMATINET </w:instrText>
            </w:r>
            <w:r w:rsidR="003D727D">
              <w:rPr>
                <w:rFonts w:ascii="Cambria" w:hAnsi="Cambria"/>
                <w:noProof/>
              </w:rPr>
              <w:fldChar w:fldCharType="separate"/>
            </w:r>
            <w:r w:rsidR="007D361C">
              <w:rPr>
                <w:rFonts w:ascii="Cambria" w:hAnsi="Cambria"/>
                <w:noProof/>
              </w:rPr>
              <w:fldChar w:fldCharType="begin"/>
            </w:r>
            <w:r w:rsidR="007D361C">
              <w:rPr>
                <w:rFonts w:ascii="Cambria" w:hAnsi="Cambria"/>
                <w:noProof/>
              </w:rPr>
              <w:instrText xml:space="preserve"> INCLUDEPICTURE  "\\\\var\\folders\\b2\\_lnnpdjn0_7f2c8qzjrp35gr0000gn\\T\\com.microsoft.Word\\WebArchiveCopyPasteTempFiles\\page6image12321152" \* MERGEFORMATINET </w:instrText>
            </w:r>
            <w:r w:rsidR="007D361C">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"\\\\var\\folders\\b2\\_lnnpdjn0_7f2c8qzjrp35gr0000gn\\T\\com.microsoft.Word\\WebArchiveCopyPasteTempFiles\\page6image12321152" \* MERGEFORMATINET </w:instrText>
            </w:r>
            <w:r w:rsidR="00DB1264">
              <w:rPr>
                <w:rFonts w:ascii="Cambria" w:hAnsi="Cambria"/>
                <w:noProof/>
              </w:rPr>
              <w:fldChar w:fldCharType="separate"/>
            </w:r>
            <w:r w:rsidR="00DB1264">
              <w:rPr>
                <w:rFonts w:ascii="Cambria" w:hAnsi="Cambria"/>
                <w:noProof/>
              </w:rPr>
              <w:fldChar w:fldCharType="begin"/>
            </w:r>
            <w:r w:rsidR="00DB1264">
              <w:rPr>
                <w:rFonts w:ascii="Cambria" w:hAnsi="Cambria"/>
                <w:noProof/>
              </w:rPr>
              <w:instrText xml:space="preserve"> INCLUDEPICTURE  "\\\\var\\folders\\b2\\_lnnpdjn0_7f2c8qzjrp35gr0000gn\\T\\com.microsoft.Word\\WebArchiveCopyPasteTempFiles\\page6image12321152" \* MERGEFORMATINET </w:instrText>
            </w:r>
            <w:r w:rsidR="00DB1264">
              <w:rPr>
                <w:rFonts w:ascii="Cambria" w:hAnsi="Cambria"/>
                <w:noProof/>
              </w:rPr>
              <w:fldChar w:fldCharType="separate"/>
            </w:r>
            <w:r w:rsidR="000249AB">
              <w:rPr>
                <w:rFonts w:ascii="Cambria" w:hAnsi="Cambria"/>
                <w:noProof/>
              </w:rPr>
              <w:fldChar w:fldCharType="begin"/>
            </w:r>
            <w:r w:rsidR="000249AB">
              <w:rPr>
                <w:rFonts w:ascii="Cambria" w:hAnsi="Cambria"/>
                <w:noProof/>
              </w:rPr>
              <w:instrText xml:space="preserve"> </w:instrText>
            </w:r>
            <w:r w:rsidR="000249AB">
              <w:rPr>
                <w:rFonts w:ascii="Cambria" w:hAnsi="Cambria"/>
                <w:noProof/>
              </w:rPr>
              <w:instrText>INCLUDEPICTURE  "\\\\var\\folders\\b2\\_lnnpdjn0_7f2c8qzjrp35gr0000gn\\T\\com.microsoft.Word\\WebArchiveCopyPasteTempFiles\\page6image12321152" \* MERGEFORMATINET</w:instrText>
            </w:r>
            <w:r w:rsidR="000249AB">
              <w:rPr>
                <w:rFonts w:ascii="Cambria" w:hAnsi="Cambria"/>
                <w:noProof/>
              </w:rPr>
              <w:instrText xml:space="preserve"> </w:instrText>
            </w:r>
            <w:r w:rsidR="000249AB">
              <w:rPr>
                <w:rFonts w:ascii="Cambria" w:hAnsi="Cambria"/>
                <w:noProof/>
              </w:rPr>
              <w:fldChar w:fldCharType="separate"/>
            </w:r>
            <w:r w:rsidR="000249AB">
              <w:rPr>
                <w:rFonts w:ascii="Cambria" w:hAnsi="Cambria"/>
                <w:noProof/>
              </w:rPr>
              <w:pict w14:anchorId="07AED6EB">
                <v:shape id="_x0000_i1027" type="#_x0000_t75" alt="page6image12321152" style="width:7.5pt;height:7.5pt;mso-width-percent:0;mso-height-percent:0;mso-width-percent:0;mso-height-percent:0">
                  <v:imagedata r:id="rId11" r:href="rId14"/>
                </v:shape>
              </w:pict>
            </w:r>
            <w:r w:rsidR="000249AB">
              <w:rPr>
                <w:rFonts w:ascii="Cambria" w:hAnsi="Cambria"/>
                <w:noProof/>
                <w:sz w:val="24"/>
                <w:szCs w:val="24"/>
              </w:rPr>
              <w:fldChar w:fldCharType="end"/>
            </w:r>
            <w:r w:rsidR="00DB1264">
              <w:rPr>
                <w:rFonts w:ascii="Cambria" w:hAnsi="Cambria"/>
                <w:noProof/>
              </w:rPr>
              <w:fldChar w:fldCharType="end"/>
            </w:r>
            <w:r w:rsidR="00DB1264">
              <w:rPr>
                <w:rFonts w:ascii="Cambria" w:hAnsi="Cambria"/>
                <w:noProof/>
              </w:rPr>
              <w:fldChar w:fldCharType="end"/>
            </w:r>
            <w:r w:rsidR="007D361C">
              <w:rPr>
                <w:rFonts w:ascii="Cambria" w:hAnsi="Cambria"/>
                <w:noProof/>
              </w:rPr>
              <w:fldChar w:fldCharType="end"/>
            </w:r>
            <w:r w:rsidR="003D727D">
              <w:rPr>
                <w:rFonts w:ascii="Cambria" w:hAnsi="Cambria"/>
                <w:noProof/>
              </w:rPr>
              <w:fldChar w:fldCharType="end"/>
            </w:r>
            <w:r w:rsidR="001337CA">
              <w:rPr>
                <w:rFonts w:ascii="Cambria" w:hAnsi="Cambria"/>
                <w:noProof/>
              </w:rPr>
              <w:fldChar w:fldCharType="end"/>
            </w:r>
            <w:r w:rsidR="0034383C">
              <w:rPr>
                <w:rFonts w:ascii="Cambria" w:hAnsi="Cambria"/>
                <w:noProof/>
              </w:rPr>
              <w:fldChar w:fldCharType="end"/>
            </w:r>
            <w:r w:rsidR="008274E7">
              <w:rPr>
                <w:rFonts w:ascii="Cambria" w:hAnsi="Cambria"/>
                <w:noProof/>
              </w:rPr>
              <w:fldChar w:fldCharType="end"/>
            </w:r>
            <w:r w:rsidR="002D33AB">
              <w:rPr>
                <w:rFonts w:ascii="Cambria" w:hAnsi="Cambria"/>
                <w:noProof/>
              </w:rPr>
              <w:fldChar w:fldCharType="end"/>
            </w:r>
            <w:r w:rsidR="00AE0B1E">
              <w:rPr>
                <w:rFonts w:ascii="Cambria" w:hAnsi="Cambria"/>
                <w:noProof/>
              </w:rPr>
              <w:fldChar w:fldCharType="end"/>
            </w:r>
            <w:r w:rsidR="00AE451A">
              <w:rPr>
                <w:rFonts w:ascii="Cambria" w:hAnsi="Cambria"/>
                <w:noProof/>
              </w:rPr>
              <w:fldChar w:fldCharType="end"/>
            </w:r>
            <w:r w:rsidR="005957D3">
              <w:rPr>
                <w:rFonts w:ascii="Cambria" w:hAnsi="Cambria"/>
                <w:noProof/>
              </w:rPr>
              <w:fldChar w:fldCharType="end"/>
            </w:r>
            <w:r w:rsidR="009E5140">
              <w:rPr>
                <w:rFonts w:ascii="Cambria" w:hAnsi="Cambria"/>
                <w:noProof/>
              </w:rPr>
              <w:fldChar w:fldCharType="end"/>
            </w:r>
            <w:r w:rsidR="0002234D">
              <w:rPr>
                <w:rFonts w:ascii="Cambria" w:hAnsi="Cambria"/>
                <w:noProof/>
              </w:rPr>
              <w:fldChar w:fldCharType="end"/>
            </w:r>
            <w:r w:rsidR="00F34DFB">
              <w:rPr>
                <w:rFonts w:ascii="Cambria" w:hAnsi="Cambria"/>
                <w:noProof/>
              </w:rPr>
              <w:fldChar w:fldCharType="end"/>
            </w:r>
            <w:r w:rsidR="00D12C68">
              <w:rPr>
                <w:rFonts w:ascii="Cambria" w:hAnsi="Cambria"/>
                <w:noProof/>
              </w:rPr>
              <w:fldChar w:fldCharType="end"/>
            </w:r>
            <w:r w:rsidR="00852ABD">
              <w:rPr>
                <w:rFonts w:ascii="Cambria" w:hAnsi="Cambria"/>
                <w:noProof/>
              </w:rPr>
              <w:fldChar w:fldCharType="end"/>
            </w:r>
            <w:r w:rsidR="00CC2A08">
              <w:rPr>
                <w:rFonts w:ascii="Cambria" w:hAnsi="Cambria"/>
                <w:noProof/>
              </w:rPr>
              <w:fldChar w:fldCharType="end"/>
            </w:r>
            <w:r w:rsidR="00191EA1">
              <w:rPr>
                <w:rFonts w:ascii="Cambria" w:hAnsi="Cambria"/>
                <w:noProof/>
              </w:rPr>
              <w:fldChar w:fldCharType="end"/>
            </w:r>
            <w:r w:rsidR="0058524B">
              <w:rPr>
                <w:rFonts w:ascii="Cambria" w:hAnsi="Cambria"/>
                <w:noProof/>
              </w:rPr>
              <w:fldChar w:fldCharType="end"/>
            </w:r>
            <w:r w:rsidR="003D2761">
              <w:rPr>
                <w:rFonts w:ascii="Cambria" w:hAnsi="Cambria"/>
                <w:noProof/>
              </w:rPr>
              <w:fldChar w:fldCharType="end"/>
            </w:r>
            <w:r w:rsidR="00AC1CB1">
              <w:rPr>
                <w:rFonts w:ascii="Cambria" w:hAnsi="Cambria"/>
                <w:noProof/>
              </w:rPr>
              <w:fldChar w:fldCharType="end"/>
            </w:r>
            <w:r w:rsidR="0061019C">
              <w:rPr>
                <w:rFonts w:ascii="Cambria" w:hAnsi="Cambria"/>
                <w:noProof/>
              </w:rPr>
              <w:fldChar w:fldCharType="end"/>
            </w:r>
            <w:r w:rsidR="00867E8E">
              <w:rPr>
                <w:rFonts w:ascii="Cambria" w:hAnsi="Cambria"/>
                <w:noProof/>
              </w:rPr>
              <w:fldChar w:fldCharType="end"/>
            </w:r>
            <w:r w:rsidR="009C789A">
              <w:rPr>
                <w:rFonts w:ascii="Cambria" w:hAnsi="Cambria"/>
                <w:noProof/>
              </w:rPr>
              <w:fldChar w:fldCharType="end"/>
            </w:r>
            <w:r w:rsidR="00A330F0">
              <w:rPr>
                <w:rFonts w:ascii="Cambria" w:hAnsi="Cambria"/>
                <w:noProof/>
              </w:rPr>
              <w:fldChar w:fldCharType="end"/>
            </w:r>
            <w:r w:rsidR="002051FA">
              <w:rPr>
                <w:rFonts w:ascii="Cambria" w:hAnsi="Cambria"/>
                <w:noProof/>
              </w:rPr>
              <w:fldChar w:fldCharType="end"/>
            </w:r>
            <w:r w:rsidR="00F53AEC">
              <w:rPr>
                <w:rFonts w:ascii="Cambria" w:hAnsi="Cambria"/>
                <w:noProof/>
              </w:rPr>
              <w:fldChar w:fldCharType="end"/>
            </w:r>
            <w:r w:rsidR="00680CA0">
              <w:rPr>
                <w:rFonts w:ascii="Cambria" w:hAnsi="Cambria"/>
                <w:noProof/>
              </w:rPr>
              <w:fldChar w:fldCharType="end"/>
            </w:r>
            <w:r w:rsidR="00952156">
              <w:rPr>
                <w:rFonts w:ascii="Cambria" w:hAnsi="Cambria"/>
                <w:noProof/>
              </w:rPr>
              <w:fldChar w:fldCharType="end"/>
            </w:r>
            <w:r w:rsidR="00CE7263" w:rsidRPr="00D058C1">
              <w:rPr>
                <w:rFonts w:ascii="Cambria" w:hAnsi="Cambria"/>
                <w:noProof/>
              </w:rPr>
              <w:fldChar w:fldCharType="end"/>
            </w:r>
            <w:r w:rsidR="006A685F" w:rsidRPr="00D058C1">
              <w:rPr>
                <w:rFonts w:ascii="Cambria" w:hAnsi="Cambria"/>
                <w:noProof/>
              </w:rPr>
              <w:fldChar w:fldCharType="end"/>
            </w:r>
            <w:r w:rsidR="00DB5ECD" w:rsidRPr="00D058C1">
              <w:rPr>
                <w:rFonts w:ascii="Cambria" w:hAnsi="Cambria"/>
                <w:noProof/>
              </w:rPr>
              <w:fldChar w:fldCharType="end"/>
            </w:r>
            <w:r w:rsidRPr="00D058C1">
              <w:rPr>
                <w:rFonts w:ascii="Cambria" w:hAnsi="Cambria"/>
              </w:rPr>
              <w:fldChar w:fldCharType="end"/>
            </w:r>
            <w:r w:rsidRPr="00D058C1">
              <w:rPr>
                <w:rFonts w:ascii="Cambria" w:hAnsi="Cambria"/>
                <w:sz w:val="20"/>
                <w:szCs w:val="20"/>
              </w:rPr>
              <w:t xml:space="preserve">9 working days </w:t>
            </w:r>
          </w:p>
        </w:tc>
        <w:tc>
          <w:tcPr>
            <w:tcW w:w="1547" w:type="dxa"/>
            <w:vAlign w:val="center"/>
          </w:tcPr>
          <w:p w14:paraId="75106469" w14:textId="3F2C3A9A" w:rsidR="001C74B8" w:rsidRPr="00D058C1" w:rsidRDefault="001C74B8" w:rsidP="006706B0">
            <w:pPr>
              <w:jc w:val="both"/>
              <w:rPr>
                <w:rFonts w:ascii="Cambria" w:hAnsi="Cambria"/>
              </w:rPr>
            </w:pPr>
            <w:r w:rsidRPr="00D058C1">
              <w:rPr>
                <w:rFonts w:ascii="Cambria" w:hAnsi="Cambria"/>
                <w:sz w:val="20"/>
                <w:szCs w:val="20"/>
              </w:rPr>
              <w:t xml:space="preserve">10-17 February 2020 </w:t>
            </w:r>
          </w:p>
        </w:tc>
      </w:tr>
      <w:tr w:rsidR="00C519E2" w:rsidRPr="00D058C1" w14:paraId="27B53680" w14:textId="77777777" w:rsidTr="00B72493">
        <w:tc>
          <w:tcPr>
            <w:tcW w:w="3964" w:type="dxa"/>
            <w:vAlign w:val="center"/>
          </w:tcPr>
          <w:p w14:paraId="573382F1" w14:textId="50CF44B7" w:rsidR="00C519E2" w:rsidRPr="00D058C1" w:rsidRDefault="00C519E2" w:rsidP="006706B0">
            <w:pPr>
              <w:pStyle w:val="NormalWeb"/>
              <w:spacing w:before="0" w:beforeAutospacing="0" w:after="0" w:afterAutospacing="0"/>
              <w:divId w:val="1561361963"/>
              <w:rPr>
                <w:rFonts w:ascii="Cambria" w:hAnsi="Cambria"/>
              </w:rPr>
            </w:pPr>
            <w:r w:rsidRPr="00D058C1">
              <w:rPr>
                <w:rFonts w:ascii="Cambria" w:hAnsi="Cambria" w:cs="Arial"/>
                <w:sz w:val="20"/>
                <w:szCs w:val="20"/>
              </w:rPr>
              <w:t xml:space="preserve">3. Peer Review including conflict analysis (by an external consultant) </w:t>
            </w:r>
          </w:p>
        </w:tc>
        <w:tc>
          <w:tcPr>
            <w:tcW w:w="1134" w:type="dxa"/>
            <w:vAlign w:val="center"/>
          </w:tcPr>
          <w:p w14:paraId="6E3338CE" w14:textId="3EFCF201" w:rsidR="00C519E2" w:rsidRPr="00D058C1" w:rsidRDefault="00C519E2" w:rsidP="006706B0">
            <w:pPr>
              <w:jc w:val="both"/>
              <w:rPr>
                <w:rFonts w:ascii="Cambria" w:hAnsi="Cambria"/>
              </w:rPr>
            </w:pPr>
            <w:r w:rsidRPr="00D058C1">
              <w:rPr>
                <w:rFonts w:ascii="Cambria" w:hAnsi="Cambria"/>
                <w:sz w:val="20"/>
                <w:szCs w:val="20"/>
              </w:rPr>
              <w:t xml:space="preserve">Manila </w:t>
            </w:r>
          </w:p>
        </w:tc>
        <w:tc>
          <w:tcPr>
            <w:tcW w:w="1985" w:type="dxa"/>
            <w:vAlign w:val="center"/>
          </w:tcPr>
          <w:p w14:paraId="3E172E32" w14:textId="08DCDA06" w:rsidR="00C519E2" w:rsidRPr="00D058C1" w:rsidRDefault="00C519E2" w:rsidP="006706B0">
            <w:pPr>
              <w:jc w:val="both"/>
              <w:rPr>
                <w:rFonts w:ascii="Cambria" w:hAnsi="Cambria"/>
              </w:rPr>
            </w:pPr>
            <w:r w:rsidRPr="00D058C1">
              <w:rPr>
                <w:rFonts w:ascii="Cambria" w:hAnsi="Cambria"/>
                <w:sz w:val="20"/>
                <w:szCs w:val="20"/>
              </w:rPr>
              <w:t xml:space="preserve">1 day (+5 days prep &amp; </w:t>
            </w:r>
            <w:proofErr w:type="gramStart"/>
            <w:r w:rsidRPr="00D058C1">
              <w:rPr>
                <w:rFonts w:ascii="Cambria" w:hAnsi="Cambria"/>
                <w:sz w:val="20"/>
                <w:szCs w:val="20"/>
              </w:rPr>
              <w:t>1 day</w:t>
            </w:r>
            <w:proofErr w:type="gramEnd"/>
            <w:r w:rsidRPr="00D058C1">
              <w:rPr>
                <w:rFonts w:ascii="Cambria" w:hAnsi="Cambria"/>
                <w:sz w:val="20"/>
                <w:szCs w:val="20"/>
              </w:rPr>
              <w:t xml:space="preserve"> f/u) = 7 Days </w:t>
            </w:r>
          </w:p>
        </w:tc>
        <w:tc>
          <w:tcPr>
            <w:tcW w:w="1547" w:type="dxa"/>
            <w:vAlign w:val="center"/>
          </w:tcPr>
          <w:p w14:paraId="1A541BA5" w14:textId="1BA4BA80" w:rsidR="00C519E2" w:rsidRPr="00D058C1" w:rsidRDefault="00C519E2" w:rsidP="006706B0">
            <w:pPr>
              <w:jc w:val="both"/>
              <w:rPr>
                <w:rFonts w:ascii="Cambria" w:hAnsi="Cambria"/>
              </w:rPr>
            </w:pPr>
            <w:r w:rsidRPr="00D058C1">
              <w:rPr>
                <w:rFonts w:ascii="Cambria" w:hAnsi="Cambria"/>
                <w:sz w:val="20"/>
                <w:szCs w:val="20"/>
              </w:rPr>
              <w:t xml:space="preserve">12 Feb 2020 </w:t>
            </w:r>
          </w:p>
        </w:tc>
      </w:tr>
      <w:tr w:rsidR="00C519E2" w:rsidRPr="00D058C1" w14:paraId="793E862E" w14:textId="77777777" w:rsidTr="00B72493">
        <w:tc>
          <w:tcPr>
            <w:tcW w:w="3964" w:type="dxa"/>
            <w:vAlign w:val="center"/>
          </w:tcPr>
          <w:p w14:paraId="6DF890C2" w14:textId="124E409F" w:rsidR="00C519E2" w:rsidRPr="00D058C1" w:rsidRDefault="00C519E2" w:rsidP="006706B0">
            <w:pPr>
              <w:pStyle w:val="NormalWeb"/>
              <w:spacing w:before="0" w:beforeAutospacing="0" w:after="0" w:afterAutospacing="0"/>
              <w:divId w:val="1227691520"/>
              <w:rPr>
                <w:rFonts w:ascii="Cambria" w:hAnsi="Cambria"/>
              </w:rPr>
            </w:pPr>
            <w:r w:rsidRPr="00D058C1">
              <w:rPr>
                <w:rFonts w:ascii="Cambria" w:hAnsi="Cambria" w:cs="Arial"/>
                <w:sz w:val="20"/>
                <w:szCs w:val="20"/>
              </w:rPr>
              <w:t xml:space="preserve">4. Presentation of Aide Memoire </w:t>
            </w:r>
          </w:p>
        </w:tc>
        <w:tc>
          <w:tcPr>
            <w:tcW w:w="1134" w:type="dxa"/>
            <w:vAlign w:val="center"/>
          </w:tcPr>
          <w:p w14:paraId="73D64E85" w14:textId="1AEE835B" w:rsidR="00C519E2" w:rsidRPr="00D058C1" w:rsidRDefault="00C519E2" w:rsidP="006706B0">
            <w:pPr>
              <w:jc w:val="both"/>
              <w:rPr>
                <w:rFonts w:ascii="Cambria" w:hAnsi="Cambria"/>
              </w:rPr>
            </w:pPr>
            <w:r w:rsidRPr="00D058C1">
              <w:rPr>
                <w:rFonts w:ascii="Cambria" w:hAnsi="Cambria"/>
                <w:sz w:val="20"/>
                <w:szCs w:val="20"/>
              </w:rPr>
              <w:t xml:space="preserve">Manila </w:t>
            </w:r>
          </w:p>
        </w:tc>
        <w:tc>
          <w:tcPr>
            <w:tcW w:w="1985" w:type="dxa"/>
            <w:vAlign w:val="center"/>
          </w:tcPr>
          <w:p w14:paraId="7F8F41D1" w14:textId="4B3205F6" w:rsidR="00C519E2" w:rsidRPr="00D058C1" w:rsidRDefault="00C519E2" w:rsidP="006706B0">
            <w:pPr>
              <w:jc w:val="both"/>
              <w:rPr>
                <w:rFonts w:ascii="Cambria" w:hAnsi="Cambria"/>
              </w:rPr>
            </w:pPr>
            <w:r w:rsidRPr="00D058C1">
              <w:rPr>
                <w:rFonts w:ascii="Cambria" w:hAnsi="Cambria"/>
                <w:sz w:val="20"/>
                <w:szCs w:val="20"/>
              </w:rPr>
              <w:t xml:space="preserve">1 day </w:t>
            </w:r>
          </w:p>
        </w:tc>
        <w:tc>
          <w:tcPr>
            <w:tcW w:w="1547" w:type="dxa"/>
            <w:vAlign w:val="center"/>
          </w:tcPr>
          <w:p w14:paraId="35DCF8B8" w14:textId="591B8848" w:rsidR="00C519E2" w:rsidRPr="00D058C1" w:rsidRDefault="00C519E2" w:rsidP="006706B0">
            <w:pPr>
              <w:jc w:val="both"/>
              <w:rPr>
                <w:rFonts w:ascii="Cambria" w:hAnsi="Cambria"/>
              </w:rPr>
            </w:pPr>
            <w:r w:rsidRPr="00D058C1">
              <w:rPr>
                <w:rFonts w:ascii="Cambria" w:hAnsi="Cambria"/>
                <w:sz w:val="20"/>
                <w:szCs w:val="20"/>
              </w:rPr>
              <w:t xml:space="preserve">15 Feb 2020 </w:t>
            </w:r>
          </w:p>
        </w:tc>
      </w:tr>
      <w:tr w:rsidR="00C519E2" w:rsidRPr="00D058C1" w14:paraId="407B9371" w14:textId="77777777" w:rsidTr="00B72493">
        <w:tc>
          <w:tcPr>
            <w:tcW w:w="3964" w:type="dxa"/>
            <w:vAlign w:val="center"/>
          </w:tcPr>
          <w:p w14:paraId="6EAE7CA8" w14:textId="5F11C13E" w:rsidR="00C519E2" w:rsidRPr="00D058C1" w:rsidRDefault="00C519E2" w:rsidP="006706B0">
            <w:pPr>
              <w:pStyle w:val="NormalWeb"/>
              <w:spacing w:before="0" w:beforeAutospacing="0" w:after="0" w:afterAutospacing="0"/>
              <w:divId w:val="202713928"/>
              <w:rPr>
                <w:rFonts w:ascii="Cambria" w:hAnsi="Cambria"/>
              </w:rPr>
            </w:pPr>
            <w:r w:rsidRPr="00D058C1">
              <w:rPr>
                <w:rFonts w:ascii="Cambria" w:hAnsi="Cambria" w:cs="Arial"/>
                <w:sz w:val="20"/>
                <w:szCs w:val="20"/>
              </w:rPr>
              <w:t xml:space="preserve">5. Drafting </w:t>
            </w:r>
          </w:p>
        </w:tc>
        <w:tc>
          <w:tcPr>
            <w:tcW w:w="1134" w:type="dxa"/>
            <w:vAlign w:val="center"/>
          </w:tcPr>
          <w:p w14:paraId="36F1333D" w14:textId="135CAC57" w:rsidR="00C519E2" w:rsidRPr="00D058C1" w:rsidRDefault="00C519E2" w:rsidP="006706B0">
            <w:pPr>
              <w:jc w:val="both"/>
              <w:rPr>
                <w:rFonts w:ascii="Cambria" w:hAnsi="Cambria"/>
              </w:rPr>
            </w:pPr>
            <w:r w:rsidRPr="00D058C1">
              <w:rPr>
                <w:rFonts w:ascii="Cambria" w:hAnsi="Cambria"/>
                <w:sz w:val="20"/>
                <w:szCs w:val="20"/>
              </w:rPr>
              <w:t xml:space="preserve">Desk- based </w:t>
            </w:r>
          </w:p>
        </w:tc>
        <w:tc>
          <w:tcPr>
            <w:tcW w:w="1985" w:type="dxa"/>
            <w:vAlign w:val="center"/>
          </w:tcPr>
          <w:p w14:paraId="5E478EE3" w14:textId="654C3CFA" w:rsidR="00C519E2" w:rsidRPr="00D058C1" w:rsidRDefault="00C519E2" w:rsidP="006706B0">
            <w:pPr>
              <w:jc w:val="both"/>
              <w:rPr>
                <w:rFonts w:ascii="Cambria" w:hAnsi="Cambria"/>
              </w:rPr>
            </w:pPr>
            <w:r w:rsidRPr="00D058C1">
              <w:rPr>
                <w:rFonts w:ascii="Cambria" w:hAnsi="Cambria"/>
                <w:sz w:val="20"/>
                <w:szCs w:val="20"/>
              </w:rPr>
              <w:t xml:space="preserve">Up to 10 working days </w:t>
            </w:r>
          </w:p>
        </w:tc>
        <w:tc>
          <w:tcPr>
            <w:tcW w:w="1547" w:type="dxa"/>
            <w:vAlign w:val="center"/>
          </w:tcPr>
          <w:p w14:paraId="7A419199" w14:textId="38CC2594" w:rsidR="00C519E2" w:rsidRPr="00D058C1" w:rsidRDefault="00C519E2" w:rsidP="006706B0">
            <w:pPr>
              <w:jc w:val="both"/>
              <w:rPr>
                <w:rFonts w:ascii="Cambria" w:hAnsi="Cambria"/>
              </w:rPr>
            </w:pPr>
            <w:r w:rsidRPr="00D058C1">
              <w:rPr>
                <w:rFonts w:ascii="Cambria" w:hAnsi="Cambria"/>
                <w:sz w:val="20"/>
                <w:szCs w:val="20"/>
              </w:rPr>
              <w:t xml:space="preserve">Late Feb - March 2020 </w:t>
            </w:r>
          </w:p>
        </w:tc>
      </w:tr>
      <w:tr w:rsidR="00C519E2" w:rsidRPr="00D058C1" w14:paraId="628F179F" w14:textId="77777777" w:rsidTr="00B72493">
        <w:tc>
          <w:tcPr>
            <w:tcW w:w="3964" w:type="dxa"/>
            <w:vAlign w:val="center"/>
          </w:tcPr>
          <w:p w14:paraId="2C382330" w14:textId="77777777" w:rsidR="006706B0" w:rsidRPr="00D058C1" w:rsidRDefault="006706B0" w:rsidP="006706B0">
            <w:pPr>
              <w:pStyle w:val="NormalWeb"/>
              <w:spacing w:before="0" w:beforeAutospacing="0" w:after="0" w:afterAutospacing="0"/>
              <w:divId w:val="2016180594"/>
              <w:rPr>
                <w:rFonts w:ascii="Cambria" w:hAnsi="Cambria" w:cs="Arial"/>
                <w:sz w:val="20"/>
                <w:szCs w:val="20"/>
              </w:rPr>
            </w:pPr>
            <w:r w:rsidRPr="00D058C1">
              <w:rPr>
                <w:rFonts w:ascii="Cambria" w:hAnsi="Cambria" w:cs="Arial"/>
                <w:sz w:val="20"/>
                <w:szCs w:val="20"/>
              </w:rPr>
              <w:t xml:space="preserve">6. </w:t>
            </w:r>
            <w:r w:rsidR="00C519E2" w:rsidRPr="00D058C1">
              <w:rPr>
                <w:rFonts w:ascii="Cambria" w:hAnsi="Cambria" w:cs="Arial"/>
                <w:sz w:val="20"/>
                <w:szCs w:val="20"/>
              </w:rPr>
              <w:t xml:space="preserve">Submission of First Draft Report </w:t>
            </w:r>
          </w:p>
          <w:p w14:paraId="5FD42F70" w14:textId="35A8EA7A" w:rsidR="00C519E2" w:rsidRPr="00D058C1" w:rsidRDefault="006706B0" w:rsidP="006706B0">
            <w:pPr>
              <w:pStyle w:val="NormalWeb"/>
              <w:spacing w:before="0" w:beforeAutospacing="0" w:after="0" w:afterAutospacing="0"/>
              <w:divId w:val="2016180594"/>
              <w:rPr>
                <w:rFonts w:ascii="Cambria" w:hAnsi="Cambria" w:cs="Arial"/>
                <w:sz w:val="20"/>
                <w:szCs w:val="20"/>
              </w:rPr>
            </w:pPr>
            <w:r w:rsidRPr="00D058C1">
              <w:rPr>
                <w:rFonts w:ascii="Cambria" w:hAnsi="Cambria" w:cs="Arial"/>
                <w:sz w:val="20"/>
                <w:szCs w:val="20"/>
              </w:rPr>
              <w:t xml:space="preserve">7. </w:t>
            </w:r>
            <w:r w:rsidR="00C519E2" w:rsidRPr="00D058C1">
              <w:rPr>
                <w:rFonts w:ascii="Cambria" w:hAnsi="Cambria" w:cs="Arial"/>
                <w:sz w:val="20"/>
                <w:szCs w:val="20"/>
              </w:rPr>
              <w:t>DFAT and NGO partner comments on draft report</w:t>
            </w:r>
          </w:p>
        </w:tc>
        <w:tc>
          <w:tcPr>
            <w:tcW w:w="1134" w:type="dxa"/>
            <w:vAlign w:val="center"/>
          </w:tcPr>
          <w:p w14:paraId="6A2CD046" w14:textId="558336F2" w:rsidR="00C519E2" w:rsidRPr="00D058C1" w:rsidRDefault="00C519E2" w:rsidP="006706B0">
            <w:pPr>
              <w:jc w:val="both"/>
              <w:rPr>
                <w:rFonts w:ascii="Cambria" w:hAnsi="Cambria"/>
              </w:rPr>
            </w:pPr>
            <w:r w:rsidRPr="00D058C1">
              <w:rPr>
                <w:rFonts w:ascii="Cambria" w:hAnsi="Cambria"/>
                <w:sz w:val="20"/>
                <w:szCs w:val="20"/>
              </w:rPr>
              <w:t xml:space="preserve">Desk- based </w:t>
            </w:r>
          </w:p>
        </w:tc>
        <w:tc>
          <w:tcPr>
            <w:tcW w:w="1985" w:type="dxa"/>
            <w:vAlign w:val="center"/>
          </w:tcPr>
          <w:p w14:paraId="543EFF8B" w14:textId="25DFC3C6" w:rsidR="00C519E2" w:rsidRPr="00D058C1" w:rsidRDefault="00C519E2" w:rsidP="006706B0">
            <w:pPr>
              <w:jc w:val="both"/>
              <w:rPr>
                <w:rFonts w:ascii="Cambria" w:hAnsi="Cambria"/>
              </w:rPr>
            </w:pPr>
            <w:r w:rsidRPr="00D058C1">
              <w:rPr>
                <w:rFonts w:ascii="Cambria" w:hAnsi="Cambria"/>
                <w:sz w:val="20"/>
                <w:szCs w:val="20"/>
              </w:rPr>
              <w:t xml:space="preserve">3 days </w:t>
            </w:r>
          </w:p>
        </w:tc>
        <w:tc>
          <w:tcPr>
            <w:tcW w:w="1547" w:type="dxa"/>
            <w:vAlign w:val="center"/>
          </w:tcPr>
          <w:p w14:paraId="0FDE69D7" w14:textId="14663EF3" w:rsidR="00C519E2" w:rsidRPr="00D058C1" w:rsidRDefault="00C519E2" w:rsidP="006706B0">
            <w:pPr>
              <w:jc w:val="both"/>
              <w:rPr>
                <w:rFonts w:ascii="Cambria" w:hAnsi="Cambria"/>
              </w:rPr>
            </w:pPr>
            <w:r w:rsidRPr="00D058C1">
              <w:rPr>
                <w:rFonts w:ascii="Cambria" w:hAnsi="Cambria"/>
                <w:sz w:val="20"/>
                <w:szCs w:val="20"/>
              </w:rPr>
              <w:t xml:space="preserve">Mid-March 2020 </w:t>
            </w:r>
          </w:p>
        </w:tc>
      </w:tr>
      <w:tr w:rsidR="00C519E2" w:rsidRPr="00D058C1" w14:paraId="5BCE4C26" w14:textId="77777777" w:rsidTr="00B72493">
        <w:tc>
          <w:tcPr>
            <w:tcW w:w="3964" w:type="dxa"/>
            <w:vAlign w:val="center"/>
          </w:tcPr>
          <w:p w14:paraId="466142BF" w14:textId="77777777" w:rsidR="00C519E2" w:rsidRPr="00D058C1" w:rsidRDefault="00C519E2" w:rsidP="006706B0">
            <w:pPr>
              <w:pStyle w:val="NormalWeb"/>
              <w:spacing w:before="0" w:beforeAutospacing="0" w:after="0" w:afterAutospacing="0"/>
              <w:divId w:val="1586262866"/>
              <w:rPr>
                <w:rFonts w:ascii="Cambria" w:hAnsi="Cambria"/>
              </w:rPr>
            </w:pPr>
            <w:r w:rsidRPr="00D058C1">
              <w:rPr>
                <w:rFonts w:ascii="Cambria" w:hAnsi="Cambria" w:cs="Arial"/>
                <w:sz w:val="20"/>
                <w:szCs w:val="20"/>
              </w:rPr>
              <w:t xml:space="preserve">8. Revise Report and Submission of Final Report </w:t>
            </w:r>
          </w:p>
          <w:p w14:paraId="268A29A5" w14:textId="5B3C02C8" w:rsidR="00C519E2" w:rsidRPr="00D058C1" w:rsidRDefault="00C519E2" w:rsidP="006706B0">
            <w:pPr>
              <w:jc w:val="both"/>
              <w:rPr>
                <w:rFonts w:ascii="Cambria" w:hAnsi="Cambria"/>
              </w:rPr>
            </w:pPr>
          </w:p>
        </w:tc>
        <w:tc>
          <w:tcPr>
            <w:tcW w:w="1134" w:type="dxa"/>
            <w:vAlign w:val="center"/>
          </w:tcPr>
          <w:p w14:paraId="1D6C7496" w14:textId="702A7E9E" w:rsidR="00C519E2" w:rsidRPr="00D058C1" w:rsidRDefault="00C519E2" w:rsidP="006706B0">
            <w:pPr>
              <w:jc w:val="both"/>
              <w:rPr>
                <w:rFonts w:ascii="Cambria" w:hAnsi="Cambria"/>
              </w:rPr>
            </w:pPr>
            <w:r w:rsidRPr="00D058C1">
              <w:rPr>
                <w:rFonts w:ascii="Cambria" w:hAnsi="Cambria"/>
                <w:sz w:val="20"/>
                <w:szCs w:val="20"/>
              </w:rPr>
              <w:t xml:space="preserve">Desk- based </w:t>
            </w:r>
          </w:p>
        </w:tc>
        <w:tc>
          <w:tcPr>
            <w:tcW w:w="1985" w:type="dxa"/>
            <w:vAlign w:val="center"/>
          </w:tcPr>
          <w:p w14:paraId="64C16992" w14:textId="29486A03" w:rsidR="00C519E2" w:rsidRPr="00D058C1" w:rsidRDefault="00C519E2" w:rsidP="006706B0">
            <w:pPr>
              <w:jc w:val="both"/>
              <w:rPr>
                <w:rFonts w:ascii="Cambria" w:hAnsi="Cambria"/>
              </w:rPr>
            </w:pPr>
            <w:r w:rsidRPr="00D058C1">
              <w:rPr>
                <w:rFonts w:ascii="Cambria" w:hAnsi="Cambria"/>
                <w:sz w:val="20"/>
                <w:szCs w:val="20"/>
              </w:rPr>
              <w:t xml:space="preserve">2 days </w:t>
            </w:r>
          </w:p>
        </w:tc>
        <w:tc>
          <w:tcPr>
            <w:tcW w:w="1547" w:type="dxa"/>
            <w:vAlign w:val="center"/>
          </w:tcPr>
          <w:p w14:paraId="6AFBE007" w14:textId="5A17BD3F" w:rsidR="00C519E2" w:rsidRPr="00D058C1" w:rsidRDefault="00C519E2" w:rsidP="006706B0">
            <w:pPr>
              <w:jc w:val="both"/>
              <w:rPr>
                <w:rFonts w:ascii="Cambria" w:hAnsi="Cambria"/>
              </w:rPr>
            </w:pPr>
            <w:r w:rsidRPr="00D058C1">
              <w:rPr>
                <w:rFonts w:ascii="Cambria" w:hAnsi="Cambria"/>
                <w:sz w:val="20"/>
                <w:szCs w:val="20"/>
              </w:rPr>
              <w:t xml:space="preserve">April 30 </w:t>
            </w:r>
          </w:p>
        </w:tc>
      </w:tr>
      <w:tr w:rsidR="00C519E2" w:rsidRPr="00D058C1" w14:paraId="56613587" w14:textId="77777777" w:rsidTr="00B72493">
        <w:tc>
          <w:tcPr>
            <w:tcW w:w="3964" w:type="dxa"/>
            <w:vAlign w:val="center"/>
          </w:tcPr>
          <w:p w14:paraId="144C4551" w14:textId="5BC3F0A7" w:rsidR="00C519E2" w:rsidRPr="00D058C1" w:rsidRDefault="00C519E2" w:rsidP="006706B0">
            <w:pPr>
              <w:jc w:val="both"/>
              <w:rPr>
                <w:rFonts w:ascii="Cambria" w:hAnsi="Cambria"/>
              </w:rPr>
            </w:pPr>
            <w:r w:rsidRPr="00D058C1">
              <w:rPr>
                <w:rFonts w:ascii="Cambria" w:hAnsi="Cambria" w:cs="Arial"/>
                <w:sz w:val="20"/>
                <w:szCs w:val="20"/>
              </w:rPr>
              <w:t xml:space="preserve">Optional additional work related if required </w:t>
            </w:r>
          </w:p>
        </w:tc>
        <w:tc>
          <w:tcPr>
            <w:tcW w:w="1134" w:type="dxa"/>
            <w:vAlign w:val="center"/>
          </w:tcPr>
          <w:p w14:paraId="4D0C0366" w14:textId="77777777" w:rsidR="00C519E2" w:rsidRPr="00D058C1" w:rsidRDefault="00C519E2" w:rsidP="006706B0">
            <w:pPr>
              <w:jc w:val="both"/>
              <w:rPr>
                <w:rFonts w:ascii="Cambria" w:hAnsi="Cambria"/>
              </w:rPr>
            </w:pPr>
          </w:p>
        </w:tc>
        <w:tc>
          <w:tcPr>
            <w:tcW w:w="1985" w:type="dxa"/>
            <w:vAlign w:val="center"/>
          </w:tcPr>
          <w:p w14:paraId="60EB4B20" w14:textId="06F41D8C" w:rsidR="00C519E2" w:rsidRPr="00D058C1" w:rsidRDefault="00C519E2" w:rsidP="006706B0">
            <w:pPr>
              <w:jc w:val="both"/>
              <w:rPr>
                <w:rFonts w:ascii="Cambria" w:hAnsi="Cambria"/>
              </w:rPr>
            </w:pPr>
            <w:r w:rsidRPr="00D058C1">
              <w:rPr>
                <w:rFonts w:ascii="Cambria" w:hAnsi="Cambria"/>
                <w:sz w:val="20"/>
                <w:szCs w:val="20"/>
              </w:rPr>
              <w:t xml:space="preserve">Up to 2 days </w:t>
            </w:r>
          </w:p>
        </w:tc>
        <w:tc>
          <w:tcPr>
            <w:tcW w:w="1547" w:type="dxa"/>
            <w:vAlign w:val="center"/>
          </w:tcPr>
          <w:p w14:paraId="3DADFA1E" w14:textId="77777777" w:rsidR="00C519E2" w:rsidRPr="00D058C1" w:rsidRDefault="00C519E2" w:rsidP="006706B0">
            <w:pPr>
              <w:jc w:val="both"/>
              <w:rPr>
                <w:rFonts w:ascii="Cambria" w:hAnsi="Cambria"/>
              </w:rPr>
            </w:pPr>
          </w:p>
        </w:tc>
      </w:tr>
      <w:tr w:rsidR="00C519E2" w:rsidRPr="00D058C1" w14:paraId="73AF02E3" w14:textId="77777777" w:rsidTr="00C519E2">
        <w:trPr>
          <w:trHeight w:val="210"/>
        </w:trPr>
        <w:tc>
          <w:tcPr>
            <w:tcW w:w="3964" w:type="dxa"/>
            <w:vAlign w:val="center"/>
          </w:tcPr>
          <w:p w14:paraId="6A4F53B5" w14:textId="0CE1E5BB" w:rsidR="00C519E2" w:rsidRPr="00D058C1" w:rsidRDefault="00C519E2" w:rsidP="003E67A9">
            <w:pPr>
              <w:pStyle w:val="NormalWeb"/>
              <w:spacing w:before="0" w:beforeAutospacing="0" w:after="0" w:afterAutospacing="0"/>
              <w:divId w:val="1188904199"/>
              <w:rPr>
                <w:rFonts w:ascii="Cambria" w:hAnsi="Cambria"/>
                <w:sz w:val="24"/>
                <w:szCs w:val="24"/>
              </w:rPr>
            </w:pPr>
            <w:r w:rsidRPr="00D058C1">
              <w:rPr>
                <w:rFonts w:ascii="Cambria" w:hAnsi="Cambria"/>
                <w:sz w:val="20"/>
                <w:szCs w:val="20"/>
              </w:rPr>
              <w:t xml:space="preserve">TOTAL </w:t>
            </w:r>
          </w:p>
        </w:tc>
        <w:tc>
          <w:tcPr>
            <w:tcW w:w="1134" w:type="dxa"/>
            <w:vAlign w:val="center"/>
          </w:tcPr>
          <w:p w14:paraId="004B3487" w14:textId="77777777" w:rsidR="00C519E2" w:rsidRPr="00D058C1" w:rsidRDefault="00C519E2" w:rsidP="006706B0">
            <w:pPr>
              <w:jc w:val="both"/>
              <w:rPr>
                <w:rFonts w:ascii="Cambria" w:hAnsi="Cambria"/>
              </w:rPr>
            </w:pPr>
          </w:p>
        </w:tc>
        <w:tc>
          <w:tcPr>
            <w:tcW w:w="1985" w:type="dxa"/>
            <w:vAlign w:val="center"/>
          </w:tcPr>
          <w:p w14:paraId="602AD67D" w14:textId="02CC790A" w:rsidR="00C519E2" w:rsidRPr="00D058C1" w:rsidRDefault="00C519E2" w:rsidP="006706B0">
            <w:pPr>
              <w:jc w:val="both"/>
              <w:rPr>
                <w:rFonts w:ascii="Cambria" w:hAnsi="Cambria"/>
              </w:rPr>
            </w:pPr>
            <w:r w:rsidRPr="00D058C1">
              <w:rPr>
                <w:rFonts w:ascii="Cambria" w:hAnsi="Cambria"/>
                <w:sz w:val="20"/>
                <w:szCs w:val="20"/>
              </w:rPr>
              <w:t xml:space="preserve">Up to 30 days </w:t>
            </w:r>
          </w:p>
        </w:tc>
        <w:tc>
          <w:tcPr>
            <w:tcW w:w="1547" w:type="dxa"/>
            <w:vAlign w:val="center"/>
          </w:tcPr>
          <w:p w14:paraId="66736322" w14:textId="77777777" w:rsidR="00C519E2" w:rsidRPr="00D058C1" w:rsidRDefault="00C519E2" w:rsidP="006706B0">
            <w:pPr>
              <w:jc w:val="both"/>
              <w:rPr>
                <w:rFonts w:ascii="Cambria" w:hAnsi="Cambria"/>
              </w:rPr>
            </w:pPr>
          </w:p>
        </w:tc>
      </w:tr>
    </w:tbl>
    <w:p w14:paraId="2FD3EF20" w14:textId="77777777" w:rsidR="001C74B8" w:rsidRPr="00D058C1" w:rsidRDefault="001C74B8" w:rsidP="006974B7">
      <w:pPr>
        <w:jc w:val="both"/>
        <w:rPr>
          <w:rFonts w:ascii="Cambria" w:hAnsi="Cambria"/>
          <w:b/>
        </w:rPr>
      </w:pPr>
    </w:p>
    <w:p w14:paraId="61D35E9F" w14:textId="77777777" w:rsidR="00DD64E3" w:rsidRPr="00D058C1" w:rsidRDefault="00DD64E3" w:rsidP="00DD64E3">
      <w:pPr>
        <w:pStyle w:val="NormalWeb"/>
        <w:spacing w:before="0" w:beforeAutospacing="0" w:after="0" w:afterAutospacing="0"/>
        <w:contextualSpacing/>
        <w:rPr>
          <w:rFonts w:ascii="Cambria" w:hAnsi="Cambria" w:cs="Arial"/>
        </w:rPr>
      </w:pPr>
      <w:r w:rsidRPr="00D058C1">
        <w:rPr>
          <w:rFonts w:ascii="Cambria" w:hAnsi="Cambria" w:cs="Arial"/>
          <w:b/>
          <w:bCs/>
          <w:sz w:val="22"/>
          <w:szCs w:val="22"/>
        </w:rPr>
        <w:t xml:space="preserve">Suggested list of </w:t>
      </w:r>
      <w:proofErr w:type="spellStart"/>
      <w:r w:rsidRPr="00D058C1">
        <w:rPr>
          <w:rFonts w:ascii="Cambria" w:hAnsi="Cambria" w:cs="Arial"/>
          <w:b/>
          <w:bCs/>
          <w:sz w:val="22"/>
          <w:szCs w:val="22"/>
        </w:rPr>
        <w:t>organisations</w:t>
      </w:r>
      <w:proofErr w:type="spellEnd"/>
      <w:r w:rsidRPr="00D058C1">
        <w:rPr>
          <w:rFonts w:ascii="Cambria" w:hAnsi="Cambria" w:cs="Arial"/>
          <w:b/>
          <w:bCs/>
          <w:sz w:val="22"/>
          <w:szCs w:val="22"/>
        </w:rPr>
        <w:t xml:space="preserve">/people to be consulted </w:t>
      </w:r>
    </w:p>
    <w:p w14:paraId="04E1E4EA" w14:textId="2EF19B4B" w:rsidR="00DD64E3" w:rsidRPr="00D058C1" w:rsidRDefault="00DD64E3" w:rsidP="00DD64E3">
      <w:pPr>
        <w:pStyle w:val="NormalWeb"/>
        <w:numPr>
          <w:ilvl w:val="0"/>
          <w:numId w:val="64"/>
        </w:numPr>
        <w:spacing w:before="0" w:beforeAutospacing="0" w:after="0" w:afterAutospacing="0"/>
        <w:contextualSpacing/>
        <w:rPr>
          <w:rFonts w:ascii="Cambria" w:hAnsi="Cambria" w:cs="Arial"/>
        </w:rPr>
      </w:pPr>
      <w:r w:rsidRPr="00D058C1">
        <w:rPr>
          <w:rFonts w:ascii="Cambria" w:hAnsi="Cambria" w:cs="Arial"/>
          <w:sz w:val="22"/>
          <w:szCs w:val="22"/>
        </w:rPr>
        <w:t xml:space="preserve">Implementing partners: including </w:t>
      </w:r>
      <w:proofErr w:type="spellStart"/>
      <w:r w:rsidRPr="00D058C1">
        <w:rPr>
          <w:rFonts w:ascii="Cambria" w:hAnsi="Cambria" w:cs="Arial"/>
          <w:sz w:val="22"/>
          <w:szCs w:val="22"/>
        </w:rPr>
        <w:t>organisations</w:t>
      </w:r>
      <w:proofErr w:type="spellEnd"/>
      <w:r w:rsidRPr="00D058C1">
        <w:rPr>
          <w:rFonts w:ascii="Cambria" w:hAnsi="Cambria" w:cs="Arial"/>
          <w:sz w:val="22"/>
          <w:szCs w:val="22"/>
        </w:rPr>
        <w:t xml:space="preserve"> with which DFAT has funding agreements, relevant subsidiary partners and other relevant </w:t>
      </w:r>
      <w:proofErr w:type="spellStart"/>
      <w:r w:rsidRPr="00D058C1">
        <w:rPr>
          <w:rFonts w:ascii="Cambria" w:hAnsi="Cambria" w:cs="Arial"/>
          <w:sz w:val="22"/>
          <w:szCs w:val="22"/>
        </w:rPr>
        <w:t>organisations</w:t>
      </w:r>
      <w:proofErr w:type="spellEnd"/>
      <w:r w:rsidRPr="00D058C1">
        <w:rPr>
          <w:rFonts w:ascii="Cambria" w:hAnsi="Cambria" w:cs="Arial"/>
          <w:sz w:val="22"/>
          <w:szCs w:val="22"/>
        </w:rPr>
        <w:t xml:space="preserve"> </w:t>
      </w:r>
    </w:p>
    <w:p w14:paraId="69178EBE" w14:textId="250B977B" w:rsidR="00DD64E3" w:rsidRPr="00D058C1" w:rsidRDefault="00DD64E3" w:rsidP="00DD64E3">
      <w:pPr>
        <w:pStyle w:val="NormalWeb"/>
        <w:numPr>
          <w:ilvl w:val="0"/>
          <w:numId w:val="64"/>
        </w:numPr>
        <w:spacing w:before="0" w:beforeAutospacing="0" w:after="0" w:afterAutospacing="0"/>
        <w:contextualSpacing/>
        <w:rPr>
          <w:rFonts w:ascii="Cambria" w:hAnsi="Cambria" w:cs="Arial"/>
        </w:rPr>
      </w:pPr>
      <w:r w:rsidRPr="00D058C1">
        <w:rPr>
          <w:rFonts w:ascii="Cambria" w:hAnsi="Cambria" w:cs="Arial"/>
          <w:sz w:val="22"/>
          <w:szCs w:val="22"/>
        </w:rPr>
        <w:t xml:space="preserve">Other donors/UN agencies: EU, Norway, Japan, UK, USA, Spain </w:t>
      </w:r>
    </w:p>
    <w:p w14:paraId="75B10C72" w14:textId="05E9C5DA" w:rsidR="00DD64E3" w:rsidRPr="00D058C1" w:rsidRDefault="00DD64E3" w:rsidP="00DD64E3">
      <w:pPr>
        <w:pStyle w:val="NormalWeb"/>
        <w:numPr>
          <w:ilvl w:val="0"/>
          <w:numId w:val="64"/>
        </w:numPr>
        <w:spacing w:before="0" w:beforeAutospacing="0" w:after="0" w:afterAutospacing="0"/>
        <w:contextualSpacing/>
        <w:rPr>
          <w:rFonts w:ascii="Cambria" w:hAnsi="Cambria" w:cs="Arial"/>
        </w:rPr>
      </w:pPr>
      <w:r w:rsidRPr="00D058C1">
        <w:rPr>
          <w:rFonts w:ascii="Cambria" w:hAnsi="Cambria" w:cs="Arial"/>
          <w:sz w:val="22"/>
          <w:szCs w:val="22"/>
        </w:rPr>
        <w:t xml:space="preserve">Philippines representatives: GPH representatives, representatives of the parties to peace agreements, IP </w:t>
      </w:r>
      <w:proofErr w:type="spellStart"/>
      <w:r w:rsidRPr="00D058C1">
        <w:rPr>
          <w:rFonts w:ascii="Cambria" w:hAnsi="Cambria" w:cs="Arial"/>
          <w:sz w:val="22"/>
          <w:szCs w:val="22"/>
        </w:rPr>
        <w:t>organisations</w:t>
      </w:r>
      <w:proofErr w:type="spellEnd"/>
      <w:r w:rsidRPr="00D058C1">
        <w:rPr>
          <w:rFonts w:ascii="Cambria" w:hAnsi="Cambria" w:cs="Arial"/>
          <w:sz w:val="22"/>
          <w:szCs w:val="22"/>
        </w:rPr>
        <w:t xml:space="preserve">, sub-national government stakeholders </w:t>
      </w:r>
    </w:p>
    <w:p w14:paraId="24375BAA" w14:textId="674EA695" w:rsidR="00DD64E3" w:rsidRPr="00D058C1" w:rsidRDefault="00DD64E3" w:rsidP="00DD64E3">
      <w:pPr>
        <w:pStyle w:val="NormalWeb"/>
        <w:numPr>
          <w:ilvl w:val="0"/>
          <w:numId w:val="64"/>
        </w:numPr>
        <w:spacing w:before="0" w:beforeAutospacing="0" w:after="0" w:afterAutospacing="0"/>
        <w:contextualSpacing/>
        <w:rPr>
          <w:rFonts w:ascii="Cambria" w:hAnsi="Cambria" w:cs="Arial"/>
        </w:rPr>
      </w:pPr>
      <w:r w:rsidRPr="00D058C1">
        <w:rPr>
          <w:rFonts w:ascii="Cambria" w:hAnsi="Cambria" w:cs="Arial"/>
          <w:sz w:val="22"/>
          <w:szCs w:val="22"/>
        </w:rPr>
        <w:t xml:space="preserve">Australian Government: Relevant staff and management in Manila </w:t>
      </w:r>
    </w:p>
    <w:p w14:paraId="39EC88A0" w14:textId="77777777" w:rsidR="00DD64E3" w:rsidRPr="00D058C1" w:rsidRDefault="00DD64E3" w:rsidP="00DD64E3">
      <w:pPr>
        <w:pStyle w:val="NormalWeb"/>
        <w:spacing w:before="0" w:beforeAutospacing="0" w:after="0" w:afterAutospacing="0"/>
        <w:contextualSpacing/>
        <w:rPr>
          <w:rFonts w:ascii="Cambria" w:hAnsi="Cambria" w:cs="Arial"/>
          <w:b/>
          <w:bCs/>
          <w:sz w:val="22"/>
          <w:szCs w:val="22"/>
        </w:rPr>
      </w:pPr>
    </w:p>
    <w:p w14:paraId="7AC4521C" w14:textId="4F598FC0" w:rsidR="00DD64E3" w:rsidRPr="00D058C1" w:rsidRDefault="00DD64E3" w:rsidP="00DD64E3">
      <w:pPr>
        <w:pStyle w:val="NormalWeb"/>
        <w:spacing w:before="0" w:beforeAutospacing="0" w:after="0" w:afterAutospacing="0"/>
        <w:contextualSpacing/>
        <w:rPr>
          <w:rFonts w:ascii="Cambria" w:hAnsi="Cambria" w:cs="Arial"/>
        </w:rPr>
      </w:pPr>
      <w:r w:rsidRPr="00D058C1">
        <w:rPr>
          <w:rFonts w:ascii="Cambria" w:hAnsi="Cambria" w:cs="Arial"/>
          <w:b/>
          <w:bCs/>
          <w:sz w:val="22"/>
          <w:szCs w:val="22"/>
        </w:rPr>
        <w:t xml:space="preserve">Review Team Composition/Roles </w:t>
      </w:r>
    </w:p>
    <w:p w14:paraId="588EF5B4" w14:textId="77777777" w:rsidR="00DD64E3" w:rsidRPr="00D058C1" w:rsidRDefault="00DD64E3" w:rsidP="00DD64E3">
      <w:pPr>
        <w:pStyle w:val="NormalWeb"/>
        <w:spacing w:before="0" w:beforeAutospacing="0" w:after="0" w:afterAutospacing="0"/>
        <w:contextualSpacing/>
        <w:rPr>
          <w:rFonts w:ascii="Cambria" w:hAnsi="Cambria" w:cs="Arial"/>
        </w:rPr>
      </w:pPr>
      <w:r w:rsidRPr="00D058C1">
        <w:rPr>
          <w:rFonts w:ascii="Cambria" w:hAnsi="Cambria" w:cs="Arial"/>
          <w:sz w:val="22"/>
          <w:szCs w:val="22"/>
        </w:rPr>
        <w:t xml:space="preserve">1. Team Leader (Independent Consultant - local) </w:t>
      </w:r>
    </w:p>
    <w:p w14:paraId="439683B9" w14:textId="3A6F588A" w:rsidR="00DD64E3" w:rsidRPr="00D058C1" w:rsidRDefault="00DD64E3" w:rsidP="00DD64E3">
      <w:pPr>
        <w:pStyle w:val="NormalWeb"/>
        <w:numPr>
          <w:ilvl w:val="0"/>
          <w:numId w:val="65"/>
        </w:numPr>
        <w:spacing w:before="0" w:beforeAutospacing="0" w:after="0" w:afterAutospacing="0"/>
        <w:contextualSpacing/>
        <w:rPr>
          <w:rFonts w:ascii="Cambria" w:hAnsi="Cambria" w:cs="Arial"/>
        </w:rPr>
      </w:pPr>
      <w:r w:rsidRPr="00D058C1">
        <w:rPr>
          <w:rFonts w:ascii="Cambria" w:hAnsi="Cambria" w:cs="Arial"/>
          <w:sz w:val="22"/>
          <w:szCs w:val="22"/>
        </w:rPr>
        <w:t xml:space="preserve">Plan, guide and develop the overall approach and methodology for the full scope of the Review in consultation with team members </w:t>
      </w:r>
    </w:p>
    <w:p w14:paraId="694E7960" w14:textId="1786DEFD" w:rsidR="00DD64E3" w:rsidRPr="00D058C1" w:rsidRDefault="00DD64E3" w:rsidP="00DD64E3">
      <w:pPr>
        <w:pStyle w:val="NormalWeb"/>
        <w:numPr>
          <w:ilvl w:val="0"/>
          <w:numId w:val="65"/>
        </w:numPr>
        <w:spacing w:before="0" w:beforeAutospacing="0" w:after="0" w:afterAutospacing="0"/>
        <w:contextualSpacing/>
        <w:rPr>
          <w:rFonts w:ascii="Cambria" w:hAnsi="Cambria" w:cs="Arial"/>
        </w:rPr>
      </w:pPr>
      <w:r w:rsidRPr="00D058C1">
        <w:rPr>
          <w:rFonts w:ascii="Cambria" w:hAnsi="Cambria" w:cs="Arial"/>
          <w:sz w:val="22"/>
          <w:szCs w:val="22"/>
        </w:rPr>
        <w:t xml:space="preserve">Be responsible for managing and directing the review activities; representing the Review Team and leading the consultations with the stakeholders; </w:t>
      </w:r>
    </w:p>
    <w:p w14:paraId="3AAC7958" w14:textId="50D8CDE7" w:rsidR="00DD64E3" w:rsidRPr="00D058C1" w:rsidRDefault="00DD64E3" w:rsidP="00DD64E3">
      <w:pPr>
        <w:pStyle w:val="NormalWeb"/>
        <w:numPr>
          <w:ilvl w:val="0"/>
          <w:numId w:val="65"/>
        </w:numPr>
        <w:spacing w:before="0" w:beforeAutospacing="0" w:after="0" w:afterAutospacing="0"/>
        <w:contextualSpacing/>
        <w:rPr>
          <w:rFonts w:ascii="Cambria" w:hAnsi="Cambria" w:cs="Arial"/>
        </w:rPr>
      </w:pPr>
      <w:r w:rsidRPr="00D058C1">
        <w:rPr>
          <w:rFonts w:ascii="Cambria" w:hAnsi="Cambria" w:cs="Arial"/>
          <w:sz w:val="22"/>
          <w:szCs w:val="22"/>
        </w:rPr>
        <w:t xml:space="preserve">Draft and present an Aide Memoire, providing preliminary key findings to DFAT at the conclusion of the in-country mission, with input and assistance from team members as required; </w:t>
      </w:r>
    </w:p>
    <w:p w14:paraId="22E9A881" w14:textId="77777777" w:rsidR="000327DA" w:rsidRPr="00D058C1" w:rsidRDefault="00DD64E3" w:rsidP="00DD64E3">
      <w:pPr>
        <w:pStyle w:val="NormalWeb"/>
        <w:numPr>
          <w:ilvl w:val="0"/>
          <w:numId w:val="65"/>
        </w:numPr>
        <w:spacing w:before="0" w:beforeAutospacing="0" w:after="0" w:afterAutospacing="0"/>
        <w:contextualSpacing/>
        <w:rPr>
          <w:rFonts w:ascii="Cambria" w:hAnsi="Cambria" w:cs="Arial"/>
        </w:rPr>
      </w:pPr>
      <w:r w:rsidRPr="00D058C1">
        <w:rPr>
          <w:rFonts w:ascii="Cambria" w:hAnsi="Cambria" w:cs="Arial"/>
          <w:sz w:val="22"/>
          <w:szCs w:val="22"/>
        </w:rPr>
        <w:t xml:space="preserve">Produce a draft and final report in accordance with the agreed Evaluation Plan; and ensure overall quality of reporting. </w:t>
      </w:r>
    </w:p>
    <w:p w14:paraId="7BBF9060" w14:textId="77777777" w:rsidR="000327DA" w:rsidRPr="00D058C1" w:rsidRDefault="000327DA" w:rsidP="000327DA">
      <w:pPr>
        <w:pStyle w:val="NormalWeb"/>
        <w:spacing w:before="0" w:beforeAutospacing="0" w:after="0" w:afterAutospacing="0"/>
        <w:ind w:left="360"/>
        <w:contextualSpacing/>
        <w:rPr>
          <w:rFonts w:ascii="Cambria" w:hAnsi="Cambria" w:cs="Arial"/>
          <w:sz w:val="22"/>
          <w:szCs w:val="22"/>
        </w:rPr>
      </w:pPr>
    </w:p>
    <w:p w14:paraId="72AD1D78" w14:textId="77777777" w:rsidR="000327DA" w:rsidRPr="00D058C1" w:rsidRDefault="00DD64E3" w:rsidP="000327DA">
      <w:pPr>
        <w:pStyle w:val="NormalWeb"/>
        <w:spacing w:before="0" w:beforeAutospacing="0" w:after="0" w:afterAutospacing="0"/>
        <w:ind w:left="360"/>
        <w:contextualSpacing/>
        <w:rPr>
          <w:rFonts w:ascii="Cambria" w:hAnsi="Cambria" w:cs="Arial"/>
        </w:rPr>
      </w:pPr>
      <w:r w:rsidRPr="00D058C1">
        <w:rPr>
          <w:rFonts w:ascii="Cambria" w:hAnsi="Cambria" w:cs="Arial"/>
          <w:sz w:val="22"/>
          <w:szCs w:val="22"/>
        </w:rPr>
        <w:t xml:space="preserve">Professional requirements: </w:t>
      </w:r>
    </w:p>
    <w:p w14:paraId="0748D736" w14:textId="77777777" w:rsidR="000327DA" w:rsidRPr="00D058C1" w:rsidRDefault="000327DA" w:rsidP="000327DA">
      <w:pPr>
        <w:pStyle w:val="NormalWeb"/>
        <w:spacing w:before="0" w:beforeAutospacing="0" w:after="0" w:afterAutospacing="0"/>
        <w:contextualSpacing/>
        <w:rPr>
          <w:rFonts w:ascii="Cambria" w:hAnsi="Cambria" w:cs="Arial"/>
        </w:rPr>
      </w:pPr>
    </w:p>
    <w:p w14:paraId="49186401" w14:textId="77777777" w:rsidR="000327DA" w:rsidRPr="00D058C1" w:rsidRDefault="00DD64E3" w:rsidP="000327DA">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Expertise in the peace process, peacebuilding and extensive experience working in the Bangsamoro and conflict-affected Mindanao; </w:t>
      </w:r>
    </w:p>
    <w:p w14:paraId="2E1DA055" w14:textId="77777777" w:rsidR="000327DA" w:rsidRPr="00D058C1" w:rsidRDefault="00DD64E3" w:rsidP="000327DA">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Strong knowledge of political transition, and conflict transformation (i.e. normalization) issues </w:t>
      </w:r>
    </w:p>
    <w:p w14:paraId="0B5FB0B9" w14:textId="77777777" w:rsidR="000327DA" w:rsidRPr="00D058C1" w:rsidRDefault="00DD64E3" w:rsidP="000327DA">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Experience in preventing/countering violent extremism and security programs/projects </w:t>
      </w:r>
    </w:p>
    <w:p w14:paraId="6E5B7CFB" w14:textId="77777777" w:rsidR="004B0782" w:rsidRPr="00D058C1" w:rsidRDefault="00DD64E3" w:rsidP="004B0782">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High familiarity of the GPH (National Government and Bangsamoro Regional Government and BARMM LGUs) dynamics and priorities; </w:t>
      </w:r>
    </w:p>
    <w:p w14:paraId="74268CFF" w14:textId="77777777" w:rsidR="004B0782" w:rsidRPr="00D058C1" w:rsidRDefault="00DD64E3" w:rsidP="004B0782">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Experience as an independent evaluator of peacebuilding/conflict sensitive programs/projects </w:t>
      </w:r>
    </w:p>
    <w:p w14:paraId="620C748C" w14:textId="77777777" w:rsidR="004B0782" w:rsidRPr="00D058C1" w:rsidRDefault="00DD64E3" w:rsidP="004B0782">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Knowledge of DFAT’s systems and policies or experience in applying donor policies to review processes; </w:t>
      </w:r>
    </w:p>
    <w:p w14:paraId="66E70A1D" w14:textId="12E006CA" w:rsidR="00DD64E3" w:rsidRPr="00D058C1" w:rsidRDefault="00DD64E3" w:rsidP="004B0782">
      <w:pPr>
        <w:pStyle w:val="NormalWeb"/>
        <w:numPr>
          <w:ilvl w:val="0"/>
          <w:numId w:val="72"/>
        </w:numPr>
        <w:spacing w:before="0" w:beforeAutospacing="0" w:after="0" w:afterAutospacing="0"/>
        <w:contextualSpacing/>
        <w:rPr>
          <w:rFonts w:ascii="Cambria" w:hAnsi="Cambria" w:cs="Arial"/>
        </w:rPr>
      </w:pPr>
      <w:r w:rsidRPr="00D058C1">
        <w:rPr>
          <w:rFonts w:ascii="Cambria" w:hAnsi="Cambria" w:cs="Arial"/>
          <w:sz w:val="22"/>
          <w:szCs w:val="22"/>
        </w:rPr>
        <w:t xml:space="preserve">Ability to lead a small, multicultural evaluation team and empower team members. </w:t>
      </w:r>
    </w:p>
    <w:p w14:paraId="37712463" w14:textId="77777777" w:rsidR="004B0782" w:rsidRPr="00D058C1" w:rsidRDefault="004B0782" w:rsidP="004B0782">
      <w:pPr>
        <w:pStyle w:val="NormalWeb"/>
        <w:spacing w:before="0" w:beforeAutospacing="0" w:after="0" w:afterAutospacing="0"/>
        <w:ind w:left="1080"/>
        <w:contextualSpacing/>
        <w:rPr>
          <w:rFonts w:ascii="Cambria" w:hAnsi="Cambria" w:cs="Arial"/>
        </w:rPr>
      </w:pPr>
    </w:p>
    <w:p w14:paraId="487BD892" w14:textId="77777777" w:rsidR="00DD64E3" w:rsidRPr="00D058C1" w:rsidRDefault="00DD64E3" w:rsidP="00DD64E3">
      <w:pPr>
        <w:pStyle w:val="NormalWeb"/>
        <w:numPr>
          <w:ilvl w:val="0"/>
          <w:numId w:val="67"/>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Governance and conflict sensitivity specialist – (independent consultant – local) </w:t>
      </w:r>
    </w:p>
    <w:p w14:paraId="7A6CD537" w14:textId="77777777" w:rsidR="004B0782" w:rsidRPr="00D058C1" w:rsidRDefault="004B0782" w:rsidP="00DD64E3">
      <w:pPr>
        <w:pStyle w:val="NormalWeb"/>
        <w:spacing w:before="0" w:beforeAutospacing="0" w:after="0" w:afterAutospacing="0"/>
        <w:ind w:left="720"/>
        <w:contextualSpacing/>
        <w:rPr>
          <w:rFonts w:ascii="Cambria" w:hAnsi="Cambria" w:cs="Arial"/>
          <w:sz w:val="22"/>
          <w:szCs w:val="22"/>
        </w:rPr>
      </w:pPr>
    </w:p>
    <w:p w14:paraId="5230314E" w14:textId="0A8DBBDD" w:rsidR="00DD64E3" w:rsidRPr="00D058C1" w:rsidRDefault="00DD64E3" w:rsidP="00DD64E3">
      <w:pPr>
        <w:pStyle w:val="NormalWeb"/>
        <w:spacing w:before="0" w:beforeAutospacing="0" w:after="0" w:afterAutospacing="0"/>
        <w:ind w:left="720"/>
        <w:contextualSpacing/>
        <w:rPr>
          <w:rFonts w:ascii="Cambria" w:hAnsi="Cambria" w:cs="Arial"/>
          <w:sz w:val="22"/>
          <w:szCs w:val="22"/>
        </w:rPr>
      </w:pPr>
      <w:r w:rsidRPr="00D058C1">
        <w:rPr>
          <w:rFonts w:ascii="Cambria" w:hAnsi="Cambria" w:cs="Arial"/>
          <w:sz w:val="22"/>
          <w:szCs w:val="22"/>
        </w:rPr>
        <w:t xml:space="preserve">Professional requirements: </w:t>
      </w:r>
    </w:p>
    <w:p w14:paraId="2AADE09B" w14:textId="77777777" w:rsidR="004B0782" w:rsidRPr="00D058C1" w:rsidRDefault="004B0782" w:rsidP="004B0782">
      <w:pPr>
        <w:pStyle w:val="NormalWeb"/>
        <w:spacing w:before="0" w:beforeAutospacing="0" w:after="0" w:afterAutospacing="0"/>
        <w:contextualSpacing/>
        <w:rPr>
          <w:rFonts w:ascii="Cambria" w:hAnsi="Cambria" w:cs="Arial"/>
          <w:sz w:val="22"/>
          <w:szCs w:val="22"/>
        </w:rPr>
      </w:pPr>
    </w:p>
    <w:p w14:paraId="1DE05621" w14:textId="518306EF" w:rsidR="00DD64E3" w:rsidRPr="00D058C1" w:rsidRDefault="00DD64E3" w:rsidP="004B0782">
      <w:pPr>
        <w:pStyle w:val="NormalWeb"/>
        <w:numPr>
          <w:ilvl w:val="0"/>
          <w:numId w:val="73"/>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Requirements </w:t>
      </w:r>
      <w:proofErr w:type="gramStart"/>
      <w:r w:rsidRPr="00D058C1">
        <w:rPr>
          <w:rFonts w:ascii="Cambria" w:hAnsi="Cambria" w:cs="Arial"/>
          <w:sz w:val="22"/>
          <w:szCs w:val="22"/>
        </w:rPr>
        <w:t>similar to</w:t>
      </w:r>
      <w:proofErr w:type="gramEnd"/>
      <w:r w:rsidRPr="00D058C1">
        <w:rPr>
          <w:rFonts w:ascii="Cambria" w:hAnsi="Cambria" w:cs="Arial"/>
          <w:sz w:val="22"/>
          <w:szCs w:val="22"/>
        </w:rPr>
        <w:t xml:space="preserve"> a) to d) above </w:t>
      </w:r>
    </w:p>
    <w:p w14:paraId="4F0E6DBC" w14:textId="6194805C" w:rsidR="00DD64E3" w:rsidRPr="00D058C1" w:rsidRDefault="00DD64E3" w:rsidP="004B0782">
      <w:pPr>
        <w:pStyle w:val="NormalWeb"/>
        <w:numPr>
          <w:ilvl w:val="0"/>
          <w:numId w:val="73"/>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Experience in crosscutting themes of gender equality and social inclusion, child protection </w:t>
      </w:r>
    </w:p>
    <w:p w14:paraId="155679B5" w14:textId="77777777" w:rsidR="004B0782" w:rsidRPr="00D058C1" w:rsidRDefault="004B0782" w:rsidP="004B0782">
      <w:pPr>
        <w:pStyle w:val="NormalWeb"/>
        <w:spacing w:before="0" w:beforeAutospacing="0" w:after="0" w:afterAutospacing="0"/>
        <w:ind w:left="720"/>
        <w:contextualSpacing/>
        <w:rPr>
          <w:rFonts w:ascii="Cambria" w:hAnsi="Cambria" w:cs="Arial"/>
          <w:sz w:val="22"/>
          <w:szCs w:val="22"/>
        </w:rPr>
      </w:pPr>
    </w:p>
    <w:p w14:paraId="7794B4A3" w14:textId="08613C64" w:rsidR="00DD64E3" w:rsidRPr="00D058C1" w:rsidRDefault="00DD64E3" w:rsidP="00DD64E3">
      <w:pPr>
        <w:pStyle w:val="NormalWeb"/>
        <w:numPr>
          <w:ilvl w:val="0"/>
          <w:numId w:val="67"/>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Bangsamoro Peace and Development Specialist (independent consultant-local from the Bangsamoro) </w:t>
      </w:r>
    </w:p>
    <w:p w14:paraId="33725511" w14:textId="77777777" w:rsidR="00D10C1B" w:rsidRPr="00D058C1" w:rsidRDefault="00D10C1B" w:rsidP="00DD64E3">
      <w:pPr>
        <w:pStyle w:val="NormalWeb"/>
        <w:spacing w:before="0" w:beforeAutospacing="0" w:after="0" w:afterAutospacing="0"/>
        <w:ind w:left="720"/>
        <w:contextualSpacing/>
        <w:rPr>
          <w:rFonts w:ascii="Cambria" w:hAnsi="Cambria" w:cs="Arial"/>
          <w:sz w:val="22"/>
          <w:szCs w:val="22"/>
        </w:rPr>
      </w:pPr>
    </w:p>
    <w:p w14:paraId="2B6D5EBD" w14:textId="77777777" w:rsidR="00D10C1B" w:rsidRPr="00D058C1" w:rsidRDefault="00DD64E3" w:rsidP="00D10C1B">
      <w:pPr>
        <w:pStyle w:val="NormalWeb"/>
        <w:spacing w:before="0" w:beforeAutospacing="0" w:after="0" w:afterAutospacing="0"/>
        <w:ind w:left="720"/>
        <w:contextualSpacing/>
        <w:rPr>
          <w:rFonts w:ascii="Cambria" w:hAnsi="Cambria" w:cs="Arial"/>
          <w:sz w:val="22"/>
          <w:szCs w:val="22"/>
        </w:rPr>
      </w:pPr>
      <w:r w:rsidRPr="00D058C1">
        <w:rPr>
          <w:rFonts w:ascii="Cambria" w:hAnsi="Cambria" w:cs="Arial"/>
          <w:sz w:val="22"/>
          <w:szCs w:val="22"/>
        </w:rPr>
        <w:lastRenderedPageBreak/>
        <w:t xml:space="preserve">Professional requirements: </w:t>
      </w:r>
    </w:p>
    <w:p w14:paraId="121B6446" w14:textId="77777777" w:rsidR="00D10C1B" w:rsidRPr="00D058C1" w:rsidRDefault="00DD64E3" w:rsidP="00D10C1B">
      <w:pPr>
        <w:pStyle w:val="NormalWeb"/>
        <w:numPr>
          <w:ilvl w:val="0"/>
          <w:numId w:val="75"/>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Requirements </w:t>
      </w:r>
      <w:proofErr w:type="gramStart"/>
      <w:r w:rsidRPr="00D058C1">
        <w:rPr>
          <w:rFonts w:ascii="Cambria" w:hAnsi="Cambria" w:cs="Arial"/>
          <w:sz w:val="22"/>
          <w:szCs w:val="22"/>
        </w:rPr>
        <w:t>similar to</w:t>
      </w:r>
      <w:proofErr w:type="gramEnd"/>
      <w:r w:rsidRPr="00D058C1">
        <w:rPr>
          <w:rFonts w:ascii="Cambria" w:hAnsi="Cambria" w:cs="Arial"/>
          <w:sz w:val="22"/>
          <w:szCs w:val="22"/>
        </w:rPr>
        <w:t xml:space="preserve"> a) to d) above </w:t>
      </w:r>
    </w:p>
    <w:p w14:paraId="27292C11" w14:textId="3FE2820F" w:rsidR="00DD64E3" w:rsidRPr="00D058C1" w:rsidRDefault="00DD64E3" w:rsidP="00D10C1B">
      <w:pPr>
        <w:pStyle w:val="NormalWeb"/>
        <w:numPr>
          <w:ilvl w:val="0"/>
          <w:numId w:val="75"/>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Strong knowledge and extensive experience of cultural sensitivities (dynamics-Moro and non-Moro, indigenous peoples, and clans) in the Bangsamoro </w:t>
      </w:r>
    </w:p>
    <w:p w14:paraId="6FA44EDD" w14:textId="77777777" w:rsidR="00D10C1B" w:rsidRPr="00D058C1" w:rsidRDefault="00D10C1B" w:rsidP="00D10C1B">
      <w:pPr>
        <w:pStyle w:val="NormalWeb"/>
        <w:spacing w:before="0" w:beforeAutospacing="0" w:after="0" w:afterAutospacing="0"/>
        <w:ind w:left="1080"/>
        <w:contextualSpacing/>
        <w:rPr>
          <w:rFonts w:ascii="Cambria" w:hAnsi="Cambria" w:cs="Arial"/>
          <w:sz w:val="22"/>
          <w:szCs w:val="22"/>
        </w:rPr>
      </w:pPr>
    </w:p>
    <w:p w14:paraId="718C4EC1" w14:textId="0D727730" w:rsidR="00DD64E3" w:rsidRPr="00D058C1" w:rsidRDefault="00DD64E3" w:rsidP="00DD64E3">
      <w:pPr>
        <w:pStyle w:val="NormalWeb"/>
        <w:numPr>
          <w:ilvl w:val="0"/>
          <w:numId w:val="67"/>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DFAT Representative from the Fragility and Conflict Section, or with suitable relevant knowledge and expertise. </w:t>
      </w:r>
    </w:p>
    <w:p w14:paraId="7B532C7F" w14:textId="77777777" w:rsidR="00D10C1B" w:rsidRPr="00D058C1" w:rsidRDefault="00D10C1B" w:rsidP="00D10C1B">
      <w:pPr>
        <w:pStyle w:val="NormalWeb"/>
        <w:spacing w:before="0" w:beforeAutospacing="0" w:after="0" w:afterAutospacing="0"/>
        <w:ind w:left="720"/>
        <w:contextualSpacing/>
        <w:rPr>
          <w:rFonts w:ascii="Cambria" w:hAnsi="Cambria" w:cs="Arial"/>
          <w:sz w:val="22"/>
          <w:szCs w:val="22"/>
        </w:rPr>
      </w:pPr>
    </w:p>
    <w:p w14:paraId="2EB6465D" w14:textId="40DF0FF4" w:rsidR="00DD64E3" w:rsidRPr="00D058C1" w:rsidRDefault="00DD64E3" w:rsidP="00DD64E3">
      <w:pPr>
        <w:pStyle w:val="NormalWeb"/>
        <w:numPr>
          <w:ilvl w:val="0"/>
          <w:numId w:val="67"/>
        </w:numPr>
        <w:spacing w:before="0" w:beforeAutospacing="0" w:after="0" w:afterAutospacing="0"/>
        <w:contextualSpacing/>
        <w:rPr>
          <w:rFonts w:ascii="Cambria" w:hAnsi="Cambria" w:cs="Arial"/>
          <w:sz w:val="22"/>
          <w:szCs w:val="22"/>
        </w:rPr>
      </w:pPr>
      <w:r w:rsidRPr="00D058C1">
        <w:rPr>
          <w:rFonts w:ascii="Cambria" w:hAnsi="Cambria" w:cs="Arial"/>
          <w:sz w:val="22"/>
          <w:szCs w:val="22"/>
        </w:rPr>
        <w:t xml:space="preserve">Peer Review Facilitator (external consultant to DFAT) </w:t>
      </w:r>
    </w:p>
    <w:p w14:paraId="1FB40CFB" w14:textId="77777777" w:rsidR="00D10C1B" w:rsidRPr="00D058C1" w:rsidRDefault="00D10C1B" w:rsidP="00D10C1B">
      <w:pPr>
        <w:pStyle w:val="ListParagraph"/>
        <w:rPr>
          <w:rFonts w:ascii="Cambria" w:hAnsi="Cambria" w:cs="Arial"/>
          <w:sz w:val="22"/>
          <w:szCs w:val="22"/>
        </w:rPr>
      </w:pPr>
    </w:p>
    <w:p w14:paraId="4873DB62" w14:textId="77777777" w:rsidR="00D10C1B" w:rsidRPr="00D058C1" w:rsidRDefault="00D10C1B" w:rsidP="00D10C1B">
      <w:pPr>
        <w:pStyle w:val="NormalWeb"/>
        <w:spacing w:before="0" w:beforeAutospacing="0" w:after="0" w:afterAutospacing="0"/>
        <w:contextualSpacing/>
        <w:rPr>
          <w:rFonts w:ascii="Cambria" w:hAnsi="Cambria" w:cs="Arial"/>
          <w:sz w:val="22"/>
          <w:szCs w:val="22"/>
        </w:rPr>
      </w:pPr>
    </w:p>
    <w:p w14:paraId="21B62831" w14:textId="6026F1AB" w:rsidR="00DD64E3" w:rsidRPr="00D058C1" w:rsidRDefault="00DD64E3" w:rsidP="00DD64E3">
      <w:pPr>
        <w:pStyle w:val="NormalWeb"/>
        <w:spacing w:before="0" w:beforeAutospacing="0" w:after="0" w:afterAutospacing="0"/>
        <w:contextualSpacing/>
        <w:rPr>
          <w:rFonts w:ascii="Cambria" w:hAnsi="Cambria" w:cs="Arial"/>
          <w:b/>
          <w:bCs/>
          <w:sz w:val="22"/>
          <w:szCs w:val="22"/>
        </w:rPr>
      </w:pPr>
      <w:r w:rsidRPr="00D058C1">
        <w:rPr>
          <w:rFonts w:ascii="Cambria" w:hAnsi="Cambria" w:cs="Arial"/>
          <w:b/>
          <w:bCs/>
          <w:sz w:val="22"/>
          <w:szCs w:val="22"/>
        </w:rPr>
        <w:t xml:space="preserve">Reference Documents </w:t>
      </w:r>
    </w:p>
    <w:p w14:paraId="51122707" w14:textId="77777777" w:rsidR="00D10C1B" w:rsidRPr="00D058C1" w:rsidRDefault="00D10C1B" w:rsidP="00DD64E3">
      <w:pPr>
        <w:pStyle w:val="NormalWeb"/>
        <w:spacing w:before="0" w:beforeAutospacing="0" w:after="0" w:afterAutospacing="0"/>
        <w:contextualSpacing/>
        <w:rPr>
          <w:rFonts w:ascii="Cambria" w:hAnsi="Cambria" w:cs="Arial"/>
        </w:rPr>
      </w:pPr>
    </w:p>
    <w:p w14:paraId="6430A170" w14:textId="20510EC9" w:rsidR="00DD64E3" w:rsidRPr="00D058C1" w:rsidRDefault="00DD64E3" w:rsidP="00DD64E3">
      <w:pPr>
        <w:pStyle w:val="NormalWeb"/>
        <w:numPr>
          <w:ilvl w:val="0"/>
          <w:numId w:val="68"/>
        </w:numPr>
        <w:spacing w:before="0" w:beforeAutospacing="0" w:after="0" w:afterAutospacing="0"/>
        <w:contextualSpacing/>
        <w:rPr>
          <w:rFonts w:ascii="Cambria" w:hAnsi="Cambria" w:cs="Arial"/>
        </w:rPr>
      </w:pPr>
      <w:r w:rsidRPr="00D058C1">
        <w:rPr>
          <w:rFonts w:ascii="Cambria" w:hAnsi="Cambria" w:cs="Arial"/>
          <w:sz w:val="22"/>
          <w:szCs w:val="22"/>
        </w:rPr>
        <w:t xml:space="preserve">DFAT design documents </w:t>
      </w:r>
    </w:p>
    <w:p w14:paraId="38AE2406" w14:textId="479363A6" w:rsidR="00DD64E3" w:rsidRPr="00D058C1" w:rsidRDefault="00DD64E3" w:rsidP="00DD64E3">
      <w:pPr>
        <w:pStyle w:val="NormalWeb"/>
        <w:numPr>
          <w:ilvl w:val="0"/>
          <w:numId w:val="68"/>
        </w:numPr>
        <w:spacing w:before="0" w:beforeAutospacing="0" w:after="0" w:afterAutospacing="0"/>
        <w:contextualSpacing/>
        <w:rPr>
          <w:rFonts w:ascii="Cambria" w:hAnsi="Cambria" w:cs="Arial"/>
        </w:rPr>
      </w:pPr>
      <w:r w:rsidRPr="00D058C1">
        <w:rPr>
          <w:rFonts w:ascii="Cambria" w:hAnsi="Cambria" w:cs="Arial"/>
          <w:sz w:val="22"/>
          <w:szCs w:val="22"/>
        </w:rPr>
        <w:t xml:space="preserve">Partner design documents </w:t>
      </w:r>
    </w:p>
    <w:p w14:paraId="0BA8C7F5" w14:textId="37419F7D" w:rsidR="00DD64E3" w:rsidRPr="00D058C1" w:rsidRDefault="00DD64E3" w:rsidP="00DD64E3">
      <w:pPr>
        <w:pStyle w:val="NormalWeb"/>
        <w:numPr>
          <w:ilvl w:val="0"/>
          <w:numId w:val="68"/>
        </w:numPr>
        <w:spacing w:before="0" w:beforeAutospacing="0" w:after="0" w:afterAutospacing="0"/>
        <w:contextualSpacing/>
        <w:rPr>
          <w:rFonts w:ascii="Cambria" w:hAnsi="Cambria" w:cs="Arial"/>
        </w:rPr>
      </w:pPr>
      <w:r w:rsidRPr="00D058C1">
        <w:rPr>
          <w:rFonts w:ascii="Cambria" w:hAnsi="Cambria" w:cs="Arial"/>
          <w:sz w:val="22"/>
          <w:szCs w:val="22"/>
        </w:rPr>
        <w:t xml:space="preserve">Partner reporting </w:t>
      </w:r>
    </w:p>
    <w:p w14:paraId="650BCA4F" w14:textId="20FFA085" w:rsidR="00DD64E3" w:rsidRPr="00D058C1" w:rsidRDefault="00DD64E3" w:rsidP="00DD64E3">
      <w:pPr>
        <w:pStyle w:val="NormalWeb"/>
        <w:numPr>
          <w:ilvl w:val="0"/>
          <w:numId w:val="68"/>
        </w:numPr>
        <w:spacing w:before="0" w:beforeAutospacing="0" w:after="0" w:afterAutospacing="0"/>
        <w:contextualSpacing/>
        <w:rPr>
          <w:rFonts w:ascii="Cambria" w:hAnsi="Cambria" w:cs="Arial"/>
        </w:rPr>
      </w:pPr>
      <w:r w:rsidRPr="00D058C1">
        <w:rPr>
          <w:rFonts w:ascii="Cambria" w:hAnsi="Cambria" w:cs="Arial"/>
          <w:sz w:val="22"/>
          <w:szCs w:val="22"/>
        </w:rPr>
        <w:t xml:space="preserve">DFAT quality reporting </w:t>
      </w:r>
    </w:p>
    <w:p w14:paraId="105D1D68" w14:textId="75AF4640" w:rsidR="00DD64E3" w:rsidRPr="00D058C1" w:rsidRDefault="00DD64E3" w:rsidP="00DD64E3">
      <w:pPr>
        <w:pStyle w:val="NormalWeb"/>
        <w:numPr>
          <w:ilvl w:val="0"/>
          <w:numId w:val="68"/>
        </w:numPr>
        <w:spacing w:before="0" w:beforeAutospacing="0" w:after="0" w:afterAutospacing="0"/>
        <w:contextualSpacing/>
        <w:rPr>
          <w:rFonts w:ascii="Cambria" w:hAnsi="Cambria" w:cs="Arial"/>
        </w:rPr>
      </w:pPr>
      <w:r w:rsidRPr="00D058C1">
        <w:rPr>
          <w:rFonts w:ascii="Cambria" w:hAnsi="Cambria" w:cs="Arial"/>
          <w:sz w:val="22"/>
          <w:szCs w:val="22"/>
        </w:rPr>
        <w:t xml:space="preserve">GPH documents, action plans and policies </w:t>
      </w:r>
    </w:p>
    <w:p w14:paraId="60805848" w14:textId="3BFA6489" w:rsidR="00DD64E3" w:rsidRPr="00D058C1" w:rsidRDefault="00DD64E3" w:rsidP="006974B7">
      <w:pPr>
        <w:jc w:val="both"/>
        <w:rPr>
          <w:rFonts w:ascii="Cambria" w:hAnsi="Cambria"/>
          <w:b/>
        </w:rPr>
        <w:sectPr w:rsidR="00DD64E3" w:rsidRPr="00D058C1" w:rsidSect="00050FF7">
          <w:pgSz w:w="12240" w:h="15840"/>
          <w:pgMar w:top="1440" w:right="1800" w:bottom="1440" w:left="1800" w:header="708" w:footer="708" w:gutter="0"/>
          <w:cols w:space="708"/>
          <w:docGrid w:linePitch="360"/>
        </w:sectPr>
      </w:pPr>
    </w:p>
    <w:p w14:paraId="36C7A67C" w14:textId="53CA30AF" w:rsidR="00A16CCB" w:rsidRPr="00D058C1" w:rsidRDefault="00A16CCB" w:rsidP="00193062">
      <w:pPr>
        <w:pStyle w:val="Heading1"/>
        <w:rPr>
          <w:rFonts w:ascii="Cambria" w:hAnsi="Cambria"/>
          <w:b/>
          <w:sz w:val="22"/>
          <w:szCs w:val="22"/>
        </w:rPr>
      </w:pPr>
      <w:bookmarkStart w:id="43" w:name="_Toc34220994"/>
      <w:bookmarkStart w:id="44" w:name="_Toc55309690"/>
      <w:r w:rsidRPr="00D058C1">
        <w:rPr>
          <w:rFonts w:ascii="Cambria" w:hAnsi="Cambria"/>
          <w:b/>
          <w:sz w:val="22"/>
          <w:szCs w:val="22"/>
        </w:rPr>
        <w:lastRenderedPageBreak/>
        <w:t>Annex B. List of Respondents</w:t>
      </w:r>
      <w:bookmarkEnd w:id="43"/>
      <w:bookmarkEnd w:id="44"/>
      <w:r w:rsidRPr="00D058C1">
        <w:rPr>
          <w:rFonts w:ascii="Cambria" w:hAnsi="Cambria"/>
          <w:b/>
          <w:sz w:val="22"/>
          <w:szCs w:val="22"/>
        </w:rPr>
        <w:t xml:space="preserve">  </w:t>
      </w:r>
    </w:p>
    <w:p w14:paraId="08E676F7" w14:textId="7141655E" w:rsidR="00D40864" w:rsidRPr="00D058C1" w:rsidRDefault="00D40864" w:rsidP="007F615A">
      <w:pPr>
        <w:jc w:val="center"/>
        <w:rPr>
          <w:rFonts w:ascii="Cambria" w:hAnsi="Cambria"/>
          <w:b/>
          <w:sz w:val="22"/>
          <w:szCs w:val="22"/>
        </w:rPr>
      </w:pPr>
    </w:p>
    <w:tbl>
      <w:tblPr>
        <w:tblW w:w="10628" w:type="dxa"/>
        <w:tblInd w:w="-856" w:type="dxa"/>
        <w:tblLook w:val="04A0" w:firstRow="1" w:lastRow="0" w:firstColumn="1" w:lastColumn="0" w:noHBand="0" w:noVBand="1"/>
      </w:tblPr>
      <w:tblGrid>
        <w:gridCol w:w="715"/>
        <w:gridCol w:w="1472"/>
        <w:gridCol w:w="2181"/>
        <w:gridCol w:w="2201"/>
        <w:gridCol w:w="1593"/>
        <w:gridCol w:w="2466"/>
      </w:tblGrid>
      <w:tr w:rsidR="00782EB1" w:rsidRPr="00D058C1" w14:paraId="1DF62A16" w14:textId="77777777" w:rsidTr="00F11FA7">
        <w:trPr>
          <w:trHeight w:val="300"/>
          <w:tblHeader/>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D5CBB" w14:textId="61E91881"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N</w:t>
            </w:r>
            <w:r w:rsidR="00782EB1" w:rsidRPr="00D058C1">
              <w:rPr>
                <w:rFonts w:ascii="Cambria" w:hAnsi="Cambria" w:cs="Calibri"/>
                <w:color w:val="000000"/>
                <w:sz w:val="18"/>
                <w:szCs w:val="18"/>
              </w:rPr>
              <w:t>o.</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48AB30B9"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Role</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14:paraId="6A790B49"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Institution</w:t>
            </w:r>
          </w:p>
        </w:tc>
        <w:tc>
          <w:tcPr>
            <w:tcW w:w="2201" w:type="dxa"/>
            <w:tcBorders>
              <w:top w:val="single" w:sz="4" w:space="0" w:color="auto"/>
              <w:left w:val="nil"/>
              <w:bottom w:val="single" w:sz="4" w:space="0" w:color="auto"/>
              <w:right w:val="single" w:sz="4" w:space="0" w:color="auto"/>
            </w:tcBorders>
            <w:shd w:val="clear" w:color="auto" w:fill="auto"/>
            <w:noWrap/>
            <w:vAlign w:val="bottom"/>
            <w:hideMark/>
          </w:tcPr>
          <w:p w14:paraId="40B2E6CE"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Name</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2A4D4D45"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Location</w:t>
            </w:r>
          </w:p>
        </w:tc>
        <w:tc>
          <w:tcPr>
            <w:tcW w:w="2466" w:type="dxa"/>
            <w:tcBorders>
              <w:top w:val="single" w:sz="4" w:space="0" w:color="auto"/>
              <w:left w:val="nil"/>
              <w:bottom w:val="single" w:sz="4" w:space="0" w:color="auto"/>
              <w:right w:val="single" w:sz="4" w:space="0" w:color="auto"/>
            </w:tcBorders>
            <w:shd w:val="clear" w:color="auto" w:fill="auto"/>
            <w:noWrap/>
            <w:vAlign w:val="bottom"/>
            <w:hideMark/>
          </w:tcPr>
          <w:p w14:paraId="729A2123"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Date of Interview</w:t>
            </w:r>
          </w:p>
        </w:tc>
      </w:tr>
      <w:tr w:rsidR="00782EB1" w:rsidRPr="00D058C1" w14:paraId="19F4A91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7B956E7"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1</w:t>
            </w:r>
          </w:p>
        </w:tc>
        <w:tc>
          <w:tcPr>
            <w:tcW w:w="1472" w:type="dxa"/>
            <w:tcBorders>
              <w:top w:val="nil"/>
              <w:left w:val="nil"/>
              <w:bottom w:val="single" w:sz="4" w:space="0" w:color="auto"/>
              <w:right w:val="single" w:sz="4" w:space="0" w:color="auto"/>
            </w:tcBorders>
            <w:shd w:val="clear" w:color="auto" w:fill="auto"/>
            <w:noWrap/>
            <w:vAlign w:val="bottom"/>
            <w:hideMark/>
          </w:tcPr>
          <w:p w14:paraId="6C478547"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0ED0D8D3"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OPAPP</w:t>
            </w:r>
          </w:p>
        </w:tc>
        <w:tc>
          <w:tcPr>
            <w:tcW w:w="2201" w:type="dxa"/>
            <w:tcBorders>
              <w:top w:val="nil"/>
              <w:left w:val="nil"/>
              <w:bottom w:val="single" w:sz="4" w:space="0" w:color="auto"/>
              <w:right w:val="single" w:sz="4" w:space="0" w:color="auto"/>
            </w:tcBorders>
            <w:shd w:val="clear" w:color="auto" w:fill="auto"/>
            <w:noWrap/>
            <w:vAlign w:val="bottom"/>
            <w:hideMark/>
          </w:tcPr>
          <w:p w14:paraId="7D1ADD02" w14:textId="77777777" w:rsidR="00213528" w:rsidRPr="00D058C1" w:rsidRDefault="00213528" w:rsidP="00213528">
            <w:pPr>
              <w:rPr>
                <w:rFonts w:ascii="Cambria" w:hAnsi="Cambria" w:cs="Calibri"/>
                <w:color w:val="000000"/>
                <w:sz w:val="18"/>
                <w:szCs w:val="18"/>
              </w:rPr>
            </w:pPr>
            <w:proofErr w:type="spellStart"/>
            <w:r w:rsidRPr="00D058C1">
              <w:rPr>
                <w:rFonts w:ascii="Cambria" w:hAnsi="Cambria" w:cs="Calibri"/>
                <w:color w:val="000000"/>
                <w:sz w:val="18"/>
                <w:szCs w:val="18"/>
              </w:rPr>
              <w:t>Dpapp</w:t>
            </w:r>
            <w:proofErr w:type="spellEnd"/>
            <w:r w:rsidRPr="00D058C1">
              <w:rPr>
                <w:rFonts w:ascii="Cambria" w:hAnsi="Cambria" w:cs="Calibri"/>
                <w:color w:val="000000"/>
                <w:sz w:val="18"/>
                <w:szCs w:val="18"/>
              </w:rPr>
              <w:t xml:space="preserve"> Sid Purisima</w:t>
            </w:r>
          </w:p>
        </w:tc>
        <w:tc>
          <w:tcPr>
            <w:tcW w:w="1593" w:type="dxa"/>
            <w:tcBorders>
              <w:top w:val="nil"/>
              <w:left w:val="nil"/>
              <w:bottom w:val="single" w:sz="4" w:space="0" w:color="auto"/>
              <w:right w:val="single" w:sz="4" w:space="0" w:color="auto"/>
            </w:tcBorders>
            <w:shd w:val="clear" w:color="auto" w:fill="auto"/>
            <w:noWrap/>
            <w:vAlign w:val="bottom"/>
            <w:hideMark/>
          </w:tcPr>
          <w:p w14:paraId="0A9D8513"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806DA61"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Thursday, 27 February 2020</w:t>
            </w:r>
          </w:p>
        </w:tc>
      </w:tr>
      <w:tr w:rsidR="00782EB1" w:rsidRPr="00D058C1" w14:paraId="7C5AEE83"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A076F68"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2</w:t>
            </w:r>
          </w:p>
        </w:tc>
        <w:tc>
          <w:tcPr>
            <w:tcW w:w="1472" w:type="dxa"/>
            <w:tcBorders>
              <w:top w:val="nil"/>
              <w:left w:val="nil"/>
              <w:bottom w:val="single" w:sz="4" w:space="0" w:color="auto"/>
              <w:right w:val="single" w:sz="4" w:space="0" w:color="auto"/>
            </w:tcBorders>
            <w:shd w:val="clear" w:color="auto" w:fill="auto"/>
            <w:noWrap/>
            <w:vAlign w:val="bottom"/>
            <w:hideMark/>
          </w:tcPr>
          <w:p w14:paraId="6A49CE62"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2C7F6B22"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OPAPP</w:t>
            </w:r>
          </w:p>
        </w:tc>
        <w:tc>
          <w:tcPr>
            <w:tcW w:w="2201" w:type="dxa"/>
            <w:tcBorders>
              <w:top w:val="nil"/>
              <w:left w:val="nil"/>
              <w:bottom w:val="single" w:sz="4" w:space="0" w:color="auto"/>
              <w:right w:val="single" w:sz="4" w:space="0" w:color="auto"/>
            </w:tcBorders>
            <w:shd w:val="clear" w:color="auto" w:fill="auto"/>
            <w:noWrap/>
            <w:vAlign w:val="bottom"/>
            <w:hideMark/>
          </w:tcPr>
          <w:p w14:paraId="2F3DAF8D"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 xml:space="preserve">Pam Padilla </w:t>
            </w:r>
            <w:proofErr w:type="spellStart"/>
            <w:r w:rsidRPr="00D058C1">
              <w:rPr>
                <w:rFonts w:ascii="Cambria" w:hAnsi="Cambria" w:cs="Calibri"/>
                <w:color w:val="000000"/>
                <w:sz w:val="18"/>
                <w:szCs w:val="18"/>
              </w:rPr>
              <w:t>Salvan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C84708A"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2FDE4071"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Thursday, 27 February 2020</w:t>
            </w:r>
          </w:p>
        </w:tc>
      </w:tr>
      <w:tr w:rsidR="00782EB1" w:rsidRPr="00D058C1" w14:paraId="766504FD"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77D1206"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3</w:t>
            </w:r>
          </w:p>
        </w:tc>
        <w:tc>
          <w:tcPr>
            <w:tcW w:w="1472" w:type="dxa"/>
            <w:tcBorders>
              <w:top w:val="nil"/>
              <w:left w:val="nil"/>
              <w:bottom w:val="single" w:sz="4" w:space="0" w:color="auto"/>
              <w:right w:val="single" w:sz="4" w:space="0" w:color="auto"/>
            </w:tcBorders>
            <w:shd w:val="clear" w:color="auto" w:fill="auto"/>
            <w:noWrap/>
            <w:vAlign w:val="bottom"/>
            <w:hideMark/>
          </w:tcPr>
          <w:p w14:paraId="24294287"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5DEA006B"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OPAPP</w:t>
            </w:r>
          </w:p>
        </w:tc>
        <w:tc>
          <w:tcPr>
            <w:tcW w:w="2201" w:type="dxa"/>
            <w:tcBorders>
              <w:top w:val="nil"/>
              <w:left w:val="nil"/>
              <w:bottom w:val="single" w:sz="4" w:space="0" w:color="auto"/>
              <w:right w:val="single" w:sz="4" w:space="0" w:color="auto"/>
            </w:tcBorders>
            <w:shd w:val="clear" w:color="auto" w:fill="auto"/>
            <w:noWrap/>
            <w:vAlign w:val="bottom"/>
            <w:hideMark/>
          </w:tcPr>
          <w:p w14:paraId="751EFEBB"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 xml:space="preserve">Vanessa </w:t>
            </w:r>
            <w:proofErr w:type="spellStart"/>
            <w:r w:rsidRPr="00D058C1">
              <w:rPr>
                <w:rFonts w:ascii="Cambria" w:hAnsi="Cambria" w:cs="Calibri"/>
                <w:color w:val="000000"/>
                <w:sz w:val="18"/>
                <w:szCs w:val="18"/>
              </w:rPr>
              <w:t>Pallarco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11F416C"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71D9EE1"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Thursday, 27 February 2020</w:t>
            </w:r>
          </w:p>
        </w:tc>
      </w:tr>
      <w:tr w:rsidR="00782EB1" w:rsidRPr="00D058C1" w14:paraId="7AFB54A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C7D434A"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4</w:t>
            </w:r>
          </w:p>
        </w:tc>
        <w:tc>
          <w:tcPr>
            <w:tcW w:w="1472" w:type="dxa"/>
            <w:tcBorders>
              <w:top w:val="nil"/>
              <w:left w:val="nil"/>
              <w:bottom w:val="single" w:sz="4" w:space="0" w:color="auto"/>
              <w:right w:val="single" w:sz="4" w:space="0" w:color="auto"/>
            </w:tcBorders>
            <w:shd w:val="clear" w:color="auto" w:fill="auto"/>
            <w:noWrap/>
            <w:vAlign w:val="bottom"/>
            <w:hideMark/>
          </w:tcPr>
          <w:p w14:paraId="0C8B3E96"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54ECA5A8"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OPAPP (former)</w:t>
            </w:r>
          </w:p>
        </w:tc>
        <w:tc>
          <w:tcPr>
            <w:tcW w:w="2201" w:type="dxa"/>
            <w:tcBorders>
              <w:top w:val="nil"/>
              <w:left w:val="nil"/>
              <w:bottom w:val="single" w:sz="4" w:space="0" w:color="auto"/>
              <w:right w:val="single" w:sz="4" w:space="0" w:color="auto"/>
            </w:tcBorders>
            <w:shd w:val="clear" w:color="auto" w:fill="auto"/>
            <w:noWrap/>
            <w:vAlign w:val="bottom"/>
            <w:hideMark/>
          </w:tcPr>
          <w:p w14:paraId="159BFB78"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Arvin Chua</w:t>
            </w:r>
          </w:p>
        </w:tc>
        <w:tc>
          <w:tcPr>
            <w:tcW w:w="1593" w:type="dxa"/>
            <w:tcBorders>
              <w:top w:val="nil"/>
              <w:left w:val="nil"/>
              <w:bottom w:val="single" w:sz="4" w:space="0" w:color="auto"/>
              <w:right w:val="single" w:sz="4" w:space="0" w:color="auto"/>
            </w:tcBorders>
            <w:shd w:val="clear" w:color="auto" w:fill="auto"/>
            <w:noWrap/>
            <w:vAlign w:val="bottom"/>
            <w:hideMark/>
          </w:tcPr>
          <w:p w14:paraId="1C0AF17A"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ADEA8B7"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Tuesday, 4 February 2020</w:t>
            </w:r>
          </w:p>
        </w:tc>
      </w:tr>
      <w:tr w:rsidR="00782EB1" w:rsidRPr="00D058C1" w14:paraId="7D53958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6ECC679"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5</w:t>
            </w:r>
          </w:p>
        </w:tc>
        <w:tc>
          <w:tcPr>
            <w:tcW w:w="1472" w:type="dxa"/>
            <w:tcBorders>
              <w:top w:val="nil"/>
              <w:left w:val="nil"/>
              <w:bottom w:val="single" w:sz="4" w:space="0" w:color="auto"/>
              <w:right w:val="single" w:sz="4" w:space="0" w:color="auto"/>
            </w:tcBorders>
            <w:shd w:val="clear" w:color="auto" w:fill="auto"/>
            <w:noWrap/>
            <w:vAlign w:val="bottom"/>
            <w:hideMark/>
          </w:tcPr>
          <w:p w14:paraId="1486BE0A"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10355450"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DILG PCVE PMO</w:t>
            </w:r>
          </w:p>
        </w:tc>
        <w:tc>
          <w:tcPr>
            <w:tcW w:w="2201" w:type="dxa"/>
            <w:tcBorders>
              <w:top w:val="nil"/>
              <w:left w:val="nil"/>
              <w:bottom w:val="single" w:sz="4" w:space="0" w:color="auto"/>
              <w:right w:val="single" w:sz="4" w:space="0" w:color="auto"/>
            </w:tcBorders>
            <w:shd w:val="clear" w:color="auto" w:fill="auto"/>
            <w:noWrap/>
            <w:vAlign w:val="bottom"/>
            <w:hideMark/>
          </w:tcPr>
          <w:p w14:paraId="68F029E5"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Joan Tolibas</w:t>
            </w:r>
          </w:p>
        </w:tc>
        <w:tc>
          <w:tcPr>
            <w:tcW w:w="1593" w:type="dxa"/>
            <w:tcBorders>
              <w:top w:val="nil"/>
              <w:left w:val="nil"/>
              <w:bottom w:val="single" w:sz="4" w:space="0" w:color="auto"/>
              <w:right w:val="single" w:sz="4" w:space="0" w:color="auto"/>
            </w:tcBorders>
            <w:shd w:val="clear" w:color="auto" w:fill="auto"/>
            <w:noWrap/>
            <w:vAlign w:val="bottom"/>
            <w:hideMark/>
          </w:tcPr>
          <w:p w14:paraId="6084362B"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B1EF2C0"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782EB1" w:rsidRPr="00D058C1" w14:paraId="6A19C7C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A9B42F8"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6</w:t>
            </w:r>
          </w:p>
        </w:tc>
        <w:tc>
          <w:tcPr>
            <w:tcW w:w="1472" w:type="dxa"/>
            <w:tcBorders>
              <w:top w:val="nil"/>
              <w:left w:val="nil"/>
              <w:bottom w:val="single" w:sz="4" w:space="0" w:color="auto"/>
              <w:right w:val="single" w:sz="4" w:space="0" w:color="auto"/>
            </w:tcBorders>
            <w:shd w:val="clear" w:color="auto" w:fill="auto"/>
            <w:noWrap/>
            <w:vAlign w:val="bottom"/>
            <w:hideMark/>
          </w:tcPr>
          <w:p w14:paraId="0164D420"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GPH-NG</w:t>
            </w:r>
          </w:p>
        </w:tc>
        <w:tc>
          <w:tcPr>
            <w:tcW w:w="2181" w:type="dxa"/>
            <w:tcBorders>
              <w:top w:val="nil"/>
              <w:left w:val="nil"/>
              <w:bottom w:val="single" w:sz="4" w:space="0" w:color="auto"/>
              <w:right w:val="single" w:sz="4" w:space="0" w:color="auto"/>
            </w:tcBorders>
            <w:shd w:val="clear" w:color="auto" w:fill="auto"/>
            <w:noWrap/>
            <w:vAlign w:val="bottom"/>
            <w:hideMark/>
          </w:tcPr>
          <w:p w14:paraId="142A93AA"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DOF</w:t>
            </w:r>
          </w:p>
        </w:tc>
        <w:tc>
          <w:tcPr>
            <w:tcW w:w="2201" w:type="dxa"/>
            <w:tcBorders>
              <w:top w:val="nil"/>
              <w:left w:val="nil"/>
              <w:bottom w:val="single" w:sz="4" w:space="0" w:color="auto"/>
              <w:right w:val="single" w:sz="4" w:space="0" w:color="auto"/>
            </w:tcBorders>
            <w:shd w:val="clear" w:color="auto" w:fill="auto"/>
            <w:noWrap/>
            <w:vAlign w:val="bottom"/>
            <w:hideMark/>
          </w:tcPr>
          <w:p w14:paraId="406F918A" w14:textId="77777777" w:rsidR="00213528" w:rsidRPr="00D058C1" w:rsidRDefault="00213528" w:rsidP="00213528">
            <w:pPr>
              <w:rPr>
                <w:rFonts w:ascii="Cambria" w:hAnsi="Cambria" w:cs="Calibri"/>
                <w:color w:val="000000"/>
                <w:sz w:val="18"/>
                <w:szCs w:val="18"/>
              </w:rPr>
            </w:pPr>
            <w:proofErr w:type="spellStart"/>
            <w:r w:rsidRPr="00D058C1">
              <w:rPr>
                <w:rFonts w:ascii="Cambria" w:hAnsi="Cambria" w:cs="Calibri"/>
                <w:color w:val="000000"/>
                <w:sz w:val="18"/>
                <w:szCs w:val="18"/>
              </w:rPr>
              <w:t>Usec</w:t>
            </w:r>
            <w:proofErr w:type="spellEnd"/>
            <w:r w:rsidRPr="00D058C1">
              <w:rPr>
                <w:rFonts w:ascii="Cambria" w:hAnsi="Cambria" w:cs="Calibri"/>
                <w:color w:val="000000"/>
                <w:sz w:val="18"/>
                <w:szCs w:val="18"/>
              </w:rPr>
              <w:t xml:space="preserve"> Beltran</w:t>
            </w:r>
          </w:p>
        </w:tc>
        <w:tc>
          <w:tcPr>
            <w:tcW w:w="1593" w:type="dxa"/>
            <w:tcBorders>
              <w:top w:val="nil"/>
              <w:left w:val="nil"/>
              <w:bottom w:val="single" w:sz="4" w:space="0" w:color="auto"/>
              <w:right w:val="single" w:sz="4" w:space="0" w:color="auto"/>
            </w:tcBorders>
            <w:shd w:val="clear" w:color="auto" w:fill="auto"/>
            <w:noWrap/>
            <w:vAlign w:val="bottom"/>
            <w:hideMark/>
          </w:tcPr>
          <w:p w14:paraId="132F23A1"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12769409"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782EB1" w:rsidRPr="00D058C1" w14:paraId="568D56F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A111093"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7</w:t>
            </w:r>
          </w:p>
        </w:tc>
        <w:tc>
          <w:tcPr>
            <w:tcW w:w="1472" w:type="dxa"/>
            <w:tcBorders>
              <w:top w:val="nil"/>
              <w:left w:val="nil"/>
              <w:bottom w:val="single" w:sz="4" w:space="0" w:color="auto"/>
              <w:right w:val="single" w:sz="4" w:space="0" w:color="auto"/>
            </w:tcBorders>
            <w:shd w:val="clear" w:color="auto" w:fill="auto"/>
            <w:noWrap/>
            <w:vAlign w:val="bottom"/>
            <w:hideMark/>
          </w:tcPr>
          <w:p w14:paraId="7BB5D2F5"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096AEF14"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CHD</w:t>
            </w:r>
          </w:p>
        </w:tc>
        <w:tc>
          <w:tcPr>
            <w:tcW w:w="2201" w:type="dxa"/>
            <w:tcBorders>
              <w:top w:val="nil"/>
              <w:left w:val="nil"/>
              <w:bottom w:val="single" w:sz="4" w:space="0" w:color="auto"/>
              <w:right w:val="single" w:sz="4" w:space="0" w:color="auto"/>
            </w:tcBorders>
            <w:shd w:val="clear" w:color="auto" w:fill="auto"/>
            <w:noWrap/>
            <w:vAlign w:val="bottom"/>
            <w:hideMark/>
          </w:tcPr>
          <w:p w14:paraId="66627F4C"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Iona Jalijali</w:t>
            </w:r>
          </w:p>
        </w:tc>
        <w:tc>
          <w:tcPr>
            <w:tcW w:w="1593" w:type="dxa"/>
            <w:tcBorders>
              <w:top w:val="nil"/>
              <w:left w:val="nil"/>
              <w:bottom w:val="single" w:sz="4" w:space="0" w:color="auto"/>
              <w:right w:val="single" w:sz="4" w:space="0" w:color="auto"/>
            </w:tcBorders>
            <w:shd w:val="clear" w:color="auto" w:fill="auto"/>
            <w:noWrap/>
            <w:vAlign w:val="bottom"/>
            <w:hideMark/>
          </w:tcPr>
          <w:p w14:paraId="6BBA66D1"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9074274"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782EB1" w:rsidRPr="00D058C1" w14:paraId="3A9F462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74D76F5"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8</w:t>
            </w:r>
          </w:p>
        </w:tc>
        <w:tc>
          <w:tcPr>
            <w:tcW w:w="1472" w:type="dxa"/>
            <w:tcBorders>
              <w:top w:val="nil"/>
              <w:left w:val="nil"/>
              <w:bottom w:val="single" w:sz="4" w:space="0" w:color="auto"/>
              <w:right w:val="single" w:sz="4" w:space="0" w:color="auto"/>
            </w:tcBorders>
            <w:shd w:val="clear" w:color="auto" w:fill="auto"/>
            <w:noWrap/>
            <w:vAlign w:val="bottom"/>
            <w:hideMark/>
          </w:tcPr>
          <w:p w14:paraId="41D93DD7"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46263AB8"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CHD</w:t>
            </w:r>
          </w:p>
        </w:tc>
        <w:tc>
          <w:tcPr>
            <w:tcW w:w="2201" w:type="dxa"/>
            <w:tcBorders>
              <w:top w:val="nil"/>
              <w:left w:val="nil"/>
              <w:bottom w:val="single" w:sz="4" w:space="0" w:color="auto"/>
              <w:right w:val="single" w:sz="4" w:space="0" w:color="auto"/>
            </w:tcBorders>
            <w:shd w:val="clear" w:color="auto" w:fill="auto"/>
            <w:noWrap/>
            <w:vAlign w:val="bottom"/>
            <w:hideMark/>
          </w:tcPr>
          <w:p w14:paraId="43A787F9"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Ibrahim Badiee</w:t>
            </w:r>
          </w:p>
        </w:tc>
        <w:tc>
          <w:tcPr>
            <w:tcW w:w="1593" w:type="dxa"/>
            <w:tcBorders>
              <w:top w:val="nil"/>
              <w:left w:val="nil"/>
              <w:bottom w:val="single" w:sz="4" w:space="0" w:color="auto"/>
              <w:right w:val="single" w:sz="4" w:space="0" w:color="auto"/>
            </w:tcBorders>
            <w:shd w:val="clear" w:color="auto" w:fill="auto"/>
            <w:noWrap/>
            <w:vAlign w:val="bottom"/>
            <w:hideMark/>
          </w:tcPr>
          <w:p w14:paraId="0D184137"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68A81B7"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782EB1" w:rsidRPr="00D058C1" w14:paraId="675D7A6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B537654"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9</w:t>
            </w:r>
          </w:p>
        </w:tc>
        <w:tc>
          <w:tcPr>
            <w:tcW w:w="1472" w:type="dxa"/>
            <w:tcBorders>
              <w:top w:val="nil"/>
              <w:left w:val="nil"/>
              <w:bottom w:val="single" w:sz="4" w:space="0" w:color="auto"/>
              <w:right w:val="single" w:sz="4" w:space="0" w:color="auto"/>
            </w:tcBorders>
            <w:shd w:val="clear" w:color="auto" w:fill="auto"/>
            <w:noWrap/>
            <w:vAlign w:val="bottom"/>
            <w:hideMark/>
          </w:tcPr>
          <w:p w14:paraId="1BEF296B"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4114AA7D"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International Alert</w:t>
            </w:r>
          </w:p>
        </w:tc>
        <w:tc>
          <w:tcPr>
            <w:tcW w:w="2201" w:type="dxa"/>
            <w:tcBorders>
              <w:top w:val="nil"/>
              <w:left w:val="nil"/>
              <w:bottom w:val="single" w:sz="4" w:space="0" w:color="auto"/>
              <w:right w:val="single" w:sz="4" w:space="0" w:color="auto"/>
            </w:tcBorders>
            <w:shd w:val="clear" w:color="auto" w:fill="auto"/>
            <w:noWrap/>
            <w:vAlign w:val="bottom"/>
            <w:hideMark/>
          </w:tcPr>
          <w:p w14:paraId="50DD553A" w14:textId="77777777" w:rsidR="00213528" w:rsidRPr="00D058C1" w:rsidRDefault="00213528" w:rsidP="00213528">
            <w:pPr>
              <w:rPr>
                <w:rFonts w:ascii="Cambria" w:hAnsi="Cambria" w:cs="Calibri"/>
                <w:color w:val="000000"/>
                <w:sz w:val="18"/>
                <w:szCs w:val="18"/>
              </w:rPr>
            </w:pPr>
            <w:proofErr w:type="spellStart"/>
            <w:r w:rsidRPr="00D058C1">
              <w:rPr>
                <w:rFonts w:ascii="Cambria" w:hAnsi="Cambria" w:cs="Calibri"/>
                <w:color w:val="000000"/>
                <w:sz w:val="18"/>
                <w:szCs w:val="18"/>
              </w:rPr>
              <w:t>Pancho</w:t>
            </w:r>
            <w:proofErr w:type="spellEnd"/>
            <w:r w:rsidRPr="00D058C1">
              <w:rPr>
                <w:rFonts w:ascii="Cambria" w:hAnsi="Cambria" w:cs="Calibri"/>
                <w:color w:val="000000"/>
                <w:sz w:val="18"/>
                <w:szCs w:val="18"/>
              </w:rPr>
              <w:t xml:space="preserve"> Lara</w:t>
            </w:r>
          </w:p>
        </w:tc>
        <w:tc>
          <w:tcPr>
            <w:tcW w:w="1593" w:type="dxa"/>
            <w:tcBorders>
              <w:top w:val="nil"/>
              <w:left w:val="nil"/>
              <w:bottom w:val="single" w:sz="4" w:space="0" w:color="auto"/>
              <w:right w:val="single" w:sz="4" w:space="0" w:color="auto"/>
            </w:tcBorders>
            <w:shd w:val="clear" w:color="auto" w:fill="auto"/>
            <w:noWrap/>
            <w:vAlign w:val="bottom"/>
            <w:hideMark/>
          </w:tcPr>
          <w:p w14:paraId="561B676A"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45B2313"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782EB1" w:rsidRPr="00D058C1" w14:paraId="07E8311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2C9310"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10</w:t>
            </w:r>
          </w:p>
        </w:tc>
        <w:tc>
          <w:tcPr>
            <w:tcW w:w="1472" w:type="dxa"/>
            <w:tcBorders>
              <w:top w:val="nil"/>
              <w:left w:val="nil"/>
              <w:bottom w:val="single" w:sz="4" w:space="0" w:color="auto"/>
              <w:right w:val="single" w:sz="4" w:space="0" w:color="auto"/>
            </w:tcBorders>
            <w:shd w:val="clear" w:color="auto" w:fill="auto"/>
            <w:noWrap/>
            <w:vAlign w:val="bottom"/>
            <w:hideMark/>
          </w:tcPr>
          <w:p w14:paraId="31128CA7"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2FAAB338"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International Alert</w:t>
            </w:r>
          </w:p>
        </w:tc>
        <w:tc>
          <w:tcPr>
            <w:tcW w:w="2201" w:type="dxa"/>
            <w:tcBorders>
              <w:top w:val="nil"/>
              <w:left w:val="nil"/>
              <w:bottom w:val="single" w:sz="4" w:space="0" w:color="auto"/>
              <w:right w:val="single" w:sz="4" w:space="0" w:color="auto"/>
            </w:tcBorders>
            <w:shd w:val="clear" w:color="auto" w:fill="auto"/>
            <w:noWrap/>
            <w:vAlign w:val="bottom"/>
            <w:hideMark/>
          </w:tcPr>
          <w:p w14:paraId="42AA28EF"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Nikki de la Rosa</w:t>
            </w:r>
          </w:p>
        </w:tc>
        <w:tc>
          <w:tcPr>
            <w:tcW w:w="1593" w:type="dxa"/>
            <w:tcBorders>
              <w:top w:val="nil"/>
              <w:left w:val="nil"/>
              <w:bottom w:val="single" w:sz="4" w:space="0" w:color="auto"/>
              <w:right w:val="single" w:sz="4" w:space="0" w:color="auto"/>
            </w:tcBorders>
            <w:shd w:val="clear" w:color="auto" w:fill="auto"/>
            <w:noWrap/>
            <w:vAlign w:val="bottom"/>
            <w:hideMark/>
          </w:tcPr>
          <w:p w14:paraId="14F13E81"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5F7A100"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782EB1" w:rsidRPr="00D058C1" w14:paraId="505C5C5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1AF88F4"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11</w:t>
            </w:r>
          </w:p>
        </w:tc>
        <w:tc>
          <w:tcPr>
            <w:tcW w:w="1472" w:type="dxa"/>
            <w:tcBorders>
              <w:top w:val="nil"/>
              <w:left w:val="nil"/>
              <w:bottom w:val="single" w:sz="4" w:space="0" w:color="auto"/>
              <w:right w:val="single" w:sz="4" w:space="0" w:color="auto"/>
            </w:tcBorders>
            <w:shd w:val="clear" w:color="auto" w:fill="auto"/>
            <w:noWrap/>
            <w:vAlign w:val="bottom"/>
            <w:hideMark/>
          </w:tcPr>
          <w:p w14:paraId="7625FDC9"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2A85FFAF"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International Alert</w:t>
            </w:r>
          </w:p>
        </w:tc>
        <w:tc>
          <w:tcPr>
            <w:tcW w:w="2201" w:type="dxa"/>
            <w:tcBorders>
              <w:top w:val="nil"/>
              <w:left w:val="nil"/>
              <w:bottom w:val="single" w:sz="4" w:space="0" w:color="auto"/>
              <w:right w:val="single" w:sz="4" w:space="0" w:color="auto"/>
            </w:tcBorders>
            <w:shd w:val="clear" w:color="auto" w:fill="auto"/>
            <w:noWrap/>
            <w:vAlign w:val="bottom"/>
            <w:hideMark/>
          </w:tcPr>
          <w:p w14:paraId="71AE9332"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Liezl Bugtay</w:t>
            </w:r>
          </w:p>
        </w:tc>
        <w:tc>
          <w:tcPr>
            <w:tcW w:w="1593" w:type="dxa"/>
            <w:tcBorders>
              <w:top w:val="nil"/>
              <w:left w:val="nil"/>
              <w:bottom w:val="single" w:sz="4" w:space="0" w:color="auto"/>
              <w:right w:val="single" w:sz="4" w:space="0" w:color="auto"/>
            </w:tcBorders>
            <w:shd w:val="clear" w:color="auto" w:fill="auto"/>
            <w:noWrap/>
            <w:vAlign w:val="bottom"/>
            <w:hideMark/>
          </w:tcPr>
          <w:p w14:paraId="5151CEF6" w14:textId="77777777" w:rsidR="00213528" w:rsidRPr="00D058C1" w:rsidRDefault="00213528" w:rsidP="00213528">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A7D9F7D" w14:textId="77777777" w:rsidR="00213528" w:rsidRPr="00D058C1" w:rsidRDefault="00213528" w:rsidP="00213528">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C12CE0" w:rsidRPr="00D058C1" w14:paraId="40E67CA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5CEFD0D7" w14:textId="2563360F" w:rsidR="00C12CE0" w:rsidRPr="00D058C1" w:rsidRDefault="004D624D" w:rsidP="00C12CE0">
            <w:pPr>
              <w:jc w:val="right"/>
              <w:rPr>
                <w:rFonts w:ascii="Cambria" w:hAnsi="Cambria" w:cs="Calibri"/>
                <w:color w:val="000000"/>
                <w:sz w:val="18"/>
                <w:szCs w:val="18"/>
              </w:rPr>
            </w:pPr>
            <w:r>
              <w:rPr>
                <w:rFonts w:ascii="Cambria" w:hAnsi="Cambria" w:cs="Calibri"/>
                <w:color w:val="000000"/>
                <w:sz w:val="18"/>
                <w:szCs w:val="18"/>
              </w:rPr>
              <w:t>12</w:t>
            </w:r>
          </w:p>
        </w:tc>
        <w:tc>
          <w:tcPr>
            <w:tcW w:w="1472" w:type="dxa"/>
            <w:tcBorders>
              <w:top w:val="nil"/>
              <w:left w:val="nil"/>
              <w:bottom w:val="single" w:sz="4" w:space="0" w:color="auto"/>
              <w:right w:val="single" w:sz="4" w:space="0" w:color="auto"/>
            </w:tcBorders>
            <w:shd w:val="clear" w:color="auto" w:fill="auto"/>
            <w:noWrap/>
            <w:vAlign w:val="bottom"/>
          </w:tcPr>
          <w:p w14:paraId="772BAB15" w14:textId="4FC12028" w:rsidR="00C12CE0" w:rsidRPr="00D058C1" w:rsidRDefault="00C12CE0" w:rsidP="00C12CE0">
            <w:pPr>
              <w:rPr>
                <w:rFonts w:ascii="Cambria" w:hAnsi="Cambria" w:cs="Calibri"/>
                <w:color w:val="000000"/>
                <w:sz w:val="18"/>
                <w:szCs w:val="18"/>
              </w:rPr>
            </w:pPr>
            <w:r>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tcPr>
          <w:p w14:paraId="614F42CE" w14:textId="3AE51F24"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International Alert</w:t>
            </w:r>
          </w:p>
        </w:tc>
        <w:tc>
          <w:tcPr>
            <w:tcW w:w="2201" w:type="dxa"/>
            <w:tcBorders>
              <w:top w:val="nil"/>
              <w:left w:val="nil"/>
              <w:bottom w:val="single" w:sz="4" w:space="0" w:color="auto"/>
              <w:right w:val="single" w:sz="4" w:space="0" w:color="auto"/>
            </w:tcBorders>
            <w:shd w:val="clear" w:color="auto" w:fill="auto"/>
            <w:noWrap/>
            <w:vAlign w:val="bottom"/>
          </w:tcPr>
          <w:p w14:paraId="38C2D48B" w14:textId="4609ABF9" w:rsidR="00C12CE0" w:rsidRPr="00D058C1" w:rsidRDefault="00C12CE0" w:rsidP="00C12CE0">
            <w:pPr>
              <w:rPr>
                <w:rFonts w:ascii="Cambria" w:hAnsi="Cambria" w:cs="Calibri"/>
                <w:color w:val="000000"/>
                <w:sz w:val="18"/>
                <w:szCs w:val="18"/>
              </w:rPr>
            </w:pPr>
            <w:r>
              <w:rPr>
                <w:rFonts w:ascii="Cambria" w:hAnsi="Cambria" w:cs="Calibri"/>
                <w:color w:val="000000"/>
                <w:sz w:val="18"/>
                <w:szCs w:val="18"/>
              </w:rPr>
              <w:t>Ruel Punongbayan</w:t>
            </w:r>
          </w:p>
        </w:tc>
        <w:tc>
          <w:tcPr>
            <w:tcW w:w="1593" w:type="dxa"/>
            <w:tcBorders>
              <w:top w:val="nil"/>
              <w:left w:val="nil"/>
              <w:bottom w:val="single" w:sz="4" w:space="0" w:color="auto"/>
              <w:right w:val="single" w:sz="4" w:space="0" w:color="auto"/>
            </w:tcBorders>
            <w:shd w:val="clear" w:color="auto" w:fill="auto"/>
            <w:noWrap/>
            <w:vAlign w:val="bottom"/>
          </w:tcPr>
          <w:p w14:paraId="2560AE11" w14:textId="3548D908" w:rsidR="00C12CE0" w:rsidRPr="00D058C1" w:rsidRDefault="00C12CE0" w:rsidP="00C12CE0">
            <w:pPr>
              <w:rPr>
                <w:rFonts w:ascii="Cambria" w:hAnsi="Cambria" w:cs="Calibri"/>
                <w:color w:val="000000"/>
                <w:sz w:val="18"/>
                <w:szCs w:val="18"/>
              </w:rPr>
            </w:pPr>
            <w:r>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tcPr>
          <w:p w14:paraId="0902864A" w14:textId="53CE41E3"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C12CE0" w:rsidRPr="00D058C1" w14:paraId="53EAC97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25079D0" w14:textId="4FC18579"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w:t>
            </w:r>
            <w:r w:rsidR="004D624D">
              <w:rPr>
                <w:rFonts w:ascii="Cambria" w:hAnsi="Cambria" w:cs="Calibri"/>
                <w:color w:val="000000"/>
                <w:sz w:val="18"/>
                <w:szCs w:val="18"/>
              </w:rPr>
              <w:t>3</w:t>
            </w:r>
          </w:p>
        </w:tc>
        <w:tc>
          <w:tcPr>
            <w:tcW w:w="1472" w:type="dxa"/>
            <w:tcBorders>
              <w:top w:val="nil"/>
              <w:left w:val="nil"/>
              <w:bottom w:val="single" w:sz="4" w:space="0" w:color="auto"/>
              <w:right w:val="single" w:sz="4" w:space="0" w:color="auto"/>
            </w:tcBorders>
            <w:shd w:val="clear" w:color="auto" w:fill="auto"/>
            <w:noWrap/>
            <w:vAlign w:val="bottom"/>
            <w:hideMark/>
          </w:tcPr>
          <w:p w14:paraId="645DD71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7F12300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Oxfam</w:t>
            </w:r>
          </w:p>
        </w:tc>
        <w:tc>
          <w:tcPr>
            <w:tcW w:w="2201" w:type="dxa"/>
            <w:tcBorders>
              <w:top w:val="nil"/>
              <w:left w:val="nil"/>
              <w:bottom w:val="single" w:sz="4" w:space="0" w:color="auto"/>
              <w:right w:val="single" w:sz="4" w:space="0" w:color="auto"/>
            </w:tcBorders>
            <w:shd w:val="clear" w:color="auto" w:fill="auto"/>
            <w:noWrap/>
            <w:vAlign w:val="bottom"/>
            <w:hideMark/>
          </w:tcPr>
          <w:p w14:paraId="77C8773E" w14:textId="4E2A64FF" w:rsidR="00C12CE0" w:rsidRPr="00D058C1" w:rsidRDefault="00C12CE0" w:rsidP="004D624D">
            <w:pPr>
              <w:rPr>
                <w:rFonts w:ascii="Cambria" w:hAnsi="Cambria" w:cs="Calibri"/>
                <w:color w:val="000000"/>
                <w:sz w:val="18"/>
                <w:szCs w:val="18"/>
              </w:rPr>
            </w:pPr>
            <w:r w:rsidRPr="00D058C1">
              <w:rPr>
                <w:rFonts w:ascii="Cambria" w:hAnsi="Cambria" w:cs="Calibri"/>
                <w:color w:val="000000"/>
                <w:sz w:val="18"/>
                <w:szCs w:val="18"/>
              </w:rPr>
              <w:t>Lot</w:t>
            </w:r>
            <w:r>
              <w:rPr>
                <w:rFonts w:ascii="Cambria" w:hAnsi="Cambria" w:cs="Calibri"/>
                <w:color w:val="000000"/>
                <w:sz w:val="18"/>
                <w:szCs w:val="18"/>
              </w:rPr>
              <w:t xml:space="preserve"> Felizco</w:t>
            </w:r>
          </w:p>
        </w:tc>
        <w:tc>
          <w:tcPr>
            <w:tcW w:w="1593" w:type="dxa"/>
            <w:tcBorders>
              <w:top w:val="nil"/>
              <w:left w:val="nil"/>
              <w:bottom w:val="single" w:sz="4" w:space="0" w:color="auto"/>
              <w:right w:val="single" w:sz="4" w:space="0" w:color="auto"/>
            </w:tcBorders>
            <w:shd w:val="clear" w:color="auto" w:fill="auto"/>
            <w:noWrap/>
            <w:vAlign w:val="bottom"/>
            <w:hideMark/>
          </w:tcPr>
          <w:p w14:paraId="6093807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15B4CB5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11 February 2020</w:t>
            </w:r>
          </w:p>
        </w:tc>
      </w:tr>
      <w:tr w:rsidR="004D624D" w:rsidRPr="00D058C1" w14:paraId="1D62A28C"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5531E162" w14:textId="3F9AE7CF" w:rsidR="004D624D" w:rsidRPr="00D058C1" w:rsidRDefault="004D624D" w:rsidP="00C12CE0">
            <w:pPr>
              <w:jc w:val="right"/>
              <w:rPr>
                <w:rFonts w:ascii="Cambria" w:hAnsi="Cambria" w:cs="Calibri"/>
                <w:color w:val="000000"/>
                <w:sz w:val="18"/>
                <w:szCs w:val="18"/>
              </w:rPr>
            </w:pPr>
            <w:r>
              <w:rPr>
                <w:rFonts w:ascii="Cambria" w:hAnsi="Cambria" w:cs="Calibri"/>
                <w:color w:val="000000"/>
                <w:sz w:val="18"/>
                <w:szCs w:val="18"/>
              </w:rPr>
              <w:t>14</w:t>
            </w:r>
          </w:p>
        </w:tc>
        <w:tc>
          <w:tcPr>
            <w:tcW w:w="1472" w:type="dxa"/>
            <w:tcBorders>
              <w:top w:val="nil"/>
              <w:left w:val="nil"/>
              <w:bottom w:val="single" w:sz="4" w:space="0" w:color="auto"/>
              <w:right w:val="single" w:sz="4" w:space="0" w:color="auto"/>
            </w:tcBorders>
            <w:shd w:val="clear" w:color="auto" w:fill="auto"/>
            <w:noWrap/>
            <w:vAlign w:val="bottom"/>
          </w:tcPr>
          <w:p w14:paraId="75A0604A" w14:textId="6E6D0CB9" w:rsidR="004D624D" w:rsidRPr="00D058C1" w:rsidRDefault="004D624D" w:rsidP="00C12CE0">
            <w:pPr>
              <w:rPr>
                <w:rFonts w:ascii="Cambria" w:hAnsi="Cambria" w:cs="Calibri"/>
                <w:color w:val="000000"/>
                <w:sz w:val="18"/>
                <w:szCs w:val="18"/>
              </w:rPr>
            </w:pPr>
            <w:r>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tcPr>
          <w:p w14:paraId="249AE21B" w14:textId="5E531086" w:rsidR="004D624D" w:rsidRPr="00D058C1" w:rsidRDefault="004D624D" w:rsidP="00C12CE0">
            <w:pPr>
              <w:rPr>
                <w:rFonts w:ascii="Cambria" w:hAnsi="Cambria" w:cs="Calibri"/>
                <w:color w:val="000000"/>
                <w:sz w:val="18"/>
                <w:szCs w:val="18"/>
              </w:rPr>
            </w:pPr>
            <w:r>
              <w:rPr>
                <w:rFonts w:ascii="Cambria" w:hAnsi="Cambria" w:cs="Calibri"/>
                <w:color w:val="000000"/>
                <w:sz w:val="18"/>
                <w:szCs w:val="18"/>
              </w:rPr>
              <w:t>Oxfam</w:t>
            </w:r>
          </w:p>
        </w:tc>
        <w:tc>
          <w:tcPr>
            <w:tcW w:w="2201" w:type="dxa"/>
            <w:tcBorders>
              <w:top w:val="nil"/>
              <w:left w:val="nil"/>
              <w:bottom w:val="single" w:sz="4" w:space="0" w:color="auto"/>
              <w:right w:val="single" w:sz="4" w:space="0" w:color="auto"/>
            </w:tcBorders>
            <w:shd w:val="clear" w:color="auto" w:fill="auto"/>
            <w:noWrap/>
            <w:vAlign w:val="bottom"/>
          </w:tcPr>
          <w:p w14:paraId="64E0FCF3" w14:textId="384099E3" w:rsidR="004D624D" w:rsidRPr="00D058C1" w:rsidRDefault="004D624D" w:rsidP="00C12CE0">
            <w:pPr>
              <w:rPr>
                <w:rFonts w:ascii="Cambria" w:hAnsi="Cambria" w:cs="Calibri"/>
                <w:color w:val="000000"/>
                <w:sz w:val="18"/>
                <w:szCs w:val="18"/>
              </w:rPr>
            </w:pPr>
            <w:r>
              <w:rPr>
                <w:rFonts w:ascii="Cambria" w:hAnsi="Cambria" w:cs="Calibri"/>
                <w:color w:val="000000"/>
                <w:sz w:val="18"/>
                <w:szCs w:val="18"/>
              </w:rPr>
              <w:t>Nina Abogado</w:t>
            </w:r>
          </w:p>
        </w:tc>
        <w:tc>
          <w:tcPr>
            <w:tcW w:w="1593" w:type="dxa"/>
            <w:tcBorders>
              <w:top w:val="nil"/>
              <w:left w:val="nil"/>
              <w:bottom w:val="single" w:sz="4" w:space="0" w:color="auto"/>
              <w:right w:val="single" w:sz="4" w:space="0" w:color="auto"/>
            </w:tcBorders>
            <w:shd w:val="clear" w:color="auto" w:fill="auto"/>
            <w:noWrap/>
            <w:vAlign w:val="bottom"/>
          </w:tcPr>
          <w:p w14:paraId="2654D9A2" w14:textId="6A7F65EB" w:rsidR="004D624D" w:rsidRPr="00D058C1" w:rsidDel="00C12CE0" w:rsidRDefault="004D624D" w:rsidP="00C12CE0">
            <w:pPr>
              <w:rPr>
                <w:rFonts w:ascii="Cambria" w:hAnsi="Cambria" w:cs="Calibri"/>
                <w:color w:val="000000"/>
                <w:sz w:val="18"/>
                <w:szCs w:val="18"/>
              </w:rPr>
            </w:pPr>
            <w:r>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tcPr>
          <w:p w14:paraId="202DF026" w14:textId="1AEBDCEC" w:rsidR="004D624D" w:rsidRPr="00D058C1" w:rsidRDefault="004D624D" w:rsidP="00C12CE0">
            <w:pPr>
              <w:jc w:val="right"/>
              <w:rPr>
                <w:rFonts w:ascii="Cambria" w:hAnsi="Cambria" w:cs="Calibri"/>
                <w:color w:val="000000"/>
                <w:sz w:val="18"/>
                <w:szCs w:val="18"/>
              </w:rPr>
            </w:pPr>
            <w:r w:rsidRPr="00D058C1">
              <w:rPr>
                <w:rFonts w:ascii="Cambria" w:hAnsi="Cambria" w:cs="Calibri"/>
                <w:color w:val="000000"/>
                <w:sz w:val="18"/>
                <w:szCs w:val="18"/>
              </w:rPr>
              <w:t>Tuesday, 11 February 2020</w:t>
            </w:r>
          </w:p>
        </w:tc>
      </w:tr>
      <w:tr w:rsidR="00C12CE0" w:rsidRPr="00D058C1" w14:paraId="161C8F8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13EA3ED" w14:textId="4B717602"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w:t>
            </w:r>
            <w:r w:rsidR="004D624D">
              <w:rPr>
                <w:rFonts w:ascii="Cambria" w:hAnsi="Cambria" w:cs="Calibri"/>
                <w:color w:val="000000"/>
                <w:sz w:val="18"/>
                <w:szCs w:val="18"/>
              </w:rPr>
              <w:t>5</w:t>
            </w:r>
          </w:p>
        </w:tc>
        <w:tc>
          <w:tcPr>
            <w:tcW w:w="1472" w:type="dxa"/>
            <w:tcBorders>
              <w:top w:val="nil"/>
              <w:left w:val="nil"/>
              <w:bottom w:val="single" w:sz="4" w:space="0" w:color="auto"/>
              <w:right w:val="single" w:sz="4" w:space="0" w:color="auto"/>
            </w:tcBorders>
            <w:shd w:val="clear" w:color="auto" w:fill="auto"/>
            <w:noWrap/>
            <w:vAlign w:val="bottom"/>
            <w:hideMark/>
          </w:tcPr>
          <w:p w14:paraId="0B23BDE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7539E64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IAG</w:t>
            </w:r>
          </w:p>
        </w:tc>
        <w:tc>
          <w:tcPr>
            <w:tcW w:w="2201" w:type="dxa"/>
            <w:tcBorders>
              <w:top w:val="nil"/>
              <w:left w:val="nil"/>
              <w:bottom w:val="single" w:sz="4" w:space="0" w:color="auto"/>
              <w:right w:val="single" w:sz="4" w:space="0" w:color="auto"/>
            </w:tcBorders>
            <w:shd w:val="clear" w:color="auto" w:fill="auto"/>
            <w:noWrap/>
            <w:vAlign w:val="bottom"/>
            <w:hideMark/>
          </w:tcPr>
          <w:p w14:paraId="4943AF3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Benny Bacani</w:t>
            </w:r>
          </w:p>
        </w:tc>
        <w:tc>
          <w:tcPr>
            <w:tcW w:w="1593" w:type="dxa"/>
            <w:tcBorders>
              <w:top w:val="nil"/>
              <w:left w:val="nil"/>
              <w:bottom w:val="single" w:sz="4" w:space="0" w:color="auto"/>
              <w:right w:val="single" w:sz="4" w:space="0" w:color="auto"/>
            </w:tcBorders>
            <w:shd w:val="clear" w:color="auto" w:fill="auto"/>
            <w:noWrap/>
            <w:vAlign w:val="bottom"/>
            <w:hideMark/>
          </w:tcPr>
          <w:p w14:paraId="44A6D722" w14:textId="5AC90FBB" w:rsidR="00C12CE0" w:rsidRPr="00D058C1" w:rsidRDefault="00C12CE0" w:rsidP="00C12CE0">
            <w:pPr>
              <w:rPr>
                <w:rFonts w:ascii="Cambria" w:hAnsi="Cambria" w:cs="Calibri"/>
                <w:color w:val="000000"/>
                <w:sz w:val="18"/>
                <w:szCs w:val="18"/>
              </w:rPr>
            </w:pPr>
            <w:r>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F98059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11 February 2020</w:t>
            </w:r>
          </w:p>
        </w:tc>
      </w:tr>
      <w:tr w:rsidR="00C12CE0" w:rsidRPr="00D058C1" w14:paraId="33A136F5"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BB4E63" w14:textId="6E6D4D13"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w:t>
            </w:r>
            <w:r w:rsidR="004D624D">
              <w:rPr>
                <w:rFonts w:ascii="Cambria" w:hAnsi="Cambria" w:cs="Calibri"/>
                <w:color w:val="000000"/>
                <w:sz w:val="18"/>
                <w:szCs w:val="18"/>
              </w:rPr>
              <w:t>6</w:t>
            </w:r>
          </w:p>
        </w:tc>
        <w:tc>
          <w:tcPr>
            <w:tcW w:w="1472" w:type="dxa"/>
            <w:tcBorders>
              <w:top w:val="nil"/>
              <w:left w:val="nil"/>
              <w:bottom w:val="single" w:sz="4" w:space="0" w:color="auto"/>
              <w:right w:val="single" w:sz="4" w:space="0" w:color="auto"/>
            </w:tcBorders>
            <w:shd w:val="clear" w:color="auto" w:fill="auto"/>
            <w:noWrap/>
            <w:vAlign w:val="bottom"/>
            <w:hideMark/>
          </w:tcPr>
          <w:p w14:paraId="0CBB211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01F0D27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TAF</w:t>
            </w:r>
          </w:p>
        </w:tc>
        <w:tc>
          <w:tcPr>
            <w:tcW w:w="2201" w:type="dxa"/>
            <w:tcBorders>
              <w:top w:val="nil"/>
              <w:left w:val="nil"/>
              <w:bottom w:val="single" w:sz="4" w:space="0" w:color="auto"/>
              <w:right w:val="single" w:sz="4" w:space="0" w:color="auto"/>
            </w:tcBorders>
            <w:shd w:val="clear" w:color="auto" w:fill="auto"/>
            <w:noWrap/>
            <w:vAlign w:val="bottom"/>
            <w:hideMark/>
          </w:tcPr>
          <w:p w14:paraId="0EC5C1D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Sam Chittick</w:t>
            </w:r>
          </w:p>
        </w:tc>
        <w:tc>
          <w:tcPr>
            <w:tcW w:w="1593" w:type="dxa"/>
            <w:tcBorders>
              <w:top w:val="nil"/>
              <w:left w:val="nil"/>
              <w:bottom w:val="single" w:sz="4" w:space="0" w:color="auto"/>
              <w:right w:val="single" w:sz="4" w:space="0" w:color="auto"/>
            </w:tcBorders>
            <w:shd w:val="clear" w:color="auto" w:fill="auto"/>
            <w:noWrap/>
            <w:vAlign w:val="bottom"/>
            <w:hideMark/>
          </w:tcPr>
          <w:p w14:paraId="53A9526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21CC3F3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2B90D9A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C62E0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15</w:t>
            </w:r>
          </w:p>
        </w:tc>
        <w:tc>
          <w:tcPr>
            <w:tcW w:w="1472" w:type="dxa"/>
            <w:tcBorders>
              <w:top w:val="nil"/>
              <w:left w:val="nil"/>
              <w:bottom w:val="single" w:sz="4" w:space="0" w:color="auto"/>
              <w:right w:val="single" w:sz="4" w:space="0" w:color="auto"/>
            </w:tcBorders>
            <w:shd w:val="clear" w:color="auto" w:fill="auto"/>
            <w:noWrap/>
            <w:vAlign w:val="bottom"/>
            <w:hideMark/>
          </w:tcPr>
          <w:p w14:paraId="2FE0479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4A263FA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TAF</w:t>
            </w:r>
          </w:p>
        </w:tc>
        <w:tc>
          <w:tcPr>
            <w:tcW w:w="2201" w:type="dxa"/>
            <w:tcBorders>
              <w:top w:val="nil"/>
              <w:left w:val="nil"/>
              <w:bottom w:val="single" w:sz="4" w:space="0" w:color="auto"/>
              <w:right w:val="single" w:sz="4" w:space="0" w:color="auto"/>
            </w:tcBorders>
            <w:shd w:val="clear" w:color="auto" w:fill="auto"/>
            <w:noWrap/>
            <w:vAlign w:val="bottom"/>
            <w:hideMark/>
          </w:tcPr>
          <w:p w14:paraId="38657397"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Noraida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Chio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271033F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3A7130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31 January 2020</w:t>
            </w:r>
          </w:p>
        </w:tc>
      </w:tr>
      <w:tr w:rsidR="00C12CE0" w:rsidRPr="00D058C1" w14:paraId="0016ED9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EFA3EF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16</w:t>
            </w:r>
          </w:p>
        </w:tc>
        <w:tc>
          <w:tcPr>
            <w:tcW w:w="1472" w:type="dxa"/>
            <w:tcBorders>
              <w:top w:val="nil"/>
              <w:left w:val="nil"/>
              <w:bottom w:val="single" w:sz="4" w:space="0" w:color="auto"/>
              <w:right w:val="single" w:sz="4" w:space="0" w:color="auto"/>
            </w:tcBorders>
            <w:shd w:val="clear" w:color="auto" w:fill="auto"/>
            <w:noWrap/>
            <w:vAlign w:val="bottom"/>
            <w:hideMark/>
          </w:tcPr>
          <w:p w14:paraId="114E9A7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0F89AAE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TAF</w:t>
            </w:r>
          </w:p>
        </w:tc>
        <w:tc>
          <w:tcPr>
            <w:tcW w:w="2201" w:type="dxa"/>
            <w:tcBorders>
              <w:top w:val="nil"/>
              <w:left w:val="nil"/>
              <w:bottom w:val="single" w:sz="4" w:space="0" w:color="auto"/>
              <w:right w:val="single" w:sz="4" w:space="0" w:color="auto"/>
            </w:tcBorders>
            <w:shd w:val="clear" w:color="auto" w:fill="auto"/>
            <w:noWrap/>
            <w:vAlign w:val="bottom"/>
            <w:hideMark/>
          </w:tcPr>
          <w:p w14:paraId="2F6EB65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Aisha </w:t>
            </w:r>
            <w:proofErr w:type="spellStart"/>
            <w:r w:rsidRPr="00D058C1">
              <w:rPr>
                <w:rFonts w:ascii="Cambria" w:hAnsi="Cambria" w:cs="Calibri"/>
                <w:color w:val="000000"/>
                <w:sz w:val="18"/>
                <w:szCs w:val="18"/>
              </w:rPr>
              <w:t>Midtimbang</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556E21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12C005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31 January 2020</w:t>
            </w:r>
          </w:p>
        </w:tc>
      </w:tr>
      <w:tr w:rsidR="00C12CE0" w:rsidRPr="00D058C1" w14:paraId="0CDE65F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AA592B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17</w:t>
            </w:r>
          </w:p>
        </w:tc>
        <w:tc>
          <w:tcPr>
            <w:tcW w:w="1472" w:type="dxa"/>
            <w:tcBorders>
              <w:top w:val="nil"/>
              <w:left w:val="nil"/>
              <w:bottom w:val="single" w:sz="4" w:space="0" w:color="auto"/>
              <w:right w:val="single" w:sz="4" w:space="0" w:color="auto"/>
            </w:tcBorders>
            <w:shd w:val="clear" w:color="auto" w:fill="auto"/>
            <w:noWrap/>
            <w:vAlign w:val="bottom"/>
            <w:hideMark/>
          </w:tcPr>
          <w:p w14:paraId="0CFA870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w:t>
            </w:r>
          </w:p>
        </w:tc>
        <w:tc>
          <w:tcPr>
            <w:tcW w:w="2181" w:type="dxa"/>
            <w:tcBorders>
              <w:top w:val="nil"/>
              <w:left w:val="nil"/>
              <w:bottom w:val="single" w:sz="4" w:space="0" w:color="auto"/>
              <w:right w:val="single" w:sz="4" w:space="0" w:color="auto"/>
            </w:tcBorders>
            <w:shd w:val="clear" w:color="auto" w:fill="auto"/>
            <w:noWrap/>
            <w:vAlign w:val="bottom"/>
            <w:hideMark/>
          </w:tcPr>
          <w:p w14:paraId="021A9AB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TAF</w:t>
            </w:r>
          </w:p>
        </w:tc>
        <w:tc>
          <w:tcPr>
            <w:tcW w:w="2201" w:type="dxa"/>
            <w:tcBorders>
              <w:top w:val="nil"/>
              <w:left w:val="nil"/>
              <w:bottom w:val="single" w:sz="4" w:space="0" w:color="auto"/>
              <w:right w:val="single" w:sz="4" w:space="0" w:color="auto"/>
            </w:tcBorders>
            <w:shd w:val="clear" w:color="auto" w:fill="auto"/>
            <w:noWrap/>
            <w:vAlign w:val="bottom"/>
            <w:hideMark/>
          </w:tcPr>
          <w:p w14:paraId="51ADFBD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Kathline </w:t>
            </w:r>
            <w:proofErr w:type="spellStart"/>
            <w:r w:rsidRPr="00D058C1">
              <w:rPr>
                <w:rFonts w:ascii="Cambria" w:hAnsi="Cambria" w:cs="Calibri"/>
                <w:color w:val="000000"/>
                <w:sz w:val="18"/>
                <w:szCs w:val="18"/>
              </w:rPr>
              <w:t>Tolosa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1AA473C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31FB32F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76CFE73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F9F4A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18</w:t>
            </w:r>
          </w:p>
        </w:tc>
        <w:tc>
          <w:tcPr>
            <w:tcW w:w="1472" w:type="dxa"/>
            <w:tcBorders>
              <w:top w:val="nil"/>
              <w:left w:val="nil"/>
              <w:bottom w:val="single" w:sz="4" w:space="0" w:color="auto"/>
              <w:right w:val="single" w:sz="4" w:space="0" w:color="auto"/>
            </w:tcBorders>
            <w:shd w:val="clear" w:color="auto" w:fill="auto"/>
            <w:noWrap/>
            <w:vAlign w:val="bottom"/>
            <w:hideMark/>
          </w:tcPr>
          <w:p w14:paraId="722C125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1FC8AC1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WB</w:t>
            </w:r>
          </w:p>
        </w:tc>
        <w:tc>
          <w:tcPr>
            <w:tcW w:w="2201" w:type="dxa"/>
            <w:tcBorders>
              <w:top w:val="nil"/>
              <w:left w:val="nil"/>
              <w:bottom w:val="single" w:sz="4" w:space="0" w:color="auto"/>
              <w:right w:val="single" w:sz="4" w:space="0" w:color="auto"/>
            </w:tcBorders>
            <w:shd w:val="clear" w:color="auto" w:fill="auto"/>
            <w:noWrap/>
            <w:vAlign w:val="bottom"/>
            <w:hideMark/>
          </w:tcPr>
          <w:p w14:paraId="707E940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Marcelo Fabre</w:t>
            </w:r>
          </w:p>
        </w:tc>
        <w:tc>
          <w:tcPr>
            <w:tcW w:w="1593" w:type="dxa"/>
            <w:tcBorders>
              <w:top w:val="nil"/>
              <w:left w:val="nil"/>
              <w:bottom w:val="single" w:sz="4" w:space="0" w:color="auto"/>
              <w:right w:val="single" w:sz="4" w:space="0" w:color="auto"/>
            </w:tcBorders>
            <w:shd w:val="clear" w:color="auto" w:fill="auto"/>
            <w:noWrap/>
            <w:vAlign w:val="bottom"/>
            <w:hideMark/>
          </w:tcPr>
          <w:p w14:paraId="430251D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B0AC26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Wednesday, 5 February 2020</w:t>
            </w:r>
          </w:p>
        </w:tc>
      </w:tr>
      <w:tr w:rsidR="00C12CE0" w:rsidRPr="00D058C1" w14:paraId="4827597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0E5287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19</w:t>
            </w:r>
          </w:p>
        </w:tc>
        <w:tc>
          <w:tcPr>
            <w:tcW w:w="1472" w:type="dxa"/>
            <w:tcBorders>
              <w:top w:val="nil"/>
              <w:left w:val="nil"/>
              <w:bottom w:val="single" w:sz="4" w:space="0" w:color="auto"/>
              <w:right w:val="single" w:sz="4" w:space="0" w:color="auto"/>
            </w:tcBorders>
            <w:shd w:val="clear" w:color="auto" w:fill="auto"/>
            <w:noWrap/>
            <w:vAlign w:val="bottom"/>
            <w:hideMark/>
          </w:tcPr>
          <w:p w14:paraId="124EBCE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71B1583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WB</w:t>
            </w:r>
          </w:p>
        </w:tc>
        <w:tc>
          <w:tcPr>
            <w:tcW w:w="2201" w:type="dxa"/>
            <w:tcBorders>
              <w:top w:val="nil"/>
              <w:left w:val="nil"/>
              <w:bottom w:val="single" w:sz="4" w:space="0" w:color="auto"/>
              <w:right w:val="single" w:sz="4" w:space="0" w:color="auto"/>
            </w:tcBorders>
            <w:shd w:val="clear" w:color="auto" w:fill="auto"/>
            <w:noWrap/>
            <w:vAlign w:val="bottom"/>
            <w:hideMark/>
          </w:tcPr>
          <w:p w14:paraId="3B92D4BB"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Ditte</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Fallesen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AF7E92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3B8EB4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Wednesday, 5 February 2020</w:t>
            </w:r>
          </w:p>
        </w:tc>
      </w:tr>
      <w:tr w:rsidR="00C12CE0" w:rsidRPr="00D058C1" w14:paraId="02399EA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89FED1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20</w:t>
            </w:r>
          </w:p>
        </w:tc>
        <w:tc>
          <w:tcPr>
            <w:tcW w:w="1472" w:type="dxa"/>
            <w:tcBorders>
              <w:top w:val="nil"/>
              <w:left w:val="nil"/>
              <w:bottom w:val="single" w:sz="4" w:space="0" w:color="auto"/>
              <w:right w:val="single" w:sz="4" w:space="0" w:color="auto"/>
            </w:tcBorders>
            <w:shd w:val="clear" w:color="auto" w:fill="auto"/>
            <w:noWrap/>
            <w:vAlign w:val="bottom"/>
            <w:hideMark/>
          </w:tcPr>
          <w:p w14:paraId="1A567FE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03760C9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w:t>
            </w:r>
          </w:p>
        </w:tc>
        <w:tc>
          <w:tcPr>
            <w:tcW w:w="2201" w:type="dxa"/>
            <w:tcBorders>
              <w:top w:val="nil"/>
              <w:left w:val="nil"/>
              <w:bottom w:val="single" w:sz="4" w:space="0" w:color="auto"/>
              <w:right w:val="single" w:sz="4" w:space="0" w:color="auto"/>
            </w:tcBorders>
            <w:shd w:val="clear" w:color="auto" w:fill="auto"/>
            <w:noWrap/>
            <w:vAlign w:val="bottom"/>
            <w:hideMark/>
          </w:tcPr>
          <w:p w14:paraId="62CD31B3"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Titon</w:t>
            </w:r>
            <w:proofErr w:type="spellEnd"/>
            <w:r w:rsidRPr="00D058C1">
              <w:rPr>
                <w:rFonts w:ascii="Cambria" w:hAnsi="Cambria" w:cs="Calibri"/>
                <w:color w:val="000000"/>
                <w:sz w:val="18"/>
                <w:szCs w:val="18"/>
              </w:rPr>
              <w:t xml:space="preserve"> Mitra</w:t>
            </w:r>
          </w:p>
        </w:tc>
        <w:tc>
          <w:tcPr>
            <w:tcW w:w="1593" w:type="dxa"/>
            <w:tcBorders>
              <w:top w:val="nil"/>
              <w:left w:val="nil"/>
              <w:bottom w:val="single" w:sz="4" w:space="0" w:color="auto"/>
              <w:right w:val="single" w:sz="4" w:space="0" w:color="auto"/>
            </w:tcBorders>
            <w:shd w:val="clear" w:color="auto" w:fill="auto"/>
            <w:noWrap/>
            <w:vAlign w:val="bottom"/>
            <w:hideMark/>
          </w:tcPr>
          <w:p w14:paraId="74F8991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016B56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14 February 2020</w:t>
            </w:r>
          </w:p>
        </w:tc>
      </w:tr>
      <w:tr w:rsidR="00C12CE0" w:rsidRPr="00D058C1" w14:paraId="2F55FFD7"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788915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21</w:t>
            </w:r>
          </w:p>
        </w:tc>
        <w:tc>
          <w:tcPr>
            <w:tcW w:w="1472" w:type="dxa"/>
            <w:tcBorders>
              <w:top w:val="nil"/>
              <w:left w:val="nil"/>
              <w:bottom w:val="single" w:sz="4" w:space="0" w:color="auto"/>
              <w:right w:val="single" w:sz="4" w:space="0" w:color="auto"/>
            </w:tcBorders>
            <w:shd w:val="clear" w:color="auto" w:fill="auto"/>
            <w:noWrap/>
            <w:vAlign w:val="bottom"/>
            <w:hideMark/>
          </w:tcPr>
          <w:p w14:paraId="4D3D675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47B2FC4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w:t>
            </w:r>
          </w:p>
        </w:tc>
        <w:tc>
          <w:tcPr>
            <w:tcW w:w="2201" w:type="dxa"/>
            <w:tcBorders>
              <w:top w:val="nil"/>
              <w:left w:val="nil"/>
              <w:bottom w:val="single" w:sz="4" w:space="0" w:color="auto"/>
              <w:right w:val="single" w:sz="4" w:space="0" w:color="auto"/>
            </w:tcBorders>
            <w:shd w:val="clear" w:color="auto" w:fill="auto"/>
            <w:noWrap/>
            <w:vAlign w:val="bottom"/>
            <w:hideMark/>
          </w:tcPr>
          <w:p w14:paraId="3885110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Chetan Kumar</w:t>
            </w:r>
          </w:p>
        </w:tc>
        <w:tc>
          <w:tcPr>
            <w:tcW w:w="1593" w:type="dxa"/>
            <w:tcBorders>
              <w:top w:val="nil"/>
              <w:left w:val="nil"/>
              <w:bottom w:val="single" w:sz="4" w:space="0" w:color="auto"/>
              <w:right w:val="single" w:sz="4" w:space="0" w:color="auto"/>
            </w:tcBorders>
            <w:shd w:val="clear" w:color="auto" w:fill="auto"/>
            <w:noWrap/>
            <w:vAlign w:val="bottom"/>
            <w:hideMark/>
          </w:tcPr>
          <w:p w14:paraId="63EBF0B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D7EAA3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14 February 2020</w:t>
            </w:r>
          </w:p>
        </w:tc>
      </w:tr>
      <w:tr w:rsidR="00C12CE0" w:rsidRPr="00D058C1" w14:paraId="7D79300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144A39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22</w:t>
            </w:r>
          </w:p>
        </w:tc>
        <w:tc>
          <w:tcPr>
            <w:tcW w:w="1472" w:type="dxa"/>
            <w:tcBorders>
              <w:top w:val="nil"/>
              <w:left w:val="nil"/>
              <w:bottom w:val="single" w:sz="4" w:space="0" w:color="auto"/>
              <w:right w:val="single" w:sz="4" w:space="0" w:color="auto"/>
            </w:tcBorders>
            <w:shd w:val="clear" w:color="auto" w:fill="auto"/>
            <w:noWrap/>
            <w:vAlign w:val="bottom"/>
            <w:hideMark/>
          </w:tcPr>
          <w:p w14:paraId="1143979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691B523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w:t>
            </w:r>
          </w:p>
        </w:tc>
        <w:tc>
          <w:tcPr>
            <w:tcW w:w="2201" w:type="dxa"/>
            <w:tcBorders>
              <w:top w:val="nil"/>
              <w:left w:val="nil"/>
              <w:bottom w:val="single" w:sz="4" w:space="0" w:color="auto"/>
              <w:right w:val="single" w:sz="4" w:space="0" w:color="auto"/>
            </w:tcBorders>
            <w:shd w:val="clear" w:color="auto" w:fill="auto"/>
            <w:noWrap/>
            <w:vAlign w:val="bottom"/>
            <w:hideMark/>
          </w:tcPr>
          <w:p w14:paraId="582F254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Faith Evangelista</w:t>
            </w:r>
          </w:p>
        </w:tc>
        <w:tc>
          <w:tcPr>
            <w:tcW w:w="1593" w:type="dxa"/>
            <w:tcBorders>
              <w:top w:val="nil"/>
              <w:left w:val="nil"/>
              <w:bottom w:val="single" w:sz="4" w:space="0" w:color="auto"/>
              <w:right w:val="single" w:sz="4" w:space="0" w:color="auto"/>
            </w:tcBorders>
            <w:shd w:val="clear" w:color="auto" w:fill="auto"/>
            <w:noWrap/>
            <w:vAlign w:val="bottom"/>
            <w:hideMark/>
          </w:tcPr>
          <w:p w14:paraId="23B638A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w:t>
            </w:r>
          </w:p>
        </w:tc>
        <w:tc>
          <w:tcPr>
            <w:tcW w:w="2466" w:type="dxa"/>
            <w:tcBorders>
              <w:top w:val="nil"/>
              <w:left w:val="nil"/>
              <w:bottom w:val="single" w:sz="4" w:space="0" w:color="auto"/>
              <w:right w:val="single" w:sz="4" w:space="0" w:color="auto"/>
            </w:tcBorders>
            <w:shd w:val="clear" w:color="auto" w:fill="auto"/>
            <w:noWrap/>
            <w:vAlign w:val="bottom"/>
            <w:hideMark/>
          </w:tcPr>
          <w:p w14:paraId="20A88EC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54632F7B"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D34FD1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23</w:t>
            </w:r>
          </w:p>
        </w:tc>
        <w:tc>
          <w:tcPr>
            <w:tcW w:w="1472" w:type="dxa"/>
            <w:tcBorders>
              <w:top w:val="nil"/>
              <w:left w:val="nil"/>
              <w:bottom w:val="single" w:sz="4" w:space="0" w:color="auto"/>
              <w:right w:val="single" w:sz="4" w:space="0" w:color="auto"/>
            </w:tcBorders>
            <w:shd w:val="clear" w:color="auto" w:fill="auto"/>
            <w:noWrap/>
            <w:vAlign w:val="bottom"/>
            <w:hideMark/>
          </w:tcPr>
          <w:p w14:paraId="64DE7F8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Multilateral</w:t>
            </w:r>
          </w:p>
        </w:tc>
        <w:tc>
          <w:tcPr>
            <w:tcW w:w="2181" w:type="dxa"/>
            <w:tcBorders>
              <w:top w:val="nil"/>
              <w:left w:val="nil"/>
              <w:bottom w:val="single" w:sz="4" w:space="0" w:color="auto"/>
              <w:right w:val="single" w:sz="4" w:space="0" w:color="auto"/>
            </w:tcBorders>
            <w:shd w:val="clear" w:color="auto" w:fill="auto"/>
            <w:noWrap/>
            <w:vAlign w:val="bottom"/>
            <w:hideMark/>
          </w:tcPr>
          <w:p w14:paraId="46CF108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GCERF</w:t>
            </w:r>
          </w:p>
        </w:tc>
        <w:tc>
          <w:tcPr>
            <w:tcW w:w="2201" w:type="dxa"/>
            <w:tcBorders>
              <w:top w:val="nil"/>
              <w:left w:val="nil"/>
              <w:bottom w:val="single" w:sz="4" w:space="0" w:color="auto"/>
              <w:right w:val="single" w:sz="4" w:space="0" w:color="auto"/>
            </w:tcBorders>
            <w:shd w:val="clear" w:color="auto" w:fill="auto"/>
            <w:noWrap/>
            <w:vAlign w:val="bottom"/>
            <w:hideMark/>
          </w:tcPr>
          <w:p w14:paraId="10BA8EA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Jennifer Buan</w:t>
            </w:r>
          </w:p>
        </w:tc>
        <w:tc>
          <w:tcPr>
            <w:tcW w:w="1593" w:type="dxa"/>
            <w:tcBorders>
              <w:top w:val="nil"/>
              <w:left w:val="nil"/>
              <w:bottom w:val="single" w:sz="4" w:space="0" w:color="auto"/>
              <w:right w:val="single" w:sz="4" w:space="0" w:color="auto"/>
            </w:tcBorders>
            <w:shd w:val="clear" w:color="auto" w:fill="auto"/>
            <w:noWrap/>
            <w:vAlign w:val="bottom"/>
            <w:hideMark/>
          </w:tcPr>
          <w:p w14:paraId="60001EB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FA7688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10 February 2020</w:t>
            </w:r>
          </w:p>
        </w:tc>
      </w:tr>
      <w:tr w:rsidR="00C12CE0" w:rsidRPr="00D058C1" w14:paraId="2141B87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C21737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24</w:t>
            </w:r>
          </w:p>
        </w:tc>
        <w:tc>
          <w:tcPr>
            <w:tcW w:w="1472" w:type="dxa"/>
            <w:tcBorders>
              <w:top w:val="nil"/>
              <w:left w:val="nil"/>
              <w:bottom w:val="single" w:sz="4" w:space="0" w:color="auto"/>
              <w:right w:val="single" w:sz="4" w:space="0" w:color="auto"/>
            </w:tcBorders>
            <w:shd w:val="clear" w:color="auto" w:fill="auto"/>
            <w:noWrap/>
            <w:vAlign w:val="bottom"/>
            <w:hideMark/>
          </w:tcPr>
          <w:p w14:paraId="2A58CBF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FPP</w:t>
            </w:r>
          </w:p>
        </w:tc>
        <w:tc>
          <w:tcPr>
            <w:tcW w:w="2181" w:type="dxa"/>
            <w:tcBorders>
              <w:top w:val="nil"/>
              <w:left w:val="nil"/>
              <w:bottom w:val="single" w:sz="4" w:space="0" w:color="auto"/>
              <w:right w:val="single" w:sz="4" w:space="0" w:color="auto"/>
            </w:tcBorders>
            <w:shd w:val="clear" w:color="auto" w:fill="auto"/>
            <w:noWrap/>
            <w:vAlign w:val="bottom"/>
            <w:hideMark/>
          </w:tcPr>
          <w:p w14:paraId="2B95B440"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Balay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Mindanaw</w:t>
            </w:r>
            <w:proofErr w:type="spellEnd"/>
          </w:p>
        </w:tc>
        <w:tc>
          <w:tcPr>
            <w:tcW w:w="2201" w:type="dxa"/>
            <w:tcBorders>
              <w:top w:val="nil"/>
              <w:left w:val="nil"/>
              <w:bottom w:val="single" w:sz="4" w:space="0" w:color="auto"/>
              <w:right w:val="single" w:sz="4" w:space="0" w:color="auto"/>
            </w:tcBorders>
            <w:shd w:val="clear" w:color="auto" w:fill="auto"/>
            <w:noWrap/>
            <w:vAlign w:val="bottom"/>
            <w:hideMark/>
          </w:tcPr>
          <w:p w14:paraId="2930B5D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Ayi</w:t>
            </w:r>
            <w:proofErr w:type="spellEnd"/>
            <w:r w:rsidRPr="00D058C1">
              <w:rPr>
                <w:rFonts w:ascii="Cambria" w:hAnsi="Cambria" w:cs="Calibri"/>
                <w:color w:val="000000"/>
                <w:sz w:val="18"/>
                <w:szCs w:val="18"/>
              </w:rPr>
              <w:t xml:space="preserve"> Hernandez</w:t>
            </w:r>
          </w:p>
        </w:tc>
        <w:tc>
          <w:tcPr>
            <w:tcW w:w="1593" w:type="dxa"/>
            <w:tcBorders>
              <w:top w:val="nil"/>
              <w:left w:val="nil"/>
              <w:bottom w:val="single" w:sz="4" w:space="0" w:color="auto"/>
              <w:right w:val="single" w:sz="4" w:space="0" w:color="auto"/>
            </w:tcBorders>
            <w:shd w:val="clear" w:color="auto" w:fill="auto"/>
            <w:noWrap/>
            <w:vAlign w:val="bottom"/>
            <w:hideMark/>
          </w:tcPr>
          <w:p w14:paraId="4CBCFAF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CDO/Manila</w:t>
            </w:r>
          </w:p>
        </w:tc>
        <w:tc>
          <w:tcPr>
            <w:tcW w:w="2466" w:type="dxa"/>
            <w:tcBorders>
              <w:top w:val="nil"/>
              <w:left w:val="nil"/>
              <w:bottom w:val="single" w:sz="4" w:space="0" w:color="auto"/>
              <w:right w:val="single" w:sz="4" w:space="0" w:color="auto"/>
            </w:tcBorders>
            <w:shd w:val="clear" w:color="auto" w:fill="auto"/>
            <w:noWrap/>
            <w:vAlign w:val="bottom"/>
            <w:hideMark/>
          </w:tcPr>
          <w:p w14:paraId="08F45A8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3E94621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14FB69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25</w:t>
            </w:r>
          </w:p>
        </w:tc>
        <w:tc>
          <w:tcPr>
            <w:tcW w:w="1472" w:type="dxa"/>
            <w:tcBorders>
              <w:top w:val="nil"/>
              <w:left w:val="nil"/>
              <w:bottom w:val="single" w:sz="4" w:space="0" w:color="auto"/>
              <w:right w:val="single" w:sz="4" w:space="0" w:color="auto"/>
            </w:tcBorders>
            <w:shd w:val="clear" w:color="auto" w:fill="auto"/>
            <w:noWrap/>
            <w:vAlign w:val="bottom"/>
            <w:hideMark/>
          </w:tcPr>
          <w:p w14:paraId="1A1D235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FPP</w:t>
            </w:r>
          </w:p>
        </w:tc>
        <w:tc>
          <w:tcPr>
            <w:tcW w:w="2181" w:type="dxa"/>
            <w:tcBorders>
              <w:top w:val="nil"/>
              <w:left w:val="nil"/>
              <w:bottom w:val="single" w:sz="4" w:space="0" w:color="auto"/>
              <w:right w:val="single" w:sz="4" w:space="0" w:color="auto"/>
            </w:tcBorders>
            <w:shd w:val="clear" w:color="auto" w:fill="auto"/>
            <w:noWrap/>
            <w:vAlign w:val="bottom"/>
            <w:hideMark/>
          </w:tcPr>
          <w:p w14:paraId="6AE0872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Balay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Mindanaw</w:t>
            </w:r>
            <w:proofErr w:type="spellEnd"/>
          </w:p>
        </w:tc>
        <w:tc>
          <w:tcPr>
            <w:tcW w:w="2201" w:type="dxa"/>
            <w:tcBorders>
              <w:top w:val="nil"/>
              <w:left w:val="nil"/>
              <w:bottom w:val="single" w:sz="4" w:space="0" w:color="auto"/>
              <w:right w:val="single" w:sz="4" w:space="0" w:color="auto"/>
            </w:tcBorders>
            <w:shd w:val="clear" w:color="auto" w:fill="auto"/>
            <w:noWrap/>
            <w:vAlign w:val="bottom"/>
            <w:hideMark/>
          </w:tcPr>
          <w:p w14:paraId="42ADF43B"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Kaloy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Manlupig</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267F481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CDO</w:t>
            </w:r>
          </w:p>
        </w:tc>
        <w:tc>
          <w:tcPr>
            <w:tcW w:w="2466" w:type="dxa"/>
            <w:tcBorders>
              <w:top w:val="nil"/>
              <w:left w:val="nil"/>
              <w:bottom w:val="single" w:sz="4" w:space="0" w:color="auto"/>
              <w:right w:val="single" w:sz="4" w:space="0" w:color="auto"/>
            </w:tcBorders>
            <w:shd w:val="clear" w:color="auto" w:fill="auto"/>
            <w:noWrap/>
            <w:vAlign w:val="bottom"/>
            <w:hideMark/>
          </w:tcPr>
          <w:p w14:paraId="7BFD46D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1D66B457"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D83725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26</w:t>
            </w:r>
          </w:p>
        </w:tc>
        <w:tc>
          <w:tcPr>
            <w:tcW w:w="1472" w:type="dxa"/>
            <w:tcBorders>
              <w:top w:val="nil"/>
              <w:left w:val="nil"/>
              <w:bottom w:val="single" w:sz="4" w:space="0" w:color="auto"/>
              <w:right w:val="single" w:sz="4" w:space="0" w:color="auto"/>
            </w:tcBorders>
            <w:shd w:val="clear" w:color="auto" w:fill="auto"/>
            <w:noWrap/>
            <w:vAlign w:val="bottom"/>
            <w:hideMark/>
          </w:tcPr>
          <w:p w14:paraId="16C6E5C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181" w:type="dxa"/>
            <w:tcBorders>
              <w:top w:val="nil"/>
              <w:left w:val="nil"/>
              <w:bottom w:val="single" w:sz="4" w:space="0" w:color="auto"/>
              <w:right w:val="single" w:sz="4" w:space="0" w:color="auto"/>
            </w:tcBorders>
            <w:shd w:val="clear" w:color="auto" w:fill="auto"/>
            <w:noWrap/>
            <w:vAlign w:val="bottom"/>
            <w:hideMark/>
          </w:tcPr>
          <w:p w14:paraId="6769B92A"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Balay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Mindanaw</w:t>
            </w:r>
            <w:proofErr w:type="spellEnd"/>
          </w:p>
        </w:tc>
        <w:tc>
          <w:tcPr>
            <w:tcW w:w="2201" w:type="dxa"/>
            <w:tcBorders>
              <w:top w:val="nil"/>
              <w:left w:val="nil"/>
              <w:bottom w:val="single" w:sz="4" w:space="0" w:color="auto"/>
              <w:right w:val="single" w:sz="4" w:space="0" w:color="auto"/>
            </w:tcBorders>
            <w:shd w:val="clear" w:color="auto" w:fill="auto"/>
            <w:noWrap/>
            <w:vAlign w:val="bottom"/>
            <w:hideMark/>
          </w:tcPr>
          <w:p w14:paraId="5DF1711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Richard Rejas</w:t>
            </w:r>
          </w:p>
        </w:tc>
        <w:tc>
          <w:tcPr>
            <w:tcW w:w="1593" w:type="dxa"/>
            <w:tcBorders>
              <w:top w:val="nil"/>
              <w:left w:val="nil"/>
              <w:bottom w:val="single" w:sz="4" w:space="0" w:color="auto"/>
              <w:right w:val="single" w:sz="4" w:space="0" w:color="auto"/>
            </w:tcBorders>
            <w:shd w:val="clear" w:color="auto" w:fill="auto"/>
            <w:noWrap/>
            <w:vAlign w:val="bottom"/>
            <w:hideMark/>
          </w:tcPr>
          <w:p w14:paraId="128CBB0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CDO</w:t>
            </w:r>
          </w:p>
        </w:tc>
        <w:tc>
          <w:tcPr>
            <w:tcW w:w="2466" w:type="dxa"/>
            <w:tcBorders>
              <w:top w:val="nil"/>
              <w:left w:val="nil"/>
              <w:bottom w:val="single" w:sz="4" w:space="0" w:color="auto"/>
              <w:right w:val="single" w:sz="4" w:space="0" w:color="auto"/>
            </w:tcBorders>
            <w:shd w:val="clear" w:color="auto" w:fill="auto"/>
            <w:noWrap/>
            <w:vAlign w:val="bottom"/>
            <w:hideMark/>
          </w:tcPr>
          <w:p w14:paraId="3BF0BBF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5D92B6F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21326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27</w:t>
            </w:r>
          </w:p>
        </w:tc>
        <w:tc>
          <w:tcPr>
            <w:tcW w:w="1472" w:type="dxa"/>
            <w:tcBorders>
              <w:top w:val="nil"/>
              <w:left w:val="nil"/>
              <w:bottom w:val="single" w:sz="4" w:space="0" w:color="auto"/>
              <w:right w:val="single" w:sz="4" w:space="0" w:color="auto"/>
            </w:tcBorders>
            <w:shd w:val="clear" w:color="auto" w:fill="auto"/>
            <w:noWrap/>
            <w:vAlign w:val="bottom"/>
            <w:hideMark/>
          </w:tcPr>
          <w:p w14:paraId="7C96F66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FPP</w:t>
            </w:r>
          </w:p>
        </w:tc>
        <w:tc>
          <w:tcPr>
            <w:tcW w:w="2181" w:type="dxa"/>
            <w:tcBorders>
              <w:top w:val="nil"/>
              <w:left w:val="nil"/>
              <w:bottom w:val="single" w:sz="4" w:space="0" w:color="auto"/>
              <w:right w:val="single" w:sz="4" w:space="0" w:color="auto"/>
            </w:tcBorders>
            <w:shd w:val="clear" w:color="auto" w:fill="auto"/>
            <w:noWrap/>
            <w:vAlign w:val="bottom"/>
            <w:hideMark/>
          </w:tcPr>
          <w:p w14:paraId="4678941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ICG</w:t>
            </w:r>
          </w:p>
        </w:tc>
        <w:tc>
          <w:tcPr>
            <w:tcW w:w="2201" w:type="dxa"/>
            <w:tcBorders>
              <w:top w:val="nil"/>
              <w:left w:val="nil"/>
              <w:bottom w:val="single" w:sz="4" w:space="0" w:color="auto"/>
              <w:right w:val="single" w:sz="4" w:space="0" w:color="auto"/>
            </w:tcBorders>
            <w:shd w:val="clear" w:color="auto" w:fill="auto"/>
            <w:noWrap/>
            <w:vAlign w:val="bottom"/>
            <w:hideMark/>
          </w:tcPr>
          <w:p w14:paraId="1AD6A7D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Georgi Engelbrecht</w:t>
            </w:r>
          </w:p>
        </w:tc>
        <w:tc>
          <w:tcPr>
            <w:tcW w:w="1593" w:type="dxa"/>
            <w:tcBorders>
              <w:top w:val="nil"/>
              <w:left w:val="nil"/>
              <w:bottom w:val="single" w:sz="4" w:space="0" w:color="auto"/>
              <w:right w:val="single" w:sz="4" w:space="0" w:color="auto"/>
            </w:tcBorders>
            <w:shd w:val="clear" w:color="auto" w:fill="auto"/>
            <w:noWrap/>
            <w:vAlign w:val="bottom"/>
            <w:hideMark/>
          </w:tcPr>
          <w:p w14:paraId="37F21A1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5DDF60D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Wednesday, 26 February 2020</w:t>
            </w:r>
          </w:p>
        </w:tc>
      </w:tr>
      <w:tr w:rsidR="00C12CE0" w:rsidRPr="00D058C1" w14:paraId="597719C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82685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28</w:t>
            </w:r>
          </w:p>
        </w:tc>
        <w:tc>
          <w:tcPr>
            <w:tcW w:w="1472" w:type="dxa"/>
            <w:tcBorders>
              <w:top w:val="nil"/>
              <w:left w:val="nil"/>
              <w:bottom w:val="single" w:sz="4" w:space="0" w:color="auto"/>
              <w:right w:val="single" w:sz="4" w:space="0" w:color="auto"/>
            </w:tcBorders>
            <w:shd w:val="clear" w:color="auto" w:fill="auto"/>
            <w:noWrap/>
            <w:vAlign w:val="bottom"/>
            <w:hideMark/>
          </w:tcPr>
          <w:p w14:paraId="05EAA5E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FPP</w:t>
            </w:r>
          </w:p>
        </w:tc>
        <w:tc>
          <w:tcPr>
            <w:tcW w:w="2181" w:type="dxa"/>
            <w:tcBorders>
              <w:top w:val="nil"/>
              <w:left w:val="nil"/>
              <w:bottom w:val="single" w:sz="4" w:space="0" w:color="auto"/>
              <w:right w:val="single" w:sz="4" w:space="0" w:color="auto"/>
            </w:tcBorders>
            <w:shd w:val="clear" w:color="auto" w:fill="auto"/>
            <w:noWrap/>
            <w:vAlign w:val="bottom"/>
            <w:hideMark/>
          </w:tcPr>
          <w:p w14:paraId="15EC75C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PBSP</w:t>
            </w:r>
          </w:p>
        </w:tc>
        <w:tc>
          <w:tcPr>
            <w:tcW w:w="2201" w:type="dxa"/>
            <w:tcBorders>
              <w:top w:val="nil"/>
              <w:left w:val="nil"/>
              <w:bottom w:val="single" w:sz="4" w:space="0" w:color="auto"/>
              <w:right w:val="single" w:sz="4" w:space="0" w:color="auto"/>
            </w:tcBorders>
            <w:shd w:val="clear" w:color="auto" w:fill="auto"/>
            <w:noWrap/>
            <w:vAlign w:val="bottom"/>
            <w:hideMark/>
          </w:tcPr>
          <w:p w14:paraId="2B6E1BD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Rey Laguda</w:t>
            </w:r>
          </w:p>
        </w:tc>
        <w:tc>
          <w:tcPr>
            <w:tcW w:w="1593" w:type="dxa"/>
            <w:tcBorders>
              <w:top w:val="nil"/>
              <w:left w:val="nil"/>
              <w:bottom w:val="single" w:sz="4" w:space="0" w:color="auto"/>
              <w:right w:val="single" w:sz="4" w:space="0" w:color="auto"/>
            </w:tcBorders>
            <w:shd w:val="clear" w:color="auto" w:fill="auto"/>
            <w:noWrap/>
            <w:vAlign w:val="bottom"/>
            <w:hideMark/>
          </w:tcPr>
          <w:p w14:paraId="3A2FFAA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DB08F5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7 February 2020</w:t>
            </w:r>
          </w:p>
        </w:tc>
      </w:tr>
      <w:tr w:rsidR="00C12CE0" w:rsidRPr="00D058C1" w14:paraId="5AC3166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924AAB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29</w:t>
            </w:r>
          </w:p>
        </w:tc>
        <w:tc>
          <w:tcPr>
            <w:tcW w:w="1472" w:type="dxa"/>
            <w:tcBorders>
              <w:top w:val="nil"/>
              <w:left w:val="nil"/>
              <w:bottom w:val="single" w:sz="4" w:space="0" w:color="auto"/>
              <w:right w:val="single" w:sz="4" w:space="0" w:color="auto"/>
            </w:tcBorders>
            <w:shd w:val="clear" w:color="auto" w:fill="auto"/>
            <w:noWrap/>
            <w:vAlign w:val="bottom"/>
            <w:hideMark/>
          </w:tcPr>
          <w:p w14:paraId="1EB68DB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w:t>
            </w:r>
          </w:p>
        </w:tc>
        <w:tc>
          <w:tcPr>
            <w:tcW w:w="2181" w:type="dxa"/>
            <w:tcBorders>
              <w:top w:val="nil"/>
              <w:left w:val="nil"/>
              <w:bottom w:val="single" w:sz="4" w:space="0" w:color="auto"/>
              <w:right w:val="single" w:sz="4" w:space="0" w:color="auto"/>
            </w:tcBorders>
            <w:shd w:val="clear" w:color="auto" w:fill="auto"/>
            <w:noWrap/>
            <w:vAlign w:val="bottom"/>
            <w:hideMark/>
          </w:tcPr>
          <w:p w14:paraId="5C669D4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TFBM</w:t>
            </w:r>
          </w:p>
        </w:tc>
        <w:tc>
          <w:tcPr>
            <w:tcW w:w="2201" w:type="dxa"/>
            <w:tcBorders>
              <w:top w:val="nil"/>
              <w:left w:val="nil"/>
              <w:bottom w:val="single" w:sz="4" w:space="0" w:color="auto"/>
              <w:right w:val="single" w:sz="4" w:space="0" w:color="auto"/>
            </w:tcBorders>
            <w:shd w:val="clear" w:color="auto" w:fill="auto"/>
            <w:noWrap/>
            <w:vAlign w:val="bottom"/>
            <w:hideMark/>
          </w:tcPr>
          <w:p w14:paraId="67ABE4A3"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Asec</w:t>
            </w:r>
            <w:proofErr w:type="spellEnd"/>
            <w:r w:rsidRPr="00D058C1">
              <w:rPr>
                <w:rFonts w:ascii="Cambria" w:hAnsi="Cambria" w:cs="Calibri"/>
                <w:color w:val="000000"/>
                <w:sz w:val="18"/>
                <w:szCs w:val="18"/>
              </w:rPr>
              <w:t xml:space="preserve"> Felix Castro</w:t>
            </w:r>
          </w:p>
        </w:tc>
        <w:tc>
          <w:tcPr>
            <w:tcW w:w="1593" w:type="dxa"/>
            <w:tcBorders>
              <w:top w:val="nil"/>
              <w:left w:val="nil"/>
              <w:bottom w:val="single" w:sz="4" w:space="0" w:color="auto"/>
              <w:right w:val="single" w:sz="4" w:space="0" w:color="auto"/>
            </w:tcBorders>
            <w:shd w:val="clear" w:color="auto" w:fill="auto"/>
            <w:noWrap/>
            <w:vAlign w:val="bottom"/>
            <w:hideMark/>
          </w:tcPr>
          <w:p w14:paraId="486F1E2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Cagayan de Oro</w:t>
            </w:r>
          </w:p>
        </w:tc>
        <w:tc>
          <w:tcPr>
            <w:tcW w:w="2466" w:type="dxa"/>
            <w:tcBorders>
              <w:top w:val="nil"/>
              <w:left w:val="nil"/>
              <w:bottom w:val="single" w:sz="4" w:space="0" w:color="auto"/>
              <w:right w:val="single" w:sz="4" w:space="0" w:color="auto"/>
            </w:tcBorders>
            <w:shd w:val="clear" w:color="auto" w:fill="auto"/>
            <w:noWrap/>
            <w:vAlign w:val="bottom"/>
            <w:hideMark/>
          </w:tcPr>
          <w:p w14:paraId="69E3947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54BF79E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93E8B3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30</w:t>
            </w:r>
          </w:p>
        </w:tc>
        <w:tc>
          <w:tcPr>
            <w:tcW w:w="1472" w:type="dxa"/>
            <w:tcBorders>
              <w:top w:val="nil"/>
              <w:left w:val="nil"/>
              <w:bottom w:val="single" w:sz="4" w:space="0" w:color="auto"/>
              <w:right w:val="single" w:sz="4" w:space="0" w:color="auto"/>
            </w:tcBorders>
            <w:shd w:val="clear" w:color="auto" w:fill="auto"/>
            <w:noWrap/>
            <w:vAlign w:val="bottom"/>
            <w:hideMark/>
          </w:tcPr>
          <w:p w14:paraId="3F6E854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0DFB002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EU</w:t>
            </w:r>
          </w:p>
        </w:tc>
        <w:tc>
          <w:tcPr>
            <w:tcW w:w="2201" w:type="dxa"/>
            <w:tcBorders>
              <w:top w:val="nil"/>
              <w:left w:val="nil"/>
              <w:bottom w:val="single" w:sz="4" w:space="0" w:color="auto"/>
              <w:right w:val="single" w:sz="4" w:space="0" w:color="auto"/>
            </w:tcBorders>
            <w:shd w:val="clear" w:color="auto" w:fill="auto"/>
            <w:noWrap/>
            <w:vAlign w:val="bottom"/>
            <w:hideMark/>
          </w:tcPr>
          <w:p w14:paraId="7140D2F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Emily Mercado</w:t>
            </w:r>
          </w:p>
        </w:tc>
        <w:tc>
          <w:tcPr>
            <w:tcW w:w="1593" w:type="dxa"/>
            <w:tcBorders>
              <w:top w:val="nil"/>
              <w:left w:val="nil"/>
              <w:bottom w:val="single" w:sz="4" w:space="0" w:color="auto"/>
              <w:right w:val="single" w:sz="4" w:space="0" w:color="auto"/>
            </w:tcBorders>
            <w:shd w:val="clear" w:color="auto" w:fill="auto"/>
            <w:noWrap/>
            <w:vAlign w:val="bottom"/>
            <w:hideMark/>
          </w:tcPr>
          <w:p w14:paraId="5EE9696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3B7D660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3 February 2020</w:t>
            </w:r>
          </w:p>
        </w:tc>
      </w:tr>
      <w:tr w:rsidR="00C12CE0" w:rsidRPr="00D058C1" w14:paraId="07FC0E2D"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0B358B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31</w:t>
            </w:r>
          </w:p>
        </w:tc>
        <w:tc>
          <w:tcPr>
            <w:tcW w:w="1472" w:type="dxa"/>
            <w:tcBorders>
              <w:top w:val="nil"/>
              <w:left w:val="nil"/>
              <w:bottom w:val="single" w:sz="4" w:space="0" w:color="auto"/>
              <w:right w:val="single" w:sz="4" w:space="0" w:color="auto"/>
            </w:tcBorders>
            <w:shd w:val="clear" w:color="auto" w:fill="auto"/>
            <w:noWrap/>
            <w:vAlign w:val="bottom"/>
            <w:hideMark/>
          </w:tcPr>
          <w:p w14:paraId="0B5F7C9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693B55F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JICA</w:t>
            </w:r>
          </w:p>
        </w:tc>
        <w:tc>
          <w:tcPr>
            <w:tcW w:w="2201" w:type="dxa"/>
            <w:tcBorders>
              <w:top w:val="nil"/>
              <w:left w:val="nil"/>
              <w:bottom w:val="single" w:sz="4" w:space="0" w:color="auto"/>
              <w:right w:val="single" w:sz="4" w:space="0" w:color="auto"/>
            </w:tcBorders>
            <w:shd w:val="clear" w:color="auto" w:fill="auto"/>
            <w:noWrap/>
            <w:vAlign w:val="bottom"/>
            <w:hideMark/>
          </w:tcPr>
          <w:p w14:paraId="245EC066"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Yo</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Ebisawa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207DBB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2844947"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377B403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BB87E9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32</w:t>
            </w:r>
          </w:p>
        </w:tc>
        <w:tc>
          <w:tcPr>
            <w:tcW w:w="1472" w:type="dxa"/>
            <w:tcBorders>
              <w:top w:val="nil"/>
              <w:left w:val="nil"/>
              <w:bottom w:val="single" w:sz="4" w:space="0" w:color="auto"/>
              <w:right w:val="single" w:sz="4" w:space="0" w:color="auto"/>
            </w:tcBorders>
            <w:shd w:val="clear" w:color="auto" w:fill="auto"/>
            <w:noWrap/>
            <w:vAlign w:val="bottom"/>
            <w:hideMark/>
          </w:tcPr>
          <w:p w14:paraId="1FDDEB3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1F96181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JICA</w:t>
            </w:r>
          </w:p>
        </w:tc>
        <w:tc>
          <w:tcPr>
            <w:tcW w:w="2201" w:type="dxa"/>
            <w:tcBorders>
              <w:top w:val="nil"/>
              <w:left w:val="nil"/>
              <w:bottom w:val="single" w:sz="4" w:space="0" w:color="auto"/>
              <w:right w:val="single" w:sz="4" w:space="0" w:color="auto"/>
            </w:tcBorders>
            <w:shd w:val="clear" w:color="auto" w:fill="auto"/>
            <w:noWrap/>
            <w:vAlign w:val="bottom"/>
            <w:hideMark/>
          </w:tcPr>
          <w:p w14:paraId="5C2611A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Cristina Santiago</w:t>
            </w:r>
          </w:p>
        </w:tc>
        <w:tc>
          <w:tcPr>
            <w:tcW w:w="1593" w:type="dxa"/>
            <w:tcBorders>
              <w:top w:val="nil"/>
              <w:left w:val="nil"/>
              <w:bottom w:val="single" w:sz="4" w:space="0" w:color="auto"/>
              <w:right w:val="single" w:sz="4" w:space="0" w:color="auto"/>
            </w:tcBorders>
            <w:shd w:val="clear" w:color="auto" w:fill="auto"/>
            <w:noWrap/>
            <w:vAlign w:val="bottom"/>
            <w:hideMark/>
          </w:tcPr>
          <w:p w14:paraId="3B80067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3984D20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4110C835"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E5B9C1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33</w:t>
            </w:r>
          </w:p>
        </w:tc>
        <w:tc>
          <w:tcPr>
            <w:tcW w:w="1472" w:type="dxa"/>
            <w:tcBorders>
              <w:top w:val="nil"/>
              <w:left w:val="nil"/>
              <w:bottom w:val="single" w:sz="4" w:space="0" w:color="auto"/>
              <w:right w:val="single" w:sz="4" w:space="0" w:color="auto"/>
            </w:tcBorders>
            <w:shd w:val="clear" w:color="auto" w:fill="auto"/>
            <w:noWrap/>
            <w:vAlign w:val="bottom"/>
            <w:hideMark/>
          </w:tcPr>
          <w:p w14:paraId="6B7F8F2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17A35D2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Japanese Embassy</w:t>
            </w:r>
          </w:p>
        </w:tc>
        <w:tc>
          <w:tcPr>
            <w:tcW w:w="2201" w:type="dxa"/>
            <w:tcBorders>
              <w:top w:val="nil"/>
              <w:left w:val="nil"/>
              <w:bottom w:val="single" w:sz="4" w:space="0" w:color="auto"/>
              <w:right w:val="single" w:sz="4" w:space="0" w:color="auto"/>
            </w:tcBorders>
            <w:shd w:val="clear" w:color="auto" w:fill="auto"/>
            <w:noWrap/>
            <w:vAlign w:val="bottom"/>
            <w:hideMark/>
          </w:tcPr>
          <w:p w14:paraId="71396B6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Yosuke </w:t>
            </w:r>
            <w:proofErr w:type="spellStart"/>
            <w:r w:rsidRPr="00D058C1">
              <w:rPr>
                <w:rFonts w:ascii="Cambria" w:hAnsi="Cambria" w:cs="Calibri"/>
                <w:color w:val="000000"/>
                <w:sz w:val="18"/>
                <w:szCs w:val="18"/>
              </w:rPr>
              <w:t>Tamabayashi</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2DAE84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30E925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3 February 2020</w:t>
            </w:r>
          </w:p>
        </w:tc>
      </w:tr>
      <w:tr w:rsidR="00C12CE0" w:rsidRPr="00D058C1" w14:paraId="07B7F2C3"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BDD605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34</w:t>
            </w:r>
          </w:p>
        </w:tc>
        <w:tc>
          <w:tcPr>
            <w:tcW w:w="1472" w:type="dxa"/>
            <w:tcBorders>
              <w:top w:val="nil"/>
              <w:left w:val="nil"/>
              <w:bottom w:val="single" w:sz="4" w:space="0" w:color="auto"/>
              <w:right w:val="single" w:sz="4" w:space="0" w:color="auto"/>
            </w:tcBorders>
            <w:shd w:val="clear" w:color="auto" w:fill="auto"/>
            <w:noWrap/>
            <w:vAlign w:val="bottom"/>
            <w:hideMark/>
          </w:tcPr>
          <w:p w14:paraId="36C691B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7AD13A0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UK Embassy</w:t>
            </w:r>
          </w:p>
        </w:tc>
        <w:tc>
          <w:tcPr>
            <w:tcW w:w="2201" w:type="dxa"/>
            <w:tcBorders>
              <w:top w:val="nil"/>
              <w:left w:val="nil"/>
              <w:bottom w:val="single" w:sz="4" w:space="0" w:color="auto"/>
              <w:right w:val="single" w:sz="4" w:space="0" w:color="auto"/>
            </w:tcBorders>
            <w:shd w:val="clear" w:color="auto" w:fill="auto"/>
            <w:noWrap/>
            <w:vAlign w:val="bottom"/>
            <w:hideMark/>
          </w:tcPr>
          <w:p w14:paraId="47ACE86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Martin Norman</w:t>
            </w:r>
          </w:p>
        </w:tc>
        <w:tc>
          <w:tcPr>
            <w:tcW w:w="1593" w:type="dxa"/>
            <w:tcBorders>
              <w:top w:val="nil"/>
              <w:left w:val="nil"/>
              <w:bottom w:val="single" w:sz="4" w:space="0" w:color="auto"/>
              <w:right w:val="single" w:sz="4" w:space="0" w:color="auto"/>
            </w:tcBorders>
            <w:shd w:val="clear" w:color="auto" w:fill="auto"/>
            <w:noWrap/>
            <w:vAlign w:val="bottom"/>
            <w:hideMark/>
          </w:tcPr>
          <w:p w14:paraId="4F5B9B3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85D8B5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Wednesday, 29 January 2020</w:t>
            </w:r>
          </w:p>
        </w:tc>
      </w:tr>
      <w:tr w:rsidR="00C12CE0" w:rsidRPr="00D058C1" w14:paraId="464B68A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6E8C80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35</w:t>
            </w:r>
          </w:p>
        </w:tc>
        <w:tc>
          <w:tcPr>
            <w:tcW w:w="1472" w:type="dxa"/>
            <w:tcBorders>
              <w:top w:val="nil"/>
              <w:left w:val="nil"/>
              <w:bottom w:val="single" w:sz="4" w:space="0" w:color="auto"/>
              <w:right w:val="single" w:sz="4" w:space="0" w:color="auto"/>
            </w:tcBorders>
            <w:shd w:val="clear" w:color="auto" w:fill="auto"/>
            <w:noWrap/>
            <w:vAlign w:val="bottom"/>
            <w:hideMark/>
          </w:tcPr>
          <w:p w14:paraId="1B4DABC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0DC49E5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US Embassy</w:t>
            </w:r>
          </w:p>
        </w:tc>
        <w:tc>
          <w:tcPr>
            <w:tcW w:w="2201" w:type="dxa"/>
            <w:tcBorders>
              <w:top w:val="nil"/>
              <w:left w:val="nil"/>
              <w:bottom w:val="single" w:sz="4" w:space="0" w:color="auto"/>
              <w:right w:val="single" w:sz="4" w:space="0" w:color="auto"/>
            </w:tcBorders>
            <w:shd w:val="clear" w:color="auto" w:fill="auto"/>
            <w:noWrap/>
            <w:vAlign w:val="bottom"/>
            <w:hideMark/>
          </w:tcPr>
          <w:p w14:paraId="4AFBDC7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Christopher Farlow</w:t>
            </w:r>
          </w:p>
        </w:tc>
        <w:tc>
          <w:tcPr>
            <w:tcW w:w="1593" w:type="dxa"/>
            <w:tcBorders>
              <w:top w:val="nil"/>
              <w:left w:val="nil"/>
              <w:bottom w:val="single" w:sz="4" w:space="0" w:color="auto"/>
              <w:right w:val="single" w:sz="4" w:space="0" w:color="auto"/>
            </w:tcBorders>
            <w:shd w:val="clear" w:color="auto" w:fill="auto"/>
            <w:noWrap/>
            <w:vAlign w:val="bottom"/>
            <w:hideMark/>
          </w:tcPr>
          <w:p w14:paraId="3B452E5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680FEED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3 February 2020</w:t>
            </w:r>
          </w:p>
        </w:tc>
      </w:tr>
      <w:tr w:rsidR="00C12CE0" w:rsidRPr="00D058C1" w14:paraId="0A309A6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5FABCB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lastRenderedPageBreak/>
              <w:t>36</w:t>
            </w:r>
          </w:p>
        </w:tc>
        <w:tc>
          <w:tcPr>
            <w:tcW w:w="1472" w:type="dxa"/>
            <w:tcBorders>
              <w:top w:val="nil"/>
              <w:left w:val="nil"/>
              <w:bottom w:val="single" w:sz="4" w:space="0" w:color="auto"/>
              <w:right w:val="single" w:sz="4" w:space="0" w:color="auto"/>
            </w:tcBorders>
            <w:shd w:val="clear" w:color="auto" w:fill="auto"/>
            <w:noWrap/>
            <w:vAlign w:val="bottom"/>
            <w:hideMark/>
          </w:tcPr>
          <w:p w14:paraId="0F2771F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774C836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US Embassy</w:t>
            </w:r>
          </w:p>
        </w:tc>
        <w:tc>
          <w:tcPr>
            <w:tcW w:w="2201" w:type="dxa"/>
            <w:tcBorders>
              <w:top w:val="nil"/>
              <w:left w:val="nil"/>
              <w:bottom w:val="single" w:sz="4" w:space="0" w:color="auto"/>
              <w:right w:val="single" w:sz="4" w:space="0" w:color="auto"/>
            </w:tcBorders>
            <w:shd w:val="clear" w:color="auto" w:fill="auto"/>
            <w:noWrap/>
            <w:vAlign w:val="bottom"/>
            <w:hideMark/>
          </w:tcPr>
          <w:p w14:paraId="4D5AACE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Precious Bernardo</w:t>
            </w:r>
          </w:p>
        </w:tc>
        <w:tc>
          <w:tcPr>
            <w:tcW w:w="1593" w:type="dxa"/>
            <w:tcBorders>
              <w:top w:val="nil"/>
              <w:left w:val="nil"/>
              <w:bottom w:val="single" w:sz="4" w:space="0" w:color="auto"/>
              <w:right w:val="single" w:sz="4" w:space="0" w:color="auto"/>
            </w:tcBorders>
            <w:shd w:val="clear" w:color="auto" w:fill="auto"/>
            <w:noWrap/>
            <w:vAlign w:val="bottom"/>
            <w:hideMark/>
          </w:tcPr>
          <w:p w14:paraId="2AA7549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065BDD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3 February 2020</w:t>
            </w:r>
          </w:p>
        </w:tc>
      </w:tr>
      <w:tr w:rsidR="00C12CE0" w:rsidRPr="00D058C1" w14:paraId="2F21C8C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5A11FC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37</w:t>
            </w:r>
          </w:p>
        </w:tc>
        <w:tc>
          <w:tcPr>
            <w:tcW w:w="1472" w:type="dxa"/>
            <w:tcBorders>
              <w:top w:val="nil"/>
              <w:left w:val="nil"/>
              <w:bottom w:val="single" w:sz="4" w:space="0" w:color="auto"/>
              <w:right w:val="single" w:sz="4" w:space="0" w:color="auto"/>
            </w:tcBorders>
            <w:shd w:val="clear" w:color="auto" w:fill="auto"/>
            <w:noWrap/>
            <w:vAlign w:val="bottom"/>
            <w:hideMark/>
          </w:tcPr>
          <w:p w14:paraId="114D5A3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5F8A643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USAID</w:t>
            </w:r>
          </w:p>
        </w:tc>
        <w:tc>
          <w:tcPr>
            <w:tcW w:w="2201" w:type="dxa"/>
            <w:tcBorders>
              <w:top w:val="nil"/>
              <w:left w:val="nil"/>
              <w:bottom w:val="single" w:sz="4" w:space="0" w:color="auto"/>
              <w:right w:val="single" w:sz="4" w:space="0" w:color="auto"/>
            </w:tcBorders>
            <w:shd w:val="clear" w:color="auto" w:fill="auto"/>
            <w:noWrap/>
            <w:vAlign w:val="bottom"/>
            <w:hideMark/>
          </w:tcPr>
          <w:p w14:paraId="5B337E5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Jeffrey Lehrer</w:t>
            </w:r>
          </w:p>
        </w:tc>
        <w:tc>
          <w:tcPr>
            <w:tcW w:w="1593" w:type="dxa"/>
            <w:tcBorders>
              <w:top w:val="nil"/>
              <w:left w:val="nil"/>
              <w:bottom w:val="single" w:sz="4" w:space="0" w:color="auto"/>
              <w:right w:val="single" w:sz="4" w:space="0" w:color="auto"/>
            </w:tcBorders>
            <w:shd w:val="clear" w:color="auto" w:fill="auto"/>
            <w:noWrap/>
            <w:vAlign w:val="bottom"/>
            <w:hideMark/>
          </w:tcPr>
          <w:p w14:paraId="6182290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96C69C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3 February 2020</w:t>
            </w:r>
          </w:p>
        </w:tc>
      </w:tr>
      <w:tr w:rsidR="00C12CE0" w:rsidRPr="00D058C1" w14:paraId="7794246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E209F4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38</w:t>
            </w:r>
          </w:p>
        </w:tc>
        <w:tc>
          <w:tcPr>
            <w:tcW w:w="1472" w:type="dxa"/>
            <w:tcBorders>
              <w:top w:val="nil"/>
              <w:left w:val="nil"/>
              <w:bottom w:val="single" w:sz="4" w:space="0" w:color="auto"/>
              <w:right w:val="single" w:sz="4" w:space="0" w:color="auto"/>
            </w:tcBorders>
            <w:shd w:val="clear" w:color="auto" w:fill="auto"/>
            <w:noWrap/>
            <w:vAlign w:val="bottom"/>
            <w:hideMark/>
          </w:tcPr>
          <w:p w14:paraId="048B8C5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789295E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Norway</w:t>
            </w:r>
          </w:p>
        </w:tc>
        <w:tc>
          <w:tcPr>
            <w:tcW w:w="2201" w:type="dxa"/>
            <w:tcBorders>
              <w:top w:val="nil"/>
              <w:left w:val="nil"/>
              <w:bottom w:val="single" w:sz="4" w:space="0" w:color="auto"/>
              <w:right w:val="single" w:sz="4" w:space="0" w:color="auto"/>
            </w:tcBorders>
            <w:shd w:val="clear" w:color="auto" w:fill="auto"/>
            <w:noWrap/>
            <w:vAlign w:val="bottom"/>
            <w:hideMark/>
          </w:tcPr>
          <w:p w14:paraId="2A8DABA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Counsellor Larissa Falkenberg </w:t>
            </w:r>
            <w:proofErr w:type="spellStart"/>
            <w:r w:rsidRPr="00D058C1">
              <w:rPr>
                <w:rFonts w:ascii="Cambria" w:hAnsi="Cambria" w:cs="Calibri"/>
                <w:color w:val="000000"/>
                <w:sz w:val="18"/>
                <w:szCs w:val="18"/>
              </w:rPr>
              <w:t>Kosanovic</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17FE7BA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18D9D38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4 February 2020</w:t>
            </w:r>
          </w:p>
        </w:tc>
      </w:tr>
      <w:tr w:rsidR="00C12CE0" w:rsidRPr="00D058C1" w14:paraId="544E826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944644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39</w:t>
            </w:r>
          </w:p>
        </w:tc>
        <w:tc>
          <w:tcPr>
            <w:tcW w:w="1472" w:type="dxa"/>
            <w:tcBorders>
              <w:top w:val="nil"/>
              <w:left w:val="nil"/>
              <w:bottom w:val="single" w:sz="4" w:space="0" w:color="auto"/>
              <w:right w:val="single" w:sz="4" w:space="0" w:color="auto"/>
            </w:tcBorders>
            <w:shd w:val="clear" w:color="auto" w:fill="auto"/>
            <w:noWrap/>
            <w:vAlign w:val="bottom"/>
            <w:hideMark/>
          </w:tcPr>
          <w:p w14:paraId="1FC78C6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4561FD0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Norway</w:t>
            </w:r>
          </w:p>
        </w:tc>
        <w:tc>
          <w:tcPr>
            <w:tcW w:w="2201" w:type="dxa"/>
            <w:tcBorders>
              <w:top w:val="nil"/>
              <w:left w:val="nil"/>
              <w:bottom w:val="single" w:sz="4" w:space="0" w:color="auto"/>
              <w:right w:val="single" w:sz="4" w:space="0" w:color="auto"/>
            </w:tcBorders>
            <w:shd w:val="clear" w:color="auto" w:fill="auto"/>
            <w:noWrap/>
            <w:vAlign w:val="bottom"/>
            <w:hideMark/>
          </w:tcPr>
          <w:p w14:paraId="5B348C1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Stian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Arvid</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Hegland</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9EF686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085490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4 February 2020</w:t>
            </w:r>
          </w:p>
        </w:tc>
      </w:tr>
      <w:tr w:rsidR="00C12CE0" w:rsidRPr="00D058C1" w14:paraId="178478B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2EE925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40</w:t>
            </w:r>
          </w:p>
        </w:tc>
        <w:tc>
          <w:tcPr>
            <w:tcW w:w="1472" w:type="dxa"/>
            <w:tcBorders>
              <w:top w:val="nil"/>
              <w:left w:val="nil"/>
              <w:bottom w:val="single" w:sz="4" w:space="0" w:color="auto"/>
              <w:right w:val="single" w:sz="4" w:space="0" w:color="auto"/>
            </w:tcBorders>
            <w:shd w:val="clear" w:color="auto" w:fill="auto"/>
            <w:noWrap/>
            <w:vAlign w:val="bottom"/>
            <w:hideMark/>
          </w:tcPr>
          <w:p w14:paraId="757138B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Donors</w:t>
            </w:r>
          </w:p>
        </w:tc>
        <w:tc>
          <w:tcPr>
            <w:tcW w:w="2181" w:type="dxa"/>
            <w:tcBorders>
              <w:top w:val="nil"/>
              <w:left w:val="nil"/>
              <w:bottom w:val="single" w:sz="4" w:space="0" w:color="auto"/>
              <w:right w:val="single" w:sz="4" w:space="0" w:color="auto"/>
            </w:tcBorders>
            <w:shd w:val="clear" w:color="auto" w:fill="auto"/>
            <w:noWrap/>
            <w:vAlign w:val="bottom"/>
            <w:hideMark/>
          </w:tcPr>
          <w:p w14:paraId="139ADE1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Norway</w:t>
            </w:r>
          </w:p>
        </w:tc>
        <w:tc>
          <w:tcPr>
            <w:tcW w:w="2201" w:type="dxa"/>
            <w:tcBorders>
              <w:top w:val="nil"/>
              <w:left w:val="nil"/>
              <w:bottom w:val="single" w:sz="4" w:space="0" w:color="auto"/>
              <w:right w:val="single" w:sz="4" w:space="0" w:color="auto"/>
            </w:tcBorders>
            <w:shd w:val="clear" w:color="auto" w:fill="auto"/>
            <w:noWrap/>
            <w:vAlign w:val="bottom"/>
            <w:hideMark/>
          </w:tcPr>
          <w:p w14:paraId="3747D99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Nikki Delfin</w:t>
            </w:r>
          </w:p>
        </w:tc>
        <w:tc>
          <w:tcPr>
            <w:tcW w:w="1593" w:type="dxa"/>
            <w:tcBorders>
              <w:top w:val="nil"/>
              <w:left w:val="nil"/>
              <w:bottom w:val="single" w:sz="4" w:space="0" w:color="auto"/>
              <w:right w:val="single" w:sz="4" w:space="0" w:color="auto"/>
            </w:tcBorders>
            <w:shd w:val="clear" w:color="auto" w:fill="auto"/>
            <w:noWrap/>
            <w:vAlign w:val="bottom"/>
            <w:hideMark/>
          </w:tcPr>
          <w:p w14:paraId="5A72AA7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C02EE7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4 February 2020</w:t>
            </w:r>
          </w:p>
        </w:tc>
      </w:tr>
      <w:tr w:rsidR="00C12CE0" w:rsidRPr="00D058C1" w14:paraId="47B3BA4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0180AF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41</w:t>
            </w:r>
          </w:p>
        </w:tc>
        <w:tc>
          <w:tcPr>
            <w:tcW w:w="1472" w:type="dxa"/>
            <w:tcBorders>
              <w:top w:val="nil"/>
              <w:left w:val="nil"/>
              <w:bottom w:val="single" w:sz="4" w:space="0" w:color="auto"/>
              <w:right w:val="single" w:sz="4" w:space="0" w:color="auto"/>
            </w:tcBorders>
            <w:shd w:val="clear" w:color="auto" w:fill="auto"/>
            <w:noWrap/>
            <w:vAlign w:val="bottom"/>
            <w:hideMark/>
          </w:tcPr>
          <w:p w14:paraId="4569F46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TJRC</w:t>
            </w:r>
          </w:p>
        </w:tc>
        <w:tc>
          <w:tcPr>
            <w:tcW w:w="2181" w:type="dxa"/>
            <w:tcBorders>
              <w:top w:val="nil"/>
              <w:left w:val="nil"/>
              <w:bottom w:val="single" w:sz="4" w:space="0" w:color="auto"/>
              <w:right w:val="single" w:sz="4" w:space="0" w:color="auto"/>
            </w:tcBorders>
            <w:shd w:val="clear" w:color="auto" w:fill="auto"/>
            <w:noWrap/>
            <w:vAlign w:val="bottom"/>
            <w:hideMark/>
          </w:tcPr>
          <w:p w14:paraId="0CD12C1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4F955C0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Mo Bleeker</w:t>
            </w:r>
          </w:p>
        </w:tc>
        <w:tc>
          <w:tcPr>
            <w:tcW w:w="1593" w:type="dxa"/>
            <w:tcBorders>
              <w:top w:val="nil"/>
              <w:left w:val="nil"/>
              <w:bottom w:val="single" w:sz="4" w:space="0" w:color="auto"/>
              <w:right w:val="single" w:sz="4" w:space="0" w:color="auto"/>
            </w:tcBorders>
            <w:shd w:val="clear" w:color="auto" w:fill="auto"/>
            <w:noWrap/>
            <w:vAlign w:val="bottom"/>
            <w:hideMark/>
          </w:tcPr>
          <w:p w14:paraId="2FF9359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688C32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Saturday, 15 February 2020</w:t>
            </w:r>
          </w:p>
        </w:tc>
      </w:tr>
      <w:tr w:rsidR="00C12CE0" w:rsidRPr="00D058C1" w14:paraId="5282E9DD"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4FF4E4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42</w:t>
            </w:r>
          </w:p>
        </w:tc>
        <w:tc>
          <w:tcPr>
            <w:tcW w:w="1472" w:type="dxa"/>
            <w:tcBorders>
              <w:top w:val="nil"/>
              <w:left w:val="nil"/>
              <w:bottom w:val="single" w:sz="4" w:space="0" w:color="auto"/>
              <w:right w:val="single" w:sz="4" w:space="0" w:color="auto"/>
            </w:tcBorders>
            <w:shd w:val="clear" w:color="auto" w:fill="auto"/>
            <w:noWrap/>
            <w:vAlign w:val="bottom"/>
            <w:hideMark/>
          </w:tcPr>
          <w:p w14:paraId="616BC58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TJRC</w:t>
            </w:r>
          </w:p>
        </w:tc>
        <w:tc>
          <w:tcPr>
            <w:tcW w:w="2181" w:type="dxa"/>
            <w:tcBorders>
              <w:top w:val="nil"/>
              <w:left w:val="nil"/>
              <w:bottom w:val="single" w:sz="4" w:space="0" w:color="auto"/>
              <w:right w:val="single" w:sz="4" w:space="0" w:color="auto"/>
            </w:tcBorders>
            <w:shd w:val="clear" w:color="auto" w:fill="auto"/>
            <w:noWrap/>
            <w:vAlign w:val="bottom"/>
            <w:hideMark/>
          </w:tcPr>
          <w:p w14:paraId="7E849E0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40B08821"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Macis</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Araga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F633C5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2D0FCEF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Saturday, 15 February 2020</w:t>
            </w:r>
          </w:p>
        </w:tc>
      </w:tr>
      <w:tr w:rsidR="00C12CE0" w:rsidRPr="00D058C1" w14:paraId="154837F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35295D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43</w:t>
            </w:r>
          </w:p>
        </w:tc>
        <w:tc>
          <w:tcPr>
            <w:tcW w:w="1472" w:type="dxa"/>
            <w:tcBorders>
              <w:top w:val="nil"/>
              <w:left w:val="nil"/>
              <w:bottom w:val="single" w:sz="4" w:space="0" w:color="auto"/>
              <w:right w:val="single" w:sz="4" w:space="0" w:color="auto"/>
            </w:tcBorders>
            <w:shd w:val="clear" w:color="auto" w:fill="auto"/>
            <w:noWrap/>
            <w:vAlign w:val="bottom"/>
            <w:hideMark/>
          </w:tcPr>
          <w:p w14:paraId="124BD2D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Individuals</w:t>
            </w:r>
          </w:p>
        </w:tc>
        <w:tc>
          <w:tcPr>
            <w:tcW w:w="2181" w:type="dxa"/>
            <w:tcBorders>
              <w:top w:val="nil"/>
              <w:left w:val="nil"/>
              <w:bottom w:val="single" w:sz="4" w:space="0" w:color="auto"/>
              <w:right w:val="single" w:sz="4" w:space="0" w:color="auto"/>
            </w:tcBorders>
            <w:shd w:val="clear" w:color="auto" w:fill="auto"/>
            <w:noWrap/>
            <w:vAlign w:val="bottom"/>
            <w:hideMark/>
          </w:tcPr>
          <w:p w14:paraId="01E46B9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ANU / former DFAT advisor</w:t>
            </w:r>
          </w:p>
        </w:tc>
        <w:tc>
          <w:tcPr>
            <w:tcW w:w="2201" w:type="dxa"/>
            <w:tcBorders>
              <w:top w:val="nil"/>
              <w:left w:val="nil"/>
              <w:bottom w:val="single" w:sz="4" w:space="0" w:color="auto"/>
              <w:right w:val="single" w:sz="4" w:space="0" w:color="auto"/>
            </w:tcBorders>
            <w:shd w:val="clear" w:color="auto" w:fill="auto"/>
            <w:noWrap/>
            <w:vAlign w:val="bottom"/>
            <w:hideMark/>
          </w:tcPr>
          <w:p w14:paraId="3301009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Paul Hutchcroft</w:t>
            </w:r>
          </w:p>
        </w:tc>
        <w:tc>
          <w:tcPr>
            <w:tcW w:w="1593" w:type="dxa"/>
            <w:tcBorders>
              <w:top w:val="nil"/>
              <w:left w:val="nil"/>
              <w:bottom w:val="single" w:sz="4" w:space="0" w:color="auto"/>
              <w:right w:val="single" w:sz="4" w:space="0" w:color="auto"/>
            </w:tcBorders>
            <w:shd w:val="clear" w:color="auto" w:fill="auto"/>
            <w:noWrap/>
            <w:vAlign w:val="bottom"/>
            <w:hideMark/>
          </w:tcPr>
          <w:p w14:paraId="487F535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7ACA52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24 January 2020</w:t>
            </w:r>
          </w:p>
        </w:tc>
      </w:tr>
      <w:tr w:rsidR="00C12CE0" w:rsidRPr="00D058C1" w14:paraId="57B2E77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E96AE3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44</w:t>
            </w:r>
          </w:p>
        </w:tc>
        <w:tc>
          <w:tcPr>
            <w:tcW w:w="1472" w:type="dxa"/>
            <w:tcBorders>
              <w:top w:val="nil"/>
              <w:left w:val="nil"/>
              <w:bottom w:val="single" w:sz="4" w:space="0" w:color="auto"/>
              <w:right w:val="single" w:sz="4" w:space="0" w:color="auto"/>
            </w:tcBorders>
            <w:shd w:val="clear" w:color="auto" w:fill="auto"/>
            <w:noWrap/>
            <w:vAlign w:val="bottom"/>
            <w:hideMark/>
          </w:tcPr>
          <w:p w14:paraId="45A5EDB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w:t>
            </w:r>
          </w:p>
        </w:tc>
        <w:tc>
          <w:tcPr>
            <w:tcW w:w="2181" w:type="dxa"/>
            <w:tcBorders>
              <w:top w:val="nil"/>
              <w:left w:val="nil"/>
              <w:bottom w:val="single" w:sz="4" w:space="0" w:color="auto"/>
              <w:right w:val="single" w:sz="4" w:space="0" w:color="auto"/>
            </w:tcBorders>
            <w:shd w:val="clear" w:color="auto" w:fill="auto"/>
            <w:noWrap/>
            <w:vAlign w:val="bottom"/>
            <w:hideMark/>
          </w:tcPr>
          <w:p w14:paraId="099C48E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4BA4FF0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Clare Duffield</w:t>
            </w:r>
          </w:p>
        </w:tc>
        <w:tc>
          <w:tcPr>
            <w:tcW w:w="1593" w:type="dxa"/>
            <w:tcBorders>
              <w:top w:val="nil"/>
              <w:left w:val="nil"/>
              <w:bottom w:val="single" w:sz="4" w:space="0" w:color="auto"/>
              <w:right w:val="single" w:sz="4" w:space="0" w:color="auto"/>
            </w:tcBorders>
            <w:shd w:val="clear" w:color="auto" w:fill="auto"/>
            <w:noWrap/>
            <w:vAlign w:val="bottom"/>
            <w:hideMark/>
          </w:tcPr>
          <w:p w14:paraId="13D8DC8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191F6B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73482DE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5663B97"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45</w:t>
            </w:r>
          </w:p>
        </w:tc>
        <w:tc>
          <w:tcPr>
            <w:tcW w:w="1472" w:type="dxa"/>
            <w:tcBorders>
              <w:top w:val="nil"/>
              <w:left w:val="nil"/>
              <w:bottom w:val="single" w:sz="4" w:space="0" w:color="auto"/>
              <w:right w:val="single" w:sz="4" w:space="0" w:color="auto"/>
            </w:tcBorders>
            <w:shd w:val="clear" w:color="auto" w:fill="auto"/>
            <w:noWrap/>
            <w:vAlign w:val="bottom"/>
            <w:hideMark/>
          </w:tcPr>
          <w:p w14:paraId="3E08C4C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w:t>
            </w:r>
          </w:p>
        </w:tc>
        <w:tc>
          <w:tcPr>
            <w:tcW w:w="2181" w:type="dxa"/>
            <w:tcBorders>
              <w:top w:val="nil"/>
              <w:left w:val="nil"/>
              <w:bottom w:val="single" w:sz="4" w:space="0" w:color="auto"/>
              <w:right w:val="single" w:sz="4" w:space="0" w:color="auto"/>
            </w:tcBorders>
            <w:shd w:val="clear" w:color="auto" w:fill="auto"/>
            <w:noWrap/>
            <w:vAlign w:val="bottom"/>
            <w:hideMark/>
          </w:tcPr>
          <w:p w14:paraId="7171031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1790878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Jen Bennett</w:t>
            </w:r>
          </w:p>
        </w:tc>
        <w:tc>
          <w:tcPr>
            <w:tcW w:w="1593" w:type="dxa"/>
            <w:tcBorders>
              <w:top w:val="nil"/>
              <w:left w:val="nil"/>
              <w:bottom w:val="single" w:sz="4" w:space="0" w:color="auto"/>
              <w:right w:val="single" w:sz="4" w:space="0" w:color="auto"/>
            </w:tcBorders>
            <w:shd w:val="clear" w:color="auto" w:fill="auto"/>
            <w:noWrap/>
            <w:vAlign w:val="bottom"/>
            <w:hideMark/>
          </w:tcPr>
          <w:p w14:paraId="1EAC681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722F61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0394B0BC"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3166E7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46</w:t>
            </w:r>
          </w:p>
        </w:tc>
        <w:tc>
          <w:tcPr>
            <w:tcW w:w="1472" w:type="dxa"/>
            <w:tcBorders>
              <w:top w:val="nil"/>
              <w:left w:val="nil"/>
              <w:bottom w:val="single" w:sz="4" w:space="0" w:color="auto"/>
              <w:right w:val="single" w:sz="4" w:space="0" w:color="auto"/>
            </w:tcBorders>
            <w:shd w:val="clear" w:color="auto" w:fill="auto"/>
            <w:noWrap/>
            <w:vAlign w:val="bottom"/>
            <w:hideMark/>
          </w:tcPr>
          <w:p w14:paraId="7E9943E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w:t>
            </w:r>
          </w:p>
        </w:tc>
        <w:tc>
          <w:tcPr>
            <w:tcW w:w="2181" w:type="dxa"/>
            <w:tcBorders>
              <w:top w:val="nil"/>
              <w:left w:val="nil"/>
              <w:bottom w:val="single" w:sz="4" w:space="0" w:color="auto"/>
              <w:right w:val="single" w:sz="4" w:space="0" w:color="auto"/>
            </w:tcBorders>
            <w:shd w:val="clear" w:color="auto" w:fill="auto"/>
            <w:noWrap/>
            <w:vAlign w:val="bottom"/>
            <w:hideMark/>
          </w:tcPr>
          <w:p w14:paraId="58CF630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27175A5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Shannen Enriquez</w:t>
            </w:r>
          </w:p>
        </w:tc>
        <w:tc>
          <w:tcPr>
            <w:tcW w:w="1593" w:type="dxa"/>
            <w:tcBorders>
              <w:top w:val="nil"/>
              <w:left w:val="nil"/>
              <w:bottom w:val="single" w:sz="4" w:space="0" w:color="auto"/>
              <w:right w:val="single" w:sz="4" w:space="0" w:color="auto"/>
            </w:tcBorders>
            <w:shd w:val="clear" w:color="auto" w:fill="auto"/>
            <w:noWrap/>
            <w:vAlign w:val="bottom"/>
            <w:hideMark/>
          </w:tcPr>
          <w:p w14:paraId="45F2728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0121AA7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0E1159B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A4CBD3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47</w:t>
            </w:r>
          </w:p>
        </w:tc>
        <w:tc>
          <w:tcPr>
            <w:tcW w:w="1472" w:type="dxa"/>
            <w:tcBorders>
              <w:top w:val="nil"/>
              <w:left w:val="nil"/>
              <w:bottom w:val="single" w:sz="4" w:space="0" w:color="auto"/>
              <w:right w:val="single" w:sz="4" w:space="0" w:color="auto"/>
            </w:tcBorders>
            <w:shd w:val="clear" w:color="auto" w:fill="auto"/>
            <w:noWrap/>
            <w:vAlign w:val="bottom"/>
            <w:hideMark/>
          </w:tcPr>
          <w:p w14:paraId="6D02DC2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w:t>
            </w:r>
          </w:p>
        </w:tc>
        <w:tc>
          <w:tcPr>
            <w:tcW w:w="2181" w:type="dxa"/>
            <w:tcBorders>
              <w:top w:val="nil"/>
              <w:left w:val="nil"/>
              <w:bottom w:val="single" w:sz="4" w:space="0" w:color="auto"/>
              <w:right w:val="single" w:sz="4" w:space="0" w:color="auto"/>
            </w:tcBorders>
            <w:shd w:val="clear" w:color="auto" w:fill="auto"/>
            <w:noWrap/>
            <w:vAlign w:val="bottom"/>
            <w:hideMark/>
          </w:tcPr>
          <w:p w14:paraId="21C556A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2A9945D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EJ Solis</w:t>
            </w:r>
          </w:p>
        </w:tc>
        <w:tc>
          <w:tcPr>
            <w:tcW w:w="1593" w:type="dxa"/>
            <w:tcBorders>
              <w:top w:val="nil"/>
              <w:left w:val="nil"/>
              <w:bottom w:val="single" w:sz="4" w:space="0" w:color="auto"/>
              <w:right w:val="single" w:sz="4" w:space="0" w:color="auto"/>
            </w:tcBorders>
            <w:shd w:val="clear" w:color="auto" w:fill="auto"/>
            <w:noWrap/>
            <w:vAlign w:val="bottom"/>
            <w:hideMark/>
          </w:tcPr>
          <w:p w14:paraId="551828E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1AE63F2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53EDB665"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AC85B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48</w:t>
            </w:r>
          </w:p>
        </w:tc>
        <w:tc>
          <w:tcPr>
            <w:tcW w:w="1472" w:type="dxa"/>
            <w:tcBorders>
              <w:top w:val="nil"/>
              <w:left w:val="nil"/>
              <w:bottom w:val="single" w:sz="4" w:space="0" w:color="auto"/>
              <w:right w:val="single" w:sz="4" w:space="0" w:color="auto"/>
            </w:tcBorders>
            <w:shd w:val="clear" w:color="auto" w:fill="auto"/>
            <w:noWrap/>
            <w:vAlign w:val="bottom"/>
            <w:hideMark/>
          </w:tcPr>
          <w:p w14:paraId="5791D5E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w:t>
            </w:r>
          </w:p>
        </w:tc>
        <w:tc>
          <w:tcPr>
            <w:tcW w:w="2181" w:type="dxa"/>
            <w:tcBorders>
              <w:top w:val="nil"/>
              <w:left w:val="nil"/>
              <w:bottom w:val="single" w:sz="4" w:space="0" w:color="auto"/>
              <w:right w:val="single" w:sz="4" w:space="0" w:color="auto"/>
            </w:tcBorders>
            <w:shd w:val="clear" w:color="auto" w:fill="auto"/>
            <w:noWrap/>
            <w:vAlign w:val="bottom"/>
            <w:hideMark/>
          </w:tcPr>
          <w:p w14:paraId="10C8E44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05E94E7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Tim Smith</w:t>
            </w:r>
          </w:p>
        </w:tc>
        <w:tc>
          <w:tcPr>
            <w:tcW w:w="1593" w:type="dxa"/>
            <w:tcBorders>
              <w:top w:val="nil"/>
              <w:left w:val="nil"/>
              <w:bottom w:val="single" w:sz="4" w:space="0" w:color="auto"/>
              <w:right w:val="single" w:sz="4" w:space="0" w:color="auto"/>
            </w:tcBorders>
            <w:shd w:val="clear" w:color="auto" w:fill="auto"/>
            <w:noWrap/>
            <w:vAlign w:val="bottom"/>
            <w:hideMark/>
          </w:tcPr>
          <w:p w14:paraId="6273A4D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Telecon</w:t>
            </w:r>
          </w:p>
        </w:tc>
        <w:tc>
          <w:tcPr>
            <w:tcW w:w="2466" w:type="dxa"/>
            <w:tcBorders>
              <w:top w:val="nil"/>
              <w:left w:val="nil"/>
              <w:bottom w:val="single" w:sz="4" w:space="0" w:color="auto"/>
              <w:right w:val="single" w:sz="4" w:space="0" w:color="auto"/>
            </w:tcBorders>
            <w:shd w:val="clear" w:color="auto" w:fill="auto"/>
            <w:noWrap/>
            <w:vAlign w:val="bottom"/>
            <w:hideMark/>
          </w:tcPr>
          <w:p w14:paraId="09887B4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13 February 2020</w:t>
            </w:r>
          </w:p>
        </w:tc>
      </w:tr>
      <w:tr w:rsidR="00C12CE0" w:rsidRPr="00D058C1" w14:paraId="509FEC0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17B209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49</w:t>
            </w:r>
          </w:p>
        </w:tc>
        <w:tc>
          <w:tcPr>
            <w:tcW w:w="1472" w:type="dxa"/>
            <w:tcBorders>
              <w:top w:val="nil"/>
              <w:left w:val="nil"/>
              <w:bottom w:val="single" w:sz="4" w:space="0" w:color="auto"/>
              <w:right w:val="single" w:sz="4" w:space="0" w:color="auto"/>
            </w:tcBorders>
            <w:shd w:val="clear" w:color="auto" w:fill="auto"/>
            <w:noWrap/>
            <w:vAlign w:val="bottom"/>
            <w:hideMark/>
          </w:tcPr>
          <w:p w14:paraId="4B9E7A9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DFAT-Pathways</w:t>
            </w:r>
          </w:p>
        </w:tc>
        <w:tc>
          <w:tcPr>
            <w:tcW w:w="2181" w:type="dxa"/>
            <w:tcBorders>
              <w:top w:val="nil"/>
              <w:left w:val="nil"/>
              <w:bottom w:val="single" w:sz="4" w:space="0" w:color="auto"/>
              <w:right w:val="single" w:sz="4" w:space="0" w:color="auto"/>
            </w:tcBorders>
            <w:shd w:val="clear" w:color="auto" w:fill="auto"/>
            <w:noWrap/>
            <w:vAlign w:val="bottom"/>
            <w:hideMark/>
          </w:tcPr>
          <w:p w14:paraId="19D24AC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338C60A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Frankie Lawe-Davies</w:t>
            </w:r>
          </w:p>
        </w:tc>
        <w:tc>
          <w:tcPr>
            <w:tcW w:w="1593" w:type="dxa"/>
            <w:tcBorders>
              <w:top w:val="nil"/>
              <w:left w:val="nil"/>
              <w:bottom w:val="single" w:sz="4" w:space="0" w:color="auto"/>
              <w:right w:val="single" w:sz="4" w:space="0" w:color="auto"/>
            </w:tcBorders>
            <w:shd w:val="clear" w:color="auto" w:fill="auto"/>
            <w:noWrap/>
            <w:vAlign w:val="bottom"/>
            <w:hideMark/>
          </w:tcPr>
          <w:p w14:paraId="2B65D49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7C9A905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C12CE0" w:rsidRPr="00D058C1" w14:paraId="52D8A19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22F097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50</w:t>
            </w:r>
          </w:p>
        </w:tc>
        <w:tc>
          <w:tcPr>
            <w:tcW w:w="1472" w:type="dxa"/>
            <w:tcBorders>
              <w:top w:val="nil"/>
              <w:left w:val="nil"/>
              <w:bottom w:val="single" w:sz="4" w:space="0" w:color="auto"/>
              <w:right w:val="single" w:sz="4" w:space="0" w:color="auto"/>
            </w:tcBorders>
            <w:shd w:val="clear" w:color="auto" w:fill="auto"/>
            <w:noWrap/>
            <w:vAlign w:val="bottom"/>
            <w:hideMark/>
          </w:tcPr>
          <w:p w14:paraId="018BA95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DFAT-Pathways</w:t>
            </w:r>
          </w:p>
        </w:tc>
        <w:tc>
          <w:tcPr>
            <w:tcW w:w="2181" w:type="dxa"/>
            <w:tcBorders>
              <w:top w:val="nil"/>
              <w:left w:val="nil"/>
              <w:bottom w:val="single" w:sz="4" w:space="0" w:color="auto"/>
              <w:right w:val="single" w:sz="4" w:space="0" w:color="auto"/>
            </w:tcBorders>
            <w:shd w:val="clear" w:color="auto" w:fill="auto"/>
            <w:noWrap/>
            <w:vAlign w:val="bottom"/>
            <w:hideMark/>
          </w:tcPr>
          <w:p w14:paraId="65EB8F5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18E80E8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Sharon Lumpias</w:t>
            </w:r>
          </w:p>
        </w:tc>
        <w:tc>
          <w:tcPr>
            <w:tcW w:w="1593" w:type="dxa"/>
            <w:tcBorders>
              <w:top w:val="nil"/>
              <w:left w:val="nil"/>
              <w:bottom w:val="single" w:sz="4" w:space="0" w:color="auto"/>
              <w:right w:val="single" w:sz="4" w:space="0" w:color="auto"/>
            </w:tcBorders>
            <w:shd w:val="clear" w:color="auto" w:fill="auto"/>
            <w:noWrap/>
            <w:vAlign w:val="bottom"/>
            <w:hideMark/>
          </w:tcPr>
          <w:p w14:paraId="1981F5E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29C3AD3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C12CE0" w:rsidRPr="00D058C1" w14:paraId="75C4BD6B"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BBD22A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51</w:t>
            </w:r>
          </w:p>
        </w:tc>
        <w:tc>
          <w:tcPr>
            <w:tcW w:w="1472" w:type="dxa"/>
            <w:tcBorders>
              <w:top w:val="nil"/>
              <w:left w:val="nil"/>
              <w:bottom w:val="single" w:sz="4" w:space="0" w:color="auto"/>
              <w:right w:val="single" w:sz="4" w:space="0" w:color="auto"/>
            </w:tcBorders>
            <w:shd w:val="clear" w:color="auto" w:fill="auto"/>
            <w:noWrap/>
            <w:vAlign w:val="bottom"/>
            <w:hideMark/>
          </w:tcPr>
          <w:p w14:paraId="01E7755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Humanitarian and DRM</w:t>
            </w:r>
          </w:p>
        </w:tc>
        <w:tc>
          <w:tcPr>
            <w:tcW w:w="2181" w:type="dxa"/>
            <w:tcBorders>
              <w:top w:val="nil"/>
              <w:left w:val="nil"/>
              <w:bottom w:val="single" w:sz="4" w:space="0" w:color="auto"/>
              <w:right w:val="single" w:sz="4" w:space="0" w:color="auto"/>
            </w:tcBorders>
            <w:shd w:val="clear" w:color="auto" w:fill="auto"/>
            <w:noWrap/>
            <w:vAlign w:val="bottom"/>
            <w:hideMark/>
          </w:tcPr>
          <w:p w14:paraId="278CD96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617C2B1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Inge Stokkel</w:t>
            </w:r>
          </w:p>
        </w:tc>
        <w:tc>
          <w:tcPr>
            <w:tcW w:w="1593" w:type="dxa"/>
            <w:tcBorders>
              <w:top w:val="nil"/>
              <w:left w:val="nil"/>
              <w:bottom w:val="single" w:sz="4" w:space="0" w:color="auto"/>
              <w:right w:val="single" w:sz="4" w:space="0" w:color="auto"/>
            </w:tcBorders>
            <w:shd w:val="clear" w:color="auto" w:fill="auto"/>
            <w:noWrap/>
            <w:vAlign w:val="bottom"/>
            <w:hideMark/>
          </w:tcPr>
          <w:p w14:paraId="738EF65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4E8C41C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C12CE0" w:rsidRPr="00D058C1" w14:paraId="3F092A1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7A3A65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52</w:t>
            </w:r>
          </w:p>
        </w:tc>
        <w:tc>
          <w:tcPr>
            <w:tcW w:w="1472" w:type="dxa"/>
            <w:tcBorders>
              <w:top w:val="nil"/>
              <w:left w:val="nil"/>
              <w:bottom w:val="single" w:sz="4" w:space="0" w:color="auto"/>
              <w:right w:val="single" w:sz="4" w:space="0" w:color="auto"/>
            </w:tcBorders>
            <w:shd w:val="clear" w:color="auto" w:fill="auto"/>
            <w:noWrap/>
            <w:vAlign w:val="bottom"/>
            <w:hideMark/>
          </w:tcPr>
          <w:p w14:paraId="7C30090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Humanitarian and DRM</w:t>
            </w:r>
          </w:p>
        </w:tc>
        <w:tc>
          <w:tcPr>
            <w:tcW w:w="2181" w:type="dxa"/>
            <w:tcBorders>
              <w:top w:val="nil"/>
              <w:left w:val="nil"/>
              <w:bottom w:val="single" w:sz="4" w:space="0" w:color="auto"/>
              <w:right w:val="single" w:sz="4" w:space="0" w:color="auto"/>
            </w:tcBorders>
            <w:shd w:val="clear" w:color="auto" w:fill="auto"/>
            <w:noWrap/>
            <w:vAlign w:val="bottom"/>
            <w:hideMark/>
          </w:tcPr>
          <w:p w14:paraId="59D733B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DFAT Australia</w:t>
            </w:r>
          </w:p>
        </w:tc>
        <w:tc>
          <w:tcPr>
            <w:tcW w:w="2201" w:type="dxa"/>
            <w:tcBorders>
              <w:top w:val="nil"/>
              <w:left w:val="nil"/>
              <w:bottom w:val="single" w:sz="4" w:space="0" w:color="auto"/>
              <w:right w:val="single" w:sz="4" w:space="0" w:color="auto"/>
            </w:tcBorders>
            <w:shd w:val="clear" w:color="auto" w:fill="auto"/>
            <w:noWrap/>
            <w:vAlign w:val="bottom"/>
            <w:hideMark/>
          </w:tcPr>
          <w:p w14:paraId="2FE73212" w14:textId="0C6555A9"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Ana </w:t>
            </w:r>
            <w:r>
              <w:rPr>
                <w:rFonts w:ascii="Cambria" w:hAnsi="Cambria" w:cs="Calibri"/>
                <w:color w:val="000000"/>
                <w:sz w:val="18"/>
                <w:szCs w:val="18"/>
              </w:rPr>
              <w:t>Mariquina</w:t>
            </w:r>
          </w:p>
        </w:tc>
        <w:tc>
          <w:tcPr>
            <w:tcW w:w="1593" w:type="dxa"/>
            <w:tcBorders>
              <w:top w:val="nil"/>
              <w:left w:val="nil"/>
              <w:bottom w:val="single" w:sz="4" w:space="0" w:color="auto"/>
              <w:right w:val="single" w:sz="4" w:space="0" w:color="auto"/>
            </w:tcBorders>
            <w:shd w:val="clear" w:color="auto" w:fill="auto"/>
            <w:noWrap/>
            <w:vAlign w:val="bottom"/>
            <w:hideMark/>
          </w:tcPr>
          <w:p w14:paraId="5378A06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Manila</w:t>
            </w:r>
          </w:p>
        </w:tc>
        <w:tc>
          <w:tcPr>
            <w:tcW w:w="2466" w:type="dxa"/>
            <w:tcBorders>
              <w:top w:val="nil"/>
              <w:left w:val="nil"/>
              <w:bottom w:val="single" w:sz="4" w:space="0" w:color="auto"/>
              <w:right w:val="single" w:sz="4" w:space="0" w:color="auto"/>
            </w:tcBorders>
            <w:shd w:val="clear" w:color="auto" w:fill="auto"/>
            <w:noWrap/>
            <w:vAlign w:val="bottom"/>
            <w:hideMark/>
          </w:tcPr>
          <w:p w14:paraId="55AF3EC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6 February 2020</w:t>
            </w:r>
          </w:p>
        </w:tc>
      </w:tr>
      <w:tr w:rsidR="00C12CE0" w:rsidRPr="00D058C1" w14:paraId="49B2F2B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D9FC81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53</w:t>
            </w:r>
          </w:p>
        </w:tc>
        <w:tc>
          <w:tcPr>
            <w:tcW w:w="1472" w:type="dxa"/>
            <w:tcBorders>
              <w:top w:val="nil"/>
              <w:left w:val="nil"/>
              <w:bottom w:val="single" w:sz="4" w:space="0" w:color="auto"/>
              <w:right w:val="single" w:sz="4" w:space="0" w:color="auto"/>
            </w:tcBorders>
            <w:shd w:val="clear" w:color="auto" w:fill="auto"/>
            <w:noWrap/>
            <w:vAlign w:val="bottom"/>
            <w:hideMark/>
          </w:tcPr>
          <w:p w14:paraId="55CBBBC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Academe</w:t>
            </w:r>
          </w:p>
        </w:tc>
        <w:tc>
          <w:tcPr>
            <w:tcW w:w="2181" w:type="dxa"/>
            <w:tcBorders>
              <w:top w:val="nil"/>
              <w:left w:val="nil"/>
              <w:bottom w:val="single" w:sz="4" w:space="0" w:color="auto"/>
              <w:right w:val="single" w:sz="4" w:space="0" w:color="auto"/>
            </w:tcBorders>
            <w:shd w:val="clear" w:color="auto" w:fill="auto"/>
            <w:noWrap/>
            <w:vAlign w:val="bottom"/>
            <w:hideMark/>
          </w:tcPr>
          <w:p w14:paraId="03EF753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MSU Marawi - IPDM</w:t>
            </w:r>
          </w:p>
        </w:tc>
        <w:tc>
          <w:tcPr>
            <w:tcW w:w="2201" w:type="dxa"/>
            <w:tcBorders>
              <w:top w:val="nil"/>
              <w:left w:val="nil"/>
              <w:bottom w:val="single" w:sz="4" w:space="0" w:color="auto"/>
              <w:right w:val="single" w:sz="4" w:space="0" w:color="auto"/>
            </w:tcBorders>
            <w:shd w:val="clear" w:color="auto" w:fill="auto"/>
            <w:noWrap/>
            <w:vAlign w:val="bottom"/>
            <w:hideMark/>
          </w:tcPr>
          <w:p w14:paraId="1470BA77"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Acram</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Latiph</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3AE27E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B3D4CA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24421F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1174CD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54</w:t>
            </w:r>
          </w:p>
        </w:tc>
        <w:tc>
          <w:tcPr>
            <w:tcW w:w="1472" w:type="dxa"/>
            <w:tcBorders>
              <w:top w:val="nil"/>
              <w:left w:val="nil"/>
              <w:bottom w:val="single" w:sz="4" w:space="0" w:color="auto"/>
              <w:right w:val="single" w:sz="4" w:space="0" w:color="auto"/>
            </w:tcBorders>
            <w:shd w:val="clear" w:color="auto" w:fill="auto"/>
            <w:noWrap/>
            <w:vAlign w:val="bottom"/>
            <w:hideMark/>
          </w:tcPr>
          <w:p w14:paraId="25EB006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Academe</w:t>
            </w:r>
          </w:p>
        </w:tc>
        <w:tc>
          <w:tcPr>
            <w:tcW w:w="2181" w:type="dxa"/>
            <w:tcBorders>
              <w:top w:val="nil"/>
              <w:left w:val="nil"/>
              <w:bottom w:val="single" w:sz="4" w:space="0" w:color="auto"/>
              <w:right w:val="single" w:sz="4" w:space="0" w:color="auto"/>
            </w:tcBorders>
            <w:shd w:val="clear" w:color="auto" w:fill="auto"/>
            <w:noWrap/>
            <w:vAlign w:val="bottom"/>
            <w:hideMark/>
          </w:tcPr>
          <w:p w14:paraId="437B9A2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MSU IIT - IPDM</w:t>
            </w:r>
          </w:p>
        </w:tc>
        <w:tc>
          <w:tcPr>
            <w:tcW w:w="2201" w:type="dxa"/>
            <w:tcBorders>
              <w:top w:val="nil"/>
              <w:left w:val="nil"/>
              <w:bottom w:val="single" w:sz="4" w:space="0" w:color="auto"/>
              <w:right w:val="single" w:sz="4" w:space="0" w:color="auto"/>
            </w:tcBorders>
            <w:shd w:val="clear" w:color="auto" w:fill="auto"/>
            <w:noWrap/>
            <w:vAlign w:val="bottom"/>
            <w:hideMark/>
          </w:tcPr>
          <w:p w14:paraId="77D6AEF9"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Bebot</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Rodil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203859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5C2994F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70893C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D802F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55</w:t>
            </w:r>
          </w:p>
        </w:tc>
        <w:tc>
          <w:tcPr>
            <w:tcW w:w="1472" w:type="dxa"/>
            <w:tcBorders>
              <w:top w:val="nil"/>
              <w:left w:val="nil"/>
              <w:bottom w:val="single" w:sz="4" w:space="0" w:color="auto"/>
              <w:right w:val="single" w:sz="4" w:space="0" w:color="auto"/>
            </w:tcBorders>
            <w:shd w:val="clear" w:color="auto" w:fill="auto"/>
            <w:noWrap/>
            <w:vAlign w:val="bottom"/>
            <w:hideMark/>
          </w:tcPr>
          <w:p w14:paraId="5BF63F0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10DBE69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 Reconstruction and Conflict Watch</w:t>
            </w:r>
          </w:p>
        </w:tc>
        <w:tc>
          <w:tcPr>
            <w:tcW w:w="2201" w:type="dxa"/>
            <w:tcBorders>
              <w:top w:val="nil"/>
              <w:left w:val="nil"/>
              <w:bottom w:val="single" w:sz="4" w:space="0" w:color="auto"/>
              <w:right w:val="single" w:sz="4" w:space="0" w:color="auto"/>
            </w:tcBorders>
            <w:shd w:val="clear" w:color="auto" w:fill="auto"/>
            <w:noWrap/>
            <w:vAlign w:val="bottom"/>
            <w:hideMark/>
          </w:tcPr>
          <w:p w14:paraId="5F296DB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Dr. </w:t>
            </w:r>
            <w:proofErr w:type="spellStart"/>
            <w:r w:rsidRPr="00D058C1">
              <w:rPr>
                <w:rFonts w:ascii="Cambria" w:hAnsi="Cambria" w:cs="Calibri"/>
                <w:color w:val="000000"/>
                <w:sz w:val="18"/>
                <w:szCs w:val="18"/>
              </w:rPr>
              <w:t>Fedelina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Tawagon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363F1C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3C3F64B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0806D12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F193EE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56</w:t>
            </w:r>
          </w:p>
        </w:tc>
        <w:tc>
          <w:tcPr>
            <w:tcW w:w="1472" w:type="dxa"/>
            <w:tcBorders>
              <w:top w:val="nil"/>
              <w:left w:val="nil"/>
              <w:bottom w:val="single" w:sz="4" w:space="0" w:color="auto"/>
              <w:right w:val="single" w:sz="4" w:space="0" w:color="auto"/>
            </w:tcBorders>
            <w:shd w:val="clear" w:color="auto" w:fill="auto"/>
            <w:noWrap/>
            <w:vAlign w:val="bottom"/>
            <w:hideMark/>
          </w:tcPr>
          <w:p w14:paraId="16903F4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36D8423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 Reconstruction and Conflict Watch</w:t>
            </w:r>
          </w:p>
        </w:tc>
        <w:tc>
          <w:tcPr>
            <w:tcW w:w="2201" w:type="dxa"/>
            <w:tcBorders>
              <w:top w:val="nil"/>
              <w:left w:val="nil"/>
              <w:bottom w:val="single" w:sz="4" w:space="0" w:color="auto"/>
              <w:right w:val="single" w:sz="4" w:space="0" w:color="auto"/>
            </w:tcBorders>
            <w:shd w:val="clear" w:color="auto" w:fill="auto"/>
            <w:noWrap/>
            <w:vAlign w:val="bottom"/>
            <w:hideMark/>
          </w:tcPr>
          <w:p w14:paraId="2170ED0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Dir. Macmillan </w:t>
            </w:r>
            <w:proofErr w:type="spellStart"/>
            <w:r w:rsidRPr="00D058C1">
              <w:rPr>
                <w:rFonts w:ascii="Cambria" w:hAnsi="Cambria" w:cs="Calibri"/>
                <w:color w:val="000000"/>
                <w:sz w:val="18"/>
                <w:szCs w:val="18"/>
              </w:rPr>
              <w:t>Lucman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442167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6647C7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69834A4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92470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57</w:t>
            </w:r>
          </w:p>
        </w:tc>
        <w:tc>
          <w:tcPr>
            <w:tcW w:w="1472" w:type="dxa"/>
            <w:tcBorders>
              <w:top w:val="nil"/>
              <w:left w:val="nil"/>
              <w:bottom w:val="single" w:sz="4" w:space="0" w:color="auto"/>
              <w:right w:val="single" w:sz="4" w:space="0" w:color="auto"/>
            </w:tcBorders>
            <w:shd w:val="clear" w:color="auto" w:fill="auto"/>
            <w:noWrap/>
            <w:vAlign w:val="bottom"/>
            <w:hideMark/>
          </w:tcPr>
          <w:p w14:paraId="6EBC393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45EC43C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 Reconstruction and Conflict Watch</w:t>
            </w:r>
          </w:p>
        </w:tc>
        <w:tc>
          <w:tcPr>
            <w:tcW w:w="2201" w:type="dxa"/>
            <w:tcBorders>
              <w:top w:val="nil"/>
              <w:left w:val="nil"/>
              <w:bottom w:val="single" w:sz="4" w:space="0" w:color="auto"/>
              <w:right w:val="single" w:sz="4" w:space="0" w:color="auto"/>
            </w:tcBorders>
            <w:shd w:val="clear" w:color="auto" w:fill="auto"/>
            <w:noWrap/>
            <w:vAlign w:val="bottom"/>
            <w:hideMark/>
          </w:tcPr>
          <w:p w14:paraId="13F218AB"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Jalila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Sapiin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9A9220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88A379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13652B0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CC6AA37"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58</w:t>
            </w:r>
          </w:p>
        </w:tc>
        <w:tc>
          <w:tcPr>
            <w:tcW w:w="1472" w:type="dxa"/>
            <w:tcBorders>
              <w:top w:val="nil"/>
              <w:left w:val="nil"/>
              <w:bottom w:val="single" w:sz="4" w:space="0" w:color="auto"/>
              <w:right w:val="single" w:sz="4" w:space="0" w:color="auto"/>
            </w:tcBorders>
            <w:shd w:val="clear" w:color="auto" w:fill="auto"/>
            <w:noWrap/>
            <w:vAlign w:val="bottom"/>
            <w:hideMark/>
          </w:tcPr>
          <w:p w14:paraId="1C7CE0F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7DCE32D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Marawi Reconstruction and Conflict Watch</w:t>
            </w:r>
          </w:p>
        </w:tc>
        <w:tc>
          <w:tcPr>
            <w:tcW w:w="2201" w:type="dxa"/>
            <w:tcBorders>
              <w:top w:val="nil"/>
              <w:left w:val="nil"/>
              <w:bottom w:val="single" w:sz="4" w:space="0" w:color="auto"/>
              <w:right w:val="single" w:sz="4" w:space="0" w:color="auto"/>
            </w:tcBorders>
            <w:shd w:val="clear" w:color="auto" w:fill="auto"/>
            <w:noWrap/>
            <w:vAlign w:val="bottom"/>
            <w:hideMark/>
          </w:tcPr>
          <w:p w14:paraId="6A80A81C"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Rolanisah</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Dipatuan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Dimaporo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4BE23E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D73ED5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4DD7CB03"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B3162B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59</w:t>
            </w:r>
          </w:p>
        </w:tc>
        <w:tc>
          <w:tcPr>
            <w:tcW w:w="1472" w:type="dxa"/>
            <w:tcBorders>
              <w:top w:val="nil"/>
              <w:left w:val="nil"/>
              <w:bottom w:val="single" w:sz="4" w:space="0" w:color="auto"/>
              <w:right w:val="single" w:sz="4" w:space="0" w:color="auto"/>
            </w:tcBorders>
            <w:shd w:val="clear" w:color="auto" w:fill="auto"/>
            <w:noWrap/>
            <w:vAlign w:val="bottom"/>
            <w:hideMark/>
          </w:tcPr>
          <w:p w14:paraId="20A5143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Mindanao Humanitarian Team</w:t>
            </w:r>
          </w:p>
        </w:tc>
        <w:tc>
          <w:tcPr>
            <w:tcW w:w="2181" w:type="dxa"/>
            <w:tcBorders>
              <w:top w:val="nil"/>
              <w:left w:val="nil"/>
              <w:bottom w:val="single" w:sz="4" w:space="0" w:color="auto"/>
              <w:right w:val="single" w:sz="4" w:space="0" w:color="auto"/>
            </w:tcBorders>
            <w:shd w:val="clear" w:color="auto" w:fill="auto"/>
            <w:noWrap/>
            <w:vAlign w:val="bottom"/>
            <w:hideMark/>
          </w:tcPr>
          <w:p w14:paraId="780681D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UNFPA</w:t>
            </w:r>
          </w:p>
        </w:tc>
        <w:tc>
          <w:tcPr>
            <w:tcW w:w="2201" w:type="dxa"/>
            <w:tcBorders>
              <w:top w:val="nil"/>
              <w:left w:val="nil"/>
              <w:bottom w:val="single" w:sz="4" w:space="0" w:color="auto"/>
              <w:right w:val="single" w:sz="4" w:space="0" w:color="auto"/>
            </w:tcBorders>
            <w:shd w:val="clear" w:color="auto" w:fill="auto"/>
            <w:noWrap/>
            <w:vAlign w:val="bottom"/>
            <w:hideMark/>
          </w:tcPr>
          <w:p w14:paraId="2CAFDD7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Maria Aimee Santos</w:t>
            </w:r>
          </w:p>
        </w:tc>
        <w:tc>
          <w:tcPr>
            <w:tcW w:w="1593" w:type="dxa"/>
            <w:tcBorders>
              <w:top w:val="nil"/>
              <w:left w:val="nil"/>
              <w:bottom w:val="single" w:sz="4" w:space="0" w:color="auto"/>
              <w:right w:val="single" w:sz="4" w:space="0" w:color="auto"/>
            </w:tcBorders>
            <w:shd w:val="clear" w:color="auto" w:fill="auto"/>
            <w:noWrap/>
            <w:vAlign w:val="bottom"/>
            <w:hideMark/>
          </w:tcPr>
          <w:p w14:paraId="71D0C9D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1DD321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397BB29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A941B8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60</w:t>
            </w:r>
          </w:p>
        </w:tc>
        <w:tc>
          <w:tcPr>
            <w:tcW w:w="1472" w:type="dxa"/>
            <w:tcBorders>
              <w:top w:val="nil"/>
              <w:left w:val="nil"/>
              <w:bottom w:val="single" w:sz="4" w:space="0" w:color="auto"/>
              <w:right w:val="single" w:sz="4" w:space="0" w:color="auto"/>
            </w:tcBorders>
            <w:shd w:val="clear" w:color="auto" w:fill="auto"/>
            <w:noWrap/>
            <w:vAlign w:val="bottom"/>
            <w:hideMark/>
          </w:tcPr>
          <w:p w14:paraId="4EF0603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Mindanao Humanitarian Team</w:t>
            </w:r>
          </w:p>
        </w:tc>
        <w:tc>
          <w:tcPr>
            <w:tcW w:w="2181" w:type="dxa"/>
            <w:tcBorders>
              <w:top w:val="nil"/>
              <w:left w:val="nil"/>
              <w:bottom w:val="single" w:sz="4" w:space="0" w:color="auto"/>
              <w:right w:val="single" w:sz="4" w:space="0" w:color="auto"/>
            </w:tcBorders>
            <w:shd w:val="clear" w:color="auto" w:fill="auto"/>
            <w:noWrap/>
            <w:vAlign w:val="bottom"/>
            <w:hideMark/>
          </w:tcPr>
          <w:p w14:paraId="76A8A9F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UNFPA</w:t>
            </w:r>
          </w:p>
        </w:tc>
        <w:tc>
          <w:tcPr>
            <w:tcW w:w="2201" w:type="dxa"/>
            <w:tcBorders>
              <w:top w:val="nil"/>
              <w:left w:val="nil"/>
              <w:bottom w:val="single" w:sz="4" w:space="0" w:color="auto"/>
              <w:right w:val="single" w:sz="4" w:space="0" w:color="auto"/>
            </w:tcBorders>
            <w:shd w:val="clear" w:color="auto" w:fill="auto"/>
            <w:noWrap/>
            <w:vAlign w:val="bottom"/>
            <w:hideMark/>
          </w:tcPr>
          <w:p w14:paraId="3F8E916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Gillian Salvador</w:t>
            </w:r>
          </w:p>
        </w:tc>
        <w:tc>
          <w:tcPr>
            <w:tcW w:w="1593" w:type="dxa"/>
            <w:tcBorders>
              <w:top w:val="nil"/>
              <w:left w:val="nil"/>
              <w:bottom w:val="single" w:sz="4" w:space="0" w:color="auto"/>
              <w:right w:val="single" w:sz="4" w:space="0" w:color="auto"/>
            </w:tcBorders>
            <w:shd w:val="clear" w:color="auto" w:fill="auto"/>
            <w:noWrap/>
            <w:vAlign w:val="bottom"/>
            <w:hideMark/>
          </w:tcPr>
          <w:p w14:paraId="5B6DCAC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1E0824E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3BD4F72B"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98019E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61</w:t>
            </w:r>
          </w:p>
        </w:tc>
        <w:tc>
          <w:tcPr>
            <w:tcW w:w="1472" w:type="dxa"/>
            <w:tcBorders>
              <w:top w:val="nil"/>
              <w:left w:val="nil"/>
              <w:bottom w:val="single" w:sz="4" w:space="0" w:color="auto"/>
              <w:right w:val="single" w:sz="4" w:space="0" w:color="auto"/>
            </w:tcBorders>
            <w:shd w:val="clear" w:color="auto" w:fill="auto"/>
            <w:noWrap/>
            <w:vAlign w:val="bottom"/>
            <w:hideMark/>
          </w:tcPr>
          <w:p w14:paraId="226FCB0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Mindanao Humanitarian Team</w:t>
            </w:r>
          </w:p>
        </w:tc>
        <w:tc>
          <w:tcPr>
            <w:tcW w:w="2181" w:type="dxa"/>
            <w:tcBorders>
              <w:top w:val="nil"/>
              <w:left w:val="nil"/>
              <w:bottom w:val="single" w:sz="4" w:space="0" w:color="auto"/>
              <w:right w:val="single" w:sz="4" w:space="0" w:color="auto"/>
            </w:tcBorders>
            <w:shd w:val="clear" w:color="auto" w:fill="auto"/>
            <w:noWrap/>
            <w:vAlign w:val="bottom"/>
            <w:hideMark/>
          </w:tcPr>
          <w:p w14:paraId="35CD9AC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CFSI</w:t>
            </w:r>
          </w:p>
        </w:tc>
        <w:tc>
          <w:tcPr>
            <w:tcW w:w="2201" w:type="dxa"/>
            <w:tcBorders>
              <w:top w:val="nil"/>
              <w:left w:val="nil"/>
              <w:bottom w:val="single" w:sz="4" w:space="0" w:color="auto"/>
              <w:right w:val="single" w:sz="4" w:space="0" w:color="auto"/>
            </w:tcBorders>
            <w:shd w:val="clear" w:color="auto" w:fill="auto"/>
            <w:noWrap/>
            <w:vAlign w:val="bottom"/>
            <w:hideMark/>
          </w:tcPr>
          <w:p w14:paraId="2BB76AB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Farida </w:t>
            </w:r>
            <w:proofErr w:type="spellStart"/>
            <w:r w:rsidRPr="00D058C1">
              <w:rPr>
                <w:rFonts w:ascii="Cambria" w:hAnsi="Cambria" w:cs="Calibri"/>
                <w:color w:val="000000"/>
                <w:sz w:val="18"/>
                <w:szCs w:val="18"/>
              </w:rPr>
              <w:t>Mangcaan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368668B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5D6D0E9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3CA7CA7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41AF75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62</w:t>
            </w:r>
          </w:p>
        </w:tc>
        <w:tc>
          <w:tcPr>
            <w:tcW w:w="1472" w:type="dxa"/>
            <w:tcBorders>
              <w:top w:val="nil"/>
              <w:left w:val="nil"/>
              <w:bottom w:val="single" w:sz="4" w:space="0" w:color="auto"/>
              <w:right w:val="single" w:sz="4" w:space="0" w:color="auto"/>
            </w:tcBorders>
            <w:shd w:val="clear" w:color="auto" w:fill="auto"/>
            <w:noWrap/>
            <w:vAlign w:val="bottom"/>
            <w:hideMark/>
          </w:tcPr>
          <w:p w14:paraId="498F08A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Mindanao Humanitarian Team</w:t>
            </w:r>
          </w:p>
        </w:tc>
        <w:tc>
          <w:tcPr>
            <w:tcW w:w="2181" w:type="dxa"/>
            <w:tcBorders>
              <w:top w:val="nil"/>
              <w:left w:val="nil"/>
              <w:bottom w:val="single" w:sz="4" w:space="0" w:color="auto"/>
              <w:right w:val="single" w:sz="4" w:space="0" w:color="auto"/>
            </w:tcBorders>
            <w:shd w:val="clear" w:color="auto" w:fill="auto"/>
            <w:noWrap/>
            <w:vAlign w:val="bottom"/>
            <w:hideMark/>
          </w:tcPr>
          <w:p w14:paraId="0F4C2F9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UNHCR</w:t>
            </w:r>
          </w:p>
        </w:tc>
        <w:tc>
          <w:tcPr>
            <w:tcW w:w="2201" w:type="dxa"/>
            <w:tcBorders>
              <w:top w:val="nil"/>
              <w:left w:val="nil"/>
              <w:bottom w:val="single" w:sz="4" w:space="0" w:color="auto"/>
              <w:right w:val="single" w:sz="4" w:space="0" w:color="auto"/>
            </w:tcBorders>
            <w:shd w:val="clear" w:color="auto" w:fill="auto"/>
            <w:noWrap/>
            <w:vAlign w:val="bottom"/>
            <w:hideMark/>
          </w:tcPr>
          <w:p w14:paraId="78CB42F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Alpha Carole </w:t>
            </w:r>
            <w:proofErr w:type="spellStart"/>
            <w:r w:rsidRPr="00D058C1">
              <w:rPr>
                <w:rFonts w:ascii="Cambria" w:hAnsi="Cambria" w:cs="Calibri"/>
                <w:color w:val="000000"/>
                <w:sz w:val="18"/>
                <w:szCs w:val="18"/>
              </w:rPr>
              <w:t>Pontanal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28D41E8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CA2CD3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0E764E8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C0E168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63</w:t>
            </w:r>
          </w:p>
        </w:tc>
        <w:tc>
          <w:tcPr>
            <w:tcW w:w="1472" w:type="dxa"/>
            <w:tcBorders>
              <w:top w:val="nil"/>
              <w:left w:val="nil"/>
              <w:bottom w:val="single" w:sz="4" w:space="0" w:color="auto"/>
              <w:right w:val="single" w:sz="4" w:space="0" w:color="auto"/>
            </w:tcBorders>
            <w:shd w:val="clear" w:color="auto" w:fill="auto"/>
            <w:noWrap/>
            <w:vAlign w:val="bottom"/>
            <w:hideMark/>
          </w:tcPr>
          <w:p w14:paraId="138261A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0BEA0BA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2CCCFAE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Ali </w:t>
            </w:r>
            <w:proofErr w:type="spellStart"/>
            <w:r w:rsidRPr="00D058C1">
              <w:rPr>
                <w:rFonts w:ascii="Cambria" w:hAnsi="Cambria" w:cs="Calibri"/>
                <w:color w:val="000000"/>
                <w:sz w:val="18"/>
                <w:szCs w:val="18"/>
              </w:rPr>
              <w:t>Samporna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EC23A7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C4A038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21176EC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BAE530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lastRenderedPageBreak/>
              <w:t>64</w:t>
            </w:r>
          </w:p>
        </w:tc>
        <w:tc>
          <w:tcPr>
            <w:tcW w:w="1472" w:type="dxa"/>
            <w:tcBorders>
              <w:top w:val="nil"/>
              <w:left w:val="nil"/>
              <w:bottom w:val="single" w:sz="4" w:space="0" w:color="auto"/>
              <w:right w:val="single" w:sz="4" w:space="0" w:color="auto"/>
            </w:tcBorders>
            <w:shd w:val="clear" w:color="auto" w:fill="auto"/>
            <w:noWrap/>
            <w:vAlign w:val="bottom"/>
            <w:hideMark/>
          </w:tcPr>
          <w:p w14:paraId="19B3F4C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7C364C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PLGU Lanao del Sur</w:t>
            </w:r>
          </w:p>
        </w:tc>
        <w:tc>
          <w:tcPr>
            <w:tcW w:w="2201" w:type="dxa"/>
            <w:tcBorders>
              <w:top w:val="nil"/>
              <w:left w:val="nil"/>
              <w:bottom w:val="single" w:sz="4" w:space="0" w:color="auto"/>
              <w:right w:val="single" w:sz="4" w:space="0" w:color="auto"/>
            </w:tcBorders>
            <w:shd w:val="clear" w:color="auto" w:fill="auto"/>
            <w:noWrap/>
            <w:vAlign w:val="bottom"/>
            <w:hideMark/>
          </w:tcPr>
          <w:p w14:paraId="0DFD9C8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Salma Jane </w:t>
            </w:r>
            <w:proofErr w:type="spellStart"/>
            <w:r w:rsidRPr="00D058C1">
              <w:rPr>
                <w:rFonts w:ascii="Cambria" w:hAnsi="Cambria" w:cs="Calibri"/>
                <w:color w:val="000000"/>
                <w:sz w:val="18"/>
                <w:szCs w:val="18"/>
              </w:rPr>
              <w:t>Tamano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56BB5E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202E08E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14908D9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B02071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65</w:t>
            </w:r>
          </w:p>
        </w:tc>
        <w:tc>
          <w:tcPr>
            <w:tcW w:w="1472" w:type="dxa"/>
            <w:tcBorders>
              <w:top w:val="nil"/>
              <w:left w:val="nil"/>
              <w:bottom w:val="single" w:sz="4" w:space="0" w:color="auto"/>
              <w:right w:val="single" w:sz="4" w:space="0" w:color="auto"/>
            </w:tcBorders>
            <w:shd w:val="clear" w:color="auto" w:fill="auto"/>
            <w:noWrap/>
            <w:vAlign w:val="bottom"/>
            <w:hideMark/>
          </w:tcPr>
          <w:p w14:paraId="37D5B5D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1CAD1E4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PLGU Lanao del Sur</w:t>
            </w:r>
          </w:p>
        </w:tc>
        <w:tc>
          <w:tcPr>
            <w:tcW w:w="2201" w:type="dxa"/>
            <w:tcBorders>
              <w:top w:val="nil"/>
              <w:left w:val="nil"/>
              <w:bottom w:val="single" w:sz="4" w:space="0" w:color="auto"/>
              <w:right w:val="single" w:sz="4" w:space="0" w:color="auto"/>
            </w:tcBorders>
            <w:shd w:val="clear" w:color="auto" w:fill="auto"/>
            <w:noWrap/>
            <w:vAlign w:val="bottom"/>
            <w:hideMark/>
          </w:tcPr>
          <w:p w14:paraId="386FF76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Popeye </w:t>
            </w:r>
            <w:proofErr w:type="spellStart"/>
            <w:r w:rsidRPr="00D058C1">
              <w:rPr>
                <w:rFonts w:ascii="Cambria" w:hAnsi="Cambria" w:cs="Calibri"/>
                <w:color w:val="000000"/>
                <w:sz w:val="18"/>
                <w:szCs w:val="18"/>
              </w:rPr>
              <w:t>Alonto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3A72907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581E117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2EEBDE9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95D79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66</w:t>
            </w:r>
          </w:p>
        </w:tc>
        <w:tc>
          <w:tcPr>
            <w:tcW w:w="1472" w:type="dxa"/>
            <w:tcBorders>
              <w:top w:val="nil"/>
              <w:left w:val="nil"/>
              <w:bottom w:val="single" w:sz="4" w:space="0" w:color="auto"/>
              <w:right w:val="single" w:sz="4" w:space="0" w:color="auto"/>
            </w:tcBorders>
            <w:shd w:val="clear" w:color="auto" w:fill="auto"/>
            <w:noWrap/>
            <w:vAlign w:val="bottom"/>
            <w:hideMark/>
          </w:tcPr>
          <w:p w14:paraId="777D8D7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6A993A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PLGU Lanao del Sur</w:t>
            </w:r>
          </w:p>
        </w:tc>
        <w:tc>
          <w:tcPr>
            <w:tcW w:w="2201" w:type="dxa"/>
            <w:tcBorders>
              <w:top w:val="nil"/>
              <w:left w:val="nil"/>
              <w:bottom w:val="single" w:sz="4" w:space="0" w:color="auto"/>
              <w:right w:val="single" w:sz="4" w:space="0" w:color="auto"/>
            </w:tcBorders>
            <w:shd w:val="clear" w:color="auto" w:fill="auto"/>
            <w:noWrap/>
            <w:vAlign w:val="bottom"/>
            <w:hideMark/>
          </w:tcPr>
          <w:p w14:paraId="52926421"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Pipalawan</w:t>
            </w:r>
            <w:proofErr w:type="spellEnd"/>
            <w:r w:rsidRPr="00D058C1">
              <w:rPr>
                <w:rFonts w:ascii="Cambria" w:hAnsi="Cambria" w:cs="Calibri"/>
                <w:color w:val="000000"/>
                <w:sz w:val="18"/>
                <w:szCs w:val="18"/>
              </w:rPr>
              <w:t xml:space="preserve"> Naga</w:t>
            </w:r>
          </w:p>
        </w:tc>
        <w:tc>
          <w:tcPr>
            <w:tcW w:w="1593" w:type="dxa"/>
            <w:tcBorders>
              <w:top w:val="nil"/>
              <w:left w:val="nil"/>
              <w:bottom w:val="single" w:sz="4" w:space="0" w:color="auto"/>
              <w:right w:val="single" w:sz="4" w:space="0" w:color="auto"/>
            </w:tcBorders>
            <w:shd w:val="clear" w:color="auto" w:fill="auto"/>
            <w:noWrap/>
            <w:vAlign w:val="bottom"/>
            <w:hideMark/>
          </w:tcPr>
          <w:p w14:paraId="5518267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1A89AE2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52DEA94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9C75CC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67</w:t>
            </w:r>
          </w:p>
        </w:tc>
        <w:tc>
          <w:tcPr>
            <w:tcW w:w="1472" w:type="dxa"/>
            <w:tcBorders>
              <w:top w:val="nil"/>
              <w:left w:val="nil"/>
              <w:bottom w:val="single" w:sz="4" w:space="0" w:color="auto"/>
              <w:right w:val="single" w:sz="4" w:space="0" w:color="auto"/>
            </w:tcBorders>
            <w:shd w:val="clear" w:color="auto" w:fill="auto"/>
            <w:noWrap/>
            <w:vAlign w:val="bottom"/>
            <w:hideMark/>
          </w:tcPr>
          <w:p w14:paraId="603F769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7DB65EF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586531B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Ana </w:t>
            </w:r>
            <w:proofErr w:type="spellStart"/>
            <w:r w:rsidRPr="00D058C1">
              <w:rPr>
                <w:rFonts w:ascii="Cambria" w:hAnsi="Cambria" w:cs="Calibri"/>
                <w:color w:val="000000"/>
                <w:sz w:val="18"/>
                <w:szCs w:val="18"/>
              </w:rPr>
              <w:t>Jamera</w:t>
            </w:r>
            <w:proofErr w:type="spellEnd"/>
            <w:r w:rsidRPr="00D058C1">
              <w:rPr>
                <w:rFonts w:ascii="Cambria" w:hAnsi="Cambria" w:cs="Calibri"/>
                <w:color w:val="000000"/>
                <w:sz w:val="18"/>
                <w:szCs w:val="18"/>
              </w:rPr>
              <w:t xml:space="preserve"> Rakim</w:t>
            </w:r>
          </w:p>
        </w:tc>
        <w:tc>
          <w:tcPr>
            <w:tcW w:w="1593" w:type="dxa"/>
            <w:tcBorders>
              <w:top w:val="nil"/>
              <w:left w:val="nil"/>
              <w:bottom w:val="single" w:sz="4" w:space="0" w:color="auto"/>
              <w:right w:val="single" w:sz="4" w:space="0" w:color="auto"/>
            </w:tcBorders>
            <w:shd w:val="clear" w:color="auto" w:fill="auto"/>
            <w:noWrap/>
            <w:vAlign w:val="bottom"/>
            <w:hideMark/>
          </w:tcPr>
          <w:p w14:paraId="3D30541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2174C8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221752E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31126B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68</w:t>
            </w:r>
          </w:p>
        </w:tc>
        <w:tc>
          <w:tcPr>
            <w:tcW w:w="1472" w:type="dxa"/>
            <w:tcBorders>
              <w:top w:val="nil"/>
              <w:left w:val="nil"/>
              <w:bottom w:val="single" w:sz="4" w:space="0" w:color="auto"/>
              <w:right w:val="single" w:sz="4" w:space="0" w:color="auto"/>
            </w:tcBorders>
            <w:shd w:val="clear" w:color="auto" w:fill="auto"/>
            <w:noWrap/>
            <w:vAlign w:val="bottom"/>
            <w:hideMark/>
          </w:tcPr>
          <w:p w14:paraId="040833F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49BE8EF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2E7FFD84"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Anshary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Maongco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7F2D6B9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C86953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B50A43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3D3F4F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69</w:t>
            </w:r>
          </w:p>
        </w:tc>
        <w:tc>
          <w:tcPr>
            <w:tcW w:w="1472" w:type="dxa"/>
            <w:tcBorders>
              <w:top w:val="nil"/>
              <w:left w:val="nil"/>
              <w:bottom w:val="single" w:sz="4" w:space="0" w:color="auto"/>
              <w:right w:val="single" w:sz="4" w:space="0" w:color="auto"/>
            </w:tcBorders>
            <w:shd w:val="clear" w:color="auto" w:fill="auto"/>
            <w:noWrap/>
            <w:vAlign w:val="bottom"/>
            <w:hideMark/>
          </w:tcPr>
          <w:p w14:paraId="256925B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4DD86E5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030DD46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Ali </w:t>
            </w:r>
            <w:proofErr w:type="spellStart"/>
            <w:r w:rsidRPr="00D058C1">
              <w:rPr>
                <w:rFonts w:ascii="Cambria" w:hAnsi="Cambria" w:cs="Calibri"/>
                <w:color w:val="000000"/>
                <w:sz w:val="18"/>
                <w:szCs w:val="18"/>
              </w:rPr>
              <w:t>Sumandar</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49B24C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EDDBAB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62B077B"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FB9CD5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70</w:t>
            </w:r>
          </w:p>
        </w:tc>
        <w:tc>
          <w:tcPr>
            <w:tcW w:w="1472" w:type="dxa"/>
            <w:tcBorders>
              <w:top w:val="nil"/>
              <w:left w:val="nil"/>
              <w:bottom w:val="single" w:sz="4" w:space="0" w:color="auto"/>
              <w:right w:val="single" w:sz="4" w:space="0" w:color="auto"/>
            </w:tcBorders>
            <w:shd w:val="clear" w:color="auto" w:fill="auto"/>
            <w:noWrap/>
            <w:vAlign w:val="bottom"/>
            <w:hideMark/>
          </w:tcPr>
          <w:p w14:paraId="6607755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472CA82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173BA016"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Cosain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Datumaas</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5791D2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25FF44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FA5AFFD"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BCAE2C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71</w:t>
            </w:r>
          </w:p>
        </w:tc>
        <w:tc>
          <w:tcPr>
            <w:tcW w:w="1472" w:type="dxa"/>
            <w:tcBorders>
              <w:top w:val="nil"/>
              <w:left w:val="nil"/>
              <w:bottom w:val="single" w:sz="4" w:space="0" w:color="auto"/>
              <w:right w:val="single" w:sz="4" w:space="0" w:color="auto"/>
            </w:tcBorders>
            <w:shd w:val="clear" w:color="auto" w:fill="auto"/>
            <w:noWrap/>
            <w:vAlign w:val="bottom"/>
            <w:hideMark/>
          </w:tcPr>
          <w:p w14:paraId="516BF2F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3554F0C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16A5F69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Sultan </w:t>
            </w:r>
            <w:proofErr w:type="spellStart"/>
            <w:r w:rsidRPr="00D058C1">
              <w:rPr>
                <w:rFonts w:ascii="Cambria" w:hAnsi="Cambria" w:cs="Calibri"/>
                <w:color w:val="000000"/>
                <w:sz w:val="18"/>
                <w:szCs w:val="18"/>
              </w:rPr>
              <w:t>Sulahudin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Samporna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77F1885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080980F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D8875A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25D6D7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72</w:t>
            </w:r>
          </w:p>
        </w:tc>
        <w:tc>
          <w:tcPr>
            <w:tcW w:w="1472" w:type="dxa"/>
            <w:tcBorders>
              <w:top w:val="nil"/>
              <w:left w:val="nil"/>
              <w:bottom w:val="single" w:sz="4" w:space="0" w:color="auto"/>
              <w:right w:val="single" w:sz="4" w:space="0" w:color="auto"/>
            </w:tcBorders>
            <w:shd w:val="clear" w:color="auto" w:fill="auto"/>
            <w:noWrap/>
            <w:vAlign w:val="bottom"/>
            <w:hideMark/>
          </w:tcPr>
          <w:p w14:paraId="153CCE6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58C67E3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51E5AE92"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Conrado</w:t>
            </w:r>
            <w:proofErr w:type="spellEnd"/>
            <w:r w:rsidRPr="00D058C1">
              <w:rPr>
                <w:rFonts w:ascii="Cambria" w:hAnsi="Cambria" w:cs="Calibri"/>
                <w:color w:val="000000"/>
                <w:sz w:val="18"/>
                <w:szCs w:val="18"/>
              </w:rPr>
              <w:t xml:space="preserve"> Ilagan</w:t>
            </w:r>
          </w:p>
        </w:tc>
        <w:tc>
          <w:tcPr>
            <w:tcW w:w="1593" w:type="dxa"/>
            <w:tcBorders>
              <w:top w:val="nil"/>
              <w:left w:val="nil"/>
              <w:bottom w:val="single" w:sz="4" w:space="0" w:color="auto"/>
              <w:right w:val="single" w:sz="4" w:space="0" w:color="auto"/>
            </w:tcBorders>
            <w:shd w:val="clear" w:color="auto" w:fill="auto"/>
            <w:noWrap/>
            <w:vAlign w:val="bottom"/>
            <w:hideMark/>
          </w:tcPr>
          <w:p w14:paraId="7366EAA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4E45242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C9EEC0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717970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73</w:t>
            </w:r>
          </w:p>
        </w:tc>
        <w:tc>
          <w:tcPr>
            <w:tcW w:w="1472" w:type="dxa"/>
            <w:tcBorders>
              <w:top w:val="nil"/>
              <w:left w:val="nil"/>
              <w:bottom w:val="single" w:sz="4" w:space="0" w:color="auto"/>
              <w:right w:val="single" w:sz="4" w:space="0" w:color="auto"/>
            </w:tcBorders>
            <w:shd w:val="clear" w:color="auto" w:fill="auto"/>
            <w:noWrap/>
            <w:vAlign w:val="bottom"/>
            <w:hideMark/>
          </w:tcPr>
          <w:p w14:paraId="2F0A13A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30A0D04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2462E8C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Aquila </w:t>
            </w:r>
            <w:proofErr w:type="spellStart"/>
            <w:r w:rsidRPr="00D058C1">
              <w:rPr>
                <w:rFonts w:ascii="Cambria" w:hAnsi="Cambria" w:cs="Calibri"/>
                <w:color w:val="000000"/>
                <w:sz w:val="18"/>
                <w:szCs w:val="18"/>
              </w:rPr>
              <w:t>Kathar</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188912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F3558D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31977407"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7D0BFF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74</w:t>
            </w:r>
          </w:p>
        </w:tc>
        <w:tc>
          <w:tcPr>
            <w:tcW w:w="1472" w:type="dxa"/>
            <w:tcBorders>
              <w:top w:val="nil"/>
              <w:left w:val="nil"/>
              <w:bottom w:val="single" w:sz="4" w:space="0" w:color="auto"/>
              <w:right w:val="single" w:sz="4" w:space="0" w:color="auto"/>
            </w:tcBorders>
            <w:shd w:val="clear" w:color="auto" w:fill="auto"/>
            <w:noWrap/>
            <w:vAlign w:val="bottom"/>
            <w:hideMark/>
          </w:tcPr>
          <w:p w14:paraId="0E60A22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C3A441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52539CA5"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Esmail</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Magaray</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CAD41C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4DC249D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39B1E0FC"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A4B0FD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75</w:t>
            </w:r>
          </w:p>
        </w:tc>
        <w:tc>
          <w:tcPr>
            <w:tcW w:w="1472" w:type="dxa"/>
            <w:tcBorders>
              <w:top w:val="nil"/>
              <w:left w:val="nil"/>
              <w:bottom w:val="single" w:sz="4" w:space="0" w:color="auto"/>
              <w:right w:val="single" w:sz="4" w:space="0" w:color="auto"/>
            </w:tcBorders>
            <w:shd w:val="clear" w:color="auto" w:fill="auto"/>
            <w:noWrap/>
            <w:vAlign w:val="bottom"/>
            <w:hideMark/>
          </w:tcPr>
          <w:p w14:paraId="4CABF9D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7C9C3FD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1149DE5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Amer </w:t>
            </w:r>
            <w:proofErr w:type="spellStart"/>
            <w:r w:rsidRPr="00D058C1">
              <w:rPr>
                <w:rFonts w:ascii="Cambria" w:hAnsi="Cambria" w:cs="Calibri"/>
                <w:color w:val="000000"/>
                <w:sz w:val="18"/>
                <w:szCs w:val="18"/>
              </w:rPr>
              <w:t>Samona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9E2A0B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63C7DC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01141C17"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810E50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76</w:t>
            </w:r>
          </w:p>
        </w:tc>
        <w:tc>
          <w:tcPr>
            <w:tcW w:w="1472" w:type="dxa"/>
            <w:tcBorders>
              <w:top w:val="nil"/>
              <w:left w:val="nil"/>
              <w:bottom w:val="single" w:sz="4" w:space="0" w:color="auto"/>
              <w:right w:val="single" w:sz="4" w:space="0" w:color="auto"/>
            </w:tcBorders>
            <w:shd w:val="clear" w:color="auto" w:fill="auto"/>
            <w:noWrap/>
            <w:vAlign w:val="bottom"/>
            <w:hideMark/>
          </w:tcPr>
          <w:p w14:paraId="3B2F5AA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2B6283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4131948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Anna Rakim</w:t>
            </w:r>
          </w:p>
        </w:tc>
        <w:tc>
          <w:tcPr>
            <w:tcW w:w="1593" w:type="dxa"/>
            <w:tcBorders>
              <w:top w:val="nil"/>
              <w:left w:val="nil"/>
              <w:bottom w:val="single" w:sz="4" w:space="0" w:color="auto"/>
              <w:right w:val="single" w:sz="4" w:space="0" w:color="auto"/>
            </w:tcBorders>
            <w:shd w:val="clear" w:color="auto" w:fill="auto"/>
            <w:noWrap/>
            <w:vAlign w:val="bottom"/>
            <w:hideMark/>
          </w:tcPr>
          <w:p w14:paraId="261B007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4EE9D4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0FEEFD0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B863E7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77</w:t>
            </w:r>
          </w:p>
        </w:tc>
        <w:tc>
          <w:tcPr>
            <w:tcW w:w="1472" w:type="dxa"/>
            <w:tcBorders>
              <w:top w:val="nil"/>
              <w:left w:val="nil"/>
              <w:bottom w:val="single" w:sz="4" w:space="0" w:color="auto"/>
              <w:right w:val="single" w:sz="4" w:space="0" w:color="auto"/>
            </w:tcBorders>
            <w:shd w:val="clear" w:color="auto" w:fill="auto"/>
            <w:noWrap/>
            <w:vAlign w:val="bottom"/>
            <w:hideMark/>
          </w:tcPr>
          <w:p w14:paraId="68188B6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10A961D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4D1C148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Mayda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Minalang</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94C768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156CF49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1262374B"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E6D984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78</w:t>
            </w:r>
          </w:p>
        </w:tc>
        <w:tc>
          <w:tcPr>
            <w:tcW w:w="1472" w:type="dxa"/>
            <w:tcBorders>
              <w:top w:val="nil"/>
              <w:left w:val="nil"/>
              <w:bottom w:val="single" w:sz="4" w:space="0" w:color="auto"/>
              <w:right w:val="single" w:sz="4" w:space="0" w:color="auto"/>
            </w:tcBorders>
            <w:shd w:val="clear" w:color="auto" w:fill="auto"/>
            <w:noWrap/>
            <w:vAlign w:val="bottom"/>
            <w:hideMark/>
          </w:tcPr>
          <w:p w14:paraId="2D78F35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141BB52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0602937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Hannan </w:t>
            </w:r>
            <w:proofErr w:type="spellStart"/>
            <w:r w:rsidRPr="00D058C1">
              <w:rPr>
                <w:rFonts w:ascii="Cambria" w:hAnsi="Cambria" w:cs="Calibri"/>
                <w:color w:val="000000"/>
                <w:sz w:val="18"/>
                <w:szCs w:val="18"/>
              </w:rPr>
              <w:t>Macadato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2BE0B37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652D27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7820FE3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CEFF3F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79</w:t>
            </w:r>
          </w:p>
        </w:tc>
        <w:tc>
          <w:tcPr>
            <w:tcW w:w="1472" w:type="dxa"/>
            <w:tcBorders>
              <w:top w:val="nil"/>
              <w:left w:val="nil"/>
              <w:bottom w:val="single" w:sz="4" w:space="0" w:color="auto"/>
              <w:right w:val="single" w:sz="4" w:space="0" w:color="auto"/>
            </w:tcBorders>
            <w:shd w:val="clear" w:color="auto" w:fill="auto"/>
            <w:noWrap/>
            <w:vAlign w:val="bottom"/>
            <w:hideMark/>
          </w:tcPr>
          <w:p w14:paraId="7C6F1BA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4D84B61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774AD497"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Nathera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Dangcal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CCA9A3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538A350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2298129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4C6934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80</w:t>
            </w:r>
          </w:p>
        </w:tc>
        <w:tc>
          <w:tcPr>
            <w:tcW w:w="1472" w:type="dxa"/>
            <w:tcBorders>
              <w:top w:val="nil"/>
              <w:left w:val="nil"/>
              <w:bottom w:val="single" w:sz="4" w:space="0" w:color="auto"/>
              <w:right w:val="single" w:sz="4" w:space="0" w:color="auto"/>
            </w:tcBorders>
            <w:shd w:val="clear" w:color="auto" w:fill="auto"/>
            <w:noWrap/>
            <w:vAlign w:val="bottom"/>
            <w:hideMark/>
          </w:tcPr>
          <w:p w14:paraId="710CBCE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10B8711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0ED6700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Sasin </w:t>
            </w:r>
            <w:proofErr w:type="spellStart"/>
            <w:r w:rsidRPr="00D058C1">
              <w:rPr>
                <w:rFonts w:ascii="Cambria" w:hAnsi="Cambria" w:cs="Calibri"/>
                <w:color w:val="000000"/>
                <w:sz w:val="18"/>
                <w:szCs w:val="18"/>
              </w:rPr>
              <w:t>Ayunan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394374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81A4363"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0B6BAB7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0D2A3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81</w:t>
            </w:r>
          </w:p>
        </w:tc>
        <w:tc>
          <w:tcPr>
            <w:tcW w:w="1472" w:type="dxa"/>
            <w:tcBorders>
              <w:top w:val="nil"/>
              <w:left w:val="nil"/>
              <w:bottom w:val="single" w:sz="4" w:space="0" w:color="auto"/>
              <w:right w:val="single" w:sz="4" w:space="0" w:color="auto"/>
            </w:tcBorders>
            <w:shd w:val="clear" w:color="auto" w:fill="auto"/>
            <w:noWrap/>
            <w:vAlign w:val="bottom"/>
            <w:hideMark/>
          </w:tcPr>
          <w:p w14:paraId="7718EB7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120D7D7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2A92D3E3"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Alinori</w:t>
            </w:r>
            <w:proofErr w:type="spellEnd"/>
            <w:r w:rsidRPr="00D058C1">
              <w:rPr>
                <w:rFonts w:ascii="Cambria" w:hAnsi="Cambria" w:cs="Calibri"/>
                <w:color w:val="000000"/>
                <w:sz w:val="18"/>
                <w:szCs w:val="18"/>
              </w:rPr>
              <w:t xml:space="preserve"> Tuan</w:t>
            </w:r>
          </w:p>
        </w:tc>
        <w:tc>
          <w:tcPr>
            <w:tcW w:w="1593" w:type="dxa"/>
            <w:tcBorders>
              <w:top w:val="nil"/>
              <w:left w:val="nil"/>
              <w:bottom w:val="single" w:sz="4" w:space="0" w:color="auto"/>
              <w:right w:val="single" w:sz="4" w:space="0" w:color="auto"/>
            </w:tcBorders>
            <w:shd w:val="clear" w:color="auto" w:fill="auto"/>
            <w:noWrap/>
            <w:vAlign w:val="bottom"/>
            <w:hideMark/>
          </w:tcPr>
          <w:p w14:paraId="5DD771E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2D39548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2FADCA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C9CA19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82</w:t>
            </w:r>
          </w:p>
        </w:tc>
        <w:tc>
          <w:tcPr>
            <w:tcW w:w="1472" w:type="dxa"/>
            <w:tcBorders>
              <w:top w:val="nil"/>
              <w:left w:val="nil"/>
              <w:bottom w:val="single" w:sz="4" w:space="0" w:color="auto"/>
              <w:right w:val="single" w:sz="4" w:space="0" w:color="auto"/>
            </w:tcBorders>
            <w:shd w:val="clear" w:color="auto" w:fill="auto"/>
            <w:noWrap/>
            <w:vAlign w:val="bottom"/>
            <w:hideMark/>
          </w:tcPr>
          <w:p w14:paraId="5FF0A0C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D55F57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55B604D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Joel </w:t>
            </w:r>
            <w:proofErr w:type="spellStart"/>
            <w:r w:rsidRPr="00D058C1">
              <w:rPr>
                <w:rFonts w:ascii="Cambria" w:hAnsi="Cambria" w:cs="Calibri"/>
                <w:color w:val="000000"/>
                <w:sz w:val="18"/>
                <w:szCs w:val="18"/>
              </w:rPr>
              <w:t>Gamboa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2E53BB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6F30ECD7"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C25E57D"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CEEF55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83</w:t>
            </w:r>
          </w:p>
        </w:tc>
        <w:tc>
          <w:tcPr>
            <w:tcW w:w="1472" w:type="dxa"/>
            <w:tcBorders>
              <w:top w:val="nil"/>
              <w:left w:val="nil"/>
              <w:bottom w:val="single" w:sz="4" w:space="0" w:color="auto"/>
              <w:right w:val="single" w:sz="4" w:space="0" w:color="auto"/>
            </w:tcBorders>
            <w:shd w:val="clear" w:color="auto" w:fill="auto"/>
            <w:noWrap/>
            <w:vAlign w:val="bottom"/>
            <w:hideMark/>
          </w:tcPr>
          <w:p w14:paraId="6645DC5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212222F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w:t>
            </w:r>
          </w:p>
        </w:tc>
        <w:tc>
          <w:tcPr>
            <w:tcW w:w="2201" w:type="dxa"/>
            <w:tcBorders>
              <w:top w:val="nil"/>
              <w:left w:val="nil"/>
              <w:bottom w:val="single" w:sz="4" w:space="0" w:color="auto"/>
              <w:right w:val="single" w:sz="4" w:space="0" w:color="auto"/>
            </w:tcBorders>
            <w:shd w:val="clear" w:color="auto" w:fill="auto"/>
            <w:noWrap/>
            <w:vAlign w:val="bottom"/>
            <w:hideMark/>
          </w:tcPr>
          <w:p w14:paraId="35A403C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Renato </w:t>
            </w:r>
            <w:proofErr w:type="spellStart"/>
            <w:r w:rsidRPr="00D058C1">
              <w:rPr>
                <w:rFonts w:ascii="Cambria" w:hAnsi="Cambria" w:cs="Calibri"/>
                <w:color w:val="000000"/>
                <w:sz w:val="18"/>
                <w:szCs w:val="18"/>
              </w:rPr>
              <w:t>Datulayta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7032671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58A9260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71C04C2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4E1D6A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84</w:t>
            </w:r>
          </w:p>
        </w:tc>
        <w:tc>
          <w:tcPr>
            <w:tcW w:w="1472" w:type="dxa"/>
            <w:tcBorders>
              <w:top w:val="nil"/>
              <w:left w:val="nil"/>
              <w:bottom w:val="single" w:sz="4" w:space="0" w:color="auto"/>
              <w:right w:val="single" w:sz="4" w:space="0" w:color="auto"/>
            </w:tcBorders>
            <w:shd w:val="clear" w:color="auto" w:fill="auto"/>
            <w:noWrap/>
            <w:vAlign w:val="bottom"/>
            <w:hideMark/>
          </w:tcPr>
          <w:p w14:paraId="66F4DAB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 PCVE TWG</w:t>
            </w:r>
          </w:p>
        </w:tc>
        <w:tc>
          <w:tcPr>
            <w:tcW w:w="2181" w:type="dxa"/>
            <w:tcBorders>
              <w:top w:val="nil"/>
              <w:left w:val="nil"/>
              <w:bottom w:val="single" w:sz="4" w:space="0" w:color="auto"/>
              <w:right w:val="single" w:sz="4" w:space="0" w:color="auto"/>
            </w:tcBorders>
            <w:shd w:val="clear" w:color="auto" w:fill="auto"/>
            <w:noWrap/>
            <w:vAlign w:val="bottom"/>
            <w:hideMark/>
          </w:tcPr>
          <w:p w14:paraId="5A78CAE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UNDP</w:t>
            </w:r>
          </w:p>
        </w:tc>
        <w:tc>
          <w:tcPr>
            <w:tcW w:w="2201" w:type="dxa"/>
            <w:tcBorders>
              <w:top w:val="nil"/>
              <w:left w:val="nil"/>
              <w:bottom w:val="single" w:sz="4" w:space="0" w:color="auto"/>
              <w:right w:val="single" w:sz="4" w:space="0" w:color="auto"/>
            </w:tcBorders>
            <w:shd w:val="clear" w:color="auto" w:fill="auto"/>
            <w:noWrap/>
            <w:vAlign w:val="bottom"/>
            <w:hideMark/>
          </w:tcPr>
          <w:p w14:paraId="670D8B0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Pari </w:t>
            </w:r>
            <w:proofErr w:type="spellStart"/>
            <w:r w:rsidRPr="00D058C1">
              <w:rPr>
                <w:rFonts w:ascii="Cambria" w:hAnsi="Cambria" w:cs="Calibri"/>
                <w:color w:val="000000"/>
                <w:sz w:val="18"/>
                <w:szCs w:val="18"/>
              </w:rPr>
              <w:t>Hyriah</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Candao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D9BC72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2C346981"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8637836"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9359F1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85</w:t>
            </w:r>
          </w:p>
        </w:tc>
        <w:tc>
          <w:tcPr>
            <w:tcW w:w="1472" w:type="dxa"/>
            <w:tcBorders>
              <w:top w:val="nil"/>
              <w:left w:val="nil"/>
              <w:bottom w:val="single" w:sz="4" w:space="0" w:color="auto"/>
              <w:right w:val="single" w:sz="4" w:space="0" w:color="auto"/>
            </w:tcBorders>
            <w:shd w:val="clear" w:color="auto" w:fill="auto"/>
            <w:noWrap/>
            <w:vAlign w:val="bottom"/>
            <w:hideMark/>
          </w:tcPr>
          <w:p w14:paraId="1926625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Oxfam</w:t>
            </w:r>
          </w:p>
        </w:tc>
        <w:tc>
          <w:tcPr>
            <w:tcW w:w="2181" w:type="dxa"/>
            <w:tcBorders>
              <w:top w:val="nil"/>
              <w:left w:val="nil"/>
              <w:bottom w:val="single" w:sz="4" w:space="0" w:color="auto"/>
              <w:right w:val="single" w:sz="4" w:space="0" w:color="auto"/>
            </w:tcBorders>
            <w:shd w:val="clear" w:color="auto" w:fill="auto"/>
            <w:noWrap/>
            <w:vAlign w:val="bottom"/>
            <w:hideMark/>
          </w:tcPr>
          <w:p w14:paraId="7096B99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Al </w:t>
            </w:r>
            <w:proofErr w:type="spellStart"/>
            <w:r w:rsidRPr="00D058C1">
              <w:rPr>
                <w:rFonts w:ascii="Cambria" w:hAnsi="Cambria" w:cs="Calibri"/>
                <w:color w:val="000000"/>
                <w:sz w:val="18"/>
                <w:szCs w:val="18"/>
              </w:rPr>
              <w:t>Mujadillah</w:t>
            </w:r>
            <w:proofErr w:type="spellEnd"/>
            <w:r w:rsidRPr="00D058C1">
              <w:rPr>
                <w:rFonts w:ascii="Cambria" w:hAnsi="Cambria" w:cs="Calibri"/>
                <w:color w:val="000000"/>
                <w:sz w:val="18"/>
                <w:szCs w:val="18"/>
              </w:rPr>
              <w:t xml:space="preserve"> Development Foundation</w:t>
            </w:r>
          </w:p>
        </w:tc>
        <w:tc>
          <w:tcPr>
            <w:tcW w:w="2201" w:type="dxa"/>
            <w:tcBorders>
              <w:top w:val="nil"/>
              <w:left w:val="nil"/>
              <w:bottom w:val="single" w:sz="4" w:space="0" w:color="auto"/>
              <w:right w:val="single" w:sz="4" w:space="0" w:color="auto"/>
            </w:tcBorders>
            <w:shd w:val="clear" w:color="auto" w:fill="auto"/>
            <w:noWrap/>
            <w:vAlign w:val="bottom"/>
            <w:hideMark/>
          </w:tcPr>
          <w:p w14:paraId="615A6224"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Zahria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Muti-Mapandi</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373F73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Iligan</w:t>
            </w:r>
          </w:p>
        </w:tc>
        <w:tc>
          <w:tcPr>
            <w:tcW w:w="2466" w:type="dxa"/>
            <w:tcBorders>
              <w:top w:val="nil"/>
              <w:left w:val="nil"/>
              <w:bottom w:val="single" w:sz="4" w:space="0" w:color="auto"/>
              <w:right w:val="single" w:sz="4" w:space="0" w:color="auto"/>
            </w:tcBorders>
            <w:shd w:val="clear" w:color="auto" w:fill="auto"/>
            <w:noWrap/>
            <w:vAlign w:val="bottom"/>
            <w:hideMark/>
          </w:tcPr>
          <w:p w14:paraId="72DECCC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Tuesday, 18 February 2020</w:t>
            </w:r>
          </w:p>
        </w:tc>
      </w:tr>
      <w:tr w:rsidR="00C12CE0" w:rsidRPr="00D058C1" w14:paraId="711387D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B07A22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86</w:t>
            </w:r>
          </w:p>
        </w:tc>
        <w:tc>
          <w:tcPr>
            <w:tcW w:w="1472" w:type="dxa"/>
            <w:tcBorders>
              <w:top w:val="nil"/>
              <w:left w:val="nil"/>
              <w:bottom w:val="single" w:sz="4" w:space="0" w:color="auto"/>
              <w:right w:val="single" w:sz="4" w:space="0" w:color="auto"/>
            </w:tcBorders>
            <w:shd w:val="clear" w:color="auto" w:fill="auto"/>
            <w:noWrap/>
            <w:vAlign w:val="bottom"/>
            <w:hideMark/>
          </w:tcPr>
          <w:p w14:paraId="7EE5B47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4D4A5AA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Tabang</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Ako</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Siyap</w:t>
            </w:r>
            <w:proofErr w:type="spellEnd"/>
            <w:r w:rsidRPr="00D058C1">
              <w:rPr>
                <w:rFonts w:ascii="Cambria" w:hAnsi="Cambria" w:cs="Calibri"/>
                <w:color w:val="000000"/>
                <w:sz w:val="18"/>
                <w:szCs w:val="18"/>
              </w:rPr>
              <w:t xml:space="preserve"> ko </w:t>
            </w:r>
            <w:proofErr w:type="spellStart"/>
            <w:r w:rsidRPr="00D058C1">
              <w:rPr>
                <w:rFonts w:ascii="Cambria" w:hAnsi="Cambria" w:cs="Calibri"/>
                <w:color w:val="000000"/>
                <w:sz w:val="18"/>
                <w:szCs w:val="18"/>
              </w:rPr>
              <w:t>Bangsa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Iranun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saya</w:t>
            </w:r>
            <w:proofErr w:type="spellEnd"/>
            <w:r w:rsidRPr="00D058C1">
              <w:rPr>
                <w:rFonts w:ascii="Cambria" w:hAnsi="Cambria" w:cs="Calibri"/>
                <w:color w:val="000000"/>
                <w:sz w:val="18"/>
                <w:szCs w:val="18"/>
              </w:rPr>
              <w:t xml:space="preserve"> ko </w:t>
            </w:r>
            <w:proofErr w:type="spellStart"/>
            <w:r w:rsidRPr="00D058C1">
              <w:rPr>
                <w:rFonts w:ascii="Cambria" w:hAnsi="Cambria" w:cs="Calibri"/>
                <w:color w:val="000000"/>
                <w:sz w:val="18"/>
                <w:szCs w:val="18"/>
              </w:rPr>
              <w:t>Kalilintad</w:t>
            </w:r>
            <w:proofErr w:type="spellEnd"/>
            <w:r w:rsidRPr="00D058C1">
              <w:rPr>
                <w:rFonts w:ascii="Cambria" w:hAnsi="Cambria" w:cs="Calibri"/>
                <w:color w:val="000000"/>
                <w:sz w:val="18"/>
                <w:szCs w:val="18"/>
              </w:rPr>
              <w:t xml:space="preserve"> ago </w:t>
            </w:r>
            <w:proofErr w:type="spellStart"/>
            <w:r w:rsidRPr="00D058C1">
              <w:rPr>
                <w:rFonts w:ascii="Cambria" w:hAnsi="Cambria" w:cs="Calibri"/>
                <w:color w:val="000000"/>
                <w:sz w:val="18"/>
                <w:szCs w:val="18"/>
              </w:rPr>
              <w:t>Kapamagayon</w:t>
            </w:r>
            <w:proofErr w:type="spellEnd"/>
            <w:r w:rsidRPr="00D058C1">
              <w:rPr>
                <w:rFonts w:ascii="Cambria" w:hAnsi="Cambria" w:cs="Calibri"/>
                <w:color w:val="000000"/>
                <w:sz w:val="18"/>
                <w:szCs w:val="18"/>
              </w:rPr>
              <w:t xml:space="preserve"> Inc (TASBIKKA); </w:t>
            </w:r>
          </w:p>
        </w:tc>
        <w:tc>
          <w:tcPr>
            <w:tcW w:w="2201" w:type="dxa"/>
            <w:tcBorders>
              <w:top w:val="nil"/>
              <w:left w:val="nil"/>
              <w:bottom w:val="single" w:sz="4" w:space="0" w:color="auto"/>
              <w:right w:val="single" w:sz="4" w:space="0" w:color="auto"/>
            </w:tcBorders>
            <w:shd w:val="clear" w:color="auto" w:fill="auto"/>
            <w:noWrap/>
            <w:vAlign w:val="bottom"/>
            <w:hideMark/>
          </w:tcPr>
          <w:p w14:paraId="3884B5E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Mohammad Abas</w:t>
            </w:r>
          </w:p>
        </w:tc>
        <w:tc>
          <w:tcPr>
            <w:tcW w:w="1593" w:type="dxa"/>
            <w:tcBorders>
              <w:top w:val="nil"/>
              <w:left w:val="nil"/>
              <w:bottom w:val="single" w:sz="4" w:space="0" w:color="auto"/>
              <w:right w:val="single" w:sz="4" w:space="0" w:color="auto"/>
            </w:tcBorders>
            <w:shd w:val="clear" w:color="auto" w:fill="auto"/>
            <w:noWrap/>
            <w:vAlign w:val="bottom"/>
            <w:hideMark/>
          </w:tcPr>
          <w:p w14:paraId="564219D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40E6CB5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5C57260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54F4F0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87</w:t>
            </w:r>
          </w:p>
        </w:tc>
        <w:tc>
          <w:tcPr>
            <w:tcW w:w="1472" w:type="dxa"/>
            <w:tcBorders>
              <w:top w:val="nil"/>
              <w:left w:val="nil"/>
              <w:bottom w:val="single" w:sz="4" w:space="0" w:color="auto"/>
              <w:right w:val="single" w:sz="4" w:space="0" w:color="auto"/>
            </w:tcBorders>
            <w:shd w:val="clear" w:color="auto" w:fill="auto"/>
            <w:noWrap/>
            <w:vAlign w:val="bottom"/>
            <w:hideMark/>
          </w:tcPr>
          <w:p w14:paraId="1E966B4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0B9E1FB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Iranun</w:t>
            </w:r>
            <w:proofErr w:type="spellEnd"/>
            <w:r w:rsidRPr="00D058C1">
              <w:rPr>
                <w:rFonts w:ascii="Cambria" w:hAnsi="Cambria" w:cs="Calibri"/>
                <w:color w:val="000000"/>
                <w:sz w:val="18"/>
                <w:szCs w:val="18"/>
              </w:rPr>
              <w:t xml:space="preserve"> Corridor Youth Network</w:t>
            </w:r>
          </w:p>
        </w:tc>
        <w:tc>
          <w:tcPr>
            <w:tcW w:w="2201" w:type="dxa"/>
            <w:tcBorders>
              <w:top w:val="nil"/>
              <w:left w:val="nil"/>
              <w:bottom w:val="single" w:sz="4" w:space="0" w:color="auto"/>
              <w:right w:val="single" w:sz="4" w:space="0" w:color="auto"/>
            </w:tcBorders>
            <w:shd w:val="clear" w:color="auto" w:fill="auto"/>
            <w:noWrap/>
            <w:vAlign w:val="bottom"/>
            <w:hideMark/>
          </w:tcPr>
          <w:p w14:paraId="4C338DAA"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Almairah</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Mangza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70CE98F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40CEE5E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5C814AB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65B13E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88</w:t>
            </w:r>
          </w:p>
        </w:tc>
        <w:tc>
          <w:tcPr>
            <w:tcW w:w="1472" w:type="dxa"/>
            <w:tcBorders>
              <w:top w:val="nil"/>
              <w:left w:val="nil"/>
              <w:bottom w:val="single" w:sz="4" w:space="0" w:color="auto"/>
              <w:right w:val="single" w:sz="4" w:space="0" w:color="auto"/>
            </w:tcBorders>
            <w:shd w:val="clear" w:color="auto" w:fill="auto"/>
            <w:noWrap/>
            <w:vAlign w:val="bottom"/>
            <w:hideMark/>
          </w:tcPr>
          <w:p w14:paraId="3F17E06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CARE</w:t>
            </w:r>
          </w:p>
        </w:tc>
        <w:tc>
          <w:tcPr>
            <w:tcW w:w="2181" w:type="dxa"/>
            <w:tcBorders>
              <w:top w:val="nil"/>
              <w:left w:val="nil"/>
              <w:bottom w:val="single" w:sz="4" w:space="0" w:color="auto"/>
              <w:right w:val="single" w:sz="4" w:space="0" w:color="auto"/>
            </w:tcBorders>
            <w:shd w:val="clear" w:color="auto" w:fill="auto"/>
            <w:noWrap/>
            <w:vAlign w:val="bottom"/>
            <w:hideMark/>
          </w:tcPr>
          <w:p w14:paraId="1207EA6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Institute for Bangsamoro Studies</w:t>
            </w:r>
          </w:p>
        </w:tc>
        <w:tc>
          <w:tcPr>
            <w:tcW w:w="2201" w:type="dxa"/>
            <w:tcBorders>
              <w:top w:val="nil"/>
              <w:left w:val="nil"/>
              <w:bottom w:val="single" w:sz="4" w:space="0" w:color="auto"/>
              <w:right w:val="single" w:sz="4" w:space="0" w:color="auto"/>
            </w:tcBorders>
            <w:shd w:val="clear" w:color="auto" w:fill="auto"/>
            <w:noWrap/>
            <w:vAlign w:val="bottom"/>
            <w:hideMark/>
          </w:tcPr>
          <w:p w14:paraId="54B8C40A"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Abhoud</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Lingga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F45A42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DB82572" w14:textId="38034012"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r>
              <w:rPr>
                <w:rFonts w:ascii="Cambria" w:hAnsi="Cambria" w:cs="Calibri"/>
                <w:color w:val="000000"/>
                <w:sz w:val="18"/>
                <w:szCs w:val="18"/>
              </w:rPr>
              <w:t xml:space="preserve"> </w:t>
            </w:r>
          </w:p>
        </w:tc>
      </w:tr>
      <w:tr w:rsidR="00C12CE0" w:rsidRPr="00D058C1" w14:paraId="437A9503"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71D746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89</w:t>
            </w:r>
          </w:p>
        </w:tc>
        <w:tc>
          <w:tcPr>
            <w:tcW w:w="1472" w:type="dxa"/>
            <w:tcBorders>
              <w:top w:val="nil"/>
              <w:left w:val="nil"/>
              <w:bottom w:val="single" w:sz="4" w:space="0" w:color="auto"/>
              <w:right w:val="single" w:sz="4" w:space="0" w:color="auto"/>
            </w:tcBorders>
            <w:shd w:val="clear" w:color="auto" w:fill="auto"/>
            <w:noWrap/>
            <w:vAlign w:val="bottom"/>
            <w:hideMark/>
          </w:tcPr>
          <w:p w14:paraId="7007664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IAG</w:t>
            </w:r>
          </w:p>
        </w:tc>
        <w:tc>
          <w:tcPr>
            <w:tcW w:w="2181" w:type="dxa"/>
            <w:tcBorders>
              <w:top w:val="nil"/>
              <w:left w:val="nil"/>
              <w:bottom w:val="single" w:sz="4" w:space="0" w:color="auto"/>
              <w:right w:val="single" w:sz="4" w:space="0" w:color="auto"/>
            </w:tcBorders>
            <w:shd w:val="clear" w:color="auto" w:fill="auto"/>
            <w:noWrap/>
            <w:vAlign w:val="bottom"/>
            <w:hideMark/>
          </w:tcPr>
          <w:p w14:paraId="66EBFAA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Bangsamoro Women Services Center (BWSC) </w:t>
            </w:r>
          </w:p>
        </w:tc>
        <w:tc>
          <w:tcPr>
            <w:tcW w:w="2201" w:type="dxa"/>
            <w:tcBorders>
              <w:top w:val="nil"/>
              <w:left w:val="nil"/>
              <w:bottom w:val="single" w:sz="4" w:space="0" w:color="auto"/>
              <w:right w:val="single" w:sz="4" w:space="0" w:color="auto"/>
            </w:tcBorders>
            <w:shd w:val="clear" w:color="auto" w:fill="auto"/>
            <w:noWrap/>
            <w:vAlign w:val="bottom"/>
            <w:hideMark/>
          </w:tcPr>
          <w:p w14:paraId="05FC97F1"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Tarhata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Maglangit</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65DAAE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12723C2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06AB80F7"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0B35CB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lastRenderedPageBreak/>
              <w:t>90</w:t>
            </w:r>
          </w:p>
        </w:tc>
        <w:tc>
          <w:tcPr>
            <w:tcW w:w="1472" w:type="dxa"/>
            <w:tcBorders>
              <w:top w:val="nil"/>
              <w:left w:val="nil"/>
              <w:bottom w:val="single" w:sz="4" w:space="0" w:color="auto"/>
              <w:right w:val="single" w:sz="4" w:space="0" w:color="auto"/>
            </w:tcBorders>
            <w:shd w:val="clear" w:color="auto" w:fill="auto"/>
            <w:noWrap/>
            <w:vAlign w:val="bottom"/>
            <w:hideMark/>
          </w:tcPr>
          <w:p w14:paraId="0BF7F2E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IAG</w:t>
            </w:r>
          </w:p>
        </w:tc>
        <w:tc>
          <w:tcPr>
            <w:tcW w:w="2181" w:type="dxa"/>
            <w:tcBorders>
              <w:top w:val="nil"/>
              <w:left w:val="nil"/>
              <w:bottom w:val="single" w:sz="4" w:space="0" w:color="auto"/>
              <w:right w:val="single" w:sz="4" w:space="0" w:color="auto"/>
            </w:tcBorders>
            <w:shd w:val="clear" w:color="auto" w:fill="auto"/>
            <w:noWrap/>
            <w:vAlign w:val="bottom"/>
            <w:hideMark/>
          </w:tcPr>
          <w:p w14:paraId="422D6FE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Organization of </w:t>
            </w:r>
            <w:proofErr w:type="spellStart"/>
            <w:r w:rsidRPr="00D058C1">
              <w:rPr>
                <w:rFonts w:ascii="Cambria" w:hAnsi="Cambria" w:cs="Calibri"/>
                <w:color w:val="000000"/>
                <w:sz w:val="18"/>
                <w:szCs w:val="18"/>
              </w:rPr>
              <w:t>Teduray</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Lambangian</w:t>
            </w:r>
            <w:proofErr w:type="spellEnd"/>
            <w:r w:rsidRPr="00D058C1">
              <w:rPr>
                <w:rFonts w:ascii="Cambria" w:hAnsi="Cambria" w:cs="Calibri"/>
                <w:color w:val="000000"/>
                <w:sz w:val="18"/>
                <w:szCs w:val="18"/>
              </w:rPr>
              <w:t xml:space="preserve"> Conference (OTLAC), </w:t>
            </w:r>
          </w:p>
        </w:tc>
        <w:tc>
          <w:tcPr>
            <w:tcW w:w="2201" w:type="dxa"/>
            <w:tcBorders>
              <w:top w:val="nil"/>
              <w:left w:val="nil"/>
              <w:bottom w:val="single" w:sz="4" w:space="0" w:color="auto"/>
              <w:right w:val="single" w:sz="4" w:space="0" w:color="auto"/>
            </w:tcBorders>
            <w:shd w:val="clear" w:color="auto" w:fill="auto"/>
            <w:noWrap/>
            <w:vAlign w:val="bottom"/>
            <w:hideMark/>
          </w:tcPr>
          <w:p w14:paraId="642A429C"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Deonato</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Mookudef</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44A512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721765D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B4A00D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C7F47B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91</w:t>
            </w:r>
          </w:p>
        </w:tc>
        <w:tc>
          <w:tcPr>
            <w:tcW w:w="1472" w:type="dxa"/>
            <w:tcBorders>
              <w:top w:val="nil"/>
              <w:left w:val="nil"/>
              <w:bottom w:val="single" w:sz="4" w:space="0" w:color="auto"/>
              <w:right w:val="single" w:sz="4" w:space="0" w:color="auto"/>
            </w:tcBorders>
            <w:shd w:val="clear" w:color="auto" w:fill="auto"/>
            <w:noWrap/>
            <w:vAlign w:val="bottom"/>
            <w:hideMark/>
          </w:tcPr>
          <w:p w14:paraId="39EE217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7F87069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UNYPAD</w:t>
            </w:r>
          </w:p>
        </w:tc>
        <w:tc>
          <w:tcPr>
            <w:tcW w:w="2201" w:type="dxa"/>
            <w:tcBorders>
              <w:top w:val="nil"/>
              <w:left w:val="nil"/>
              <w:bottom w:val="single" w:sz="4" w:space="0" w:color="auto"/>
              <w:right w:val="single" w:sz="4" w:space="0" w:color="auto"/>
            </w:tcBorders>
            <w:shd w:val="clear" w:color="auto" w:fill="auto"/>
            <w:noWrap/>
            <w:vAlign w:val="bottom"/>
            <w:hideMark/>
          </w:tcPr>
          <w:p w14:paraId="7A1463FB"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Morsidin</w:t>
            </w:r>
            <w:proofErr w:type="spellEnd"/>
            <w:r w:rsidRPr="00D058C1">
              <w:rPr>
                <w:rFonts w:ascii="Cambria" w:hAnsi="Cambria" w:cs="Calibri"/>
                <w:color w:val="000000"/>
                <w:sz w:val="18"/>
                <w:szCs w:val="18"/>
              </w:rPr>
              <w:t xml:space="preserve"> Husain</w:t>
            </w:r>
          </w:p>
        </w:tc>
        <w:tc>
          <w:tcPr>
            <w:tcW w:w="1593" w:type="dxa"/>
            <w:tcBorders>
              <w:top w:val="nil"/>
              <w:left w:val="nil"/>
              <w:bottom w:val="single" w:sz="4" w:space="0" w:color="auto"/>
              <w:right w:val="single" w:sz="4" w:space="0" w:color="auto"/>
            </w:tcBorders>
            <w:shd w:val="clear" w:color="auto" w:fill="auto"/>
            <w:noWrap/>
            <w:vAlign w:val="bottom"/>
            <w:hideMark/>
          </w:tcPr>
          <w:p w14:paraId="7B4C9D1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4532DCB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39C7822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1101AD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92</w:t>
            </w:r>
          </w:p>
        </w:tc>
        <w:tc>
          <w:tcPr>
            <w:tcW w:w="1472" w:type="dxa"/>
            <w:tcBorders>
              <w:top w:val="nil"/>
              <w:left w:val="nil"/>
              <w:bottom w:val="single" w:sz="4" w:space="0" w:color="auto"/>
              <w:right w:val="single" w:sz="4" w:space="0" w:color="auto"/>
            </w:tcBorders>
            <w:shd w:val="clear" w:color="auto" w:fill="auto"/>
            <w:noWrap/>
            <w:vAlign w:val="bottom"/>
            <w:hideMark/>
          </w:tcPr>
          <w:p w14:paraId="11E1996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16C78174"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AFADMin</w:t>
            </w:r>
            <w:proofErr w:type="spellEnd"/>
          </w:p>
        </w:tc>
        <w:tc>
          <w:tcPr>
            <w:tcW w:w="2201" w:type="dxa"/>
            <w:tcBorders>
              <w:top w:val="nil"/>
              <w:left w:val="nil"/>
              <w:bottom w:val="single" w:sz="4" w:space="0" w:color="auto"/>
              <w:right w:val="single" w:sz="4" w:space="0" w:color="auto"/>
            </w:tcBorders>
            <w:shd w:val="clear" w:color="auto" w:fill="auto"/>
            <w:noWrap/>
            <w:vAlign w:val="bottom"/>
            <w:hideMark/>
          </w:tcPr>
          <w:p w14:paraId="7EBE01F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Datu Ali Ibrahim</w:t>
            </w:r>
          </w:p>
        </w:tc>
        <w:tc>
          <w:tcPr>
            <w:tcW w:w="1593" w:type="dxa"/>
            <w:tcBorders>
              <w:top w:val="nil"/>
              <w:left w:val="nil"/>
              <w:bottom w:val="single" w:sz="4" w:space="0" w:color="auto"/>
              <w:right w:val="single" w:sz="4" w:space="0" w:color="auto"/>
            </w:tcBorders>
            <w:shd w:val="clear" w:color="auto" w:fill="auto"/>
            <w:noWrap/>
            <w:vAlign w:val="bottom"/>
            <w:hideMark/>
          </w:tcPr>
          <w:p w14:paraId="5A5EAE8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7D5B7C9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184C742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5D7D46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93</w:t>
            </w:r>
          </w:p>
        </w:tc>
        <w:tc>
          <w:tcPr>
            <w:tcW w:w="1472" w:type="dxa"/>
            <w:tcBorders>
              <w:top w:val="nil"/>
              <w:left w:val="nil"/>
              <w:bottom w:val="single" w:sz="4" w:space="0" w:color="auto"/>
              <w:right w:val="single" w:sz="4" w:space="0" w:color="auto"/>
            </w:tcBorders>
            <w:shd w:val="clear" w:color="auto" w:fill="auto"/>
            <w:noWrap/>
            <w:vAlign w:val="bottom"/>
            <w:hideMark/>
          </w:tcPr>
          <w:p w14:paraId="33FB3D0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4861A47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WOMB</w:t>
            </w:r>
          </w:p>
        </w:tc>
        <w:tc>
          <w:tcPr>
            <w:tcW w:w="2201" w:type="dxa"/>
            <w:tcBorders>
              <w:top w:val="nil"/>
              <w:left w:val="nil"/>
              <w:bottom w:val="single" w:sz="4" w:space="0" w:color="auto"/>
              <w:right w:val="single" w:sz="4" w:space="0" w:color="auto"/>
            </w:tcBorders>
            <w:shd w:val="clear" w:color="auto" w:fill="auto"/>
            <w:noWrap/>
            <w:vAlign w:val="bottom"/>
            <w:hideMark/>
          </w:tcPr>
          <w:p w14:paraId="64F032E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Anabelle </w:t>
            </w:r>
            <w:proofErr w:type="spellStart"/>
            <w:r w:rsidRPr="00D058C1">
              <w:rPr>
                <w:rFonts w:ascii="Cambria" w:hAnsi="Cambria" w:cs="Calibri"/>
                <w:color w:val="000000"/>
                <w:sz w:val="18"/>
                <w:szCs w:val="18"/>
              </w:rPr>
              <w:t>Esmael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DDE1D3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7D148C0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A6000E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811025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94</w:t>
            </w:r>
          </w:p>
        </w:tc>
        <w:tc>
          <w:tcPr>
            <w:tcW w:w="1472" w:type="dxa"/>
            <w:tcBorders>
              <w:top w:val="nil"/>
              <w:left w:val="nil"/>
              <w:bottom w:val="single" w:sz="4" w:space="0" w:color="auto"/>
              <w:right w:val="single" w:sz="4" w:space="0" w:color="auto"/>
            </w:tcBorders>
            <w:shd w:val="clear" w:color="auto" w:fill="auto"/>
            <w:noWrap/>
            <w:vAlign w:val="bottom"/>
            <w:hideMark/>
          </w:tcPr>
          <w:p w14:paraId="4F948FD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Oxfam</w:t>
            </w:r>
          </w:p>
        </w:tc>
        <w:tc>
          <w:tcPr>
            <w:tcW w:w="2181" w:type="dxa"/>
            <w:tcBorders>
              <w:top w:val="nil"/>
              <w:left w:val="nil"/>
              <w:bottom w:val="single" w:sz="4" w:space="0" w:color="auto"/>
              <w:right w:val="single" w:sz="4" w:space="0" w:color="auto"/>
            </w:tcBorders>
            <w:shd w:val="clear" w:color="auto" w:fill="auto"/>
            <w:noWrap/>
            <w:vAlign w:val="bottom"/>
            <w:hideMark/>
          </w:tcPr>
          <w:p w14:paraId="115EEDB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UnYPhil</w:t>
            </w:r>
            <w:proofErr w:type="spellEnd"/>
            <w:r w:rsidRPr="00D058C1">
              <w:rPr>
                <w:rFonts w:ascii="Cambria" w:hAnsi="Cambria" w:cs="Calibri"/>
                <w:color w:val="000000"/>
                <w:sz w:val="18"/>
                <w:szCs w:val="18"/>
              </w:rPr>
              <w:t xml:space="preserve">-Women </w:t>
            </w:r>
          </w:p>
        </w:tc>
        <w:tc>
          <w:tcPr>
            <w:tcW w:w="2201" w:type="dxa"/>
            <w:tcBorders>
              <w:top w:val="nil"/>
              <w:left w:val="nil"/>
              <w:bottom w:val="single" w:sz="4" w:space="0" w:color="auto"/>
              <w:right w:val="single" w:sz="4" w:space="0" w:color="auto"/>
            </w:tcBorders>
            <w:shd w:val="clear" w:color="auto" w:fill="auto"/>
            <w:noWrap/>
            <w:vAlign w:val="bottom"/>
            <w:hideMark/>
          </w:tcPr>
          <w:p w14:paraId="01D271AE"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Mobina</w:t>
            </w:r>
            <w:proofErr w:type="spellEnd"/>
            <w:r w:rsidRPr="00D058C1">
              <w:rPr>
                <w:rFonts w:ascii="Cambria" w:hAnsi="Cambria" w:cs="Calibri"/>
                <w:color w:val="000000"/>
                <w:sz w:val="18"/>
                <w:szCs w:val="18"/>
              </w:rPr>
              <w:t xml:space="preserve"> Kasim</w:t>
            </w:r>
          </w:p>
        </w:tc>
        <w:tc>
          <w:tcPr>
            <w:tcW w:w="1593" w:type="dxa"/>
            <w:tcBorders>
              <w:top w:val="nil"/>
              <w:left w:val="nil"/>
              <w:bottom w:val="single" w:sz="4" w:space="0" w:color="auto"/>
              <w:right w:val="single" w:sz="4" w:space="0" w:color="auto"/>
            </w:tcBorders>
            <w:shd w:val="clear" w:color="auto" w:fill="auto"/>
            <w:noWrap/>
            <w:vAlign w:val="bottom"/>
            <w:hideMark/>
          </w:tcPr>
          <w:p w14:paraId="015FDEC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55F2457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36227AC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0E7ADF"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95</w:t>
            </w:r>
          </w:p>
        </w:tc>
        <w:tc>
          <w:tcPr>
            <w:tcW w:w="1472" w:type="dxa"/>
            <w:tcBorders>
              <w:top w:val="nil"/>
              <w:left w:val="nil"/>
              <w:bottom w:val="single" w:sz="4" w:space="0" w:color="auto"/>
              <w:right w:val="single" w:sz="4" w:space="0" w:color="auto"/>
            </w:tcBorders>
            <w:shd w:val="clear" w:color="auto" w:fill="auto"/>
            <w:noWrap/>
            <w:vAlign w:val="bottom"/>
            <w:hideMark/>
          </w:tcPr>
          <w:p w14:paraId="268CB3A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7ED3C93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Federation of United </w:t>
            </w:r>
            <w:proofErr w:type="spellStart"/>
            <w:r w:rsidRPr="00D058C1">
              <w:rPr>
                <w:rFonts w:ascii="Cambria" w:hAnsi="Cambria" w:cs="Calibri"/>
                <w:color w:val="000000"/>
                <w:sz w:val="18"/>
                <w:szCs w:val="18"/>
              </w:rPr>
              <w:t>Mindanawan</w:t>
            </w:r>
            <w:proofErr w:type="spellEnd"/>
            <w:r w:rsidRPr="00D058C1">
              <w:rPr>
                <w:rFonts w:ascii="Cambria" w:hAnsi="Cambria" w:cs="Calibri"/>
                <w:color w:val="000000"/>
                <w:sz w:val="18"/>
                <w:szCs w:val="18"/>
              </w:rPr>
              <w:t xml:space="preserve"> Bangsamoro Women MPC</w:t>
            </w:r>
          </w:p>
        </w:tc>
        <w:tc>
          <w:tcPr>
            <w:tcW w:w="2201" w:type="dxa"/>
            <w:tcBorders>
              <w:top w:val="nil"/>
              <w:left w:val="nil"/>
              <w:bottom w:val="single" w:sz="4" w:space="0" w:color="auto"/>
              <w:right w:val="single" w:sz="4" w:space="0" w:color="auto"/>
            </w:tcBorders>
            <w:shd w:val="clear" w:color="auto" w:fill="auto"/>
            <w:noWrap/>
            <w:vAlign w:val="bottom"/>
            <w:hideMark/>
          </w:tcPr>
          <w:p w14:paraId="1DDAC60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Bait </w:t>
            </w:r>
            <w:proofErr w:type="spellStart"/>
            <w:r w:rsidRPr="00D058C1">
              <w:rPr>
                <w:rFonts w:ascii="Cambria" w:hAnsi="Cambria" w:cs="Calibri"/>
                <w:color w:val="000000"/>
                <w:sz w:val="18"/>
                <w:szCs w:val="18"/>
              </w:rPr>
              <w:t>Sittie</w:t>
            </w:r>
            <w:proofErr w:type="spellEnd"/>
            <w:r w:rsidRPr="00D058C1">
              <w:rPr>
                <w:rFonts w:ascii="Cambria" w:hAnsi="Cambria" w:cs="Calibri"/>
                <w:color w:val="000000"/>
                <w:sz w:val="18"/>
                <w:szCs w:val="18"/>
              </w:rPr>
              <w:t xml:space="preserve"> Rabia Abdullah</w:t>
            </w:r>
          </w:p>
        </w:tc>
        <w:tc>
          <w:tcPr>
            <w:tcW w:w="1593" w:type="dxa"/>
            <w:tcBorders>
              <w:top w:val="nil"/>
              <w:left w:val="nil"/>
              <w:bottom w:val="single" w:sz="4" w:space="0" w:color="auto"/>
              <w:right w:val="single" w:sz="4" w:space="0" w:color="auto"/>
            </w:tcBorders>
            <w:shd w:val="clear" w:color="auto" w:fill="auto"/>
            <w:noWrap/>
            <w:vAlign w:val="bottom"/>
            <w:hideMark/>
          </w:tcPr>
          <w:p w14:paraId="6CECCBC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53531A3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126B0C3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3CD6F0C"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96</w:t>
            </w:r>
          </w:p>
        </w:tc>
        <w:tc>
          <w:tcPr>
            <w:tcW w:w="1472" w:type="dxa"/>
            <w:tcBorders>
              <w:top w:val="nil"/>
              <w:left w:val="nil"/>
              <w:bottom w:val="single" w:sz="4" w:space="0" w:color="auto"/>
              <w:right w:val="single" w:sz="4" w:space="0" w:color="auto"/>
            </w:tcBorders>
            <w:shd w:val="clear" w:color="auto" w:fill="auto"/>
            <w:noWrap/>
            <w:vAlign w:val="bottom"/>
            <w:hideMark/>
          </w:tcPr>
          <w:p w14:paraId="5B2A0D2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774688C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Federation of United </w:t>
            </w:r>
            <w:proofErr w:type="spellStart"/>
            <w:r w:rsidRPr="00D058C1">
              <w:rPr>
                <w:rFonts w:ascii="Cambria" w:hAnsi="Cambria" w:cs="Calibri"/>
                <w:color w:val="000000"/>
                <w:sz w:val="18"/>
                <w:szCs w:val="18"/>
              </w:rPr>
              <w:t>Mindanawan</w:t>
            </w:r>
            <w:proofErr w:type="spellEnd"/>
            <w:r w:rsidRPr="00D058C1">
              <w:rPr>
                <w:rFonts w:ascii="Cambria" w:hAnsi="Cambria" w:cs="Calibri"/>
                <w:color w:val="000000"/>
                <w:sz w:val="18"/>
                <w:szCs w:val="18"/>
              </w:rPr>
              <w:t xml:space="preserve"> Bangsamoro Women MPC</w:t>
            </w:r>
          </w:p>
        </w:tc>
        <w:tc>
          <w:tcPr>
            <w:tcW w:w="2201" w:type="dxa"/>
            <w:tcBorders>
              <w:top w:val="nil"/>
              <w:left w:val="nil"/>
              <w:bottom w:val="single" w:sz="4" w:space="0" w:color="auto"/>
              <w:right w:val="single" w:sz="4" w:space="0" w:color="auto"/>
            </w:tcBorders>
            <w:shd w:val="clear" w:color="auto" w:fill="auto"/>
            <w:noWrap/>
            <w:vAlign w:val="bottom"/>
            <w:hideMark/>
          </w:tcPr>
          <w:p w14:paraId="67FAE3D5"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Datuking</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Tua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1F03479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5BDEEE5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15D644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FC0C784"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97</w:t>
            </w:r>
          </w:p>
        </w:tc>
        <w:tc>
          <w:tcPr>
            <w:tcW w:w="1472" w:type="dxa"/>
            <w:tcBorders>
              <w:top w:val="nil"/>
              <w:left w:val="nil"/>
              <w:bottom w:val="single" w:sz="4" w:space="0" w:color="auto"/>
              <w:right w:val="single" w:sz="4" w:space="0" w:color="auto"/>
            </w:tcBorders>
            <w:shd w:val="clear" w:color="auto" w:fill="auto"/>
            <w:noWrap/>
            <w:vAlign w:val="bottom"/>
            <w:hideMark/>
          </w:tcPr>
          <w:p w14:paraId="11B2E08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w:t>
            </w:r>
          </w:p>
        </w:tc>
        <w:tc>
          <w:tcPr>
            <w:tcW w:w="2181" w:type="dxa"/>
            <w:tcBorders>
              <w:top w:val="nil"/>
              <w:left w:val="nil"/>
              <w:bottom w:val="single" w:sz="4" w:space="0" w:color="auto"/>
              <w:right w:val="single" w:sz="4" w:space="0" w:color="auto"/>
            </w:tcBorders>
            <w:shd w:val="clear" w:color="auto" w:fill="auto"/>
            <w:noWrap/>
            <w:vAlign w:val="bottom"/>
            <w:hideMark/>
          </w:tcPr>
          <w:p w14:paraId="165B8EA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BLMI</w:t>
            </w:r>
          </w:p>
        </w:tc>
        <w:tc>
          <w:tcPr>
            <w:tcW w:w="2201" w:type="dxa"/>
            <w:tcBorders>
              <w:top w:val="nil"/>
              <w:left w:val="nil"/>
              <w:bottom w:val="single" w:sz="4" w:space="0" w:color="auto"/>
              <w:right w:val="single" w:sz="4" w:space="0" w:color="auto"/>
            </w:tcBorders>
            <w:shd w:val="clear" w:color="auto" w:fill="auto"/>
            <w:noWrap/>
            <w:vAlign w:val="bottom"/>
            <w:hideMark/>
          </w:tcPr>
          <w:p w14:paraId="517B813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Wahab </w:t>
            </w:r>
            <w:proofErr w:type="spellStart"/>
            <w:r w:rsidRPr="00D058C1">
              <w:rPr>
                <w:rFonts w:ascii="Cambria" w:hAnsi="Cambria" w:cs="Calibri"/>
                <w:color w:val="000000"/>
                <w:sz w:val="18"/>
                <w:szCs w:val="18"/>
              </w:rPr>
              <w:t>Guidal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A18125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588354E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61ACFE0C"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6DCFEB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98</w:t>
            </w:r>
          </w:p>
        </w:tc>
        <w:tc>
          <w:tcPr>
            <w:tcW w:w="1472" w:type="dxa"/>
            <w:tcBorders>
              <w:top w:val="nil"/>
              <w:left w:val="nil"/>
              <w:bottom w:val="single" w:sz="4" w:space="0" w:color="auto"/>
              <w:right w:val="single" w:sz="4" w:space="0" w:color="auto"/>
            </w:tcBorders>
            <w:shd w:val="clear" w:color="auto" w:fill="auto"/>
            <w:noWrap/>
            <w:vAlign w:val="bottom"/>
            <w:hideMark/>
          </w:tcPr>
          <w:p w14:paraId="572577A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w:t>
            </w:r>
          </w:p>
        </w:tc>
        <w:tc>
          <w:tcPr>
            <w:tcW w:w="2181" w:type="dxa"/>
            <w:tcBorders>
              <w:top w:val="nil"/>
              <w:left w:val="nil"/>
              <w:bottom w:val="single" w:sz="4" w:space="0" w:color="auto"/>
              <w:right w:val="single" w:sz="4" w:space="0" w:color="auto"/>
            </w:tcBorders>
            <w:shd w:val="clear" w:color="auto" w:fill="auto"/>
            <w:noWrap/>
            <w:vAlign w:val="bottom"/>
            <w:hideMark/>
          </w:tcPr>
          <w:p w14:paraId="536CC13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MOSEP</w:t>
            </w:r>
          </w:p>
        </w:tc>
        <w:tc>
          <w:tcPr>
            <w:tcW w:w="2201" w:type="dxa"/>
            <w:tcBorders>
              <w:top w:val="nil"/>
              <w:left w:val="nil"/>
              <w:bottom w:val="single" w:sz="4" w:space="0" w:color="auto"/>
              <w:right w:val="single" w:sz="4" w:space="0" w:color="auto"/>
            </w:tcBorders>
            <w:shd w:val="clear" w:color="auto" w:fill="auto"/>
            <w:noWrap/>
            <w:vAlign w:val="bottom"/>
            <w:hideMark/>
          </w:tcPr>
          <w:p w14:paraId="0E3E7DD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Mariam K. Ali</w:t>
            </w:r>
          </w:p>
        </w:tc>
        <w:tc>
          <w:tcPr>
            <w:tcW w:w="1593" w:type="dxa"/>
            <w:tcBorders>
              <w:top w:val="nil"/>
              <w:left w:val="nil"/>
              <w:bottom w:val="single" w:sz="4" w:space="0" w:color="auto"/>
              <w:right w:val="single" w:sz="4" w:space="0" w:color="auto"/>
            </w:tcBorders>
            <w:shd w:val="clear" w:color="auto" w:fill="auto"/>
            <w:noWrap/>
            <w:vAlign w:val="bottom"/>
            <w:hideMark/>
          </w:tcPr>
          <w:p w14:paraId="0E6E161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05255A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2952B4AE"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49B0167"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99</w:t>
            </w:r>
          </w:p>
        </w:tc>
        <w:tc>
          <w:tcPr>
            <w:tcW w:w="1472" w:type="dxa"/>
            <w:tcBorders>
              <w:top w:val="nil"/>
              <w:left w:val="nil"/>
              <w:bottom w:val="single" w:sz="4" w:space="0" w:color="auto"/>
              <w:right w:val="single" w:sz="4" w:space="0" w:color="auto"/>
            </w:tcBorders>
            <w:shd w:val="clear" w:color="auto" w:fill="auto"/>
            <w:noWrap/>
            <w:vAlign w:val="bottom"/>
            <w:hideMark/>
          </w:tcPr>
          <w:p w14:paraId="0991AD9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w:t>
            </w:r>
          </w:p>
        </w:tc>
        <w:tc>
          <w:tcPr>
            <w:tcW w:w="2181" w:type="dxa"/>
            <w:tcBorders>
              <w:top w:val="nil"/>
              <w:left w:val="nil"/>
              <w:bottom w:val="single" w:sz="4" w:space="0" w:color="auto"/>
              <w:right w:val="single" w:sz="4" w:space="0" w:color="auto"/>
            </w:tcBorders>
            <w:shd w:val="clear" w:color="auto" w:fill="auto"/>
            <w:noWrap/>
            <w:vAlign w:val="bottom"/>
            <w:hideMark/>
          </w:tcPr>
          <w:p w14:paraId="34BDB6FA"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MAPAD</w:t>
            </w:r>
          </w:p>
        </w:tc>
        <w:tc>
          <w:tcPr>
            <w:tcW w:w="2201" w:type="dxa"/>
            <w:tcBorders>
              <w:top w:val="nil"/>
              <w:left w:val="nil"/>
              <w:bottom w:val="single" w:sz="4" w:space="0" w:color="auto"/>
              <w:right w:val="single" w:sz="4" w:space="0" w:color="auto"/>
            </w:tcBorders>
            <w:shd w:val="clear" w:color="auto" w:fill="auto"/>
            <w:noWrap/>
            <w:vAlign w:val="bottom"/>
            <w:hideMark/>
          </w:tcPr>
          <w:p w14:paraId="6D2159FA"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Mahdie</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Amellia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3385BEC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2CF40AE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Monday, 17 February 2020</w:t>
            </w:r>
          </w:p>
        </w:tc>
      </w:tr>
      <w:tr w:rsidR="00C12CE0" w:rsidRPr="00D058C1" w14:paraId="4F8C675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4EA479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100</w:t>
            </w:r>
          </w:p>
        </w:tc>
        <w:tc>
          <w:tcPr>
            <w:tcW w:w="1472" w:type="dxa"/>
            <w:tcBorders>
              <w:top w:val="nil"/>
              <w:left w:val="nil"/>
              <w:bottom w:val="single" w:sz="4" w:space="0" w:color="auto"/>
              <w:right w:val="single" w:sz="4" w:space="0" w:color="auto"/>
            </w:tcBorders>
            <w:shd w:val="clear" w:color="auto" w:fill="auto"/>
            <w:noWrap/>
            <w:vAlign w:val="bottom"/>
            <w:hideMark/>
          </w:tcPr>
          <w:p w14:paraId="0ACA01B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02AFAAD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Mothers for Peace</w:t>
            </w:r>
          </w:p>
        </w:tc>
        <w:tc>
          <w:tcPr>
            <w:tcW w:w="2201" w:type="dxa"/>
            <w:tcBorders>
              <w:top w:val="nil"/>
              <w:left w:val="nil"/>
              <w:bottom w:val="single" w:sz="4" w:space="0" w:color="auto"/>
              <w:right w:val="single" w:sz="4" w:space="0" w:color="auto"/>
            </w:tcBorders>
            <w:shd w:val="clear" w:color="auto" w:fill="auto"/>
            <w:noWrap/>
            <w:vAlign w:val="bottom"/>
            <w:hideMark/>
          </w:tcPr>
          <w:p w14:paraId="283A7F4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Nida Dans</w:t>
            </w:r>
          </w:p>
        </w:tc>
        <w:tc>
          <w:tcPr>
            <w:tcW w:w="1593" w:type="dxa"/>
            <w:tcBorders>
              <w:top w:val="nil"/>
              <w:left w:val="nil"/>
              <w:bottom w:val="single" w:sz="4" w:space="0" w:color="auto"/>
              <w:right w:val="single" w:sz="4" w:space="0" w:color="auto"/>
            </w:tcBorders>
            <w:shd w:val="clear" w:color="auto" w:fill="auto"/>
            <w:noWrap/>
            <w:vAlign w:val="bottom"/>
            <w:hideMark/>
          </w:tcPr>
          <w:p w14:paraId="6732B4D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1F4FB2D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31 January 2020</w:t>
            </w:r>
          </w:p>
        </w:tc>
      </w:tr>
      <w:tr w:rsidR="00C12CE0" w:rsidRPr="00D058C1" w14:paraId="0159A81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865B69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101</w:t>
            </w:r>
          </w:p>
        </w:tc>
        <w:tc>
          <w:tcPr>
            <w:tcW w:w="1472" w:type="dxa"/>
            <w:tcBorders>
              <w:top w:val="nil"/>
              <w:left w:val="nil"/>
              <w:bottom w:val="single" w:sz="4" w:space="0" w:color="auto"/>
              <w:right w:val="single" w:sz="4" w:space="0" w:color="auto"/>
            </w:tcBorders>
            <w:shd w:val="clear" w:color="auto" w:fill="auto"/>
            <w:noWrap/>
            <w:vAlign w:val="bottom"/>
            <w:hideMark/>
          </w:tcPr>
          <w:p w14:paraId="511AC95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0BAA4268"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BASULTA Contact Group</w:t>
            </w:r>
          </w:p>
        </w:tc>
        <w:tc>
          <w:tcPr>
            <w:tcW w:w="2201" w:type="dxa"/>
            <w:tcBorders>
              <w:top w:val="nil"/>
              <w:left w:val="nil"/>
              <w:bottom w:val="single" w:sz="4" w:space="0" w:color="auto"/>
              <w:right w:val="single" w:sz="4" w:space="0" w:color="auto"/>
            </w:tcBorders>
            <w:shd w:val="clear" w:color="auto" w:fill="auto"/>
            <w:noWrap/>
            <w:vAlign w:val="bottom"/>
            <w:hideMark/>
          </w:tcPr>
          <w:p w14:paraId="1DC24DA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Benhur Usman</w:t>
            </w:r>
          </w:p>
        </w:tc>
        <w:tc>
          <w:tcPr>
            <w:tcW w:w="1593" w:type="dxa"/>
            <w:tcBorders>
              <w:top w:val="nil"/>
              <w:left w:val="nil"/>
              <w:bottom w:val="single" w:sz="4" w:space="0" w:color="auto"/>
              <w:right w:val="single" w:sz="4" w:space="0" w:color="auto"/>
            </w:tcBorders>
            <w:shd w:val="clear" w:color="auto" w:fill="auto"/>
            <w:noWrap/>
            <w:vAlign w:val="bottom"/>
            <w:hideMark/>
          </w:tcPr>
          <w:p w14:paraId="422A9AA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777C947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31 January 2020</w:t>
            </w:r>
          </w:p>
        </w:tc>
      </w:tr>
      <w:tr w:rsidR="00C12CE0" w:rsidRPr="00D058C1" w14:paraId="4E6F525F"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791B5F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102</w:t>
            </w:r>
          </w:p>
        </w:tc>
        <w:tc>
          <w:tcPr>
            <w:tcW w:w="1472" w:type="dxa"/>
            <w:tcBorders>
              <w:top w:val="nil"/>
              <w:left w:val="nil"/>
              <w:bottom w:val="single" w:sz="4" w:space="0" w:color="auto"/>
              <w:right w:val="single" w:sz="4" w:space="0" w:color="auto"/>
            </w:tcBorders>
            <w:shd w:val="clear" w:color="auto" w:fill="auto"/>
            <w:noWrap/>
            <w:vAlign w:val="bottom"/>
            <w:hideMark/>
          </w:tcPr>
          <w:p w14:paraId="5BFDE4F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36460484"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BASULTA Contact Group</w:t>
            </w:r>
          </w:p>
        </w:tc>
        <w:tc>
          <w:tcPr>
            <w:tcW w:w="2201" w:type="dxa"/>
            <w:tcBorders>
              <w:top w:val="nil"/>
              <w:left w:val="nil"/>
              <w:bottom w:val="single" w:sz="4" w:space="0" w:color="auto"/>
              <w:right w:val="single" w:sz="4" w:space="0" w:color="auto"/>
            </w:tcBorders>
            <w:shd w:val="clear" w:color="auto" w:fill="auto"/>
            <w:noWrap/>
            <w:vAlign w:val="bottom"/>
            <w:hideMark/>
          </w:tcPr>
          <w:p w14:paraId="3728108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Jocelyn </w:t>
            </w:r>
            <w:proofErr w:type="spellStart"/>
            <w:r w:rsidRPr="00D058C1">
              <w:rPr>
                <w:rFonts w:ascii="Cambria" w:hAnsi="Cambria" w:cs="Calibri"/>
                <w:color w:val="000000"/>
                <w:sz w:val="18"/>
                <w:szCs w:val="18"/>
              </w:rPr>
              <w:t>Sumail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170FA77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4E9893E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618DE5F2"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FB7E29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103</w:t>
            </w:r>
          </w:p>
        </w:tc>
        <w:tc>
          <w:tcPr>
            <w:tcW w:w="1472" w:type="dxa"/>
            <w:tcBorders>
              <w:top w:val="nil"/>
              <w:left w:val="nil"/>
              <w:bottom w:val="single" w:sz="4" w:space="0" w:color="auto"/>
              <w:right w:val="single" w:sz="4" w:space="0" w:color="auto"/>
            </w:tcBorders>
            <w:shd w:val="clear" w:color="auto" w:fill="auto"/>
            <w:noWrap/>
            <w:vAlign w:val="bottom"/>
            <w:hideMark/>
          </w:tcPr>
          <w:p w14:paraId="6C7CEA7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0F3C8E4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BASULTA Contact Group</w:t>
            </w:r>
          </w:p>
        </w:tc>
        <w:tc>
          <w:tcPr>
            <w:tcW w:w="2201" w:type="dxa"/>
            <w:tcBorders>
              <w:top w:val="nil"/>
              <w:left w:val="nil"/>
              <w:bottom w:val="single" w:sz="4" w:space="0" w:color="auto"/>
              <w:right w:val="single" w:sz="4" w:space="0" w:color="auto"/>
            </w:tcBorders>
            <w:shd w:val="clear" w:color="auto" w:fill="auto"/>
            <w:noWrap/>
            <w:vAlign w:val="bottom"/>
            <w:hideMark/>
          </w:tcPr>
          <w:p w14:paraId="212A538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Abdulla </w:t>
            </w:r>
            <w:proofErr w:type="spellStart"/>
            <w:r w:rsidRPr="00D058C1">
              <w:rPr>
                <w:rFonts w:ascii="Cambria" w:hAnsi="Cambria" w:cs="Calibri"/>
                <w:color w:val="000000"/>
                <w:sz w:val="18"/>
                <w:szCs w:val="18"/>
              </w:rPr>
              <w:t>Sumail</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FD2CB1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04C7016A"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72C861C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BBB55B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104</w:t>
            </w:r>
          </w:p>
        </w:tc>
        <w:tc>
          <w:tcPr>
            <w:tcW w:w="1472" w:type="dxa"/>
            <w:tcBorders>
              <w:top w:val="nil"/>
              <w:left w:val="nil"/>
              <w:bottom w:val="single" w:sz="4" w:space="0" w:color="auto"/>
              <w:right w:val="single" w:sz="4" w:space="0" w:color="auto"/>
            </w:tcBorders>
            <w:shd w:val="clear" w:color="auto" w:fill="auto"/>
            <w:noWrap/>
            <w:vAlign w:val="bottom"/>
            <w:hideMark/>
          </w:tcPr>
          <w:p w14:paraId="7CD467C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TAF CARE</w:t>
            </w:r>
          </w:p>
        </w:tc>
        <w:tc>
          <w:tcPr>
            <w:tcW w:w="2181" w:type="dxa"/>
            <w:tcBorders>
              <w:top w:val="nil"/>
              <w:left w:val="nil"/>
              <w:bottom w:val="single" w:sz="4" w:space="0" w:color="auto"/>
              <w:right w:val="single" w:sz="4" w:space="0" w:color="auto"/>
            </w:tcBorders>
            <w:shd w:val="clear" w:color="auto" w:fill="auto"/>
            <w:noWrap/>
            <w:vAlign w:val="bottom"/>
            <w:hideMark/>
          </w:tcPr>
          <w:p w14:paraId="7B9D573D"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LupahSug</w:t>
            </w:r>
            <w:proofErr w:type="spellEnd"/>
            <w:r w:rsidRPr="00D058C1">
              <w:rPr>
                <w:rFonts w:ascii="Cambria" w:hAnsi="Cambria" w:cs="Calibri"/>
                <w:color w:val="000000"/>
                <w:sz w:val="18"/>
                <w:szCs w:val="18"/>
              </w:rPr>
              <w:t xml:space="preserve"> Advocators for Peace and </w:t>
            </w:r>
            <w:proofErr w:type="spellStart"/>
            <w:r w:rsidRPr="00D058C1">
              <w:rPr>
                <w:rFonts w:ascii="Cambria" w:hAnsi="Cambria" w:cs="Calibri"/>
                <w:color w:val="000000"/>
                <w:sz w:val="18"/>
                <w:szCs w:val="18"/>
              </w:rPr>
              <w:t>Develoment</w:t>
            </w:r>
            <w:proofErr w:type="spellEnd"/>
            <w:r w:rsidRPr="00D058C1">
              <w:rPr>
                <w:rFonts w:ascii="Cambria" w:hAnsi="Cambria" w:cs="Calibri"/>
                <w:color w:val="000000"/>
                <w:sz w:val="18"/>
                <w:szCs w:val="18"/>
              </w:rPr>
              <w:t xml:space="preserve"> (LSADPI)</w:t>
            </w:r>
          </w:p>
        </w:tc>
        <w:tc>
          <w:tcPr>
            <w:tcW w:w="2201" w:type="dxa"/>
            <w:tcBorders>
              <w:top w:val="nil"/>
              <w:left w:val="nil"/>
              <w:bottom w:val="single" w:sz="4" w:space="0" w:color="auto"/>
              <w:right w:val="single" w:sz="4" w:space="0" w:color="auto"/>
            </w:tcBorders>
            <w:shd w:val="clear" w:color="auto" w:fill="auto"/>
            <w:noWrap/>
            <w:vAlign w:val="bottom"/>
            <w:hideMark/>
          </w:tcPr>
          <w:p w14:paraId="5E28B060"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Alhajar</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Abdulgafor</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A033E65"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497D9BA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Friday, 31 January 2020</w:t>
            </w:r>
          </w:p>
        </w:tc>
      </w:tr>
      <w:tr w:rsidR="00C12CE0" w:rsidRPr="00D058C1" w14:paraId="46F5523A"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C5B030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105</w:t>
            </w:r>
          </w:p>
        </w:tc>
        <w:tc>
          <w:tcPr>
            <w:tcW w:w="1472" w:type="dxa"/>
            <w:tcBorders>
              <w:top w:val="nil"/>
              <w:left w:val="nil"/>
              <w:bottom w:val="single" w:sz="4" w:space="0" w:color="auto"/>
              <w:right w:val="single" w:sz="4" w:space="0" w:color="auto"/>
            </w:tcBorders>
            <w:shd w:val="clear" w:color="auto" w:fill="auto"/>
            <w:noWrap/>
            <w:vAlign w:val="bottom"/>
            <w:hideMark/>
          </w:tcPr>
          <w:p w14:paraId="1A8FFC3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Oxfam</w:t>
            </w:r>
          </w:p>
        </w:tc>
        <w:tc>
          <w:tcPr>
            <w:tcW w:w="2181" w:type="dxa"/>
            <w:tcBorders>
              <w:top w:val="nil"/>
              <w:left w:val="nil"/>
              <w:bottom w:val="single" w:sz="4" w:space="0" w:color="auto"/>
              <w:right w:val="single" w:sz="4" w:space="0" w:color="auto"/>
            </w:tcBorders>
            <w:shd w:val="clear" w:color="auto" w:fill="auto"/>
            <w:noWrap/>
            <w:vAlign w:val="bottom"/>
            <w:hideMark/>
          </w:tcPr>
          <w:p w14:paraId="20CA6C58"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Tarbilang</w:t>
            </w:r>
            <w:proofErr w:type="spellEnd"/>
            <w:r w:rsidRPr="00D058C1">
              <w:rPr>
                <w:rFonts w:ascii="Cambria" w:hAnsi="Cambria" w:cs="Calibri"/>
                <w:color w:val="000000"/>
                <w:sz w:val="18"/>
                <w:szCs w:val="18"/>
              </w:rPr>
              <w:t xml:space="preserve"> Foundation</w:t>
            </w:r>
          </w:p>
        </w:tc>
        <w:tc>
          <w:tcPr>
            <w:tcW w:w="2201" w:type="dxa"/>
            <w:tcBorders>
              <w:top w:val="nil"/>
              <w:left w:val="nil"/>
              <w:bottom w:val="single" w:sz="4" w:space="0" w:color="auto"/>
              <w:right w:val="single" w:sz="4" w:space="0" w:color="auto"/>
            </w:tcBorders>
            <w:shd w:val="clear" w:color="auto" w:fill="auto"/>
            <w:noWrap/>
            <w:vAlign w:val="bottom"/>
            <w:hideMark/>
          </w:tcPr>
          <w:p w14:paraId="10AB3A92"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Jurma</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Tikmasan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13F2BB4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620723C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39F842D1"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C606458"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106</w:t>
            </w:r>
          </w:p>
        </w:tc>
        <w:tc>
          <w:tcPr>
            <w:tcW w:w="1472" w:type="dxa"/>
            <w:tcBorders>
              <w:top w:val="nil"/>
              <w:left w:val="nil"/>
              <w:bottom w:val="single" w:sz="4" w:space="0" w:color="auto"/>
              <w:right w:val="single" w:sz="4" w:space="0" w:color="auto"/>
            </w:tcBorders>
            <w:shd w:val="clear" w:color="auto" w:fill="auto"/>
            <w:noWrap/>
            <w:vAlign w:val="bottom"/>
            <w:hideMark/>
          </w:tcPr>
          <w:p w14:paraId="28F665AD"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CHD</w:t>
            </w:r>
          </w:p>
        </w:tc>
        <w:tc>
          <w:tcPr>
            <w:tcW w:w="2181" w:type="dxa"/>
            <w:tcBorders>
              <w:top w:val="nil"/>
              <w:left w:val="nil"/>
              <w:bottom w:val="single" w:sz="4" w:space="0" w:color="auto"/>
              <w:right w:val="single" w:sz="4" w:space="0" w:color="auto"/>
            </w:tcBorders>
            <w:shd w:val="clear" w:color="auto" w:fill="auto"/>
            <w:noWrap/>
            <w:vAlign w:val="bottom"/>
            <w:hideMark/>
          </w:tcPr>
          <w:p w14:paraId="0FA7724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TSS</w:t>
            </w:r>
          </w:p>
        </w:tc>
        <w:tc>
          <w:tcPr>
            <w:tcW w:w="2201" w:type="dxa"/>
            <w:tcBorders>
              <w:top w:val="nil"/>
              <w:left w:val="nil"/>
              <w:bottom w:val="single" w:sz="4" w:space="0" w:color="auto"/>
              <w:right w:val="single" w:sz="4" w:space="0" w:color="auto"/>
            </w:tcBorders>
            <w:shd w:val="clear" w:color="auto" w:fill="auto"/>
            <w:noWrap/>
            <w:vAlign w:val="bottom"/>
            <w:hideMark/>
          </w:tcPr>
          <w:p w14:paraId="25D875EC"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Rosemain</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Abuduraji</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7C30ADE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728D8370"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6E3A1119"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42831C2"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107</w:t>
            </w:r>
          </w:p>
        </w:tc>
        <w:tc>
          <w:tcPr>
            <w:tcW w:w="1472" w:type="dxa"/>
            <w:tcBorders>
              <w:top w:val="nil"/>
              <w:left w:val="nil"/>
              <w:bottom w:val="single" w:sz="4" w:space="0" w:color="auto"/>
              <w:right w:val="single" w:sz="4" w:space="0" w:color="auto"/>
            </w:tcBorders>
            <w:shd w:val="clear" w:color="auto" w:fill="auto"/>
            <w:noWrap/>
            <w:vAlign w:val="bottom"/>
            <w:hideMark/>
          </w:tcPr>
          <w:p w14:paraId="15098D3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CHD</w:t>
            </w:r>
          </w:p>
        </w:tc>
        <w:tc>
          <w:tcPr>
            <w:tcW w:w="2181" w:type="dxa"/>
            <w:tcBorders>
              <w:top w:val="nil"/>
              <w:left w:val="nil"/>
              <w:bottom w:val="single" w:sz="4" w:space="0" w:color="auto"/>
              <w:right w:val="single" w:sz="4" w:space="0" w:color="auto"/>
            </w:tcBorders>
            <w:shd w:val="clear" w:color="auto" w:fill="auto"/>
            <w:noWrap/>
            <w:vAlign w:val="bottom"/>
            <w:hideMark/>
          </w:tcPr>
          <w:p w14:paraId="2A7A1646"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TSS</w:t>
            </w:r>
          </w:p>
        </w:tc>
        <w:tc>
          <w:tcPr>
            <w:tcW w:w="2201" w:type="dxa"/>
            <w:tcBorders>
              <w:top w:val="nil"/>
              <w:left w:val="nil"/>
              <w:bottom w:val="single" w:sz="4" w:space="0" w:color="auto"/>
              <w:right w:val="single" w:sz="4" w:space="0" w:color="auto"/>
            </w:tcBorders>
            <w:shd w:val="clear" w:color="auto" w:fill="auto"/>
            <w:noWrap/>
            <w:vAlign w:val="bottom"/>
            <w:hideMark/>
          </w:tcPr>
          <w:p w14:paraId="28B538DF"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Khamar</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Allama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4B539AC1"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6164AC7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4A8E1934"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4AED62E"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108</w:t>
            </w:r>
          </w:p>
        </w:tc>
        <w:tc>
          <w:tcPr>
            <w:tcW w:w="1472" w:type="dxa"/>
            <w:tcBorders>
              <w:top w:val="nil"/>
              <w:left w:val="nil"/>
              <w:bottom w:val="single" w:sz="4" w:space="0" w:color="auto"/>
              <w:right w:val="single" w:sz="4" w:space="0" w:color="auto"/>
            </w:tcBorders>
            <w:shd w:val="clear" w:color="auto" w:fill="auto"/>
            <w:noWrap/>
            <w:vAlign w:val="bottom"/>
            <w:hideMark/>
          </w:tcPr>
          <w:p w14:paraId="025B8459"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IAG</w:t>
            </w:r>
          </w:p>
        </w:tc>
        <w:tc>
          <w:tcPr>
            <w:tcW w:w="2181" w:type="dxa"/>
            <w:tcBorders>
              <w:top w:val="nil"/>
              <w:left w:val="nil"/>
              <w:bottom w:val="single" w:sz="4" w:space="0" w:color="auto"/>
              <w:right w:val="single" w:sz="4" w:space="0" w:color="auto"/>
            </w:tcBorders>
            <w:shd w:val="clear" w:color="auto" w:fill="auto"/>
            <w:noWrap/>
            <w:vAlign w:val="bottom"/>
            <w:hideMark/>
          </w:tcPr>
          <w:p w14:paraId="0BF0F173"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ZABIDA</w:t>
            </w:r>
          </w:p>
        </w:tc>
        <w:tc>
          <w:tcPr>
            <w:tcW w:w="2201" w:type="dxa"/>
            <w:tcBorders>
              <w:top w:val="nil"/>
              <w:left w:val="nil"/>
              <w:bottom w:val="single" w:sz="4" w:space="0" w:color="auto"/>
              <w:right w:val="single" w:sz="4" w:space="0" w:color="auto"/>
            </w:tcBorders>
            <w:shd w:val="clear" w:color="auto" w:fill="auto"/>
            <w:noWrap/>
            <w:vAlign w:val="bottom"/>
            <w:hideMark/>
          </w:tcPr>
          <w:p w14:paraId="356B7537"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Vandrazel Birowa</w:t>
            </w:r>
          </w:p>
        </w:tc>
        <w:tc>
          <w:tcPr>
            <w:tcW w:w="1593" w:type="dxa"/>
            <w:tcBorders>
              <w:top w:val="nil"/>
              <w:left w:val="nil"/>
              <w:bottom w:val="single" w:sz="4" w:space="0" w:color="auto"/>
              <w:right w:val="single" w:sz="4" w:space="0" w:color="auto"/>
            </w:tcBorders>
            <w:shd w:val="clear" w:color="auto" w:fill="auto"/>
            <w:noWrap/>
            <w:vAlign w:val="bottom"/>
            <w:hideMark/>
          </w:tcPr>
          <w:p w14:paraId="767C7E6F"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210B5379"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4CC5EFE0"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869CE56"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109</w:t>
            </w:r>
          </w:p>
        </w:tc>
        <w:tc>
          <w:tcPr>
            <w:tcW w:w="1472" w:type="dxa"/>
            <w:tcBorders>
              <w:top w:val="nil"/>
              <w:left w:val="nil"/>
              <w:bottom w:val="single" w:sz="4" w:space="0" w:color="auto"/>
              <w:right w:val="single" w:sz="4" w:space="0" w:color="auto"/>
            </w:tcBorders>
            <w:shd w:val="clear" w:color="auto" w:fill="auto"/>
            <w:noWrap/>
            <w:vAlign w:val="bottom"/>
            <w:hideMark/>
          </w:tcPr>
          <w:p w14:paraId="1E1D890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6E1F2FA1"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Lupah</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Sug</w:t>
            </w:r>
            <w:proofErr w:type="spellEnd"/>
            <w:r w:rsidRPr="00D058C1">
              <w:rPr>
                <w:rFonts w:ascii="Cambria" w:hAnsi="Cambria" w:cs="Calibri"/>
                <w:color w:val="000000"/>
                <w:sz w:val="18"/>
                <w:szCs w:val="18"/>
              </w:rPr>
              <w:t xml:space="preserve"> Bangsamoro Women Association (LSBWA); </w:t>
            </w:r>
          </w:p>
        </w:tc>
        <w:tc>
          <w:tcPr>
            <w:tcW w:w="2201" w:type="dxa"/>
            <w:tcBorders>
              <w:top w:val="nil"/>
              <w:left w:val="nil"/>
              <w:bottom w:val="single" w:sz="4" w:space="0" w:color="auto"/>
              <w:right w:val="single" w:sz="4" w:space="0" w:color="auto"/>
            </w:tcBorders>
            <w:shd w:val="clear" w:color="auto" w:fill="auto"/>
            <w:noWrap/>
            <w:vAlign w:val="bottom"/>
            <w:hideMark/>
          </w:tcPr>
          <w:p w14:paraId="3D731C04" w14:textId="77777777" w:rsidR="00C12CE0" w:rsidRPr="00D058C1" w:rsidRDefault="00C12CE0" w:rsidP="00C12CE0">
            <w:pPr>
              <w:rPr>
                <w:rFonts w:ascii="Cambria" w:hAnsi="Cambria" w:cs="Calibri"/>
                <w:color w:val="000000"/>
                <w:sz w:val="18"/>
                <w:szCs w:val="18"/>
              </w:rPr>
            </w:pPr>
            <w:proofErr w:type="spellStart"/>
            <w:r w:rsidRPr="00D058C1">
              <w:rPr>
                <w:rFonts w:ascii="Cambria" w:hAnsi="Cambria" w:cs="Calibri"/>
                <w:color w:val="000000"/>
                <w:sz w:val="18"/>
                <w:szCs w:val="18"/>
              </w:rPr>
              <w:t>Fatmawati</w:t>
            </w:r>
            <w:proofErr w:type="spellEnd"/>
            <w:r w:rsidRPr="00D058C1">
              <w:rPr>
                <w:rFonts w:ascii="Cambria" w:hAnsi="Cambria" w:cs="Calibri"/>
                <w:color w:val="000000"/>
                <w:sz w:val="18"/>
                <w:szCs w:val="18"/>
              </w:rPr>
              <w:t xml:space="preserve"> </w:t>
            </w:r>
            <w:proofErr w:type="spellStart"/>
            <w:r w:rsidRPr="00D058C1">
              <w:rPr>
                <w:rFonts w:ascii="Cambria" w:hAnsi="Cambria" w:cs="Calibri"/>
                <w:color w:val="000000"/>
                <w:sz w:val="18"/>
                <w:szCs w:val="18"/>
              </w:rPr>
              <w:t>Salapuddin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040687EB"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0998FA45"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63866FF8" w14:textId="77777777" w:rsidTr="00F11FA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9030CD"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110</w:t>
            </w:r>
          </w:p>
        </w:tc>
        <w:tc>
          <w:tcPr>
            <w:tcW w:w="1472" w:type="dxa"/>
            <w:tcBorders>
              <w:top w:val="nil"/>
              <w:left w:val="nil"/>
              <w:bottom w:val="single" w:sz="4" w:space="0" w:color="auto"/>
              <w:right w:val="single" w:sz="4" w:space="0" w:color="auto"/>
            </w:tcBorders>
            <w:shd w:val="clear" w:color="auto" w:fill="auto"/>
            <w:noWrap/>
            <w:vAlign w:val="bottom"/>
            <w:hideMark/>
          </w:tcPr>
          <w:p w14:paraId="16AD0CCE"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APP Subgrantee - International Alert</w:t>
            </w:r>
          </w:p>
        </w:tc>
        <w:tc>
          <w:tcPr>
            <w:tcW w:w="2181" w:type="dxa"/>
            <w:tcBorders>
              <w:top w:val="nil"/>
              <w:left w:val="nil"/>
              <w:bottom w:val="single" w:sz="4" w:space="0" w:color="auto"/>
              <w:right w:val="single" w:sz="4" w:space="0" w:color="auto"/>
            </w:tcBorders>
            <w:shd w:val="clear" w:color="auto" w:fill="auto"/>
            <w:noWrap/>
            <w:vAlign w:val="bottom"/>
            <w:hideMark/>
          </w:tcPr>
          <w:p w14:paraId="07D0F6A2"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WMSU Research Center</w:t>
            </w:r>
          </w:p>
        </w:tc>
        <w:tc>
          <w:tcPr>
            <w:tcW w:w="2201" w:type="dxa"/>
            <w:tcBorders>
              <w:top w:val="nil"/>
              <w:left w:val="nil"/>
              <w:bottom w:val="single" w:sz="4" w:space="0" w:color="auto"/>
              <w:right w:val="single" w:sz="4" w:space="0" w:color="auto"/>
            </w:tcBorders>
            <w:shd w:val="clear" w:color="auto" w:fill="auto"/>
            <w:noWrap/>
            <w:vAlign w:val="bottom"/>
            <w:hideMark/>
          </w:tcPr>
          <w:p w14:paraId="76925660"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 xml:space="preserve">Dr. </w:t>
            </w:r>
            <w:proofErr w:type="spellStart"/>
            <w:r w:rsidRPr="00D058C1">
              <w:rPr>
                <w:rFonts w:ascii="Cambria" w:hAnsi="Cambria" w:cs="Calibri"/>
                <w:color w:val="000000"/>
                <w:sz w:val="18"/>
                <w:szCs w:val="18"/>
              </w:rPr>
              <w:t>Chona</w:t>
            </w:r>
            <w:proofErr w:type="spellEnd"/>
            <w:r w:rsidRPr="00D058C1">
              <w:rPr>
                <w:rFonts w:ascii="Cambria" w:hAnsi="Cambria" w:cs="Calibri"/>
                <w:color w:val="000000"/>
                <w:sz w:val="18"/>
                <w:szCs w:val="18"/>
              </w:rPr>
              <w:t xml:space="preserve"> Sarmiento</w:t>
            </w:r>
          </w:p>
        </w:tc>
        <w:tc>
          <w:tcPr>
            <w:tcW w:w="1593" w:type="dxa"/>
            <w:tcBorders>
              <w:top w:val="nil"/>
              <w:left w:val="nil"/>
              <w:bottom w:val="single" w:sz="4" w:space="0" w:color="auto"/>
              <w:right w:val="single" w:sz="4" w:space="0" w:color="auto"/>
            </w:tcBorders>
            <w:shd w:val="clear" w:color="auto" w:fill="auto"/>
            <w:noWrap/>
            <w:vAlign w:val="bottom"/>
            <w:hideMark/>
          </w:tcPr>
          <w:p w14:paraId="6708A38C" w14:textId="77777777" w:rsidR="00C12CE0" w:rsidRPr="00D058C1" w:rsidRDefault="00C12CE0" w:rsidP="00C12CE0">
            <w:pPr>
              <w:rPr>
                <w:rFonts w:ascii="Cambria" w:hAnsi="Cambria" w:cs="Calibri"/>
                <w:color w:val="000000"/>
                <w:sz w:val="18"/>
                <w:szCs w:val="18"/>
              </w:rPr>
            </w:pPr>
            <w:r w:rsidRPr="00D058C1">
              <w:rPr>
                <w:rFonts w:ascii="Cambria" w:hAnsi="Cambria" w:cs="Calibri"/>
                <w:color w:val="000000"/>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517729AB" w14:textId="77777777" w:rsidR="00C12CE0" w:rsidRPr="00D058C1" w:rsidRDefault="00C12CE0" w:rsidP="00C12CE0">
            <w:pPr>
              <w:jc w:val="right"/>
              <w:rPr>
                <w:rFonts w:ascii="Cambria" w:hAnsi="Cambria" w:cs="Calibri"/>
                <w:color w:val="000000"/>
                <w:sz w:val="18"/>
                <w:szCs w:val="18"/>
              </w:rPr>
            </w:pPr>
            <w:r w:rsidRPr="00D058C1">
              <w:rPr>
                <w:rFonts w:ascii="Cambria" w:hAnsi="Cambria" w:cs="Calibri"/>
                <w:color w:val="000000"/>
                <w:sz w:val="18"/>
                <w:szCs w:val="18"/>
              </w:rPr>
              <w:t>Thursday, 20 February 2020</w:t>
            </w:r>
          </w:p>
        </w:tc>
      </w:tr>
      <w:tr w:rsidR="00C12CE0" w:rsidRPr="00D058C1" w14:paraId="16A2E1AD"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E6F0DBB" w14:textId="7232D16D" w:rsidR="00C12CE0" w:rsidRPr="00CF5B57" w:rsidRDefault="00C12CE0" w:rsidP="00C12CE0">
            <w:pPr>
              <w:jc w:val="right"/>
              <w:rPr>
                <w:rFonts w:ascii="Cambria" w:hAnsi="Cambria" w:cs="Calibri"/>
                <w:sz w:val="18"/>
                <w:szCs w:val="18"/>
              </w:rPr>
            </w:pPr>
            <w:r w:rsidRPr="00CF5B57">
              <w:rPr>
                <w:rFonts w:ascii="Cambria" w:hAnsi="Cambria" w:cs="Calibri"/>
                <w:sz w:val="18"/>
                <w:szCs w:val="18"/>
              </w:rPr>
              <w:t>111</w:t>
            </w:r>
          </w:p>
        </w:tc>
        <w:tc>
          <w:tcPr>
            <w:tcW w:w="1472" w:type="dxa"/>
            <w:tcBorders>
              <w:top w:val="nil"/>
              <w:left w:val="nil"/>
              <w:bottom w:val="single" w:sz="4" w:space="0" w:color="auto"/>
              <w:right w:val="single" w:sz="4" w:space="0" w:color="auto"/>
            </w:tcBorders>
            <w:shd w:val="clear" w:color="auto" w:fill="auto"/>
            <w:noWrap/>
            <w:vAlign w:val="bottom"/>
            <w:hideMark/>
          </w:tcPr>
          <w:p w14:paraId="756E87FC"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2C63D292"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ICM/MENRE</w:t>
            </w:r>
          </w:p>
        </w:tc>
        <w:tc>
          <w:tcPr>
            <w:tcW w:w="2201" w:type="dxa"/>
            <w:tcBorders>
              <w:top w:val="nil"/>
              <w:left w:val="nil"/>
              <w:bottom w:val="single" w:sz="4" w:space="0" w:color="auto"/>
              <w:right w:val="single" w:sz="4" w:space="0" w:color="auto"/>
            </w:tcBorders>
            <w:shd w:val="clear" w:color="auto" w:fill="auto"/>
            <w:noWrap/>
            <w:vAlign w:val="bottom"/>
            <w:hideMark/>
          </w:tcPr>
          <w:p w14:paraId="0C9206FB"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ES Sami Gambar</w:t>
            </w:r>
          </w:p>
        </w:tc>
        <w:tc>
          <w:tcPr>
            <w:tcW w:w="1593" w:type="dxa"/>
            <w:tcBorders>
              <w:top w:val="nil"/>
              <w:left w:val="nil"/>
              <w:bottom w:val="single" w:sz="4" w:space="0" w:color="auto"/>
              <w:right w:val="single" w:sz="4" w:space="0" w:color="auto"/>
            </w:tcBorders>
            <w:shd w:val="clear" w:color="auto" w:fill="auto"/>
            <w:noWrap/>
            <w:vAlign w:val="bottom"/>
            <w:hideMark/>
          </w:tcPr>
          <w:p w14:paraId="592279CA"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1AA7137A" w14:textId="1849B2D9" w:rsidR="00C12CE0" w:rsidRPr="00CF5B57" w:rsidRDefault="00C12CE0" w:rsidP="00C12CE0">
            <w:pPr>
              <w:rPr>
                <w:rFonts w:ascii="Cambria" w:hAnsi="Cambria" w:cs="Calibri"/>
                <w:sz w:val="18"/>
                <w:szCs w:val="18"/>
              </w:rPr>
            </w:pPr>
            <w:r w:rsidRPr="00CF5B57">
              <w:rPr>
                <w:rFonts w:ascii="Cambria" w:hAnsi="Cambria" w:cs="Calibri"/>
                <w:sz w:val="18"/>
                <w:szCs w:val="18"/>
              </w:rPr>
              <w:t> Wednesday, 19 February 2020</w:t>
            </w:r>
          </w:p>
        </w:tc>
      </w:tr>
      <w:tr w:rsidR="00C12CE0" w:rsidRPr="00D058C1" w14:paraId="75B35127"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C41F022" w14:textId="229948CC" w:rsidR="00C12CE0" w:rsidRPr="00CF5B57" w:rsidRDefault="00C12CE0" w:rsidP="00C12CE0">
            <w:pPr>
              <w:jc w:val="right"/>
              <w:rPr>
                <w:rFonts w:ascii="Cambria" w:hAnsi="Cambria" w:cs="Calibri"/>
                <w:sz w:val="18"/>
                <w:szCs w:val="18"/>
              </w:rPr>
            </w:pPr>
            <w:r w:rsidRPr="00CF5B57">
              <w:rPr>
                <w:rFonts w:ascii="Cambria" w:hAnsi="Cambria" w:cs="Calibri"/>
                <w:sz w:val="18"/>
                <w:szCs w:val="18"/>
              </w:rPr>
              <w:t>11</w:t>
            </w:r>
            <w:r w:rsidR="004D624D" w:rsidRPr="00CF5B57">
              <w:rPr>
                <w:rFonts w:ascii="Cambria" w:hAnsi="Cambria" w:cs="Calibri"/>
                <w:sz w:val="18"/>
                <w:szCs w:val="18"/>
              </w:rPr>
              <w:t>2</w:t>
            </w:r>
          </w:p>
        </w:tc>
        <w:tc>
          <w:tcPr>
            <w:tcW w:w="1472" w:type="dxa"/>
            <w:tcBorders>
              <w:top w:val="nil"/>
              <w:left w:val="nil"/>
              <w:bottom w:val="single" w:sz="4" w:space="0" w:color="auto"/>
              <w:right w:val="single" w:sz="4" w:space="0" w:color="auto"/>
            </w:tcBorders>
            <w:shd w:val="clear" w:color="auto" w:fill="auto"/>
            <w:noWrap/>
            <w:vAlign w:val="bottom"/>
          </w:tcPr>
          <w:p w14:paraId="38A64C4D" w14:textId="6D8A79DF"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tcPr>
          <w:p w14:paraId="5EC9FADD" w14:textId="74724FF4" w:rsidR="00C12CE0" w:rsidRPr="00CF5B57" w:rsidRDefault="00C12CE0" w:rsidP="00C12CE0">
            <w:pPr>
              <w:rPr>
                <w:rFonts w:ascii="Cambria" w:hAnsi="Cambria" w:cs="Calibri"/>
                <w:sz w:val="18"/>
                <w:szCs w:val="18"/>
              </w:rPr>
            </w:pPr>
            <w:r w:rsidRPr="00CF5B57">
              <w:rPr>
                <w:rFonts w:ascii="Cambria" w:hAnsi="Cambria" w:cs="Calibri"/>
                <w:sz w:val="18"/>
                <w:szCs w:val="18"/>
              </w:rPr>
              <w:t>MNLF/MOLE</w:t>
            </w:r>
          </w:p>
        </w:tc>
        <w:tc>
          <w:tcPr>
            <w:tcW w:w="2201" w:type="dxa"/>
            <w:tcBorders>
              <w:top w:val="nil"/>
              <w:left w:val="nil"/>
              <w:bottom w:val="single" w:sz="4" w:space="0" w:color="auto"/>
              <w:right w:val="single" w:sz="4" w:space="0" w:color="auto"/>
            </w:tcBorders>
            <w:shd w:val="clear" w:color="auto" w:fill="auto"/>
            <w:noWrap/>
            <w:vAlign w:val="bottom"/>
          </w:tcPr>
          <w:p w14:paraId="05A9E8C6" w14:textId="60722BDD" w:rsidR="00C12CE0" w:rsidRPr="00CF5B57" w:rsidRDefault="00C12CE0" w:rsidP="00C12CE0">
            <w:pPr>
              <w:rPr>
                <w:rFonts w:ascii="Cambria" w:hAnsi="Cambria" w:cs="Calibri"/>
                <w:sz w:val="18"/>
                <w:szCs w:val="18"/>
              </w:rPr>
            </w:pPr>
            <w:r w:rsidRPr="00CF5B57">
              <w:rPr>
                <w:rFonts w:ascii="Cambria" w:hAnsi="Cambria" w:cs="Calibri"/>
                <w:sz w:val="18"/>
                <w:szCs w:val="18"/>
              </w:rPr>
              <w:t>Romeo Sema</w:t>
            </w:r>
          </w:p>
        </w:tc>
        <w:tc>
          <w:tcPr>
            <w:tcW w:w="1593" w:type="dxa"/>
            <w:tcBorders>
              <w:top w:val="nil"/>
              <w:left w:val="nil"/>
              <w:bottom w:val="single" w:sz="4" w:space="0" w:color="auto"/>
              <w:right w:val="single" w:sz="4" w:space="0" w:color="auto"/>
            </w:tcBorders>
            <w:shd w:val="clear" w:color="auto" w:fill="auto"/>
            <w:noWrap/>
            <w:vAlign w:val="bottom"/>
          </w:tcPr>
          <w:p w14:paraId="6253AA67" w14:textId="1709B09A"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EBD0D48" w14:textId="2AD40DAF" w:rsidR="00C12CE0" w:rsidRPr="00CF5B57" w:rsidRDefault="00C12CE0" w:rsidP="00C12CE0">
            <w:pPr>
              <w:rPr>
                <w:rFonts w:ascii="Cambria" w:hAnsi="Cambria" w:cs="Calibri"/>
                <w:sz w:val="18"/>
                <w:szCs w:val="18"/>
              </w:rPr>
            </w:pPr>
            <w:r w:rsidRPr="00CF5B57">
              <w:rPr>
                <w:rFonts w:ascii="Cambria" w:hAnsi="Cambria" w:cs="Calibri"/>
                <w:sz w:val="18"/>
                <w:szCs w:val="18"/>
              </w:rPr>
              <w:t> Tuesday, 18 February 2020</w:t>
            </w:r>
          </w:p>
        </w:tc>
      </w:tr>
      <w:tr w:rsidR="00C12CE0" w:rsidRPr="00D058C1" w14:paraId="6819ED0B"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B3D48BD" w14:textId="69C8CC53" w:rsidR="00C12CE0" w:rsidRPr="00CF5B57" w:rsidRDefault="00C12CE0" w:rsidP="00C12CE0">
            <w:pPr>
              <w:jc w:val="right"/>
              <w:rPr>
                <w:rFonts w:ascii="Cambria" w:hAnsi="Cambria" w:cs="Calibri"/>
                <w:sz w:val="18"/>
                <w:szCs w:val="18"/>
              </w:rPr>
            </w:pPr>
            <w:r w:rsidRPr="00CF5B57">
              <w:rPr>
                <w:rFonts w:ascii="Cambria" w:hAnsi="Cambria" w:cs="Calibri"/>
                <w:sz w:val="18"/>
                <w:szCs w:val="18"/>
              </w:rPr>
              <w:t>11</w:t>
            </w:r>
            <w:r w:rsidR="004D624D" w:rsidRPr="00CF5B57">
              <w:rPr>
                <w:rFonts w:ascii="Cambria" w:hAnsi="Cambria" w:cs="Calibri"/>
                <w:sz w:val="18"/>
                <w:szCs w:val="18"/>
              </w:rPr>
              <w:t>3</w:t>
            </w:r>
          </w:p>
        </w:tc>
        <w:tc>
          <w:tcPr>
            <w:tcW w:w="1472" w:type="dxa"/>
            <w:tcBorders>
              <w:top w:val="nil"/>
              <w:left w:val="nil"/>
              <w:bottom w:val="single" w:sz="4" w:space="0" w:color="auto"/>
              <w:right w:val="single" w:sz="4" w:space="0" w:color="auto"/>
            </w:tcBorders>
            <w:shd w:val="clear" w:color="auto" w:fill="auto"/>
            <w:noWrap/>
            <w:vAlign w:val="bottom"/>
            <w:hideMark/>
          </w:tcPr>
          <w:p w14:paraId="791C795C"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5468C49E" w14:textId="341EE69D" w:rsidR="00C12CE0" w:rsidRPr="00CF5B57" w:rsidRDefault="00C12CE0" w:rsidP="00C12CE0">
            <w:pPr>
              <w:rPr>
                <w:rFonts w:ascii="Cambria" w:hAnsi="Cambria" w:cs="Calibri"/>
                <w:sz w:val="18"/>
                <w:szCs w:val="18"/>
              </w:rPr>
            </w:pPr>
            <w:r w:rsidRPr="00CF5B57">
              <w:rPr>
                <w:rFonts w:ascii="Cambria" w:hAnsi="Cambria" w:cs="Calibri"/>
                <w:sz w:val="18"/>
                <w:szCs w:val="18"/>
              </w:rPr>
              <w:t>JNC ++MPWH</w:t>
            </w:r>
          </w:p>
        </w:tc>
        <w:tc>
          <w:tcPr>
            <w:tcW w:w="2201" w:type="dxa"/>
            <w:tcBorders>
              <w:top w:val="nil"/>
              <w:left w:val="nil"/>
              <w:bottom w:val="single" w:sz="4" w:space="0" w:color="auto"/>
              <w:right w:val="single" w:sz="4" w:space="0" w:color="auto"/>
            </w:tcBorders>
            <w:shd w:val="clear" w:color="auto" w:fill="auto"/>
            <w:noWrap/>
            <w:vAlign w:val="bottom"/>
            <w:hideMark/>
          </w:tcPr>
          <w:p w14:paraId="524BC786"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Ed Guerra</w:t>
            </w:r>
          </w:p>
        </w:tc>
        <w:tc>
          <w:tcPr>
            <w:tcW w:w="1593" w:type="dxa"/>
            <w:tcBorders>
              <w:top w:val="nil"/>
              <w:left w:val="nil"/>
              <w:bottom w:val="single" w:sz="4" w:space="0" w:color="auto"/>
              <w:right w:val="single" w:sz="4" w:space="0" w:color="auto"/>
            </w:tcBorders>
            <w:shd w:val="clear" w:color="auto" w:fill="auto"/>
            <w:noWrap/>
            <w:vAlign w:val="bottom"/>
            <w:hideMark/>
          </w:tcPr>
          <w:p w14:paraId="40324F9F"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65256ED6" w14:textId="64B972EE" w:rsidR="00C12CE0" w:rsidRPr="00CF5B57" w:rsidRDefault="00C12CE0" w:rsidP="00C12CE0">
            <w:pPr>
              <w:rPr>
                <w:rFonts w:ascii="Cambria" w:hAnsi="Cambria" w:cs="Calibri"/>
                <w:sz w:val="18"/>
                <w:szCs w:val="18"/>
              </w:rPr>
            </w:pPr>
            <w:r w:rsidRPr="00CF5B57">
              <w:rPr>
                <w:rFonts w:ascii="Cambria" w:hAnsi="Cambria" w:cs="Calibri"/>
                <w:sz w:val="18"/>
                <w:szCs w:val="18"/>
              </w:rPr>
              <w:t> Tuesday, 18 February 2020</w:t>
            </w:r>
          </w:p>
        </w:tc>
      </w:tr>
      <w:tr w:rsidR="00C12CE0" w:rsidRPr="00D058C1" w14:paraId="4E011353"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2401C17" w14:textId="575377D3" w:rsidR="00C12CE0" w:rsidRPr="00CF5B57" w:rsidRDefault="00C12CE0" w:rsidP="00C12CE0">
            <w:pPr>
              <w:jc w:val="right"/>
              <w:rPr>
                <w:rFonts w:ascii="Cambria" w:hAnsi="Cambria" w:cs="Calibri"/>
                <w:sz w:val="18"/>
                <w:szCs w:val="18"/>
              </w:rPr>
            </w:pPr>
            <w:r w:rsidRPr="00CF5B57">
              <w:rPr>
                <w:rFonts w:ascii="Cambria" w:hAnsi="Cambria" w:cs="Calibri"/>
                <w:sz w:val="18"/>
                <w:szCs w:val="18"/>
              </w:rPr>
              <w:t>11</w:t>
            </w:r>
            <w:r w:rsidR="0097195A" w:rsidRPr="00CF5B57">
              <w:rPr>
                <w:rFonts w:ascii="Cambria" w:hAnsi="Cambria" w:cs="Calibri"/>
                <w:sz w:val="18"/>
                <w:szCs w:val="18"/>
              </w:rPr>
              <w:t>4</w:t>
            </w:r>
          </w:p>
        </w:tc>
        <w:tc>
          <w:tcPr>
            <w:tcW w:w="1472" w:type="dxa"/>
            <w:tcBorders>
              <w:top w:val="nil"/>
              <w:left w:val="nil"/>
              <w:bottom w:val="single" w:sz="4" w:space="0" w:color="auto"/>
              <w:right w:val="single" w:sz="4" w:space="0" w:color="auto"/>
            </w:tcBorders>
            <w:shd w:val="clear" w:color="auto" w:fill="auto"/>
            <w:noWrap/>
            <w:vAlign w:val="bottom"/>
            <w:hideMark/>
          </w:tcPr>
          <w:p w14:paraId="6082775E"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082A4943" w14:textId="2F803FF9" w:rsidR="00C12CE0" w:rsidRPr="00CF5B57" w:rsidRDefault="00C12CE0" w:rsidP="00C12CE0">
            <w:pPr>
              <w:rPr>
                <w:rFonts w:ascii="Cambria" w:hAnsi="Cambria" w:cs="Calibri"/>
                <w:sz w:val="18"/>
                <w:szCs w:val="18"/>
              </w:rPr>
            </w:pPr>
            <w:r w:rsidRPr="00CF5B57">
              <w:rPr>
                <w:rFonts w:ascii="Cambria" w:hAnsi="Cambria" w:cs="Calibri"/>
                <w:sz w:val="18"/>
                <w:szCs w:val="18"/>
              </w:rPr>
              <w:t>BTA Deputy Speaker</w:t>
            </w:r>
          </w:p>
        </w:tc>
        <w:tc>
          <w:tcPr>
            <w:tcW w:w="2201" w:type="dxa"/>
            <w:tcBorders>
              <w:top w:val="nil"/>
              <w:left w:val="nil"/>
              <w:bottom w:val="single" w:sz="4" w:space="0" w:color="auto"/>
              <w:right w:val="single" w:sz="4" w:space="0" w:color="auto"/>
            </w:tcBorders>
            <w:shd w:val="clear" w:color="auto" w:fill="auto"/>
            <w:noWrap/>
            <w:vAlign w:val="bottom"/>
            <w:hideMark/>
          </w:tcPr>
          <w:p w14:paraId="59494955" w14:textId="3828B42B" w:rsidR="00C12CE0" w:rsidRPr="00CF5B57" w:rsidRDefault="00C12CE0" w:rsidP="00C12CE0">
            <w:pPr>
              <w:rPr>
                <w:rFonts w:ascii="Cambria" w:hAnsi="Cambria" w:cs="Calibri"/>
                <w:sz w:val="18"/>
                <w:szCs w:val="18"/>
              </w:rPr>
            </w:pPr>
            <w:proofErr w:type="spellStart"/>
            <w:r w:rsidRPr="00CF5B57">
              <w:rPr>
                <w:rFonts w:ascii="Cambria" w:hAnsi="Cambria" w:cs="Calibri"/>
                <w:sz w:val="18"/>
                <w:szCs w:val="18"/>
              </w:rPr>
              <w:t>Hatimil</w:t>
            </w:r>
            <w:proofErr w:type="spellEnd"/>
            <w:r w:rsidRPr="00CF5B57">
              <w:rPr>
                <w:rFonts w:ascii="Cambria" w:hAnsi="Cambria" w:cs="Calibri"/>
                <w:sz w:val="18"/>
                <w:szCs w:val="18"/>
              </w:rPr>
              <w:t xml:space="preserve"> Hassan</w:t>
            </w:r>
          </w:p>
        </w:tc>
        <w:tc>
          <w:tcPr>
            <w:tcW w:w="1593" w:type="dxa"/>
            <w:tcBorders>
              <w:top w:val="nil"/>
              <w:left w:val="nil"/>
              <w:bottom w:val="single" w:sz="4" w:space="0" w:color="auto"/>
              <w:right w:val="single" w:sz="4" w:space="0" w:color="auto"/>
            </w:tcBorders>
            <w:shd w:val="clear" w:color="auto" w:fill="auto"/>
            <w:noWrap/>
            <w:vAlign w:val="bottom"/>
            <w:hideMark/>
          </w:tcPr>
          <w:p w14:paraId="6B8F3258"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6F8B4C75" w14:textId="52C3FEBD" w:rsidR="00C12CE0" w:rsidRPr="00CF5B57" w:rsidRDefault="00C12CE0" w:rsidP="00C12CE0">
            <w:pPr>
              <w:rPr>
                <w:rFonts w:ascii="Cambria" w:hAnsi="Cambria" w:cs="Calibri"/>
                <w:sz w:val="18"/>
                <w:szCs w:val="18"/>
              </w:rPr>
            </w:pPr>
            <w:r w:rsidRPr="00CF5B57">
              <w:rPr>
                <w:rFonts w:ascii="Cambria" w:hAnsi="Cambria" w:cs="Calibri"/>
                <w:sz w:val="18"/>
                <w:szCs w:val="18"/>
              </w:rPr>
              <w:t> Wednesday, 19 February 2020</w:t>
            </w:r>
          </w:p>
        </w:tc>
      </w:tr>
      <w:tr w:rsidR="00C12CE0" w:rsidRPr="00D058C1" w14:paraId="66BC153F" w14:textId="77777777" w:rsidTr="00CF5B57">
        <w:trPr>
          <w:trHeight w:val="32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A4F2382" w14:textId="0C949949" w:rsidR="00C12CE0" w:rsidRPr="00CF5B57" w:rsidRDefault="00C12CE0" w:rsidP="00C12CE0">
            <w:pPr>
              <w:jc w:val="right"/>
              <w:rPr>
                <w:rFonts w:ascii="Cambria" w:hAnsi="Cambria" w:cs="Calibri"/>
                <w:sz w:val="18"/>
                <w:szCs w:val="18"/>
              </w:rPr>
            </w:pPr>
            <w:r w:rsidRPr="00CF5B57">
              <w:rPr>
                <w:rFonts w:ascii="Cambria" w:hAnsi="Cambria" w:cs="Calibri"/>
                <w:sz w:val="18"/>
                <w:szCs w:val="18"/>
              </w:rPr>
              <w:t>1</w:t>
            </w:r>
            <w:r w:rsidR="0097195A" w:rsidRPr="00CF5B57">
              <w:rPr>
                <w:rFonts w:ascii="Cambria" w:hAnsi="Cambria" w:cs="Calibri"/>
                <w:sz w:val="18"/>
                <w:szCs w:val="18"/>
              </w:rPr>
              <w:t>15</w:t>
            </w:r>
          </w:p>
        </w:tc>
        <w:tc>
          <w:tcPr>
            <w:tcW w:w="1472" w:type="dxa"/>
            <w:tcBorders>
              <w:top w:val="nil"/>
              <w:left w:val="nil"/>
              <w:bottom w:val="single" w:sz="4" w:space="0" w:color="auto"/>
              <w:right w:val="single" w:sz="4" w:space="0" w:color="auto"/>
            </w:tcBorders>
            <w:shd w:val="clear" w:color="auto" w:fill="auto"/>
            <w:noWrap/>
            <w:vAlign w:val="bottom"/>
            <w:hideMark/>
          </w:tcPr>
          <w:p w14:paraId="6911E939"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6F2D15FB"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Majority Floor Leader</w:t>
            </w:r>
          </w:p>
        </w:tc>
        <w:tc>
          <w:tcPr>
            <w:tcW w:w="2201" w:type="dxa"/>
            <w:tcBorders>
              <w:top w:val="nil"/>
              <w:left w:val="nil"/>
              <w:bottom w:val="single" w:sz="4" w:space="0" w:color="auto"/>
              <w:right w:val="single" w:sz="4" w:space="0" w:color="auto"/>
            </w:tcBorders>
            <w:shd w:val="clear" w:color="auto" w:fill="auto"/>
            <w:noWrap/>
            <w:vAlign w:val="bottom"/>
            <w:hideMark/>
          </w:tcPr>
          <w:p w14:paraId="2FB13C10" w14:textId="77777777" w:rsidR="00C12CE0" w:rsidRPr="00CF5B57" w:rsidRDefault="00C12CE0" w:rsidP="00C12CE0">
            <w:pPr>
              <w:rPr>
                <w:rFonts w:ascii="Cambria" w:hAnsi="Cambria" w:cs="Calibri"/>
                <w:sz w:val="18"/>
                <w:szCs w:val="18"/>
              </w:rPr>
            </w:pPr>
            <w:proofErr w:type="spellStart"/>
            <w:r w:rsidRPr="00CF5B57">
              <w:rPr>
                <w:rFonts w:ascii="Cambria" w:hAnsi="Cambria" w:cs="Calibri"/>
                <w:sz w:val="18"/>
                <w:szCs w:val="18"/>
              </w:rPr>
              <w:t>Lanang</w:t>
            </w:r>
            <w:proofErr w:type="spellEnd"/>
            <w:r w:rsidRPr="00CF5B57">
              <w:rPr>
                <w:rFonts w:ascii="Cambria" w:hAnsi="Cambria" w:cs="Calibri"/>
                <w:sz w:val="18"/>
                <w:szCs w:val="18"/>
              </w:rPr>
              <w:t xml:space="preserve"> Ali, Jr.</w:t>
            </w:r>
          </w:p>
        </w:tc>
        <w:tc>
          <w:tcPr>
            <w:tcW w:w="1593" w:type="dxa"/>
            <w:tcBorders>
              <w:top w:val="nil"/>
              <w:left w:val="nil"/>
              <w:bottom w:val="single" w:sz="4" w:space="0" w:color="auto"/>
              <w:right w:val="single" w:sz="4" w:space="0" w:color="auto"/>
            </w:tcBorders>
            <w:shd w:val="clear" w:color="auto" w:fill="auto"/>
            <w:noWrap/>
            <w:vAlign w:val="bottom"/>
            <w:hideMark/>
          </w:tcPr>
          <w:p w14:paraId="3D5A11A5"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4363CCFE" w14:textId="08FA7281" w:rsidR="00C12CE0" w:rsidRPr="00CF5B57" w:rsidRDefault="00C12CE0" w:rsidP="00C12CE0">
            <w:pPr>
              <w:rPr>
                <w:rFonts w:ascii="Cambria" w:hAnsi="Cambria" w:cs="Calibri"/>
                <w:sz w:val="18"/>
                <w:szCs w:val="18"/>
              </w:rPr>
            </w:pPr>
            <w:r w:rsidRPr="00CF5B57">
              <w:rPr>
                <w:rFonts w:ascii="Cambria" w:hAnsi="Cambria" w:cs="Calibri"/>
                <w:sz w:val="18"/>
                <w:szCs w:val="18"/>
              </w:rPr>
              <w:t> Wednesday, 19 February 2020</w:t>
            </w:r>
          </w:p>
        </w:tc>
      </w:tr>
      <w:tr w:rsidR="00C12CE0" w:rsidRPr="00D058C1" w14:paraId="41BC7366"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887FE15" w14:textId="3BC939D2" w:rsidR="00C12CE0" w:rsidRPr="00CF5B57" w:rsidRDefault="00C12CE0" w:rsidP="00C12CE0">
            <w:pPr>
              <w:jc w:val="right"/>
              <w:rPr>
                <w:rFonts w:ascii="Cambria" w:hAnsi="Cambria" w:cs="Calibri"/>
                <w:sz w:val="18"/>
                <w:szCs w:val="18"/>
              </w:rPr>
            </w:pPr>
            <w:r w:rsidRPr="00CF5B57">
              <w:rPr>
                <w:rFonts w:ascii="Cambria" w:hAnsi="Cambria" w:cs="Calibri"/>
                <w:sz w:val="18"/>
                <w:szCs w:val="18"/>
              </w:rPr>
              <w:t>1</w:t>
            </w:r>
            <w:r w:rsidR="0097195A" w:rsidRPr="00CF5B57">
              <w:rPr>
                <w:rFonts w:ascii="Cambria" w:hAnsi="Cambria" w:cs="Calibri"/>
                <w:sz w:val="18"/>
                <w:szCs w:val="18"/>
              </w:rPr>
              <w:t>16</w:t>
            </w:r>
          </w:p>
        </w:tc>
        <w:tc>
          <w:tcPr>
            <w:tcW w:w="1472" w:type="dxa"/>
            <w:tcBorders>
              <w:top w:val="nil"/>
              <w:left w:val="nil"/>
              <w:bottom w:val="single" w:sz="4" w:space="0" w:color="auto"/>
              <w:right w:val="single" w:sz="4" w:space="0" w:color="auto"/>
            </w:tcBorders>
            <w:shd w:val="clear" w:color="auto" w:fill="auto"/>
            <w:noWrap/>
            <w:vAlign w:val="bottom"/>
            <w:hideMark/>
          </w:tcPr>
          <w:p w14:paraId="742B508E"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3CBE4B20"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Minority Floor Leader</w:t>
            </w:r>
          </w:p>
        </w:tc>
        <w:tc>
          <w:tcPr>
            <w:tcW w:w="2201" w:type="dxa"/>
            <w:tcBorders>
              <w:top w:val="nil"/>
              <w:left w:val="nil"/>
              <w:bottom w:val="single" w:sz="4" w:space="0" w:color="auto"/>
              <w:right w:val="single" w:sz="4" w:space="0" w:color="auto"/>
            </w:tcBorders>
            <w:shd w:val="clear" w:color="auto" w:fill="auto"/>
            <w:noWrap/>
            <w:vAlign w:val="bottom"/>
            <w:hideMark/>
          </w:tcPr>
          <w:p w14:paraId="6B54E80F" w14:textId="77777777" w:rsidR="00C12CE0" w:rsidRPr="00CF5B57" w:rsidRDefault="00C12CE0" w:rsidP="00C12CE0">
            <w:pPr>
              <w:rPr>
                <w:rFonts w:ascii="Cambria" w:hAnsi="Cambria" w:cs="Calibri"/>
                <w:sz w:val="18"/>
                <w:szCs w:val="18"/>
              </w:rPr>
            </w:pPr>
            <w:proofErr w:type="spellStart"/>
            <w:r w:rsidRPr="00CF5B57">
              <w:rPr>
                <w:rFonts w:ascii="Cambria" w:hAnsi="Cambria" w:cs="Calibri"/>
                <w:sz w:val="18"/>
                <w:szCs w:val="18"/>
              </w:rPr>
              <w:t>Laisa</w:t>
            </w:r>
            <w:proofErr w:type="spellEnd"/>
            <w:r w:rsidRPr="00CF5B57">
              <w:rPr>
                <w:rFonts w:ascii="Cambria" w:hAnsi="Cambria" w:cs="Calibri"/>
                <w:sz w:val="18"/>
                <w:szCs w:val="18"/>
              </w:rPr>
              <w:t xml:space="preserve"> </w:t>
            </w:r>
            <w:proofErr w:type="spellStart"/>
            <w:r w:rsidRPr="00CF5B57">
              <w:rPr>
                <w:rFonts w:ascii="Cambria" w:hAnsi="Cambria" w:cs="Calibri"/>
                <w:sz w:val="18"/>
                <w:szCs w:val="18"/>
              </w:rPr>
              <w:t>Alamia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335774B2"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D24A436"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 </w:t>
            </w:r>
          </w:p>
        </w:tc>
      </w:tr>
      <w:tr w:rsidR="00C12CE0" w:rsidRPr="00D058C1" w14:paraId="39547089"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5A3EA57" w14:textId="31BBFEE3" w:rsidR="00C12CE0" w:rsidRPr="00CF5B57" w:rsidRDefault="00C12CE0" w:rsidP="00C12CE0">
            <w:pPr>
              <w:jc w:val="right"/>
              <w:rPr>
                <w:rFonts w:ascii="Cambria" w:hAnsi="Cambria" w:cs="Calibri"/>
                <w:sz w:val="18"/>
                <w:szCs w:val="18"/>
              </w:rPr>
            </w:pPr>
            <w:r w:rsidRPr="00CF5B57">
              <w:rPr>
                <w:rFonts w:ascii="Cambria" w:hAnsi="Cambria" w:cs="Calibri"/>
                <w:sz w:val="18"/>
                <w:szCs w:val="18"/>
              </w:rPr>
              <w:lastRenderedPageBreak/>
              <w:t>1</w:t>
            </w:r>
            <w:r w:rsidR="0097195A" w:rsidRPr="00CF5B57">
              <w:rPr>
                <w:rFonts w:ascii="Cambria" w:hAnsi="Cambria" w:cs="Calibri"/>
                <w:sz w:val="18"/>
                <w:szCs w:val="18"/>
              </w:rPr>
              <w:t>17</w:t>
            </w:r>
          </w:p>
        </w:tc>
        <w:tc>
          <w:tcPr>
            <w:tcW w:w="1472" w:type="dxa"/>
            <w:tcBorders>
              <w:top w:val="nil"/>
              <w:left w:val="nil"/>
              <w:bottom w:val="single" w:sz="4" w:space="0" w:color="auto"/>
              <w:right w:val="single" w:sz="4" w:space="0" w:color="auto"/>
            </w:tcBorders>
            <w:shd w:val="clear" w:color="auto" w:fill="auto"/>
            <w:noWrap/>
            <w:vAlign w:val="bottom"/>
            <w:hideMark/>
          </w:tcPr>
          <w:p w14:paraId="2C620717"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BARMM</w:t>
            </w:r>
          </w:p>
        </w:tc>
        <w:tc>
          <w:tcPr>
            <w:tcW w:w="2181" w:type="dxa"/>
            <w:tcBorders>
              <w:top w:val="nil"/>
              <w:left w:val="nil"/>
              <w:bottom w:val="single" w:sz="4" w:space="0" w:color="auto"/>
              <w:right w:val="single" w:sz="4" w:space="0" w:color="auto"/>
            </w:tcBorders>
            <w:shd w:val="clear" w:color="auto" w:fill="auto"/>
            <w:noWrap/>
            <w:vAlign w:val="bottom"/>
            <w:hideMark/>
          </w:tcPr>
          <w:p w14:paraId="47B6BE05"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DMFL</w:t>
            </w:r>
          </w:p>
        </w:tc>
        <w:tc>
          <w:tcPr>
            <w:tcW w:w="2201" w:type="dxa"/>
            <w:tcBorders>
              <w:top w:val="nil"/>
              <w:left w:val="nil"/>
              <w:bottom w:val="single" w:sz="4" w:space="0" w:color="auto"/>
              <w:right w:val="single" w:sz="4" w:space="0" w:color="auto"/>
            </w:tcBorders>
            <w:shd w:val="clear" w:color="auto" w:fill="auto"/>
            <w:noWrap/>
            <w:vAlign w:val="bottom"/>
            <w:hideMark/>
          </w:tcPr>
          <w:p w14:paraId="48A4964A"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 xml:space="preserve">Suharto </w:t>
            </w:r>
            <w:proofErr w:type="spellStart"/>
            <w:r w:rsidRPr="00CF5B57">
              <w:rPr>
                <w:rFonts w:ascii="Cambria" w:hAnsi="Cambria" w:cs="Calibri"/>
                <w:sz w:val="18"/>
                <w:szCs w:val="18"/>
              </w:rPr>
              <w:t>Ambolodto</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D2671DE"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76EB3B72" w14:textId="70F8BF5C" w:rsidR="00C12CE0" w:rsidRPr="00CF5B57" w:rsidRDefault="00C12CE0" w:rsidP="00C12CE0">
            <w:pPr>
              <w:rPr>
                <w:rFonts w:ascii="Cambria" w:hAnsi="Cambria" w:cs="Calibri"/>
                <w:sz w:val="18"/>
                <w:szCs w:val="18"/>
              </w:rPr>
            </w:pPr>
            <w:r w:rsidRPr="00CF5B57">
              <w:rPr>
                <w:rFonts w:ascii="Cambria" w:hAnsi="Cambria" w:cs="Calibri"/>
                <w:sz w:val="18"/>
                <w:szCs w:val="18"/>
              </w:rPr>
              <w:t> Monday, 17 February 2020</w:t>
            </w:r>
          </w:p>
        </w:tc>
      </w:tr>
      <w:tr w:rsidR="00C12CE0" w:rsidRPr="00D058C1" w14:paraId="0DBBD041"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25E2C1F3" w14:textId="3F21AEC1" w:rsidR="00C12CE0" w:rsidRPr="00CF5B57" w:rsidRDefault="0097195A" w:rsidP="00C12CE0">
            <w:pPr>
              <w:jc w:val="right"/>
              <w:rPr>
                <w:rFonts w:ascii="Cambria" w:hAnsi="Cambria" w:cs="Calibri"/>
                <w:sz w:val="18"/>
                <w:szCs w:val="18"/>
              </w:rPr>
            </w:pPr>
            <w:r w:rsidRPr="00CF5B57">
              <w:rPr>
                <w:rFonts w:ascii="Cambria" w:hAnsi="Cambria" w:cs="Calibri"/>
                <w:sz w:val="18"/>
                <w:szCs w:val="18"/>
              </w:rPr>
              <w:t>1</w:t>
            </w:r>
            <w:r w:rsidR="00CF5B57">
              <w:rPr>
                <w:rFonts w:ascii="Cambria" w:hAnsi="Cambria" w:cs="Calibri"/>
                <w:sz w:val="18"/>
                <w:szCs w:val="18"/>
              </w:rPr>
              <w:t>18</w:t>
            </w:r>
          </w:p>
        </w:tc>
        <w:tc>
          <w:tcPr>
            <w:tcW w:w="1472" w:type="dxa"/>
            <w:tcBorders>
              <w:top w:val="nil"/>
              <w:left w:val="nil"/>
              <w:bottom w:val="single" w:sz="4" w:space="0" w:color="auto"/>
              <w:right w:val="single" w:sz="4" w:space="0" w:color="auto"/>
            </w:tcBorders>
            <w:shd w:val="clear" w:color="auto" w:fill="auto"/>
            <w:noWrap/>
            <w:vAlign w:val="bottom"/>
            <w:hideMark/>
          </w:tcPr>
          <w:p w14:paraId="073750A3" w14:textId="1B280AD9" w:rsidR="00C12CE0" w:rsidRPr="00CF5B57" w:rsidRDefault="00C12CE0" w:rsidP="00C12CE0">
            <w:pPr>
              <w:rPr>
                <w:rFonts w:ascii="Cambria" w:hAnsi="Cambria" w:cs="Calibri"/>
                <w:sz w:val="18"/>
                <w:szCs w:val="18"/>
              </w:rPr>
            </w:pPr>
            <w:r w:rsidRPr="00CF5B57">
              <w:rPr>
                <w:rFonts w:ascii="Cambria" w:hAnsi="Cambria" w:cs="Calibri"/>
                <w:sz w:val="18"/>
                <w:szCs w:val="18"/>
              </w:rPr>
              <w:t>LGU</w:t>
            </w:r>
          </w:p>
        </w:tc>
        <w:tc>
          <w:tcPr>
            <w:tcW w:w="2181" w:type="dxa"/>
            <w:tcBorders>
              <w:top w:val="nil"/>
              <w:left w:val="nil"/>
              <w:bottom w:val="single" w:sz="4" w:space="0" w:color="auto"/>
              <w:right w:val="single" w:sz="4" w:space="0" w:color="auto"/>
            </w:tcBorders>
            <w:shd w:val="clear" w:color="auto" w:fill="auto"/>
            <w:noWrap/>
            <w:vAlign w:val="bottom"/>
            <w:hideMark/>
          </w:tcPr>
          <w:p w14:paraId="701D2A05"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Zamboanga City</w:t>
            </w:r>
          </w:p>
        </w:tc>
        <w:tc>
          <w:tcPr>
            <w:tcW w:w="2201" w:type="dxa"/>
            <w:tcBorders>
              <w:top w:val="nil"/>
              <w:left w:val="nil"/>
              <w:bottom w:val="single" w:sz="4" w:space="0" w:color="auto"/>
              <w:right w:val="single" w:sz="4" w:space="0" w:color="auto"/>
            </w:tcBorders>
            <w:shd w:val="clear" w:color="auto" w:fill="auto"/>
            <w:noWrap/>
            <w:vAlign w:val="bottom"/>
            <w:hideMark/>
          </w:tcPr>
          <w:p w14:paraId="29E1F37C" w14:textId="6A34F97A" w:rsidR="00C12CE0" w:rsidRPr="00CF5B57" w:rsidRDefault="00C12CE0" w:rsidP="00C12CE0">
            <w:pPr>
              <w:rPr>
                <w:rFonts w:ascii="Cambria" w:hAnsi="Cambria" w:cs="Calibri"/>
                <w:sz w:val="18"/>
                <w:szCs w:val="18"/>
              </w:rPr>
            </w:pPr>
            <w:r w:rsidRPr="00CF5B57">
              <w:rPr>
                <w:rFonts w:ascii="Cambria" w:hAnsi="Cambria" w:cs="Calibri"/>
                <w:sz w:val="18"/>
                <w:szCs w:val="18"/>
              </w:rPr>
              <w:t xml:space="preserve">EA </w:t>
            </w:r>
            <w:proofErr w:type="spellStart"/>
            <w:r w:rsidRPr="00CF5B57">
              <w:rPr>
                <w:rFonts w:ascii="Cambria" w:hAnsi="Cambria" w:cs="Calibri"/>
                <w:sz w:val="18"/>
                <w:szCs w:val="18"/>
              </w:rPr>
              <w:t>Abdusalam</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5C46A4A7" w14:textId="0D53A493" w:rsidR="00C12CE0" w:rsidRPr="00CF5B57" w:rsidRDefault="00C12CE0" w:rsidP="00C12CE0">
            <w:pPr>
              <w:rPr>
                <w:rFonts w:ascii="Cambria" w:hAnsi="Cambria" w:cs="Calibri"/>
                <w:sz w:val="18"/>
                <w:szCs w:val="18"/>
              </w:rPr>
            </w:pPr>
            <w:r w:rsidRPr="00CF5B57">
              <w:rPr>
                <w:rFonts w:ascii="Cambria" w:hAnsi="Cambria" w:cs="Calibri"/>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hideMark/>
          </w:tcPr>
          <w:p w14:paraId="1D2774E2" w14:textId="3381D8B1" w:rsidR="00C12CE0" w:rsidRPr="00CF5B57" w:rsidRDefault="00C12CE0" w:rsidP="00C12CE0">
            <w:pPr>
              <w:rPr>
                <w:rFonts w:ascii="Cambria" w:hAnsi="Cambria" w:cs="Calibri"/>
                <w:sz w:val="18"/>
                <w:szCs w:val="18"/>
              </w:rPr>
            </w:pPr>
            <w:r w:rsidRPr="00CF5B57">
              <w:rPr>
                <w:rFonts w:ascii="Cambria" w:hAnsi="Cambria" w:cs="Calibri"/>
                <w:sz w:val="18"/>
                <w:szCs w:val="18"/>
              </w:rPr>
              <w:t> Thursday 20 February 2020</w:t>
            </w:r>
          </w:p>
        </w:tc>
      </w:tr>
      <w:tr w:rsidR="00C12CE0" w:rsidRPr="00D058C1" w14:paraId="3D153D12"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32AE7CCA" w14:textId="0AB80A9E" w:rsidR="00C12CE0" w:rsidRPr="00CF5B57" w:rsidRDefault="0097195A" w:rsidP="00C12CE0">
            <w:pPr>
              <w:jc w:val="right"/>
              <w:rPr>
                <w:rFonts w:ascii="Cambria" w:hAnsi="Cambria" w:cs="Calibri"/>
                <w:sz w:val="18"/>
                <w:szCs w:val="18"/>
              </w:rPr>
            </w:pPr>
            <w:r w:rsidRPr="00CF5B57">
              <w:rPr>
                <w:rFonts w:ascii="Cambria" w:hAnsi="Cambria" w:cs="Calibri"/>
                <w:sz w:val="18"/>
                <w:szCs w:val="18"/>
              </w:rPr>
              <w:t>1</w:t>
            </w:r>
            <w:r w:rsidR="00CF5B57">
              <w:rPr>
                <w:rFonts w:ascii="Cambria" w:hAnsi="Cambria" w:cs="Calibri"/>
                <w:sz w:val="18"/>
                <w:szCs w:val="18"/>
              </w:rPr>
              <w:t>19</w:t>
            </w:r>
          </w:p>
        </w:tc>
        <w:tc>
          <w:tcPr>
            <w:tcW w:w="1472" w:type="dxa"/>
            <w:tcBorders>
              <w:top w:val="nil"/>
              <w:left w:val="nil"/>
              <w:bottom w:val="single" w:sz="4" w:space="0" w:color="auto"/>
              <w:right w:val="single" w:sz="4" w:space="0" w:color="auto"/>
            </w:tcBorders>
            <w:shd w:val="clear" w:color="auto" w:fill="auto"/>
            <w:noWrap/>
            <w:vAlign w:val="bottom"/>
          </w:tcPr>
          <w:p w14:paraId="6AF62839" w14:textId="1F54C08E" w:rsidR="00C12CE0" w:rsidRPr="00CF5B57" w:rsidRDefault="00C12CE0" w:rsidP="00C12CE0">
            <w:pPr>
              <w:rPr>
                <w:rFonts w:ascii="Cambria" w:hAnsi="Cambria" w:cs="Calibri"/>
                <w:sz w:val="18"/>
                <w:szCs w:val="18"/>
              </w:rPr>
            </w:pPr>
            <w:r w:rsidRPr="00CF5B57">
              <w:rPr>
                <w:rFonts w:ascii="Cambria" w:hAnsi="Cambria" w:cs="Calibri"/>
                <w:sz w:val="18"/>
                <w:szCs w:val="18"/>
              </w:rPr>
              <w:t>LGU</w:t>
            </w:r>
          </w:p>
        </w:tc>
        <w:tc>
          <w:tcPr>
            <w:tcW w:w="2181" w:type="dxa"/>
            <w:tcBorders>
              <w:top w:val="nil"/>
              <w:left w:val="nil"/>
              <w:bottom w:val="single" w:sz="4" w:space="0" w:color="auto"/>
              <w:right w:val="single" w:sz="4" w:space="0" w:color="auto"/>
            </w:tcBorders>
            <w:shd w:val="clear" w:color="auto" w:fill="auto"/>
            <w:noWrap/>
            <w:vAlign w:val="bottom"/>
          </w:tcPr>
          <w:p w14:paraId="0072008E" w14:textId="3723B8CD" w:rsidR="00C12CE0" w:rsidRPr="00CF5B57" w:rsidRDefault="00C12CE0" w:rsidP="00C12CE0">
            <w:pPr>
              <w:rPr>
                <w:rFonts w:ascii="Cambria" w:hAnsi="Cambria" w:cs="Calibri"/>
                <w:sz w:val="18"/>
                <w:szCs w:val="18"/>
              </w:rPr>
            </w:pPr>
            <w:r w:rsidRPr="00CF5B57">
              <w:rPr>
                <w:rFonts w:ascii="Cambria" w:hAnsi="Cambria" w:cs="Calibri"/>
                <w:sz w:val="18"/>
                <w:szCs w:val="18"/>
              </w:rPr>
              <w:t>Zamboanga City</w:t>
            </w:r>
          </w:p>
        </w:tc>
        <w:tc>
          <w:tcPr>
            <w:tcW w:w="2201" w:type="dxa"/>
            <w:tcBorders>
              <w:top w:val="nil"/>
              <w:left w:val="nil"/>
              <w:bottom w:val="single" w:sz="4" w:space="0" w:color="auto"/>
              <w:right w:val="single" w:sz="4" w:space="0" w:color="auto"/>
            </w:tcBorders>
            <w:shd w:val="clear" w:color="auto" w:fill="auto"/>
            <w:noWrap/>
            <w:vAlign w:val="bottom"/>
          </w:tcPr>
          <w:p w14:paraId="308C0627" w14:textId="5CA7C3DC" w:rsidR="00C12CE0" w:rsidRPr="00CF5B57" w:rsidDel="004473C7" w:rsidRDefault="00C12CE0" w:rsidP="00C12CE0">
            <w:pPr>
              <w:rPr>
                <w:rFonts w:ascii="Cambria" w:hAnsi="Cambria" w:cs="Calibri"/>
                <w:sz w:val="18"/>
                <w:szCs w:val="18"/>
              </w:rPr>
            </w:pPr>
            <w:r w:rsidRPr="00CF5B57">
              <w:rPr>
                <w:rFonts w:ascii="Cambria" w:hAnsi="Cambria" w:cs="Calibri"/>
                <w:sz w:val="18"/>
                <w:szCs w:val="18"/>
              </w:rPr>
              <w:t xml:space="preserve">Engr </w:t>
            </w:r>
            <w:proofErr w:type="spellStart"/>
            <w:r w:rsidRPr="00CF5B57">
              <w:rPr>
                <w:rFonts w:ascii="Cambria" w:hAnsi="Cambria" w:cs="Calibri"/>
                <w:sz w:val="18"/>
                <w:szCs w:val="18"/>
              </w:rPr>
              <w:t>Sicat</w:t>
            </w:r>
            <w:proofErr w:type="spellEnd"/>
          </w:p>
        </w:tc>
        <w:tc>
          <w:tcPr>
            <w:tcW w:w="1593" w:type="dxa"/>
            <w:tcBorders>
              <w:top w:val="nil"/>
              <w:left w:val="nil"/>
              <w:bottom w:val="single" w:sz="4" w:space="0" w:color="auto"/>
              <w:right w:val="single" w:sz="4" w:space="0" w:color="auto"/>
            </w:tcBorders>
            <w:shd w:val="clear" w:color="auto" w:fill="auto"/>
            <w:noWrap/>
            <w:vAlign w:val="bottom"/>
          </w:tcPr>
          <w:p w14:paraId="06D4D359" w14:textId="67A8C6EA" w:rsidR="00C12CE0" w:rsidRPr="00CF5B57" w:rsidRDefault="00C12CE0" w:rsidP="00C12CE0">
            <w:pPr>
              <w:rPr>
                <w:rFonts w:ascii="Cambria" w:hAnsi="Cambria" w:cs="Calibri"/>
                <w:sz w:val="18"/>
                <w:szCs w:val="18"/>
              </w:rPr>
            </w:pPr>
            <w:r w:rsidRPr="00CF5B57">
              <w:rPr>
                <w:rFonts w:ascii="Cambria" w:hAnsi="Cambria" w:cs="Calibri"/>
                <w:sz w:val="18"/>
                <w:szCs w:val="18"/>
              </w:rPr>
              <w:t>Zamboanga</w:t>
            </w:r>
          </w:p>
        </w:tc>
        <w:tc>
          <w:tcPr>
            <w:tcW w:w="2466" w:type="dxa"/>
            <w:tcBorders>
              <w:top w:val="nil"/>
              <w:left w:val="nil"/>
              <w:bottom w:val="single" w:sz="4" w:space="0" w:color="auto"/>
              <w:right w:val="single" w:sz="4" w:space="0" w:color="auto"/>
            </w:tcBorders>
            <w:shd w:val="clear" w:color="auto" w:fill="auto"/>
            <w:noWrap/>
            <w:vAlign w:val="bottom"/>
          </w:tcPr>
          <w:p w14:paraId="2DBCBFC2" w14:textId="01AE19A2" w:rsidR="00C12CE0" w:rsidRPr="00CF5B57" w:rsidRDefault="00C12CE0" w:rsidP="00C12CE0">
            <w:pPr>
              <w:rPr>
                <w:rFonts w:ascii="Cambria" w:hAnsi="Cambria" w:cs="Calibri"/>
                <w:sz w:val="18"/>
                <w:szCs w:val="18"/>
              </w:rPr>
            </w:pPr>
            <w:r w:rsidRPr="00CF5B57">
              <w:rPr>
                <w:rFonts w:ascii="Cambria" w:hAnsi="Cambria" w:cs="Calibri"/>
                <w:sz w:val="18"/>
                <w:szCs w:val="18"/>
              </w:rPr>
              <w:t>Thursday 20 February 2020</w:t>
            </w:r>
          </w:p>
        </w:tc>
      </w:tr>
      <w:tr w:rsidR="00C12CE0" w:rsidRPr="00D058C1" w14:paraId="0A8B34F3"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762694EC" w14:textId="1F222A8E" w:rsidR="00C12CE0" w:rsidRPr="00CF5B57" w:rsidRDefault="0097195A" w:rsidP="00C12CE0">
            <w:pPr>
              <w:jc w:val="right"/>
              <w:rPr>
                <w:rFonts w:ascii="Cambria" w:hAnsi="Cambria" w:cs="Calibri"/>
                <w:sz w:val="18"/>
                <w:szCs w:val="18"/>
              </w:rPr>
            </w:pPr>
            <w:r w:rsidRPr="00CF5B57">
              <w:rPr>
                <w:rFonts w:ascii="Cambria" w:hAnsi="Cambria" w:cs="Calibri"/>
                <w:sz w:val="18"/>
                <w:szCs w:val="18"/>
              </w:rPr>
              <w:t>12</w:t>
            </w:r>
            <w:r w:rsidR="00CF5B57">
              <w:rPr>
                <w:rFonts w:ascii="Cambria" w:hAnsi="Cambria" w:cs="Calibri"/>
                <w:sz w:val="18"/>
                <w:szCs w:val="18"/>
              </w:rPr>
              <w:t>0</w:t>
            </w:r>
          </w:p>
        </w:tc>
        <w:tc>
          <w:tcPr>
            <w:tcW w:w="1472" w:type="dxa"/>
            <w:tcBorders>
              <w:top w:val="nil"/>
              <w:left w:val="nil"/>
              <w:bottom w:val="single" w:sz="4" w:space="0" w:color="auto"/>
              <w:right w:val="single" w:sz="4" w:space="0" w:color="auto"/>
            </w:tcBorders>
            <w:shd w:val="clear" w:color="auto" w:fill="auto"/>
            <w:noWrap/>
            <w:vAlign w:val="bottom"/>
            <w:hideMark/>
          </w:tcPr>
          <w:p w14:paraId="412C16EC"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Other</w:t>
            </w:r>
          </w:p>
        </w:tc>
        <w:tc>
          <w:tcPr>
            <w:tcW w:w="2181" w:type="dxa"/>
            <w:tcBorders>
              <w:top w:val="nil"/>
              <w:left w:val="nil"/>
              <w:bottom w:val="single" w:sz="4" w:space="0" w:color="auto"/>
              <w:right w:val="single" w:sz="4" w:space="0" w:color="auto"/>
            </w:tcBorders>
            <w:shd w:val="clear" w:color="auto" w:fill="auto"/>
            <w:noWrap/>
            <w:vAlign w:val="bottom"/>
            <w:hideMark/>
          </w:tcPr>
          <w:p w14:paraId="537838DF"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BDA</w:t>
            </w:r>
          </w:p>
        </w:tc>
        <w:tc>
          <w:tcPr>
            <w:tcW w:w="2201" w:type="dxa"/>
            <w:tcBorders>
              <w:top w:val="nil"/>
              <w:left w:val="nil"/>
              <w:bottom w:val="single" w:sz="4" w:space="0" w:color="auto"/>
              <w:right w:val="single" w:sz="4" w:space="0" w:color="auto"/>
            </w:tcBorders>
            <w:shd w:val="clear" w:color="auto" w:fill="auto"/>
            <w:noWrap/>
            <w:vAlign w:val="bottom"/>
            <w:hideMark/>
          </w:tcPr>
          <w:p w14:paraId="462A9462" w14:textId="77777777" w:rsidR="00C12CE0" w:rsidRPr="00CF5B57" w:rsidRDefault="00C12CE0" w:rsidP="00C12CE0">
            <w:pPr>
              <w:rPr>
                <w:rFonts w:ascii="Cambria" w:hAnsi="Cambria" w:cs="Calibri"/>
                <w:sz w:val="18"/>
                <w:szCs w:val="18"/>
              </w:rPr>
            </w:pPr>
            <w:proofErr w:type="spellStart"/>
            <w:r w:rsidRPr="00CF5B57">
              <w:rPr>
                <w:rFonts w:ascii="Cambria" w:hAnsi="Cambria" w:cs="Calibri"/>
                <w:sz w:val="18"/>
                <w:szCs w:val="18"/>
              </w:rPr>
              <w:t>Windel</w:t>
            </w:r>
            <w:proofErr w:type="spellEnd"/>
            <w:r w:rsidRPr="00CF5B57">
              <w:rPr>
                <w:rFonts w:ascii="Cambria" w:hAnsi="Cambria" w:cs="Calibri"/>
                <w:sz w:val="18"/>
                <w:szCs w:val="18"/>
              </w:rPr>
              <w:t xml:space="preserve"> </w:t>
            </w:r>
            <w:proofErr w:type="spellStart"/>
            <w:r w:rsidRPr="00CF5B57">
              <w:rPr>
                <w:rFonts w:ascii="Cambria" w:hAnsi="Cambria" w:cs="Calibri"/>
                <w:sz w:val="18"/>
                <w:szCs w:val="18"/>
              </w:rPr>
              <w:t>Diangcalan</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6A8B577B"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7EA7E864" w14:textId="306CE508" w:rsidR="00C12CE0" w:rsidRPr="00CF5B57" w:rsidRDefault="00C12CE0" w:rsidP="00C12CE0">
            <w:pPr>
              <w:rPr>
                <w:rFonts w:ascii="Cambria" w:hAnsi="Cambria" w:cs="Calibri"/>
                <w:sz w:val="18"/>
                <w:szCs w:val="18"/>
              </w:rPr>
            </w:pPr>
            <w:r w:rsidRPr="00CF5B57">
              <w:rPr>
                <w:rFonts w:ascii="Cambria" w:hAnsi="Cambria" w:cs="Calibri"/>
                <w:sz w:val="18"/>
                <w:szCs w:val="18"/>
              </w:rPr>
              <w:t> Monday, 17 February 2020</w:t>
            </w:r>
          </w:p>
        </w:tc>
      </w:tr>
      <w:tr w:rsidR="00C12CE0" w:rsidRPr="00D058C1" w14:paraId="3BDDE495"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197B020E" w14:textId="061916F9" w:rsidR="00C12CE0" w:rsidRPr="00CF5B57" w:rsidRDefault="0097195A" w:rsidP="00C12CE0">
            <w:pPr>
              <w:jc w:val="right"/>
              <w:rPr>
                <w:rFonts w:ascii="Cambria" w:hAnsi="Cambria" w:cs="Calibri"/>
                <w:sz w:val="18"/>
                <w:szCs w:val="18"/>
              </w:rPr>
            </w:pPr>
            <w:r w:rsidRPr="00CF5B57">
              <w:rPr>
                <w:rFonts w:ascii="Cambria" w:hAnsi="Cambria" w:cs="Calibri"/>
                <w:sz w:val="18"/>
                <w:szCs w:val="18"/>
              </w:rPr>
              <w:t>12</w:t>
            </w:r>
            <w:r w:rsidR="00CF5B57">
              <w:rPr>
                <w:rFonts w:ascii="Cambria" w:hAnsi="Cambria" w:cs="Calibri"/>
                <w:sz w:val="18"/>
                <w:szCs w:val="18"/>
              </w:rPr>
              <w:t>1</w:t>
            </w:r>
          </w:p>
        </w:tc>
        <w:tc>
          <w:tcPr>
            <w:tcW w:w="1472" w:type="dxa"/>
            <w:tcBorders>
              <w:top w:val="nil"/>
              <w:left w:val="nil"/>
              <w:bottom w:val="single" w:sz="4" w:space="0" w:color="auto"/>
              <w:right w:val="single" w:sz="4" w:space="0" w:color="auto"/>
            </w:tcBorders>
            <w:shd w:val="clear" w:color="auto" w:fill="auto"/>
            <w:noWrap/>
            <w:vAlign w:val="bottom"/>
            <w:hideMark/>
          </w:tcPr>
          <w:p w14:paraId="1F0A9A45"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Other</w:t>
            </w:r>
          </w:p>
        </w:tc>
        <w:tc>
          <w:tcPr>
            <w:tcW w:w="2181" w:type="dxa"/>
            <w:tcBorders>
              <w:top w:val="nil"/>
              <w:left w:val="nil"/>
              <w:bottom w:val="single" w:sz="4" w:space="0" w:color="auto"/>
              <w:right w:val="single" w:sz="4" w:space="0" w:color="auto"/>
            </w:tcBorders>
            <w:shd w:val="clear" w:color="auto" w:fill="auto"/>
            <w:noWrap/>
            <w:vAlign w:val="bottom"/>
            <w:hideMark/>
          </w:tcPr>
          <w:p w14:paraId="74CD11F8"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IBS</w:t>
            </w:r>
          </w:p>
        </w:tc>
        <w:tc>
          <w:tcPr>
            <w:tcW w:w="2201" w:type="dxa"/>
            <w:tcBorders>
              <w:top w:val="nil"/>
              <w:left w:val="nil"/>
              <w:bottom w:val="single" w:sz="4" w:space="0" w:color="auto"/>
              <w:right w:val="single" w:sz="4" w:space="0" w:color="auto"/>
            </w:tcBorders>
            <w:shd w:val="clear" w:color="auto" w:fill="auto"/>
            <w:noWrap/>
            <w:vAlign w:val="bottom"/>
            <w:hideMark/>
          </w:tcPr>
          <w:p w14:paraId="7A374D2D" w14:textId="77777777" w:rsidR="00C12CE0" w:rsidRPr="00CF5B57" w:rsidRDefault="00C12CE0" w:rsidP="00C12CE0">
            <w:pPr>
              <w:rPr>
                <w:rFonts w:ascii="Cambria" w:hAnsi="Cambria" w:cs="Calibri"/>
                <w:sz w:val="18"/>
                <w:szCs w:val="18"/>
              </w:rPr>
            </w:pPr>
            <w:proofErr w:type="spellStart"/>
            <w:r w:rsidRPr="00CF5B57">
              <w:rPr>
                <w:rFonts w:ascii="Cambria" w:hAnsi="Cambria" w:cs="Calibri"/>
                <w:sz w:val="18"/>
                <w:szCs w:val="18"/>
              </w:rPr>
              <w:t>Abhoud</w:t>
            </w:r>
            <w:proofErr w:type="spellEnd"/>
            <w:r w:rsidRPr="00CF5B57">
              <w:rPr>
                <w:rFonts w:ascii="Cambria" w:hAnsi="Cambria" w:cs="Calibri"/>
                <w:sz w:val="18"/>
                <w:szCs w:val="18"/>
              </w:rPr>
              <w:t xml:space="preserve"> Syed </w:t>
            </w:r>
            <w:proofErr w:type="spellStart"/>
            <w:r w:rsidRPr="00CF5B57">
              <w:rPr>
                <w:rFonts w:ascii="Cambria" w:hAnsi="Cambria" w:cs="Calibri"/>
                <w:sz w:val="18"/>
                <w:szCs w:val="18"/>
              </w:rPr>
              <w:t>Lingga</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3698C1BE"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1D4D5C62" w14:textId="57366203" w:rsidR="00C12CE0" w:rsidRPr="00CF5B57" w:rsidRDefault="00C12CE0" w:rsidP="00C12CE0">
            <w:pPr>
              <w:rPr>
                <w:rFonts w:ascii="Cambria" w:hAnsi="Cambria" w:cs="Calibri"/>
                <w:sz w:val="18"/>
                <w:szCs w:val="18"/>
              </w:rPr>
            </w:pPr>
            <w:r w:rsidRPr="00CF5B57">
              <w:rPr>
                <w:rFonts w:ascii="Cambria" w:hAnsi="Cambria" w:cs="Calibri"/>
                <w:sz w:val="18"/>
                <w:szCs w:val="18"/>
              </w:rPr>
              <w:t> Wednesday, 19 February 2020</w:t>
            </w:r>
          </w:p>
        </w:tc>
      </w:tr>
      <w:tr w:rsidR="00C12CE0" w:rsidRPr="00D058C1" w14:paraId="1A9F12DA"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4A96FED2" w14:textId="24A95DE0" w:rsidR="00C12CE0" w:rsidRPr="00CF5B57" w:rsidRDefault="0097195A" w:rsidP="00C12CE0">
            <w:pPr>
              <w:jc w:val="right"/>
              <w:rPr>
                <w:rFonts w:ascii="Cambria" w:hAnsi="Cambria" w:cs="Calibri"/>
                <w:sz w:val="18"/>
                <w:szCs w:val="18"/>
              </w:rPr>
            </w:pPr>
            <w:r w:rsidRPr="00CF5B57">
              <w:rPr>
                <w:rFonts w:ascii="Cambria" w:hAnsi="Cambria" w:cs="Calibri"/>
                <w:sz w:val="18"/>
                <w:szCs w:val="18"/>
              </w:rPr>
              <w:t>12</w:t>
            </w:r>
            <w:r w:rsidR="00CF5B57">
              <w:rPr>
                <w:rFonts w:ascii="Cambria" w:hAnsi="Cambria" w:cs="Calibri"/>
                <w:sz w:val="18"/>
                <w:szCs w:val="18"/>
              </w:rPr>
              <w:t>2</w:t>
            </w:r>
          </w:p>
        </w:tc>
        <w:tc>
          <w:tcPr>
            <w:tcW w:w="1472" w:type="dxa"/>
            <w:tcBorders>
              <w:top w:val="nil"/>
              <w:left w:val="nil"/>
              <w:bottom w:val="single" w:sz="4" w:space="0" w:color="auto"/>
              <w:right w:val="single" w:sz="4" w:space="0" w:color="auto"/>
            </w:tcBorders>
            <w:shd w:val="clear" w:color="auto" w:fill="auto"/>
            <w:noWrap/>
            <w:vAlign w:val="bottom"/>
            <w:hideMark/>
          </w:tcPr>
          <w:p w14:paraId="1DBA9E33"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Other</w:t>
            </w:r>
          </w:p>
        </w:tc>
        <w:tc>
          <w:tcPr>
            <w:tcW w:w="2181" w:type="dxa"/>
            <w:tcBorders>
              <w:top w:val="nil"/>
              <w:left w:val="nil"/>
              <w:bottom w:val="single" w:sz="4" w:space="0" w:color="auto"/>
              <w:right w:val="single" w:sz="4" w:space="0" w:color="auto"/>
            </w:tcBorders>
            <w:shd w:val="clear" w:color="auto" w:fill="auto"/>
            <w:noWrap/>
            <w:vAlign w:val="bottom"/>
            <w:hideMark/>
          </w:tcPr>
          <w:p w14:paraId="1B53D130"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IDB</w:t>
            </w:r>
          </w:p>
        </w:tc>
        <w:tc>
          <w:tcPr>
            <w:tcW w:w="2201" w:type="dxa"/>
            <w:tcBorders>
              <w:top w:val="nil"/>
              <w:left w:val="nil"/>
              <w:bottom w:val="single" w:sz="4" w:space="0" w:color="auto"/>
              <w:right w:val="single" w:sz="4" w:space="0" w:color="auto"/>
            </w:tcBorders>
            <w:shd w:val="clear" w:color="auto" w:fill="auto"/>
            <w:noWrap/>
            <w:vAlign w:val="bottom"/>
            <w:hideMark/>
          </w:tcPr>
          <w:p w14:paraId="798CDCED" w14:textId="645D1B05" w:rsidR="00C12CE0" w:rsidRPr="00CF5B57" w:rsidRDefault="00C12CE0" w:rsidP="00C12CE0">
            <w:pPr>
              <w:rPr>
                <w:rFonts w:ascii="Cambria" w:hAnsi="Cambria" w:cs="Calibri"/>
                <w:sz w:val="18"/>
                <w:szCs w:val="18"/>
              </w:rPr>
            </w:pPr>
            <w:r w:rsidRPr="00CF5B57">
              <w:rPr>
                <w:rFonts w:ascii="Cambria" w:hAnsi="Cambria" w:cs="Calibri"/>
                <w:sz w:val="18"/>
                <w:szCs w:val="18"/>
              </w:rPr>
              <w:t xml:space="preserve">Anna </w:t>
            </w:r>
            <w:proofErr w:type="spellStart"/>
            <w:r w:rsidRPr="00CF5B57">
              <w:rPr>
                <w:rFonts w:ascii="Cambria" w:hAnsi="Cambria" w:cs="Calibri"/>
                <w:sz w:val="18"/>
                <w:szCs w:val="18"/>
              </w:rPr>
              <w:t>Pacete</w:t>
            </w:r>
            <w:proofErr w:type="spellEnd"/>
          </w:p>
        </w:tc>
        <w:tc>
          <w:tcPr>
            <w:tcW w:w="1593" w:type="dxa"/>
            <w:tcBorders>
              <w:top w:val="nil"/>
              <w:left w:val="nil"/>
              <w:bottom w:val="single" w:sz="4" w:space="0" w:color="auto"/>
              <w:right w:val="single" w:sz="4" w:space="0" w:color="auto"/>
            </w:tcBorders>
            <w:shd w:val="clear" w:color="auto" w:fill="auto"/>
            <w:noWrap/>
            <w:vAlign w:val="bottom"/>
            <w:hideMark/>
          </w:tcPr>
          <w:p w14:paraId="2C045CAC"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3E63ED9A" w14:textId="62E274CB" w:rsidR="00C12CE0" w:rsidRPr="00CF5B57" w:rsidRDefault="00C12CE0" w:rsidP="00C12CE0">
            <w:pPr>
              <w:rPr>
                <w:rFonts w:ascii="Cambria" w:hAnsi="Cambria" w:cs="Calibri"/>
                <w:sz w:val="18"/>
                <w:szCs w:val="18"/>
              </w:rPr>
            </w:pPr>
            <w:r w:rsidRPr="00CF5B57">
              <w:rPr>
                <w:rFonts w:ascii="Cambria" w:hAnsi="Cambria" w:cs="Calibri"/>
                <w:sz w:val="18"/>
                <w:szCs w:val="18"/>
              </w:rPr>
              <w:t> Monday, 17 February 2020</w:t>
            </w:r>
          </w:p>
        </w:tc>
      </w:tr>
      <w:tr w:rsidR="00C12CE0" w:rsidRPr="00D058C1" w14:paraId="21F2AB66"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76F291E2" w14:textId="0F0D71FE" w:rsidR="00C12CE0" w:rsidRPr="00CF5B57" w:rsidRDefault="0097195A" w:rsidP="00C12CE0">
            <w:pPr>
              <w:jc w:val="right"/>
              <w:rPr>
                <w:rFonts w:ascii="Cambria" w:hAnsi="Cambria" w:cs="Calibri"/>
                <w:sz w:val="18"/>
                <w:szCs w:val="18"/>
              </w:rPr>
            </w:pPr>
            <w:r w:rsidRPr="00CF5B57">
              <w:rPr>
                <w:rFonts w:ascii="Cambria" w:hAnsi="Cambria" w:cs="Calibri"/>
                <w:sz w:val="18"/>
                <w:szCs w:val="18"/>
              </w:rPr>
              <w:t>12</w:t>
            </w:r>
            <w:r w:rsidR="00CF5B57">
              <w:rPr>
                <w:rFonts w:ascii="Cambria" w:hAnsi="Cambria" w:cs="Calibri"/>
                <w:sz w:val="18"/>
                <w:szCs w:val="18"/>
              </w:rPr>
              <w:t>3</w:t>
            </w:r>
          </w:p>
        </w:tc>
        <w:tc>
          <w:tcPr>
            <w:tcW w:w="1472" w:type="dxa"/>
            <w:tcBorders>
              <w:top w:val="nil"/>
              <w:left w:val="nil"/>
              <w:bottom w:val="single" w:sz="4" w:space="0" w:color="auto"/>
              <w:right w:val="single" w:sz="4" w:space="0" w:color="auto"/>
            </w:tcBorders>
            <w:shd w:val="clear" w:color="auto" w:fill="auto"/>
            <w:noWrap/>
            <w:vAlign w:val="bottom"/>
          </w:tcPr>
          <w:p w14:paraId="52D38CF4" w14:textId="3C52D7EF" w:rsidR="00C12CE0" w:rsidRPr="00CF5B57" w:rsidRDefault="00C12CE0" w:rsidP="00C12CE0">
            <w:pPr>
              <w:rPr>
                <w:rFonts w:ascii="Cambria" w:hAnsi="Cambria" w:cs="Calibri"/>
                <w:sz w:val="18"/>
                <w:szCs w:val="18"/>
              </w:rPr>
            </w:pPr>
            <w:r w:rsidRPr="00CF5B57">
              <w:rPr>
                <w:rFonts w:ascii="Cambria" w:hAnsi="Cambria" w:cs="Calibri"/>
                <w:sz w:val="18"/>
                <w:szCs w:val="18"/>
              </w:rPr>
              <w:t>Other</w:t>
            </w:r>
          </w:p>
        </w:tc>
        <w:tc>
          <w:tcPr>
            <w:tcW w:w="2181" w:type="dxa"/>
            <w:tcBorders>
              <w:top w:val="nil"/>
              <w:left w:val="nil"/>
              <w:bottom w:val="single" w:sz="4" w:space="0" w:color="auto"/>
              <w:right w:val="single" w:sz="4" w:space="0" w:color="auto"/>
            </w:tcBorders>
            <w:shd w:val="clear" w:color="auto" w:fill="auto"/>
            <w:noWrap/>
            <w:vAlign w:val="bottom"/>
          </w:tcPr>
          <w:p w14:paraId="18D33E3E" w14:textId="5FA2713B" w:rsidR="00C12CE0" w:rsidRPr="00CF5B57" w:rsidRDefault="00C12CE0" w:rsidP="00C12CE0">
            <w:pPr>
              <w:rPr>
                <w:rFonts w:ascii="Cambria" w:hAnsi="Cambria" w:cs="Calibri"/>
                <w:sz w:val="18"/>
                <w:szCs w:val="18"/>
              </w:rPr>
            </w:pPr>
            <w:r w:rsidRPr="00CF5B57">
              <w:rPr>
                <w:rFonts w:ascii="Cambria" w:hAnsi="Cambria" w:cs="Calibri"/>
                <w:sz w:val="18"/>
                <w:szCs w:val="18"/>
              </w:rPr>
              <w:t>IDB</w:t>
            </w:r>
          </w:p>
        </w:tc>
        <w:tc>
          <w:tcPr>
            <w:tcW w:w="2201" w:type="dxa"/>
            <w:tcBorders>
              <w:top w:val="nil"/>
              <w:left w:val="nil"/>
              <w:bottom w:val="single" w:sz="4" w:space="0" w:color="auto"/>
              <w:right w:val="single" w:sz="4" w:space="0" w:color="auto"/>
            </w:tcBorders>
            <w:shd w:val="clear" w:color="auto" w:fill="auto"/>
            <w:noWrap/>
            <w:vAlign w:val="bottom"/>
          </w:tcPr>
          <w:p w14:paraId="7B077C94" w14:textId="77777777" w:rsidR="00C12CE0" w:rsidRPr="00CF5B57" w:rsidRDefault="00C12CE0" w:rsidP="00C12CE0">
            <w:pPr>
              <w:rPr>
                <w:rFonts w:ascii="Cambria" w:hAnsi="Cambria" w:cs="Calibri"/>
                <w:sz w:val="18"/>
                <w:szCs w:val="18"/>
              </w:rPr>
            </w:pPr>
          </w:p>
        </w:tc>
        <w:tc>
          <w:tcPr>
            <w:tcW w:w="1593" w:type="dxa"/>
            <w:tcBorders>
              <w:top w:val="nil"/>
              <w:left w:val="nil"/>
              <w:bottom w:val="single" w:sz="4" w:space="0" w:color="auto"/>
              <w:right w:val="single" w:sz="4" w:space="0" w:color="auto"/>
            </w:tcBorders>
            <w:shd w:val="clear" w:color="auto" w:fill="auto"/>
            <w:noWrap/>
            <w:vAlign w:val="bottom"/>
          </w:tcPr>
          <w:p w14:paraId="69433279" w14:textId="3BBA227A"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tcPr>
          <w:p w14:paraId="51F43DC6" w14:textId="6EC97616" w:rsidR="00C12CE0" w:rsidRPr="00CF5B57" w:rsidRDefault="00C12CE0" w:rsidP="00C12CE0">
            <w:pPr>
              <w:rPr>
                <w:rFonts w:ascii="Cambria" w:hAnsi="Cambria" w:cs="Calibri"/>
                <w:sz w:val="18"/>
                <w:szCs w:val="18"/>
              </w:rPr>
            </w:pPr>
            <w:r w:rsidRPr="00CF5B57">
              <w:rPr>
                <w:rFonts w:ascii="Cambria" w:hAnsi="Cambria" w:cs="Calibri"/>
                <w:sz w:val="18"/>
                <w:szCs w:val="18"/>
              </w:rPr>
              <w:t> Monday, 17 February 2020</w:t>
            </w:r>
          </w:p>
        </w:tc>
      </w:tr>
      <w:tr w:rsidR="00C12CE0" w:rsidRPr="00D058C1" w14:paraId="69BBD3CA" w14:textId="77777777" w:rsidTr="00CF5B57">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tcPr>
          <w:p w14:paraId="63A2E9DE" w14:textId="112E36F2" w:rsidR="00C12CE0" w:rsidRPr="00CF5B57" w:rsidRDefault="0097195A" w:rsidP="00C12CE0">
            <w:pPr>
              <w:jc w:val="right"/>
              <w:rPr>
                <w:rFonts w:ascii="Cambria" w:hAnsi="Cambria" w:cs="Calibri"/>
                <w:sz w:val="18"/>
                <w:szCs w:val="18"/>
              </w:rPr>
            </w:pPr>
            <w:r w:rsidRPr="00CF5B57">
              <w:rPr>
                <w:rFonts w:ascii="Cambria" w:hAnsi="Cambria" w:cs="Calibri"/>
                <w:sz w:val="18"/>
                <w:szCs w:val="18"/>
              </w:rPr>
              <w:t>12</w:t>
            </w:r>
            <w:r w:rsidR="00CF5B57">
              <w:rPr>
                <w:rFonts w:ascii="Cambria" w:hAnsi="Cambria" w:cs="Calibri"/>
                <w:sz w:val="18"/>
                <w:szCs w:val="18"/>
              </w:rPr>
              <w:t>4</w:t>
            </w:r>
          </w:p>
        </w:tc>
        <w:tc>
          <w:tcPr>
            <w:tcW w:w="1472" w:type="dxa"/>
            <w:tcBorders>
              <w:top w:val="nil"/>
              <w:left w:val="nil"/>
              <w:bottom w:val="single" w:sz="4" w:space="0" w:color="auto"/>
              <w:right w:val="single" w:sz="4" w:space="0" w:color="auto"/>
            </w:tcBorders>
            <w:shd w:val="clear" w:color="auto" w:fill="auto"/>
            <w:noWrap/>
            <w:vAlign w:val="bottom"/>
            <w:hideMark/>
          </w:tcPr>
          <w:p w14:paraId="7BF2DE15"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Other</w:t>
            </w:r>
          </w:p>
        </w:tc>
        <w:tc>
          <w:tcPr>
            <w:tcW w:w="2181" w:type="dxa"/>
            <w:tcBorders>
              <w:top w:val="nil"/>
              <w:left w:val="nil"/>
              <w:bottom w:val="single" w:sz="4" w:space="0" w:color="auto"/>
              <w:right w:val="single" w:sz="4" w:space="0" w:color="auto"/>
            </w:tcBorders>
            <w:shd w:val="clear" w:color="auto" w:fill="auto"/>
            <w:noWrap/>
            <w:vAlign w:val="bottom"/>
            <w:hideMark/>
          </w:tcPr>
          <w:p w14:paraId="2F3ED62C" w14:textId="77777777" w:rsidR="00C12CE0" w:rsidRPr="00CF5B57" w:rsidRDefault="00C12CE0" w:rsidP="00C12CE0">
            <w:pPr>
              <w:rPr>
                <w:rFonts w:ascii="Cambria" w:hAnsi="Cambria" w:cs="Calibri"/>
                <w:sz w:val="18"/>
                <w:szCs w:val="18"/>
              </w:rPr>
            </w:pPr>
            <w:r w:rsidRPr="00CF5B57">
              <w:rPr>
                <w:rFonts w:ascii="Cambria" w:hAnsi="Cambria" w:cs="Calibri"/>
                <w:sz w:val="18"/>
                <w:szCs w:val="18"/>
              </w:rPr>
              <w:t>CFSI</w:t>
            </w:r>
          </w:p>
        </w:tc>
        <w:tc>
          <w:tcPr>
            <w:tcW w:w="2201" w:type="dxa"/>
            <w:tcBorders>
              <w:top w:val="nil"/>
              <w:left w:val="nil"/>
              <w:bottom w:val="single" w:sz="4" w:space="0" w:color="auto"/>
              <w:right w:val="single" w:sz="4" w:space="0" w:color="auto"/>
            </w:tcBorders>
            <w:shd w:val="clear" w:color="auto" w:fill="auto"/>
            <w:noWrap/>
            <w:vAlign w:val="bottom"/>
            <w:hideMark/>
          </w:tcPr>
          <w:p w14:paraId="18AB2A48" w14:textId="4E0FA1A1" w:rsidR="00C12CE0" w:rsidRPr="00CF5B57" w:rsidRDefault="00C12CE0" w:rsidP="00C12CE0">
            <w:pPr>
              <w:rPr>
                <w:rFonts w:ascii="Cambria" w:hAnsi="Cambria" w:cs="Calibri"/>
                <w:sz w:val="18"/>
                <w:szCs w:val="18"/>
              </w:rPr>
            </w:pPr>
            <w:r w:rsidRPr="00CF5B57">
              <w:rPr>
                <w:rFonts w:ascii="Cambria" w:hAnsi="Cambria" w:cs="Calibri"/>
                <w:sz w:val="18"/>
                <w:szCs w:val="18"/>
              </w:rPr>
              <w:t xml:space="preserve">Steve Muncy </w:t>
            </w:r>
          </w:p>
        </w:tc>
        <w:tc>
          <w:tcPr>
            <w:tcW w:w="1593" w:type="dxa"/>
            <w:tcBorders>
              <w:top w:val="nil"/>
              <w:left w:val="nil"/>
              <w:bottom w:val="single" w:sz="4" w:space="0" w:color="auto"/>
              <w:right w:val="single" w:sz="4" w:space="0" w:color="auto"/>
            </w:tcBorders>
            <w:shd w:val="clear" w:color="auto" w:fill="auto"/>
            <w:noWrap/>
            <w:vAlign w:val="bottom"/>
            <w:hideMark/>
          </w:tcPr>
          <w:p w14:paraId="7981CCE4" w14:textId="2F56DD47" w:rsidR="00C12CE0" w:rsidRPr="00CF5B57" w:rsidRDefault="00C12CE0" w:rsidP="00C12CE0">
            <w:pPr>
              <w:rPr>
                <w:rFonts w:ascii="Cambria" w:hAnsi="Cambria" w:cs="Calibri"/>
                <w:sz w:val="18"/>
                <w:szCs w:val="18"/>
              </w:rPr>
            </w:pPr>
            <w:r w:rsidRPr="00CF5B57">
              <w:rPr>
                <w:rFonts w:ascii="Cambria" w:hAnsi="Cambria" w:cs="Calibri"/>
                <w:sz w:val="18"/>
                <w:szCs w:val="18"/>
              </w:rPr>
              <w:t>Cotabato</w:t>
            </w:r>
          </w:p>
        </w:tc>
        <w:tc>
          <w:tcPr>
            <w:tcW w:w="2466" w:type="dxa"/>
            <w:tcBorders>
              <w:top w:val="nil"/>
              <w:left w:val="nil"/>
              <w:bottom w:val="single" w:sz="4" w:space="0" w:color="auto"/>
              <w:right w:val="single" w:sz="4" w:space="0" w:color="auto"/>
            </w:tcBorders>
            <w:shd w:val="clear" w:color="auto" w:fill="auto"/>
            <w:noWrap/>
            <w:vAlign w:val="bottom"/>
            <w:hideMark/>
          </w:tcPr>
          <w:p w14:paraId="039E44A3" w14:textId="397DF6D2" w:rsidR="00C12CE0" w:rsidRPr="00CF5B57" w:rsidRDefault="00C12CE0" w:rsidP="00C12CE0">
            <w:pPr>
              <w:rPr>
                <w:rFonts w:ascii="Cambria" w:hAnsi="Cambria" w:cs="Calibri"/>
                <w:sz w:val="18"/>
                <w:szCs w:val="18"/>
              </w:rPr>
            </w:pPr>
            <w:r w:rsidRPr="00CF5B57">
              <w:rPr>
                <w:rFonts w:ascii="Cambria" w:hAnsi="Cambria" w:cs="Calibri"/>
                <w:sz w:val="18"/>
                <w:szCs w:val="18"/>
              </w:rPr>
              <w:t> Tuesday, 18 February 2020</w:t>
            </w:r>
          </w:p>
        </w:tc>
      </w:tr>
    </w:tbl>
    <w:p w14:paraId="74DAC301" w14:textId="77777777" w:rsidR="00213528" w:rsidRPr="00D058C1" w:rsidRDefault="00213528" w:rsidP="00213528">
      <w:pPr>
        <w:rPr>
          <w:rFonts w:ascii="Cambria" w:hAnsi="Cambria"/>
          <w:b/>
          <w:sz w:val="22"/>
          <w:szCs w:val="22"/>
        </w:rPr>
      </w:pPr>
    </w:p>
    <w:p w14:paraId="00BB35D8" w14:textId="77777777" w:rsidR="00AF3E8B" w:rsidRPr="00D058C1" w:rsidRDefault="00AF3E8B" w:rsidP="007F615A">
      <w:pPr>
        <w:jc w:val="center"/>
        <w:rPr>
          <w:rFonts w:ascii="Cambria" w:hAnsi="Cambria"/>
          <w:b/>
        </w:rPr>
        <w:sectPr w:rsidR="00AF3E8B" w:rsidRPr="00D058C1" w:rsidSect="00050FF7">
          <w:pgSz w:w="12240" w:h="15840"/>
          <w:pgMar w:top="1440" w:right="1800" w:bottom="1440" w:left="1800" w:header="708" w:footer="708" w:gutter="0"/>
          <w:cols w:space="708"/>
          <w:docGrid w:linePitch="360"/>
        </w:sectPr>
      </w:pPr>
    </w:p>
    <w:p w14:paraId="63EAFE87" w14:textId="534484A5" w:rsidR="00A65FC0" w:rsidRPr="00D058C1" w:rsidRDefault="00A65FC0" w:rsidP="00A65FC0">
      <w:pPr>
        <w:pStyle w:val="Heading1"/>
        <w:rPr>
          <w:rFonts w:ascii="Cambria" w:hAnsi="Cambria"/>
          <w:b/>
          <w:sz w:val="22"/>
          <w:szCs w:val="22"/>
        </w:rPr>
      </w:pPr>
      <w:bookmarkStart w:id="45" w:name="_Toc34220996"/>
      <w:bookmarkStart w:id="46" w:name="_Toc34352295"/>
      <w:bookmarkStart w:id="47" w:name="_Toc38299532"/>
      <w:bookmarkStart w:id="48" w:name="_Toc55309691"/>
      <w:r w:rsidRPr="00D058C1">
        <w:rPr>
          <w:rFonts w:ascii="Cambria" w:hAnsi="Cambria"/>
          <w:b/>
          <w:sz w:val="22"/>
          <w:szCs w:val="22"/>
        </w:rPr>
        <w:lastRenderedPageBreak/>
        <w:t>A</w:t>
      </w:r>
      <w:r>
        <w:rPr>
          <w:rFonts w:ascii="Cambria" w:hAnsi="Cambria"/>
          <w:b/>
          <w:sz w:val="22"/>
          <w:szCs w:val="22"/>
        </w:rPr>
        <w:t>nnex</w:t>
      </w:r>
      <w:r w:rsidRPr="00D058C1">
        <w:rPr>
          <w:rFonts w:ascii="Cambria" w:hAnsi="Cambria"/>
          <w:b/>
          <w:sz w:val="22"/>
          <w:szCs w:val="22"/>
        </w:rPr>
        <w:t xml:space="preserve"> </w:t>
      </w:r>
      <w:r w:rsidR="001324EB">
        <w:rPr>
          <w:rFonts w:ascii="Cambria" w:hAnsi="Cambria"/>
          <w:b/>
          <w:sz w:val="22"/>
          <w:szCs w:val="22"/>
        </w:rPr>
        <w:t>C</w:t>
      </w:r>
      <w:r w:rsidRPr="00D058C1">
        <w:rPr>
          <w:rFonts w:ascii="Cambria" w:hAnsi="Cambria"/>
          <w:b/>
          <w:sz w:val="22"/>
          <w:szCs w:val="22"/>
        </w:rPr>
        <w:t>. Evaluation Matrix – Performance of Partners against Criteria</w:t>
      </w:r>
      <w:bookmarkEnd w:id="45"/>
      <w:bookmarkEnd w:id="46"/>
      <w:bookmarkEnd w:id="47"/>
      <w:bookmarkEnd w:id="48"/>
    </w:p>
    <w:p w14:paraId="4933600D" w14:textId="77777777" w:rsidR="00A65FC0" w:rsidRPr="00D058C1" w:rsidRDefault="00A65FC0" w:rsidP="00A65FC0">
      <w:pPr>
        <w:rPr>
          <w:rFonts w:ascii="Cambria" w:hAnsi="Cambria"/>
          <w:b/>
        </w:rPr>
      </w:pPr>
    </w:p>
    <w:p w14:paraId="52F8B8D9" w14:textId="704E2344" w:rsidR="00A65FC0" w:rsidRPr="006F3F8E" w:rsidRDefault="00A65FC0" w:rsidP="00A65FC0">
      <w:pPr>
        <w:pStyle w:val="Heading2"/>
        <w:rPr>
          <w:rFonts w:ascii="Cambria" w:hAnsi="Cambria"/>
          <w:b/>
        </w:rPr>
      </w:pPr>
      <w:bookmarkStart w:id="49" w:name="_Toc34220997"/>
      <w:bookmarkStart w:id="50" w:name="_Toc34352296"/>
      <w:bookmarkStart w:id="51" w:name="_Toc38299533"/>
      <w:bookmarkStart w:id="52" w:name="_Toc55309692"/>
      <w:r w:rsidRPr="00D058C1">
        <w:rPr>
          <w:rFonts w:ascii="Cambria" w:hAnsi="Cambria"/>
          <w:b/>
        </w:rPr>
        <w:t xml:space="preserve">Annex </w:t>
      </w:r>
      <w:r w:rsidR="001324EB">
        <w:rPr>
          <w:rFonts w:ascii="Cambria" w:hAnsi="Cambria"/>
          <w:b/>
        </w:rPr>
        <w:t>C</w:t>
      </w:r>
      <w:r w:rsidRPr="00D058C1">
        <w:rPr>
          <w:rFonts w:ascii="Cambria" w:hAnsi="Cambria"/>
          <w:b/>
        </w:rPr>
        <w:t>.1 APP Partners</w:t>
      </w:r>
      <w:bookmarkEnd w:id="49"/>
      <w:bookmarkEnd w:id="50"/>
      <w:bookmarkEnd w:id="51"/>
      <w:bookmarkEnd w:id="52"/>
    </w:p>
    <w:p w14:paraId="2AD84CC7" w14:textId="77777777" w:rsidR="00A65FC0" w:rsidRDefault="00A65FC0" w:rsidP="00A65FC0"/>
    <w:tbl>
      <w:tblPr>
        <w:tblStyle w:val="TableGrid"/>
        <w:tblW w:w="13801" w:type="dxa"/>
        <w:tblInd w:w="-851" w:type="dxa"/>
        <w:tblLook w:val="04A0" w:firstRow="1" w:lastRow="0" w:firstColumn="1" w:lastColumn="0" w:noHBand="0" w:noVBand="1"/>
      </w:tblPr>
      <w:tblGrid>
        <w:gridCol w:w="2282"/>
        <w:gridCol w:w="2507"/>
        <w:gridCol w:w="2808"/>
        <w:gridCol w:w="2080"/>
        <w:gridCol w:w="2069"/>
        <w:gridCol w:w="2055"/>
      </w:tblGrid>
      <w:tr w:rsidR="00A65FC0" w:rsidRPr="0002234D" w14:paraId="41CD3E40" w14:textId="77777777" w:rsidTr="00894C6B">
        <w:trPr>
          <w:tblHeader/>
        </w:trPr>
        <w:tc>
          <w:tcPr>
            <w:tcW w:w="20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063001"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Evaluation Criteria based on TOR</w:t>
            </w:r>
          </w:p>
        </w:tc>
        <w:tc>
          <w:tcPr>
            <w:tcW w:w="2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6C7BAA"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International Alert</w:t>
            </w:r>
          </w:p>
          <w:p w14:paraId="03D118C8"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-Building Conflict Resilient Communities and Development Initiatives in Muslim Mindanao (CORE-CODE)</w:t>
            </w:r>
          </w:p>
          <w:p w14:paraId="07B052FA"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-Preventing Urban Violence and Emerging Threats (PREVENT)</w:t>
            </w:r>
          </w:p>
          <w:p w14:paraId="126BFBA4"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-Sustainable Peace and Development for Post-War Marawi (STAND for Marawi)</w:t>
            </w:r>
          </w:p>
        </w:tc>
        <w:tc>
          <w:tcPr>
            <w:tcW w:w="28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A18C9B"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Institute of Autonomy and Governance </w:t>
            </w:r>
          </w:p>
          <w:p w14:paraId="779C01D4"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Enhancing Political Dialogue for Inclusive Peace in the Bangsamoro (</w:t>
            </w:r>
            <w:proofErr w:type="spellStart"/>
            <w:r w:rsidRPr="00A928D6">
              <w:rPr>
                <w:rFonts w:asciiTheme="minorHAnsi" w:hAnsiTheme="minorHAnsi"/>
                <w:b/>
                <w:sz w:val="20"/>
                <w:szCs w:val="20"/>
              </w:rPr>
              <w:t>EnPolD</w:t>
            </w:r>
            <w:proofErr w:type="spellEnd"/>
            <w:r w:rsidRPr="00A928D6">
              <w:rPr>
                <w:rFonts w:asciiTheme="minorHAnsi" w:hAnsiTheme="minorHAnsi"/>
                <w:b/>
                <w:sz w:val="20"/>
                <w:szCs w:val="20"/>
              </w:rPr>
              <w:t xml:space="preserve"> Bangsamoro)</w:t>
            </w:r>
          </w:p>
        </w:tc>
        <w:tc>
          <w:tcPr>
            <w:tcW w:w="21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F14F5"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The Asia Foundation CARE (Cohesion, Advocacy, Resilience, and Expansive Engagement) for Peace in the Philippines</w:t>
            </w:r>
          </w:p>
          <w:p w14:paraId="72D3C70E"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884BF0"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Center for Humanitarian Dialogue – Building Inclusive Institutions for Peaceful Governance in the Bangsamoro</w:t>
            </w:r>
          </w:p>
        </w:tc>
        <w:tc>
          <w:tcPr>
            <w:tcW w:w="21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D606BD"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OXFAM – Women’s Empowerment for Leadership in Development and Peace (WELD Peace)</w:t>
            </w:r>
          </w:p>
        </w:tc>
      </w:tr>
      <w:tr w:rsidR="00A65FC0" w:rsidRPr="0002234D" w14:paraId="54A071E5" w14:textId="77777777" w:rsidTr="00894C6B">
        <w:tc>
          <w:tcPr>
            <w:tcW w:w="2005" w:type="dxa"/>
            <w:tcBorders>
              <w:top w:val="single" w:sz="4" w:space="0" w:color="auto"/>
              <w:left w:val="single" w:sz="4" w:space="0" w:color="auto"/>
              <w:bottom w:val="single" w:sz="4" w:space="0" w:color="auto"/>
              <w:right w:val="single" w:sz="4" w:space="0" w:color="auto"/>
            </w:tcBorders>
          </w:tcPr>
          <w:p w14:paraId="79DA02ED" w14:textId="77777777" w:rsidR="00A65FC0" w:rsidRPr="00A928D6" w:rsidRDefault="00A65FC0" w:rsidP="00A65FC0">
            <w:pPr>
              <w:pStyle w:val="ListParagraph"/>
              <w:numPr>
                <w:ilvl w:val="0"/>
                <w:numId w:val="102"/>
              </w:numPr>
              <w:tabs>
                <w:tab w:val="left" w:pos="320"/>
              </w:tabs>
              <w:ind w:left="0" w:firstLine="0"/>
              <w:rPr>
                <w:rFonts w:asciiTheme="minorHAnsi" w:hAnsiTheme="minorHAnsi"/>
                <w:b/>
                <w:sz w:val="20"/>
                <w:szCs w:val="20"/>
              </w:rPr>
            </w:pPr>
            <w:r w:rsidRPr="00A928D6">
              <w:rPr>
                <w:rFonts w:asciiTheme="minorHAnsi" w:hAnsiTheme="minorHAnsi"/>
                <w:b/>
                <w:sz w:val="20"/>
                <w:szCs w:val="20"/>
              </w:rPr>
              <w:t>Effectiveness</w:t>
            </w:r>
          </w:p>
        </w:tc>
        <w:tc>
          <w:tcPr>
            <w:tcW w:w="2602" w:type="dxa"/>
            <w:tcBorders>
              <w:top w:val="single" w:sz="4" w:space="0" w:color="auto"/>
              <w:left w:val="single" w:sz="4" w:space="0" w:color="auto"/>
              <w:bottom w:val="single" w:sz="4" w:space="0" w:color="auto"/>
              <w:right w:val="single" w:sz="4" w:space="0" w:color="auto"/>
            </w:tcBorders>
          </w:tcPr>
          <w:p w14:paraId="3BAF2A98" w14:textId="77777777" w:rsidR="00A65FC0" w:rsidRPr="00A928D6" w:rsidRDefault="00A65FC0" w:rsidP="00894C6B">
            <w:pPr>
              <w:rPr>
                <w:rFonts w:asciiTheme="minorHAnsi" w:hAnsiTheme="minorHAnsi"/>
                <w:b/>
                <w:sz w:val="20"/>
                <w:szCs w:val="20"/>
              </w:rPr>
            </w:pPr>
          </w:p>
        </w:tc>
        <w:tc>
          <w:tcPr>
            <w:tcW w:w="2855" w:type="dxa"/>
            <w:tcBorders>
              <w:top w:val="single" w:sz="4" w:space="0" w:color="auto"/>
              <w:left w:val="single" w:sz="4" w:space="0" w:color="auto"/>
              <w:bottom w:val="single" w:sz="4" w:space="0" w:color="auto"/>
              <w:right w:val="single" w:sz="4" w:space="0" w:color="auto"/>
            </w:tcBorders>
          </w:tcPr>
          <w:p w14:paraId="4A01E3A8"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45878716"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7B5635C6"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3559E484" w14:textId="77777777" w:rsidR="00A65FC0" w:rsidRPr="00A928D6" w:rsidRDefault="00A65FC0" w:rsidP="00894C6B">
            <w:pPr>
              <w:rPr>
                <w:rFonts w:asciiTheme="minorHAnsi" w:hAnsiTheme="minorHAnsi"/>
                <w:b/>
                <w:sz w:val="20"/>
                <w:szCs w:val="20"/>
              </w:rPr>
            </w:pPr>
          </w:p>
        </w:tc>
      </w:tr>
      <w:tr w:rsidR="00A65FC0" w:rsidRPr="0002234D" w14:paraId="22FE62F6" w14:textId="77777777" w:rsidTr="00894C6B">
        <w:tc>
          <w:tcPr>
            <w:tcW w:w="2005" w:type="dxa"/>
            <w:tcBorders>
              <w:top w:val="single" w:sz="4" w:space="0" w:color="auto"/>
              <w:left w:val="single" w:sz="4" w:space="0" w:color="auto"/>
              <w:bottom w:val="single" w:sz="4" w:space="0" w:color="auto"/>
              <w:right w:val="single" w:sz="4" w:space="0" w:color="auto"/>
            </w:tcBorders>
          </w:tcPr>
          <w:p w14:paraId="2A3E4525" w14:textId="77777777" w:rsidR="00A65FC0" w:rsidRPr="00A928D6" w:rsidRDefault="00A65FC0" w:rsidP="00A65FC0">
            <w:pPr>
              <w:pStyle w:val="ListParagraph"/>
              <w:numPr>
                <w:ilvl w:val="0"/>
                <w:numId w:val="103"/>
              </w:numPr>
              <w:tabs>
                <w:tab w:val="left" w:pos="256"/>
              </w:tabs>
              <w:ind w:left="0" w:firstLine="0"/>
              <w:rPr>
                <w:rFonts w:asciiTheme="minorHAnsi" w:hAnsiTheme="minorHAnsi"/>
                <w:b/>
                <w:sz w:val="20"/>
                <w:szCs w:val="20"/>
              </w:rPr>
            </w:pPr>
            <w:r w:rsidRPr="00A928D6">
              <w:rPr>
                <w:rFonts w:asciiTheme="minorHAnsi" w:hAnsiTheme="minorHAnsi"/>
                <w:b/>
                <w:sz w:val="20"/>
                <w:szCs w:val="20"/>
              </w:rPr>
              <w:t xml:space="preserve">Are we achieving the outputs and outcomes that we expected </w:t>
            </w:r>
            <w:proofErr w:type="gramStart"/>
            <w:r w:rsidRPr="00A928D6">
              <w:rPr>
                <w:rFonts w:asciiTheme="minorHAnsi" w:hAnsiTheme="minorHAnsi"/>
                <w:b/>
                <w:sz w:val="20"/>
                <w:szCs w:val="20"/>
              </w:rPr>
              <w:t>at this point in time</w:t>
            </w:r>
            <w:proofErr w:type="gramEnd"/>
            <w:r w:rsidRPr="00A928D6">
              <w:rPr>
                <w:rFonts w:asciiTheme="minorHAnsi" w:hAnsiTheme="minorHAnsi"/>
                <w:b/>
                <w:sz w:val="20"/>
                <w:szCs w:val="20"/>
              </w:rPr>
              <w:t>?</w:t>
            </w:r>
          </w:p>
          <w:p w14:paraId="31EF65F2" w14:textId="77777777" w:rsidR="00A65FC0" w:rsidRPr="00A928D6" w:rsidRDefault="00A65FC0" w:rsidP="00894C6B">
            <w:pPr>
              <w:rPr>
                <w:rFonts w:asciiTheme="minorHAnsi" w:hAnsiTheme="minorHAnsi"/>
                <w:b/>
                <w:sz w:val="20"/>
                <w:szCs w:val="20"/>
              </w:rPr>
            </w:pPr>
          </w:p>
          <w:p w14:paraId="4826D605" w14:textId="77777777" w:rsidR="00A65FC0" w:rsidRPr="00A928D6" w:rsidRDefault="00A65FC0" w:rsidP="00894C6B">
            <w:pPr>
              <w:rPr>
                <w:rFonts w:asciiTheme="minorHAnsi" w:hAnsiTheme="minorHAnsi"/>
                <w:b/>
                <w:sz w:val="20"/>
                <w:szCs w:val="20"/>
              </w:rPr>
            </w:pPr>
          </w:p>
          <w:p w14:paraId="14ED673E" w14:textId="77777777" w:rsidR="00A65FC0" w:rsidRPr="00A928D6" w:rsidRDefault="00A65FC0" w:rsidP="00894C6B">
            <w:pPr>
              <w:rPr>
                <w:rFonts w:asciiTheme="minorHAnsi" w:hAnsiTheme="minorHAnsi"/>
                <w:b/>
                <w:sz w:val="20"/>
                <w:szCs w:val="20"/>
              </w:rPr>
            </w:pPr>
          </w:p>
          <w:p w14:paraId="729E7ECD"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a.1 Is each activity on track to meet its outcomes and objectives?</w:t>
            </w:r>
          </w:p>
          <w:p w14:paraId="4573710A" w14:textId="77777777" w:rsidR="00A65FC0" w:rsidRPr="00A928D6" w:rsidRDefault="00A65FC0" w:rsidP="00894C6B">
            <w:pPr>
              <w:rPr>
                <w:rFonts w:asciiTheme="minorHAnsi" w:hAnsiTheme="minorHAnsi"/>
                <w:b/>
                <w:sz w:val="20"/>
                <w:szCs w:val="20"/>
              </w:rPr>
            </w:pPr>
          </w:p>
          <w:p w14:paraId="78C45C21" w14:textId="77777777" w:rsidR="00A65FC0" w:rsidRPr="00A928D6" w:rsidRDefault="00A65FC0" w:rsidP="00894C6B">
            <w:pPr>
              <w:rPr>
                <w:rFonts w:asciiTheme="minorHAnsi" w:hAnsiTheme="minorHAnsi"/>
                <w:b/>
                <w:sz w:val="20"/>
                <w:szCs w:val="20"/>
              </w:rPr>
            </w:pPr>
          </w:p>
          <w:p w14:paraId="200F537A" w14:textId="77777777" w:rsidR="00A65FC0" w:rsidRPr="00A928D6" w:rsidRDefault="00A65FC0" w:rsidP="00894C6B">
            <w:pPr>
              <w:rPr>
                <w:rFonts w:asciiTheme="minorHAnsi" w:hAnsiTheme="minorHAnsi"/>
                <w:b/>
                <w:sz w:val="20"/>
                <w:szCs w:val="20"/>
              </w:rPr>
            </w:pPr>
          </w:p>
          <w:p w14:paraId="070241F8" w14:textId="77777777" w:rsidR="00A65FC0" w:rsidRPr="00A928D6" w:rsidRDefault="00A65FC0" w:rsidP="00894C6B">
            <w:pPr>
              <w:rPr>
                <w:rFonts w:asciiTheme="minorHAnsi" w:hAnsiTheme="minorHAnsi"/>
                <w:b/>
                <w:sz w:val="20"/>
                <w:szCs w:val="20"/>
              </w:rPr>
            </w:pPr>
          </w:p>
          <w:p w14:paraId="7CA987FA" w14:textId="77777777" w:rsidR="00A65FC0" w:rsidRPr="00A928D6" w:rsidRDefault="00A65FC0" w:rsidP="00894C6B">
            <w:pPr>
              <w:rPr>
                <w:rFonts w:asciiTheme="minorHAnsi" w:hAnsiTheme="minorHAnsi"/>
                <w:b/>
                <w:sz w:val="20"/>
                <w:szCs w:val="20"/>
              </w:rPr>
            </w:pPr>
          </w:p>
          <w:p w14:paraId="0ED28D91" w14:textId="77777777" w:rsidR="00A65FC0" w:rsidRPr="00A928D6" w:rsidRDefault="00A65FC0" w:rsidP="00894C6B">
            <w:pPr>
              <w:rPr>
                <w:rFonts w:asciiTheme="minorHAnsi" w:hAnsiTheme="minorHAnsi"/>
                <w:b/>
                <w:sz w:val="20"/>
                <w:szCs w:val="20"/>
              </w:rPr>
            </w:pPr>
          </w:p>
          <w:p w14:paraId="3E8D9E03" w14:textId="77777777" w:rsidR="00A65FC0" w:rsidRPr="00A928D6" w:rsidRDefault="00A65FC0" w:rsidP="00894C6B">
            <w:pPr>
              <w:rPr>
                <w:rFonts w:asciiTheme="minorHAnsi" w:hAnsiTheme="minorHAnsi"/>
                <w:b/>
                <w:sz w:val="20"/>
                <w:szCs w:val="20"/>
              </w:rPr>
            </w:pPr>
          </w:p>
          <w:p w14:paraId="59F3A49E"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a.2 What are the benefits and costs of DFAT’s flexible programming strategy, for both implementing partners and DFAT?</w:t>
            </w:r>
          </w:p>
          <w:p w14:paraId="72FF1ED5" w14:textId="77777777" w:rsidR="00A65FC0" w:rsidRPr="00A928D6" w:rsidRDefault="00A65FC0" w:rsidP="00894C6B">
            <w:pPr>
              <w:rPr>
                <w:rFonts w:asciiTheme="minorHAnsi" w:hAnsiTheme="minorHAnsi"/>
                <w:b/>
                <w:sz w:val="20"/>
                <w:szCs w:val="20"/>
              </w:rPr>
            </w:pPr>
          </w:p>
          <w:p w14:paraId="404EBEA0" w14:textId="77777777" w:rsidR="00A65FC0" w:rsidRPr="00A928D6" w:rsidRDefault="00A65FC0" w:rsidP="00894C6B">
            <w:pPr>
              <w:rPr>
                <w:rFonts w:asciiTheme="minorHAnsi" w:hAnsiTheme="minorHAnsi"/>
                <w:b/>
                <w:sz w:val="20"/>
                <w:szCs w:val="20"/>
              </w:rPr>
            </w:pPr>
          </w:p>
          <w:p w14:paraId="27F3D3AC" w14:textId="77777777" w:rsidR="00A65FC0" w:rsidRPr="00A928D6" w:rsidRDefault="00A65FC0" w:rsidP="00894C6B">
            <w:pPr>
              <w:rPr>
                <w:rFonts w:asciiTheme="minorHAnsi" w:hAnsiTheme="minorHAnsi"/>
                <w:b/>
                <w:sz w:val="20"/>
                <w:szCs w:val="20"/>
              </w:rPr>
            </w:pPr>
          </w:p>
          <w:p w14:paraId="500C3544" w14:textId="77777777" w:rsidR="00A65FC0" w:rsidRPr="00A928D6" w:rsidRDefault="00A65FC0" w:rsidP="00894C6B">
            <w:pPr>
              <w:rPr>
                <w:rFonts w:asciiTheme="minorHAnsi" w:hAnsiTheme="minorHAnsi"/>
                <w:b/>
                <w:sz w:val="20"/>
                <w:szCs w:val="20"/>
              </w:rPr>
            </w:pPr>
          </w:p>
          <w:p w14:paraId="7F644BFD" w14:textId="77777777" w:rsidR="00A65FC0" w:rsidRPr="00A928D6" w:rsidRDefault="00A65FC0" w:rsidP="00894C6B">
            <w:pPr>
              <w:rPr>
                <w:rFonts w:asciiTheme="minorHAnsi" w:hAnsiTheme="minorHAnsi"/>
                <w:b/>
                <w:sz w:val="20"/>
                <w:szCs w:val="20"/>
              </w:rPr>
            </w:pPr>
          </w:p>
          <w:p w14:paraId="45C42464" w14:textId="77777777" w:rsidR="00A65FC0" w:rsidRPr="00A928D6" w:rsidRDefault="00A65FC0" w:rsidP="00894C6B">
            <w:pPr>
              <w:rPr>
                <w:rFonts w:asciiTheme="minorHAnsi" w:hAnsiTheme="minorHAnsi"/>
                <w:b/>
                <w:sz w:val="20"/>
                <w:szCs w:val="20"/>
              </w:rPr>
            </w:pPr>
          </w:p>
          <w:p w14:paraId="10B4F75C" w14:textId="77777777" w:rsidR="00A65FC0" w:rsidRPr="00A928D6" w:rsidRDefault="00A65FC0" w:rsidP="00894C6B">
            <w:pPr>
              <w:rPr>
                <w:rFonts w:asciiTheme="minorHAnsi" w:hAnsiTheme="minorHAnsi"/>
                <w:b/>
                <w:sz w:val="20"/>
                <w:szCs w:val="20"/>
              </w:rPr>
            </w:pPr>
          </w:p>
          <w:p w14:paraId="09822E89"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a.3 Is the program </w:t>
            </w:r>
            <w:proofErr w:type="gramStart"/>
            <w:r w:rsidRPr="00A928D6">
              <w:rPr>
                <w:rFonts w:asciiTheme="minorHAnsi" w:hAnsiTheme="minorHAnsi"/>
                <w:b/>
                <w:sz w:val="20"/>
                <w:szCs w:val="20"/>
              </w:rPr>
              <w:t>as a whole addressing</w:t>
            </w:r>
            <w:proofErr w:type="gramEnd"/>
            <w:r w:rsidRPr="00A928D6">
              <w:rPr>
                <w:rFonts w:asciiTheme="minorHAnsi" w:hAnsiTheme="minorHAnsi"/>
                <w:b/>
                <w:sz w:val="20"/>
                <w:szCs w:val="20"/>
              </w:rPr>
              <w:t xml:space="preserve"> the drivers of conflict and violence?  Does it meet the “do no harm” standard?</w:t>
            </w:r>
          </w:p>
          <w:p w14:paraId="623FF464" w14:textId="77777777" w:rsidR="00A65FC0" w:rsidRPr="00A928D6" w:rsidRDefault="00A65FC0" w:rsidP="00894C6B">
            <w:pPr>
              <w:rPr>
                <w:rFonts w:asciiTheme="minorHAnsi" w:hAnsiTheme="minorHAnsi"/>
                <w:b/>
                <w:sz w:val="20"/>
                <w:szCs w:val="20"/>
              </w:rPr>
            </w:pPr>
          </w:p>
          <w:p w14:paraId="4A8F8A20" w14:textId="77777777" w:rsidR="00A65FC0" w:rsidRPr="00A928D6" w:rsidRDefault="00A65FC0" w:rsidP="00894C6B">
            <w:pPr>
              <w:rPr>
                <w:rFonts w:asciiTheme="minorHAnsi" w:hAnsiTheme="minorHAnsi"/>
                <w:b/>
                <w:sz w:val="20"/>
                <w:szCs w:val="20"/>
              </w:rPr>
            </w:pPr>
          </w:p>
          <w:p w14:paraId="7FB2D9BE" w14:textId="77777777" w:rsidR="00A65FC0" w:rsidRPr="00A928D6" w:rsidRDefault="00A65FC0" w:rsidP="00894C6B">
            <w:pPr>
              <w:rPr>
                <w:rFonts w:asciiTheme="minorHAnsi" w:hAnsiTheme="minorHAnsi"/>
                <w:b/>
                <w:sz w:val="20"/>
                <w:szCs w:val="20"/>
              </w:rPr>
            </w:pPr>
          </w:p>
          <w:p w14:paraId="0B58525A" w14:textId="77777777" w:rsidR="00A65FC0" w:rsidRPr="00A928D6" w:rsidRDefault="00A65FC0" w:rsidP="00894C6B">
            <w:pPr>
              <w:rPr>
                <w:rFonts w:asciiTheme="minorHAnsi" w:hAnsiTheme="minorHAnsi"/>
                <w:b/>
                <w:sz w:val="20"/>
                <w:szCs w:val="20"/>
              </w:rPr>
            </w:pPr>
          </w:p>
          <w:p w14:paraId="565BF1C7" w14:textId="77777777" w:rsidR="00A65FC0" w:rsidRPr="00A928D6" w:rsidRDefault="00A65FC0" w:rsidP="00894C6B">
            <w:pPr>
              <w:rPr>
                <w:rFonts w:asciiTheme="minorHAnsi" w:hAnsiTheme="minorHAnsi"/>
                <w:b/>
                <w:sz w:val="20"/>
                <w:szCs w:val="20"/>
              </w:rPr>
            </w:pPr>
          </w:p>
          <w:p w14:paraId="20574A25" w14:textId="77777777" w:rsidR="00A65FC0" w:rsidRPr="00A928D6" w:rsidRDefault="00A65FC0" w:rsidP="00894C6B">
            <w:pPr>
              <w:rPr>
                <w:rFonts w:asciiTheme="minorHAnsi" w:hAnsiTheme="minorHAnsi"/>
                <w:b/>
                <w:sz w:val="20"/>
                <w:szCs w:val="20"/>
              </w:rPr>
            </w:pPr>
          </w:p>
          <w:p w14:paraId="4FC421AA" w14:textId="77777777" w:rsidR="00A65FC0" w:rsidRPr="00A928D6" w:rsidRDefault="00A65FC0" w:rsidP="00894C6B">
            <w:pPr>
              <w:rPr>
                <w:rFonts w:asciiTheme="minorHAnsi" w:hAnsiTheme="minorHAnsi"/>
                <w:b/>
                <w:sz w:val="20"/>
                <w:szCs w:val="20"/>
              </w:rPr>
            </w:pPr>
          </w:p>
          <w:p w14:paraId="324C67C0" w14:textId="77777777" w:rsidR="00A65FC0" w:rsidRPr="00A928D6" w:rsidRDefault="00A65FC0" w:rsidP="00894C6B">
            <w:pPr>
              <w:rPr>
                <w:rFonts w:asciiTheme="minorHAnsi" w:hAnsiTheme="minorHAnsi"/>
                <w:b/>
                <w:sz w:val="20"/>
                <w:szCs w:val="20"/>
              </w:rPr>
            </w:pPr>
          </w:p>
          <w:p w14:paraId="3835074B" w14:textId="77777777" w:rsidR="00A65FC0" w:rsidRPr="00A928D6" w:rsidRDefault="00A65FC0" w:rsidP="00894C6B">
            <w:pPr>
              <w:rPr>
                <w:rFonts w:asciiTheme="minorHAnsi" w:hAnsiTheme="minorHAnsi"/>
                <w:b/>
                <w:sz w:val="20"/>
                <w:szCs w:val="20"/>
              </w:rPr>
            </w:pPr>
          </w:p>
          <w:p w14:paraId="65659A37" w14:textId="77777777" w:rsidR="00A65FC0" w:rsidRPr="00A928D6" w:rsidRDefault="00A65FC0" w:rsidP="00894C6B">
            <w:pPr>
              <w:jc w:val="center"/>
              <w:rPr>
                <w:rFonts w:asciiTheme="minorHAnsi" w:hAnsiTheme="minorHAnsi"/>
                <w:b/>
                <w:sz w:val="20"/>
                <w:szCs w:val="20"/>
              </w:rPr>
            </w:pPr>
          </w:p>
          <w:p w14:paraId="05DA253F" w14:textId="77777777" w:rsidR="00A65FC0" w:rsidRPr="00A928D6" w:rsidRDefault="00A65FC0" w:rsidP="00894C6B">
            <w:pPr>
              <w:jc w:val="center"/>
              <w:rPr>
                <w:rFonts w:asciiTheme="minorHAnsi" w:hAnsiTheme="minorHAnsi"/>
                <w:b/>
                <w:sz w:val="20"/>
                <w:szCs w:val="20"/>
              </w:rPr>
            </w:pPr>
          </w:p>
          <w:p w14:paraId="1CD39FA1" w14:textId="77777777" w:rsidR="00A65FC0" w:rsidRPr="00A928D6" w:rsidRDefault="00A65FC0" w:rsidP="00894C6B">
            <w:pPr>
              <w:rPr>
                <w:rFonts w:asciiTheme="minorHAnsi" w:hAnsiTheme="minorHAnsi"/>
                <w:b/>
                <w:sz w:val="20"/>
                <w:szCs w:val="20"/>
              </w:rPr>
            </w:pPr>
          </w:p>
          <w:p w14:paraId="7D9FB0BC"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a.4 What is the impact of the research activities being supported?  Have these been used to inform policies and programs?</w:t>
            </w:r>
          </w:p>
          <w:p w14:paraId="724C26E9" w14:textId="77777777" w:rsidR="00A65FC0" w:rsidRPr="00A928D6" w:rsidRDefault="00A65FC0" w:rsidP="00894C6B">
            <w:pPr>
              <w:rPr>
                <w:rFonts w:asciiTheme="minorHAnsi" w:hAnsiTheme="minorHAnsi"/>
                <w:b/>
                <w:sz w:val="20"/>
                <w:szCs w:val="20"/>
              </w:rPr>
            </w:pPr>
          </w:p>
          <w:p w14:paraId="6E7DBA58" w14:textId="77777777" w:rsidR="00A65FC0" w:rsidRPr="00A928D6" w:rsidRDefault="00A65FC0" w:rsidP="00894C6B">
            <w:pPr>
              <w:rPr>
                <w:rFonts w:asciiTheme="minorHAnsi" w:hAnsiTheme="minorHAnsi"/>
                <w:b/>
                <w:sz w:val="20"/>
                <w:szCs w:val="20"/>
              </w:rPr>
            </w:pPr>
          </w:p>
          <w:p w14:paraId="6862ABFD" w14:textId="77777777" w:rsidR="00A65FC0" w:rsidRPr="00A928D6" w:rsidRDefault="00A65FC0" w:rsidP="00894C6B">
            <w:pPr>
              <w:rPr>
                <w:rFonts w:asciiTheme="minorHAnsi" w:hAnsiTheme="minorHAnsi"/>
                <w:b/>
                <w:sz w:val="20"/>
                <w:szCs w:val="20"/>
              </w:rPr>
            </w:pPr>
          </w:p>
          <w:p w14:paraId="2C6D0A03" w14:textId="77777777" w:rsidR="00A65FC0" w:rsidRPr="00A928D6" w:rsidRDefault="00A65FC0" w:rsidP="00894C6B">
            <w:pPr>
              <w:rPr>
                <w:rFonts w:asciiTheme="minorHAnsi" w:hAnsiTheme="minorHAnsi"/>
                <w:b/>
                <w:sz w:val="20"/>
                <w:szCs w:val="20"/>
              </w:rPr>
            </w:pPr>
          </w:p>
          <w:p w14:paraId="6E25EDA7" w14:textId="77777777" w:rsidR="00A65FC0" w:rsidRPr="00A928D6" w:rsidRDefault="00A65FC0" w:rsidP="00894C6B">
            <w:pPr>
              <w:rPr>
                <w:rFonts w:asciiTheme="minorHAnsi" w:hAnsiTheme="minorHAnsi"/>
                <w:b/>
                <w:sz w:val="20"/>
                <w:szCs w:val="20"/>
              </w:rPr>
            </w:pPr>
          </w:p>
          <w:p w14:paraId="401B1455" w14:textId="77777777" w:rsidR="00A65FC0" w:rsidRPr="00A928D6" w:rsidRDefault="00A65FC0" w:rsidP="00894C6B">
            <w:pPr>
              <w:rPr>
                <w:rFonts w:asciiTheme="minorHAnsi" w:hAnsiTheme="minorHAnsi"/>
                <w:b/>
                <w:sz w:val="20"/>
                <w:szCs w:val="20"/>
              </w:rPr>
            </w:pPr>
          </w:p>
          <w:p w14:paraId="69E7D3AC"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a.5 Are activities well-aligned with other Australian aid interventions in Muslim Mindanao?</w:t>
            </w:r>
          </w:p>
        </w:tc>
        <w:tc>
          <w:tcPr>
            <w:tcW w:w="2602" w:type="dxa"/>
            <w:tcBorders>
              <w:top w:val="single" w:sz="4" w:space="0" w:color="auto"/>
              <w:left w:val="single" w:sz="4" w:space="0" w:color="auto"/>
              <w:bottom w:val="single" w:sz="4" w:space="0" w:color="auto"/>
              <w:right w:val="single" w:sz="4" w:space="0" w:color="auto"/>
            </w:tcBorders>
          </w:tcPr>
          <w:p w14:paraId="7DB062AB"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Conflict tracking tools, dialogues with stakeholders and information dissemination on conflict (including land) and conflict prevention have been successfully implemented.</w:t>
            </w:r>
          </w:p>
          <w:p w14:paraId="72C63D9E" w14:textId="77777777" w:rsidR="00A65FC0" w:rsidRPr="00A928D6" w:rsidRDefault="00A65FC0" w:rsidP="00894C6B">
            <w:pPr>
              <w:rPr>
                <w:rFonts w:asciiTheme="minorHAnsi" w:hAnsiTheme="minorHAnsi"/>
                <w:bCs/>
                <w:sz w:val="20"/>
                <w:szCs w:val="20"/>
              </w:rPr>
            </w:pPr>
          </w:p>
          <w:p w14:paraId="3A36CE36" w14:textId="77777777" w:rsidR="00A65FC0" w:rsidRPr="00A928D6" w:rsidRDefault="00A65FC0" w:rsidP="00894C6B">
            <w:pPr>
              <w:rPr>
                <w:rFonts w:asciiTheme="minorHAnsi" w:hAnsiTheme="minorHAnsi"/>
                <w:bCs/>
                <w:sz w:val="20"/>
                <w:szCs w:val="20"/>
              </w:rPr>
            </w:pPr>
          </w:p>
          <w:p w14:paraId="6391B22D" w14:textId="77777777" w:rsidR="00A65FC0" w:rsidRPr="00A928D6" w:rsidRDefault="00A65FC0" w:rsidP="00894C6B">
            <w:pPr>
              <w:rPr>
                <w:rFonts w:asciiTheme="minorHAnsi" w:hAnsiTheme="minorHAnsi"/>
                <w:bCs/>
                <w:sz w:val="20"/>
                <w:szCs w:val="20"/>
              </w:rPr>
            </w:pPr>
          </w:p>
          <w:p w14:paraId="676D49E7"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The CORE-CODE, PREVENT and Stand for Marawi were able to meet their objectives as scheduled.</w:t>
            </w:r>
          </w:p>
          <w:p w14:paraId="66B90FC9" w14:textId="77777777" w:rsidR="00A65FC0" w:rsidRPr="00A928D6" w:rsidRDefault="00A65FC0" w:rsidP="00894C6B">
            <w:pPr>
              <w:rPr>
                <w:rFonts w:asciiTheme="minorHAnsi" w:hAnsiTheme="minorHAnsi"/>
                <w:bCs/>
                <w:sz w:val="20"/>
                <w:szCs w:val="20"/>
              </w:rPr>
            </w:pPr>
          </w:p>
          <w:p w14:paraId="649F8F4C" w14:textId="77777777" w:rsidR="00A65FC0" w:rsidRPr="00A928D6" w:rsidRDefault="00A65FC0" w:rsidP="00894C6B">
            <w:pPr>
              <w:rPr>
                <w:rFonts w:asciiTheme="minorHAnsi" w:hAnsiTheme="minorHAnsi"/>
                <w:bCs/>
                <w:sz w:val="20"/>
                <w:szCs w:val="20"/>
              </w:rPr>
            </w:pPr>
          </w:p>
          <w:p w14:paraId="27436B15"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Benefits far outweigh cost which are mainly in the supervision of activities because of additional activities that were pursued given changing context and needs.  Project proponent was able to address emerging issues on VE both in the mainland and island provinces through better tracking of conflict incidences and conducting dialogues to key stakeholders on the issue of VE. </w:t>
            </w:r>
          </w:p>
          <w:p w14:paraId="606FD028" w14:textId="77777777" w:rsidR="00A65FC0" w:rsidRPr="00A928D6" w:rsidRDefault="00A65FC0" w:rsidP="00894C6B">
            <w:pPr>
              <w:rPr>
                <w:rFonts w:asciiTheme="minorHAnsi" w:hAnsiTheme="minorHAnsi"/>
                <w:bCs/>
                <w:sz w:val="20"/>
                <w:szCs w:val="20"/>
              </w:rPr>
            </w:pPr>
          </w:p>
          <w:p w14:paraId="3C916BF8" w14:textId="77777777" w:rsidR="00A65FC0" w:rsidRPr="00A928D6" w:rsidRDefault="00A65FC0" w:rsidP="00894C6B">
            <w:pPr>
              <w:rPr>
                <w:rFonts w:asciiTheme="minorHAnsi" w:hAnsiTheme="minorHAnsi"/>
                <w:bCs/>
                <w:sz w:val="20"/>
                <w:szCs w:val="20"/>
              </w:rPr>
            </w:pPr>
          </w:p>
          <w:p w14:paraId="31E7CFFA"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project addressed various drivers of conflict </w:t>
            </w:r>
            <w:r w:rsidRPr="00A928D6">
              <w:rPr>
                <w:rFonts w:asciiTheme="minorHAnsi" w:hAnsiTheme="minorHAnsi"/>
                <w:bCs/>
                <w:sz w:val="20"/>
                <w:szCs w:val="20"/>
              </w:rPr>
              <w:lastRenderedPageBreak/>
              <w:t xml:space="preserve">(e.g., land, discrimination against Muslim, greater participation of LGUs, etc.) and was systematic in its approach as it was informed by the results of its conflict monitoring project.  While project proponent observes the “do no harm” standard, it is quite difficult to assess the extent of its full compliance given dynamic situation on the ground. </w:t>
            </w:r>
          </w:p>
          <w:p w14:paraId="25227D38" w14:textId="77777777" w:rsidR="00A65FC0" w:rsidRPr="00A928D6" w:rsidRDefault="00A65FC0" w:rsidP="00894C6B">
            <w:pPr>
              <w:rPr>
                <w:rFonts w:asciiTheme="minorHAnsi" w:hAnsiTheme="minorHAnsi"/>
                <w:bCs/>
                <w:sz w:val="20"/>
                <w:szCs w:val="20"/>
              </w:rPr>
            </w:pPr>
          </w:p>
          <w:p w14:paraId="372A8730" w14:textId="77777777" w:rsidR="00A65FC0" w:rsidRPr="00A928D6" w:rsidRDefault="00A65FC0" w:rsidP="00894C6B">
            <w:pPr>
              <w:rPr>
                <w:rFonts w:asciiTheme="minorHAnsi" w:hAnsiTheme="minorHAnsi"/>
                <w:bCs/>
                <w:sz w:val="20"/>
                <w:szCs w:val="20"/>
              </w:rPr>
            </w:pPr>
          </w:p>
          <w:p w14:paraId="75911EF7" w14:textId="77777777" w:rsidR="00A65FC0" w:rsidRPr="00A928D6" w:rsidRDefault="00A65FC0" w:rsidP="00894C6B">
            <w:pPr>
              <w:rPr>
                <w:rFonts w:asciiTheme="minorHAnsi" w:hAnsiTheme="minorHAnsi"/>
                <w:bCs/>
                <w:sz w:val="20"/>
                <w:szCs w:val="20"/>
              </w:rPr>
            </w:pPr>
          </w:p>
          <w:p w14:paraId="5B5DE476" w14:textId="77777777" w:rsidR="00A65FC0" w:rsidRPr="00A928D6" w:rsidRDefault="00A65FC0" w:rsidP="00894C6B">
            <w:pPr>
              <w:rPr>
                <w:rFonts w:asciiTheme="minorHAnsi" w:hAnsiTheme="minorHAnsi"/>
                <w:bCs/>
                <w:sz w:val="20"/>
                <w:szCs w:val="20"/>
              </w:rPr>
            </w:pPr>
          </w:p>
          <w:p w14:paraId="3C127116" w14:textId="77777777" w:rsidR="00A65FC0" w:rsidRPr="00A928D6" w:rsidRDefault="00A65FC0" w:rsidP="00894C6B">
            <w:pPr>
              <w:rPr>
                <w:rFonts w:asciiTheme="minorHAnsi" w:hAnsiTheme="minorHAnsi"/>
                <w:bCs/>
                <w:sz w:val="20"/>
                <w:szCs w:val="20"/>
              </w:rPr>
            </w:pPr>
          </w:p>
          <w:p w14:paraId="2A893A40" w14:textId="77777777" w:rsidR="00A65FC0" w:rsidRPr="00A928D6" w:rsidRDefault="00A65FC0" w:rsidP="00894C6B">
            <w:pPr>
              <w:rPr>
                <w:rFonts w:asciiTheme="minorHAnsi" w:hAnsiTheme="minorHAnsi"/>
                <w:bCs/>
                <w:sz w:val="20"/>
                <w:szCs w:val="20"/>
              </w:rPr>
            </w:pPr>
          </w:p>
          <w:p w14:paraId="6D8C7A3F"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Results, particularly of the project proponent’s Conflict Monitoring </w:t>
            </w:r>
            <w:r w:rsidRPr="00A928D6">
              <w:rPr>
                <w:rFonts w:asciiTheme="minorHAnsi" w:hAnsiTheme="minorHAnsi"/>
                <w:bCs/>
                <w:sz w:val="20"/>
                <w:szCs w:val="20"/>
              </w:rPr>
              <w:lastRenderedPageBreak/>
              <w:t xml:space="preserve">System, have gained recognition among donors of their importance in the programming of their assistance.  It also gained traction among selected LGUs in the Bangsamoro.  But its adoption by the national government agency mandated to address the Bangsamoro peace process is still in the works.  </w:t>
            </w:r>
          </w:p>
          <w:p w14:paraId="413AAA4A" w14:textId="77777777" w:rsidR="00A65FC0" w:rsidRPr="00A928D6" w:rsidRDefault="00A65FC0" w:rsidP="00894C6B">
            <w:pPr>
              <w:rPr>
                <w:rFonts w:asciiTheme="minorHAnsi" w:hAnsiTheme="minorHAnsi"/>
                <w:bCs/>
                <w:sz w:val="20"/>
                <w:szCs w:val="20"/>
              </w:rPr>
            </w:pPr>
          </w:p>
          <w:p w14:paraId="02A3A5D7"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research and research cum action activities under the three projects complement the activities of the other Australian partners which are mostly engaged in advocacy, consultations, dialogues </w:t>
            </w:r>
            <w:r w:rsidRPr="00A928D6">
              <w:rPr>
                <w:rFonts w:asciiTheme="minorHAnsi" w:hAnsiTheme="minorHAnsi"/>
                <w:bCs/>
                <w:sz w:val="20"/>
                <w:szCs w:val="20"/>
              </w:rPr>
              <w:lastRenderedPageBreak/>
              <w:t xml:space="preserve">and to some extent, capacity building.  </w:t>
            </w:r>
          </w:p>
        </w:tc>
        <w:tc>
          <w:tcPr>
            <w:tcW w:w="2855" w:type="dxa"/>
            <w:tcBorders>
              <w:top w:val="single" w:sz="4" w:space="0" w:color="auto"/>
              <w:left w:val="single" w:sz="4" w:space="0" w:color="auto"/>
              <w:bottom w:val="single" w:sz="4" w:space="0" w:color="auto"/>
              <w:right w:val="single" w:sz="4" w:space="0" w:color="auto"/>
            </w:tcBorders>
          </w:tcPr>
          <w:p w14:paraId="5B1DCB1F"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Yes, the project has provided technical assistance platform for horizontal and vertical dialogues between Moros and non-Moros and among Moros.</w:t>
            </w:r>
          </w:p>
          <w:p w14:paraId="21064FF0" w14:textId="77777777" w:rsidR="00A65FC0" w:rsidRPr="00A928D6" w:rsidRDefault="00A65FC0" w:rsidP="00894C6B">
            <w:pPr>
              <w:rPr>
                <w:rFonts w:asciiTheme="minorHAnsi" w:hAnsiTheme="minorHAnsi"/>
                <w:bCs/>
                <w:sz w:val="20"/>
                <w:szCs w:val="20"/>
              </w:rPr>
            </w:pPr>
          </w:p>
          <w:p w14:paraId="0A357558" w14:textId="77777777" w:rsidR="00A65FC0" w:rsidRPr="00A928D6" w:rsidRDefault="00A65FC0" w:rsidP="00894C6B">
            <w:pPr>
              <w:rPr>
                <w:rFonts w:asciiTheme="minorHAnsi" w:hAnsiTheme="minorHAnsi"/>
                <w:bCs/>
                <w:sz w:val="20"/>
                <w:szCs w:val="20"/>
              </w:rPr>
            </w:pPr>
          </w:p>
          <w:p w14:paraId="3FE36B90" w14:textId="77777777" w:rsidR="00A65FC0" w:rsidRPr="00A928D6" w:rsidRDefault="00A65FC0" w:rsidP="00894C6B">
            <w:pPr>
              <w:rPr>
                <w:rFonts w:asciiTheme="minorHAnsi" w:hAnsiTheme="minorHAnsi"/>
                <w:bCs/>
                <w:sz w:val="20"/>
                <w:szCs w:val="20"/>
              </w:rPr>
            </w:pPr>
          </w:p>
          <w:p w14:paraId="12A24EC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Both activities for the first phase (pre-signing of BOL) and second phase (post-BOL ratification) are on track in achieving outcomes and objectives.</w:t>
            </w:r>
          </w:p>
          <w:p w14:paraId="77B5DFFE" w14:textId="77777777" w:rsidR="00A65FC0" w:rsidRPr="00A928D6" w:rsidRDefault="00A65FC0" w:rsidP="00894C6B">
            <w:pPr>
              <w:rPr>
                <w:rFonts w:asciiTheme="minorHAnsi" w:hAnsiTheme="minorHAnsi"/>
                <w:bCs/>
                <w:sz w:val="20"/>
                <w:szCs w:val="20"/>
              </w:rPr>
            </w:pPr>
          </w:p>
          <w:p w14:paraId="175F0518" w14:textId="77777777" w:rsidR="00A65FC0" w:rsidRPr="00A928D6" w:rsidRDefault="00A65FC0" w:rsidP="00894C6B">
            <w:pPr>
              <w:rPr>
                <w:rFonts w:asciiTheme="minorHAnsi" w:hAnsiTheme="minorHAnsi"/>
                <w:bCs/>
                <w:sz w:val="20"/>
                <w:szCs w:val="20"/>
              </w:rPr>
            </w:pPr>
          </w:p>
          <w:p w14:paraId="335319E6" w14:textId="77777777" w:rsidR="00A65FC0" w:rsidRPr="00A928D6" w:rsidRDefault="00A65FC0" w:rsidP="00894C6B">
            <w:pPr>
              <w:rPr>
                <w:rFonts w:asciiTheme="minorHAnsi" w:hAnsiTheme="minorHAnsi"/>
                <w:bCs/>
                <w:sz w:val="20"/>
                <w:szCs w:val="20"/>
              </w:rPr>
            </w:pPr>
          </w:p>
          <w:p w14:paraId="43893E4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Relevance of dialogues, consultations, technical assistance on institutional matters, etc. largely depend on the obtaining situation/context.  The flexibility afforded to the project proponent by DFAT enabled it to address issues which </w:t>
            </w:r>
            <w:proofErr w:type="gramStart"/>
            <w:r w:rsidRPr="00A928D6">
              <w:rPr>
                <w:rFonts w:asciiTheme="minorHAnsi" w:hAnsiTheme="minorHAnsi"/>
                <w:bCs/>
                <w:sz w:val="20"/>
                <w:szCs w:val="20"/>
              </w:rPr>
              <w:t>not have</w:t>
            </w:r>
            <w:proofErr w:type="gramEnd"/>
            <w:r w:rsidRPr="00A928D6">
              <w:rPr>
                <w:rFonts w:asciiTheme="minorHAnsi" w:hAnsiTheme="minorHAnsi"/>
                <w:bCs/>
                <w:sz w:val="20"/>
                <w:szCs w:val="20"/>
              </w:rPr>
              <w:t xml:space="preserve"> been in the original list of proposed activities. </w:t>
            </w:r>
          </w:p>
          <w:p w14:paraId="0327346A" w14:textId="77777777" w:rsidR="00A65FC0" w:rsidRPr="00A928D6" w:rsidRDefault="00A65FC0" w:rsidP="00894C6B">
            <w:pPr>
              <w:rPr>
                <w:rFonts w:asciiTheme="minorHAnsi" w:hAnsiTheme="minorHAnsi"/>
                <w:bCs/>
                <w:sz w:val="20"/>
                <w:szCs w:val="20"/>
              </w:rPr>
            </w:pPr>
          </w:p>
          <w:p w14:paraId="12127B56" w14:textId="77777777" w:rsidR="00A65FC0" w:rsidRPr="00A928D6" w:rsidRDefault="00A65FC0" w:rsidP="00894C6B">
            <w:pPr>
              <w:rPr>
                <w:rFonts w:asciiTheme="minorHAnsi" w:hAnsiTheme="minorHAnsi"/>
                <w:bCs/>
                <w:sz w:val="20"/>
                <w:szCs w:val="20"/>
              </w:rPr>
            </w:pPr>
          </w:p>
          <w:p w14:paraId="6A1247E4" w14:textId="77777777" w:rsidR="00A65FC0" w:rsidRPr="00A928D6" w:rsidRDefault="00A65FC0" w:rsidP="00894C6B">
            <w:pPr>
              <w:rPr>
                <w:rFonts w:asciiTheme="minorHAnsi" w:hAnsiTheme="minorHAnsi"/>
                <w:bCs/>
                <w:sz w:val="20"/>
                <w:szCs w:val="20"/>
              </w:rPr>
            </w:pPr>
          </w:p>
          <w:p w14:paraId="5A5CE8C4" w14:textId="77777777" w:rsidR="00A65FC0" w:rsidRPr="00A928D6" w:rsidRDefault="00A65FC0" w:rsidP="00894C6B">
            <w:pPr>
              <w:rPr>
                <w:rFonts w:asciiTheme="minorHAnsi" w:hAnsiTheme="minorHAnsi"/>
                <w:bCs/>
                <w:sz w:val="20"/>
                <w:szCs w:val="20"/>
              </w:rPr>
            </w:pPr>
          </w:p>
          <w:p w14:paraId="395A9978" w14:textId="77777777" w:rsidR="00A65FC0" w:rsidRPr="00A928D6" w:rsidRDefault="00A65FC0" w:rsidP="00894C6B">
            <w:pPr>
              <w:rPr>
                <w:rFonts w:asciiTheme="minorHAnsi" w:hAnsiTheme="minorHAnsi"/>
                <w:bCs/>
                <w:sz w:val="20"/>
                <w:szCs w:val="20"/>
              </w:rPr>
            </w:pPr>
          </w:p>
          <w:p w14:paraId="63BE6A81"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Having consensus on BOL, its ratification, addressing concerns/objections on BOL, conducting dialogues with residents of communities, </w:t>
            </w:r>
            <w:r w:rsidRPr="00A928D6">
              <w:rPr>
                <w:rFonts w:asciiTheme="minorHAnsi" w:hAnsiTheme="minorHAnsi"/>
                <w:bCs/>
                <w:sz w:val="20"/>
                <w:szCs w:val="20"/>
              </w:rPr>
              <w:lastRenderedPageBreak/>
              <w:t xml:space="preserve">particularly mothers, to discourage their sons from joining VE groups, etc.  undoubtedly address some of the known drivers of conflict in the </w:t>
            </w:r>
            <w:proofErr w:type="spellStart"/>
            <w:r w:rsidRPr="00A928D6">
              <w:rPr>
                <w:rFonts w:asciiTheme="minorHAnsi" w:hAnsiTheme="minorHAnsi"/>
                <w:bCs/>
                <w:sz w:val="20"/>
                <w:szCs w:val="20"/>
              </w:rPr>
              <w:t>Bangsamor</w:t>
            </w:r>
            <w:proofErr w:type="spellEnd"/>
            <w:r w:rsidRPr="00A928D6">
              <w:rPr>
                <w:rFonts w:asciiTheme="minorHAnsi" w:hAnsiTheme="minorHAnsi"/>
                <w:bCs/>
                <w:sz w:val="20"/>
                <w:szCs w:val="20"/>
              </w:rPr>
              <w:t xml:space="preserve"> region.  However, it is difficult to determine whether activities met the criteria of “do no harm” considering the built-in reservations of some of the elements in the Bangsamoro who are against an MILF-dominated BARMM government. </w:t>
            </w:r>
          </w:p>
          <w:p w14:paraId="1B08D5DF" w14:textId="77777777" w:rsidR="00A65FC0" w:rsidRPr="00A928D6" w:rsidRDefault="00A65FC0" w:rsidP="00894C6B">
            <w:pPr>
              <w:rPr>
                <w:rFonts w:asciiTheme="minorHAnsi" w:hAnsiTheme="minorHAnsi"/>
                <w:bCs/>
                <w:sz w:val="20"/>
                <w:szCs w:val="20"/>
              </w:rPr>
            </w:pPr>
          </w:p>
          <w:p w14:paraId="3D017AEB"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Recommendations of the studies on structures of BTA and BARMM, and position on the federalism debate.  Monographs and papers to build consensus produced by the project proponent are also </w:t>
            </w:r>
            <w:r w:rsidRPr="00A928D6">
              <w:rPr>
                <w:rFonts w:asciiTheme="minorHAnsi" w:hAnsiTheme="minorHAnsi"/>
                <w:bCs/>
                <w:sz w:val="20"/>
                <w:szCs w:val="20"/>
              </w:rPr>
              <w:lastRenderedPageBreak/>
              <w:t xml:space="preserve">being used by Bangsamoro stakeholders. </w:t>
            </w:r>
          </w:p>
          <w:p w14:paraId="5C8D4207" w14:textId="77777777" w:rsidR="00A65FC0" w:rsidRPr="00A928D6" w:rsidRDefault="00A65FC0" w:rsidP="00894C6B">
            <w:pPr>
              <w:rPr>
                <w:rFonts w:asciiTheme="minorHAnsi" w:hAnsiTheme="minorHAnsi"/>
                <w:bCs/>
                <w:sz w:val="20"/>
                <w:szCs w:val="20"/>
              </w:rPr>
            </w:pPr>
          </w:p>
          <w:p w14:paraId="322B015A"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Activities were well-aligned with Australian aid interventions during the stage of the peace process then between the government and the MILF.</w:t>
            </w:r>
          </w:p>
        </w:tc>
        <w:tc>
          <w:tcPr>
            <w:tcW w:w="2113" w:type="dxa"/>
            <w:tcBorders>
              <w:top w:val="single" w:sz="4" w:space="0" w:color="auto"/>
              <w:left w:val="single" w:sz="4" w:space="0" w:color="auto"/>
              <w:bottom w:val="single" w:sz="4" w:space="0" w:color="auto"/>
              <w:right w:val="single" w:sz="4" w:space="0" w:color="auto"/>
            </w:tcBorders>
          </w:tcPr>
          <w:p w14:paraId="36DFA85F"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 CARE was able to engage critical government offices, implementing partners, consultants, and close to 3,000 participants through its 49 activities.</w:t>
            </w:r>
          </w:p>
          <w:p w14:paraId="3D4B13B6" w14:textId="77777777" w:rsidR="00A65FC0" w:rsidRPr="00A928D6" w:rsidRDefault="00A65FC0" w:rsidP="00894C6B">
            <w:pPr>
              <w:rPr>
                <w:rFonts w:asciiTheme="minorHAnsi" w:hAnsiTheme="minorHAnsi"/>
                <w:bCs/>
                <w:sz w:val="20"/>
                <w:szCs w:val="20"/>
              </w:rPr>
            </w:pPr>
          </w:p>
          <w:p w14:paraId="044006BC" w14:textId="4EF80292"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Under Objective 1 on inclusive participation on political dialogue, to date, CARE was involved in drafting priority legislation, </w:t>
            </w:r>
            <w:r w:rsidRPr="00A928D6">
              <w:rPr>
                <w:rFonts w:asciiTheme="minorHAnsi" w:hAnsiTheme="minorHAnsi"/>
                <w:bCs/>
                <w:sz w:val="20"/>
                <w:szCs w:val="20"/>
              </w:rPr>
              <w:lastRenderedPageBreak/>
              <w:t xml:space="preserve">such as the education, civil service and administrative codes. The TAF involvement in the camp transformation commenced with pilot work for Camp Bilal through </w:t>
            </w:r>
            <w:proofErr w:type="spellStart"/>
            <w:r w:rsidRPr="00A928D6">
              <w:rPr>
                <w:rFonts w:asciiTheme="minorHAnsi" w:hAnsiTheme="minorHAnsi"/>
                <w:bCs/>
                <w:sz w:val="20"/>
                <w:szCs w:val="20"/>
              </w:rPr>
              <w:t>Balay</w:t>
            </w:r>
            <w:proofErr w:type="spellEnd"/>
            <w:r w:rsidRPr="00A928D6">
              <w:rPr>
                <w:rFonts w:asciiTheme="minorHAnsi" w:hAnsiTheme="minorHAnsi"/>
                <w:bCs/>
                <w:sz w:val="20"/>
                <w:szCs w:val="20"/>
              </w:rPr>
              <w:t xml:space="preserve"> Mindanao. TAF provided technical support to the Joint Normalization Committee (JNC) in developing the framework for the reduction and management of small arms and light weapons (SMLWs). Since then, this framework had been </w:t>
            </w:r>
            <w:r w:rsidRPr="00A928D6">
              <w:rPr>
                <w:rFonts w:asciiTheme="minorHAnsi" w:hAnsiTheme="minorHAnsi"/>
                <w:bCs/>
                <w:sz w:val="20"/>
                <w:szCs w:val="20"/>
              </w:rPr>
              <w:lastRenderedPageBreak/>
              <w:t xml:space="preserve">through consultations, validation activities and after a final edit, The SALW framework was presented by TAF and MILF and GPH jointly agreed on the paper’s recommendations. TAF has been requested to assist a technical working group in establishing SALWs database in the region. Women engagement were done through the Mothers for Peace Enterprise in Basilan, Federation of the United </w:t>
            </w:r>
            <w:proofErr w:type="spellStart"/>
            <w:r w:rsidRPr="00A928D6">
              <w:rPr>
                <w:rFonts w:asciiTheme="minorHAnsi" w:hAnsiTheme="minorHAnsi"/>
                <w:bCs/>
                <w:sz w:val="20"/>
                <w:szCs w:val="20"/>
              </w:rPr>
              <w:t>Mindanaw</w:t>
            </w:r>
            <w:r w:rsidR="00DB7675">
              <w:rPr>
                <w:rFonts w:asciiTheme="minorHAnsi" w:hAnsiTheme="minorHAnsi"/>
                <w:bCs/>
                <w:sz w:val="20"/>
                <w:szCs w:val="20"/>
              </w:rPr>
              <w:t>on</w:t>
            </w:r>
            <w:proofErr w:type="spellEnd"/>
            <w:r w:rsidRPr="00A928D6">
              <w:rPr>
                <w:rFonts w:asciiTheme="minorHAnsi" w:hAnsiTheme="minorHAnsi"/>
                <w:bCs/>
                <w:sz w:val="20"/>
                <w:szCs w:val="20"/>
              </w:rPr>
              <w:t xml:space="preserve"> </w:t>
            </w:r>
            <w:r w:rsidRPr="00A928D6">
              <w:rPr>
                <w:rFonts w:asciiTheme="minorHAnsi" w:hAnsiTheme="minorHAnsi"/>
                <w:bCs/>
                <w:sz w:val="20"/>
                <w:szCs w:val="20"/>
              </w:rPr>
              <w:lastRenderedPageBreak/>
              <w:t xml:space="preserve">Bangsamoro Women MPC, </w:t>
            </w:r>
            <w:proofErr w:type="spellStart"/>
            <w:r w:rsidRPr="00A928D6">
              <w:rPr>
                <w:rFonts w:asciiTheme="minorHAnsi" w:hAnsiTheme="minorHAnsi"/>
                <w:bCs/>
                <w:sz w:val="20"/>
                <w:szCs w:val="20"/>
              </w:rPr>
              <w:t>Kadtabanga</w:t>
            </w:r>
            <w:proofErr w:type="spellEnd"/>
            <w:r w:rsidRPr="00A928D6">
              <w:rPr>
                <w:rFonts w:asciiTheme="minorHAnsi" w:hAnsiTheme="minorHAnsi"/>
                <w:bCs/>
                <w:sz w:val="20"/>
                <w:szCs w:val="20"/>
              </w:rPr>
              <w:t xml:space="preserve"> Foundation for Peace and Development and Women’s Organizations Movement of the Bangsamoro (WOMB). </w:t>
            </w:r>
          </w:p>
          <w:p w14:paraId="274F1711" w14:textId="77777777" w:rsidR="00A65FC0" w:rsidRPr="00A928D6" w:rsidRDefault="00A65FC0" w:rsidP="00894C6B">
            <w:pPr>
              <w:rPr>
                <w:rFonts w:asciiTheme="minorHAnsi" w:hAnsiTheme="minorHAnsi"/>
                <w:bCs/>
                <w:sz w:val="20"/>
                <w:szCs w:val="20"/>
              </w:rPr>
            </w:pPr>
          </w:p>
          <w:p w14:paraId="2034A691" w14:textId="1B878810"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objectives and deliverables of the CARE clearly aligns with critical components of the BARMM transition, such as priority legislations, camp transformation, addressing loose firearms and internal security issues, and the importance of </w:t>
            </w:r>
            <w:r w:rsidRPr="00A928D6">
              <w:rPr>
                <w:rFonts w:asciiTheme="minorHAnsi" w:hAnsiTheme="minorHAnsi"/>
                <w:bCs/>
                <w:sz w:val="20"/>
                <w:szCs w:val="20"/>
              </w:rPr>
              <w:lastRenderedPageBreak/>
              <w:t xml:space="preserve">women’s engagement despite of the prevailing traditional expectations on Moro women. </w:t>
            </w:r>
          </w:p>
        </w:tc>
        <w:tc>
          <w:tcPr>
            <w:tcW w:w="2113" w:type="dxa"/>
            <w:tcBorders>
              <w:top w:val="single" w:sz="4" w:space="0" w:color="auto"/>
              <w:left w:val="single" w:sz="4" w:space="0" w:color="auto"/>
              <w:bottom w:val="single" w:sz="4" w:space="0" w:color="auto"/>
              <w:right w:val="single" w:sz="4" w:space="0" w:color="auto"/>
            </w:tcBorders>
          </w:tcPr>
          <w:p w14:paraId="1EE6D5C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HD was able to deliver on its key outputs under its 4 outcomes. Output 1 is strongly focused on reviving the MNLF’s women’s committee and facilitated interaction with its MILF counterpart. Key woman-leaders involved here were </w:t>
            </w:r>
            <w:proofErr w:type="spellStart"/>
            <w:r w:rsidRPr="00A928D6">
              <w:rPr>
                <w:rFonts w:asciiTheme="minorHAnsi" w:hAnsiTheme="minorHAnsi"/>
                <w:bCs/>
                <w:sz w:val="20"/>
                <w:szCs w:val="20"/>
              </w:rPr>
              <w:t>Hadja</w:t>
            </w:r>
            <w:proofErr w:type="spellEnd"/>
            <w:r w:rsidRPr="00A928D6">
              <w:rPr>
                <w:rFonts w:asciiTheme="minorHAnsi" w:hAnsiTheme="minorHAnsi"/>
                <w:bCs/>
                <w:sz w:val="20"/>
                <w:szCs w:val="20"/>
              </w:rPr>
              <w:t xml:space="preserve"> </w:t>
            </w:r>
            <w:proofErr w:type="spellStart"/>
            <w:r w:rsidRPr="00A928D6">
              <w:rPr>
                <w:rFonts w:asciiTheme="minorHAnsi" w:hAnsiTheme="minorHAnsi"/>
                <w:bCs/>
                <w:sz w:val="20"/>
                <w:szCs w:val="20"/>
              </w:rPr>
              <w:t>Bainon</w:t>
            </w:r>
            <w:proofErr w:type="spellEnd"/>
            <w:r w:rsidRPr="00A928D6">
              <w:rPr>
                <w:rFonts w:asciiTheme="minorHAnsi" w:hAnsiTheme="minorHAnsi"/>
                <w:bCs/>
                <w:sz w:val="20"/>
                <w:szCs w:val="20"/>
              </w:rPr>
              <w:t xml:space="preserve"> Karon and Aida </w:t>
            </w:r>
            <w:proofErr w:type="spellStart"/>
            <w:r w:rsidRPr="00A928D6">
              <w:rPr>
                <w:rFonts w:asciiTheme="minorHAnsi" w:hAnsiTheme="minorHAnsi"/>
                <w:bCs/>
                <w:sz w:val="20"/>
                <w:szCs w:val="20"/>
              </w:rPr>
              <w:t>Silongan</w:t>
            </w:r>
            <w:proofErr w:type="spellEnd"/>
            <w:r w:rsidRPr="00A928D6">
              <w:rPr>
                <w:rFonts w:asciiTheme="minorHAnsi" w:hAnsiTheme="minorHAnsi"/>
                <w:bCs/>
                <w:sz w:val="20"/>
                <w:szCs w:val="20"/>
              </w:rPr>
              <w:t xml:space="preserve">. Both are members of the BTA and Karon </w:t>
            </w:r>
            <w:r w:rsidRPr="00A928D6">
              <w:rPr>
                <w:rFonts w:asciiTheme="minorHAnsi" w:hAnsiTheme="minorHAnsi"/>
                <w:bCs/>
                <w:sz w:val="20"/>
                <w:szCs w:val="20"/>
              </w:rPr>
              <w:lastRenderedPageBreak/>
              <w:t>heads the regional women’s agency.</w:t>
            </w:r>
          </w:p>
          <w:p w14:paraId="18A4099D" w14:textId="77777777" w:rsidR="00A65FC0" w:rsidRPr="00A928D6" w:rsidRDefault="00A65FC0" w:rsidP="00894C6B">
            <w:pPr>
              <w:rPr>
                <w:rFonts w:asciiTheme="minorHAnsi" w:hAnsiTheme="minorHAnsi"/>
                <w:bCs/>
                <w:sz w:val="20"/>
                <w:szCs w:val="20"/>
              </w:rPr>
            </w:pPr>
          </w:p>
          <w:p w14:paraId="68118919"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MNLF-MILF convergence efforts led to the formation of a joint development planning team that came up with a 10-year Unified Bangsamoro Development Plan (UBDP), and in turn, presented to the ICM and the regional cabinet as important inputs in their respective agency programming. </w:t>
            </w:r>
          </w:p>
          <w:p w14:paraId="03C585B6" w14:textId="77777777" w:rsidR="00A65FC0" w:rsidRPr="00A928D6" w:rsidRDefault="00A65FC0" w:rsidP="00894C6B">
            <w:pPr>
              <w:rPr>
                <w:rFonts w:asciiTheme="minorHAnsi" w:hAnsiTheme="minorHAnsi"/>
                <w:bCs/>
                <w:sz w:val="20"/>
                <w:szCs w:val="20"/>
              </w:rPr>
            </w:pPr>
          </w:p>
          <w:p w14:paraId="4BA753BC"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HD’s engagement through Sulu-based </w:t>
            </w:r>
            <w:proofErr w:type="spellStart"/>
            <w:r w:rsidRPr="00A928D6">
              <w:rPr>
                <w:rFonts w:asciiTheme="minorHAnsi" w:hAnsiTheme="minorHAnsi"/>
                <w:bCs/>
                <w:sz w:val="20"/>
                <w:szCs w:val="20"/>
              </w:rPr>
              <w:lastRenderedPageBreak/>
              <w:t>Tumikang</w:t>
            </w:r>
            <w:proofErr w:type="spellEnd"/>
            <w:r w:rsidRPr="00A928D6">
              <w:rPr>
                <w:rFonts w:asciiTheme="minorHAnsi" w:hAnsiTheme="minorHAnsi"/>
                <w:bCs/>
                <w:sz w:val="20"/>
                <w:szCs w:val="20"/>
              </w:rPr>
              <w:t xml:space="preserve"> Sama-Sama (TSS) allows it to have a good presence on the ground without necessarily constraints by security protocols normally associated with international agencies.</w:t>
            </w:r>
          </w:p>
          <w:p w14:paraId="6D442B1C" w14:textId="77777777" w:rsidR="00A65FC0" w:rsidRPr="00A928D6" w:rsidRDefault="00A65FC0" w:rsidP="00894C6B">
            <w:pPr>
              <w:rPr>
                <w:rFonts w:asciiTheme="minorHAnsi" w:hAnsiTheme="minorHAnsi"/>
                <w:bCs/>
                <w:sz w:val="20"/>
                <w:szCs w:val="20"/>
              </w:rPr>
            </w:pPr>
          </w:p>
          <w:p w14:paraId="6B36CCE0"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TSS familiarity with Sulu’s political, security and cultural terrains, allows HD to support local efforts, such as local conflict mediation, the establishment of the One Network for Elections – Sulu (ONE Sulu) as an election </w:t>
            </w:r>
            <w:r w:rsidRPr="00A928D6">
              <w:rPr>
                <w:rFonts w:asciiTheme="minorHAnsi" w:hAnsiTheme="minorHAnsi"/>
                <w:bCs/>
                <w:sz w:val="20"/>
                <w:szCs w:val="20"/>
              </w:rPr>
              <w:lastRenderedPageBreak/>
              <w:t xml:space="preserve">monitoring network, work on a local coordination mechanism among PNP, AFP and MNLF </w:t>
            </w:r>
            <w:proofErr w:type="spellStart"/>
            <w:r w:rsidRPr="00A928D6">
              <w:rPr>
                <w:rFonts w:asciiTheme="minorHAnsi" w:hAnsiTheme="minorHAnsi"/>
                <w:bCs/>
                <w:sz w:val="20"/>
                <w:szCs w:val="20"/>
              </w:rPr>
              <w:t>Jikiri</w:t>
            </w:r>
            <w:proofErr w:type="spellEnd"/>
            <w:r w:rsidRPr="00A928D6">
              <w:rPr>
                <w:rFonts w:asciiTheme="minorHAnsi" w:hAnsiTheme="minorHAnsi"/>
                <w:bCs/>
                <w:sz w:val="20"/>
                <w:szCs w:val="20"/>
              </w:rPr>
              <w:t xml:space="preserve"> branch, now referred as JMSCC. HD and TSS have facilitating confidence building meetings among JMSCC members.</w:t>
            </w:r>
          </w:p>
          <w:p w14:paraId="305EA962" w14:textId="77777777" w:rsidR="00A65FC0" w:rsidRPr="00A928D6" w:rsidRDefault="00A65FC0" w:rsidP="00894C6B">
            <w:pPr>
              <w:rPr>
                <w:rFonts w:asciiTheme="minorHAnsi" w:hAnsiTheme="minorHAnsi"/>
                <w:bCs/>
                <w:sz w:val="20"/>
                <w:szCs w:val="20"/>
              </w:rPr>
            </w:pPr>
          </w:p>
          <w:p w14:paraId="3A94DFC1"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HD and TSS are also in the current P/CVE focus of DFAT and the Philippine Government, more targeting high-risk young people in the province. Towards this end, they are working with the </w:t>
            </w:r>
            <w:r w:rsidRPr="00A928D6">
              <w:rPr>
                <w:rFonts w:asciiTheme="minorHAnsi" w:hAnsiTheme="minorHAnsi"/>
                <w:bCs/>
                <w:sz w:val="20"/>
                <w:szCs w:val="20"/>
              </w:rPr>
              <w:lastRenderedPageBreak/>
              <w:t>influential Sulu Ulama Council for Peace and Development (SUCPD) in developing counter-narrative modules that will address misconceptions about the Islamic faith, often misused by VE recruiters.</w:t>
            </w:r>
          </w:p>
          <w:p w14:paraId="7C58D011" w14:textId="77777777" w:rsidR="00A65FC0" w:rsidRPr="00A928D6" w:rsidRDefault="00A65FC0" w:rsidP="00894C6B">
            <w:pPr>
              <w:rPr>
                <w:rFonts w:asciiTheme="minorHAnsi" w:hAnsiTheme="minorHAnsi"/>
                <w:bCs/>
                <w:sz w:val="20"/>
                <w:szCs w:val="20"/>
              </w:rPr>
            </w:pPr>
          </w:p>
          <w:p w14:paraId="76331E06" w14:textId="77777777" w:rsidR="00A65FC0" w:rsidRPr="00A928D6" w:rsidRDefault="00A65FC0" w:rsidP="00894C6B">
            <w:pPr>
              <w:rPr>
                <w:rFonts w:asciiTheme="minorHAnsi" w:hAnsiTheme="minorHAnsi"/>
                <w:bCs/>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213C424"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The project strength lies in mobilizing women to promote their agenda in peace process and in the crafting of the Bangsamoro basic law, influencing national media and civil society in understanding and sharing the experiences in conflict areas in Year 1; and in Year 2, highlighting women’s </w:t>
            </w:r>
            <w:r w:rsidRPr="00A928D6">
              <w:rPr>
                <w:rFonts w:asciiTheme="minorHAnsi" w:hAnsiTheme="minorHAnsi"/>
                <w:bCs/>
                <w:sz w:val="20"/>
                <w:szCs w:val="20"/>
              </w:rPr>
              <w:lastRenderedPageBreak/>
              <w:t>voices in crafting the Bangsamoro organic law, plebiscite and now in the transition.</w:t>
            </w:r>
          </w:p>
          <w:p w14:paraId="6B586B92" w14:textId="77777777" w:rsidR="00A65FC0" w:rsidRPr="00A928D6" w:rsidRDefault="00A65FC0" w:rsidP="00894C6B">
            <w:pPr>
              <w:rPr>
                <w:rFonts w:asciiTheme="minorHAnsi" w:hAnsiTheme="minorHAnsi"/>
                <w:bCs/>
                <w:sz w:val="20"/>
                <w:szCs w:val="20"/>
              </w:rPr>
            </w:pPr>
          </w:p>
          <w:p w14:paraId="3A23BFB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DFAT benefits significantly on the project’s explicit focus on women engagement and empowerment consistent with the country’s and UN’s Women, Peace and Security agenda.</w:t>
            </w:r>
          </w:p>
          <w:p w14:paraId="087EBD1B" w14:textId="77777777" w:rsidR="00A65FC0" w:rsidRPr="00A928D6" w:rsidRDefault="00A65FC0" w:rsidP="00894C6B">
            <w:pPr>
              <w:rPr>
                <w:rFonts w:asciiTheme="minorHAnsi" w:hAnsiTheme="minorHAnsi"/>
                <w:bCs/>
                <w:sz w:val="20"/>
                <w:szCs w:val="20"/>
              </w:rPr>
            </w:pPr>
          </w:p>
          <w:p w14:paraId="01295E53" w14:textId="77777777" w:rsidR="00A65FC0" w:rsidRPr="00A928D6" w:rsidRDefault="00A65FC0" w:rsidP="00894C6B">
            <w:pPr>
              <w:rPr>
                <w:rFonts w:asciiTheme="minorHAnsi" w:hAnsiTheme="minorHAnsi"/>
                <w:bCs/>
                <w:sz w:val="20"/>
                <w:szCs w:val="20"/>
              </w:rPr>
            </w:pPr>
          </w:p>
          <w:p w14:paraId="2B143B65" w14:textId="77777777" w:rsidR="00A65FC0" w:rsidRPr="00A928D6" w:rsidRDefault="00A65FC0" w:rsidP="00894C6B">
            <w:pPr>
              <w:rPr>
                <w:rFonts w:asciiTheme="minorHAnsi" w:hAnsiTheme="minorHAnsi"/>
                <w:bCs/>
                <w:sz w:val="20"/>
                <w:szCs w:val="20"/>
              </w:rPr>
            </w:pPr>
          </w:p>
          <w:p w14:paraId="42374FBC" w14:textId="77777777" w:rsidR="00A65FC0" w:rsidRPr="00A928D6" w:rsidRDefault="00A65FC0" w:rsidP="00894C6B">
            <w:pPr>
              <w:rPr>
                <w:rFonts w:asciiTheme="minorHAnsi" w:hAnsiTheme="minorHAnsi"/>
                <w:bCs/>
                <w:sz w:val="20"/>
                <w:szCs w:val="20"/>
              </w:rPr>
            </w:pPr>
          </w:p>
          <w:p w14:paraId="5EFAAD8F" w14:textId="77777777" w:rsidR="00A65FC0" w:rsidRPr="00A928D6" w:rsidRDefault="00A65FC0" w:rsidP="00894C6B">
            <w:pPr>
              <w:rPr>
                <w:rFonts w:asciiTheme="minorHAnsi" w:hAnsiTheme="minorHAnsi"/>
                <w:bCs/>
                <w:sz w:val="20"/>
                <w:szCs w:val="20"/>
              </w:rPr>
            </w:pPr>
          </w:p>
          <w:p w14:paraId="51E12967" w14:textId="77777777" w:rsidR="00A65FC0" w:rsidRPr="00A928D6" w:rsidRDefault="00A65FC0" w:rsidP="00894C6B">
            <w:pPr>
              <w:rPr>
                <w:rFonts w:asciiTheme="minorHAnsi" w:hAnsiTheme="minorHAnsi"/>
                <w:bCs/>
                <w:sz w:val="20"/>
                <w:szCs w:val="20"/>
              </w:rPr>
            </w:pPr>
          </w:p>
          <w:p w14:paraId="45FE482F"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Women are not just victims of conflict, </w:t>
            </w:r>
            <w:r w:rsidRPr="00A928D6">
              <w:rPr>
                <w:rFonts w:asciiTheme="minorHAnsi" w:hAnsiTheme="minorHAnsi"/>
                <w:bCs/>
                <w:sz w:val="20"/>
                <w:szCs w:val="20"/>
              </w:rPr>
              <w:lastRenderedPageBreak/>
              <w:t>hey are also privy to the conflict as well participants to its resolution. The WELD Peace project provides platforms for articulations of women voices and supports women’s efforts and plans in promoting their causes and concerns at the BARMM and local government levels.</w:t>
            </w:r>
          </w:p>
          <w:p w14:paraId="4723FEE7" w14:textId="77777777" w:rsidR="00A65FC0" w:rsidRPr="00A928D6" w:rsidRDefault="00A65FC0" w:rsidP="00894C6B">
            <w:pPr>
              <w:rPr>
                <w:rFonts w:asciiTheme="minorHAnsi" w:hAnsiTheme="minorHAnsi"/>
                <w:bCs/>
                <w:sz w:val="20"/>
                <w:szCs w:val="20"/>
              </w:rPr>
            </w:pPr>
          </w:p>
          <w:p w14:paraId="4AF6B6DD" w14:textId="77777777" w:rsidR="00A65FC0" w:rsidRPr="00A928D6" w:rsidRDefault="00A65FC0" w:rsidP="00894C6B">
            <w:pPr>
              <w:rPr>
                <w:rFonts w:asciiTheme="minorHAnsi" w:hAnsiTheme="minorHAnsi"/>
                <w:bCs/>
                <w:sz w:val="20"/>
                <w:szCs w:val="20"/>
              </w:rPr>
            </w:pPr>
          </w:p>
          <w:p w14:paraId="75D2190B" w14:textId="77777777" w:rsidR="00A65FC0" w:rsidRPr="00A928D6" w:rsidRDefault="00A65FC0" w:rsidP="00894C6B">
            <w:pPr>
              <w:rPr>
                <w:rFonts w:asciiTheme="minorHAnsi" w:hAnsiTheme="minorHAnsi"/>
                <w:bCs/>
                <w:sz w:val="20"/>
                <w:szCs w:val="20"/>
              </w:rPr>
            </w:pPr>
          </w:p>
          <w:p w14:paraId="1817B642" w14:textId="77777777" w:rsidR="00A65FC0" w:rsidRPr="00A928D6" w:rsidRDefault="00A65FC0" w:rsidP="00894C6B">
            <w:pPr>
              <w:rPr>
                <w:rFonts w:asciiTheme="minorHAnsi" w:hAnsiTheme="minorHAnsi"/>
                <w:bCs/>
                <w:sz w:val="20"/>
                <w:szCs w:val="20"/>
              </w:rPr>
            </w:pPr>
          </w:p>
          <w:p w14:paraId="60B7ADCF" w14:textId="77777777" w:rsidR="00A65FC0" w:rsidRPr="00A928D6" w:rsidRDefault="00A65FC0" w:rsidP="00894C6B">
            <w:pPr>
              <w:rPr>
                <w:rFonts w:asciiTheme="minorHAnsi" w:hAnsiTheme="minorHAnsi"/>
                <w:bCs/>
                <w:sz w:val="20"/>
                <w:szCs w:val="20"/>
              </w:rPr>
            </w:pPr>
          </w:p>
          <w:p w14:paraId="0193C202" w14:textId="77777777" w:rsidR="00A65FC0" w:rsidRPr="00A928D6" w:rsidRDefault="00A65FC0" w:rsidP="00894C6B">
            <w:pPr>
              <w:rPr>
                <w:rFonts w:asciiTheme="minorHAnsi" w:hAnsiTheme="minorHAnsi"/>
                <w:bCs/>
                <w:sz w:val="20"/>
                <w:szCs w:val="20"/>
              </w:rPr>
            </w:pPr>
          </w:p>
          <w:p w14:paraId="1C86781B" w14:textId="77777777" w:rsidR="00A65FC0" w:rsidRPr="00A928D6" w:rsidRDefault="00A65FC0" w:rsidP="00894C6B">
            <w:pPr>
              <w:rPr>
                <w:rFonts w:asciiTheme="minorHAnsi" w:hAnsiTheme="minorHAnsi"/>
                <w:bCs/>
                <w:sz w:val="20"/>
                <w:szCs w:val="20"/>
              </w:rPr>
            </w:pPr>
          </w:p>
          <w:p w14:paraId="6DBA722F" w14:textId="77777777" w:rsidR="00A65FC0" w:rsidRPr="00A928D6" w:rsidRDefault="00A65FC0" w:rsidP="00894C6B">
            <w:pPr>
              <w:rPr>
                <w:rFonts w:asciiTheme="minorHAnsi" w:hAnsiTheme="minorHAnsi"/>
                <w:bCs/>
                <w:sz w:val="20"/>
                <w:szCs w:val="20"/>
              </w:rPr>
            </w:pPr>
          </w:p>
          <w:p w14:paraId="24BB5A44" w14:textId="77777777" w:rsidR="00A65FC0" w:rsidRPr="00A928D6" w:rsidRDefault="00A65FC0" w:rsidP="00894C6B">
            <w:pPr>
              <w:rPr>
                <w:rFonts w:asciiTheme="minorHAnsi" w:hAnsiTheme="minorHAnsi"/>
                <w:bCs/>
                <w:sz w:val="20"/>
                <w:szCs w:val="20"/>
              </w:rPr>
            </w:pPr>
          </w:p>
          <w:p w14:paraId="4282B533" w14:textId="77777777" w:rsidR="00A65FC0" w:rsidRPr="00A928D6" w:rsidRDefault="00A65FC0" w:rsidP="00894C6B">
            <w:pPr>
              <w:rPr>
                <w:rFonts w:asciiTheme="minorHAnsi" w:hAnsiTheme="minorHAnsi"/>
                <w:bCs/>
                <w:sz w:val="20"/>
                <w:szCs w:val="20"/>
              </w:rPr>
            </w:pPr>
          </w:p>
          <w:p w14:paraId="2B6E3ED8" w14:textId="77777777" w:rsidR="00A65FC0" w:rsidRPr="00A928D6" w:rsidRDefault="00A65FC0" w:rsidP="00894C6B">
            <w:pPr>
              <w:rPr>
                <w:rFonts w:asciiTheme="minorHAnsi" w:hAnsiTheme="minorHAnsi"/>
                <w:bCs/>
                <w:sz w:val="20"/>
                <w:szCs w:val="20"/>
              </w:rPr>
            </w:pPr>
          </w:p>
          <w:p w14:paraId="3F6DABBA" w14:textId="77777777" w:rsidR="00A65FC0" w:rsidRPr="00A928D6" w:rsidRDefault="00A65FC0" w:rsidP="00894C6B">
            <w:pPr>
              <w:rPr>
                <w:rFonts w:asciiTheme="minorHAnsi" w:hAnsiTheme="minorHAnsi"/>
                <w:bCs/>
                <w:sz w:val="20"/>
                <w:szCs w:val="20"/>
              </w:rPr>
            </w:pPr>
          </w:p>
          <w:p w14:paraId="6D61CE71" w14:textId="77777777" w:rsidR="00A65FC0" w:rsidRPr="00A928D6" w:rsidRDefault="00A65FC0" w:rsidP="00894C6B">
            <w:pPr>
              <w:rPr>
                <w:rFonts w:asciiTheme="minorHAnsi" w:hAnsiTheme="minorHAnsi"/>
                <w:bCs/>
                <w:sz w:val="20"/>
                <w:szCs w:val="20"/>
              </w:rPr>
            </w:pPr>
          </w:p>
          <w:p w14:paraId="5C39B704" w14:textId="77777777" w:rsidR="00A65FC0" w:rsidRPr="00A928D6" w:rsidRDefault="00A65FC0" w:rsidP="00894C6B">
            <w:pPr>
              <w:rPr>
                <w:rFonts w:asciiTheme="minorHAnsi" w:hAnsiTheme="minorHAnsi"/>
                <w:bCs/>
                <w:sz w:val="20"/>
                <w:szCs w:val="20"/>
              </w:rPr>
            </w:pPr>
          </w:p>
          <w:p w14:paraId="2D2EF8EF" w14:textId="77777777" w:rsidR="00A65FC0" w:rsidRPr="00A928D6" w:rsidRDefault="00A65FC0" w:rsidP="00894C6B">
            <w:pPr>
              <w:rPr>
                <w:rFonts w:asciiTheme="minorHAnsi" w:hAnsiTheme="minorHAnsi"/>
                <w:bCs/>
                <w:sz w:val="20"/>
                <w:szCs w:val="20"/>
              </w:rPr>
            </w:pPr>
          </w:p>
          <w:p w14:paraId="7E10B28D" w14:textId="77777777" w:rsidR="00A65FC0" w:rsidRPr="00A928D6" w:rsidRDefault="00A65FC0" w:rsidP="00894C6B">
            <w:pPr>
              <w:rPr>
                <w:rFonts w:asciiTheme="minorHAnsi" w:hAnsiTheme="minorHAnsi"/>
                <w:bCs/>
                <w:sz w:val="20"/>
                <w:szCs w:val="20"/>
              </w:rPr>
            </w:pPr>
          </w:p>
          <w:p w14:paraId="619EC13C" w14:textId="77777777" w:rsidR="00A65FC0" w:rsidRPr="00A928D6" w:rsidRDefault="00A65FC0" w:rsidP="00894C6B">
            <w:pPr>
              <w:rPr>
                <w:rFonts w:asciiTheme="minorHAnsi" w:hAnsiTheme="minorHAnsi"/>
                <w:bCs/>
                <w:sz w:val="20"/>
                <w:szCs w:val="20"/>
              </w:rPr>
            </w:pPr>
          </w:p>
          <w:p w14:paraId="2267F7EF" w14:textId="77777777" w:rsidR="00A65FC0" w:rsidRPr="00A928D6" w:rsidRDefault="00A65FC0" w:rsidP="00894C6B">
            <w:pPr>
              <w:rPr>
                <w:rFonts w:asciiTheme="minorHAnsi" w:hAnsiTheme="minorHAnsi"/>
                <w:bCs/>
                <w:sz w:val="20"/>
                <w:szCs w:val="20"/>
              </w:rPr>
            </w:pPr>
          </w:p>
          <w:p w14:paraId="099F5D33"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WELD Peace project focus is strongly aligned with the Philippine, DFAT </w:t>
            </w:r>
            <w:proofErr w:type="gramStart"/>
            <w:r w:rsidRPr="00A928D6">
              <w:rPr>
                <w:rFonts w:asciiTheme="minorHAnsi" w:hAnsiTheme="minorHAnsi"/>
                <w:bCs/>
                <w:sz w:val="20"/>
                <w:szCs w:val="20"/>
              </w:rPr>
              <w:t>and  UN</w:t>
            </w:r>
            <w:proofErr w:type="gramEnd"/>
            <w:r w:rsidRPr="00A928D6">
              <w:rPr>
                <w:rFonts w:asciiTheme="minorHAnsi" w:hAnsiTheme="minorHAnsi"/>
                <w:bCs/>
                <w:sz w:val="20"/>
                <w:szCs w:val="20"/>
              </w:rPr>
              <w:t xml:space="preserve"> Women, Peace and Security (WPS) agenda. Although, there is an opportunity for DFAT in future programming to be more explicit with indicators that </w:t>
            </w:r>
            <w:r w:rsidRPr="00A928D6">
              <w:rPr>
                <w:rFonts w:asciiTheme="minorHAnsi" w:hAnsiTheme="minorHAnsi"/>
                <w:bCs/>
                <w:sz w:val="20"/>
                <w:szCs w:val="20"/>
              </w:rPr>
              <w:lastRenderedPageBreak/>
              <w:t>mirrors the global WPS Index and the national action plan.</w:t>
            </w:r>
          </w:p>
          <w:p w14:paraId="41C72B0B" w14:textId="77777777" w:rsidR="00A65FC0" w:rsidRPr="00A928D6" w:rsidRDefault="00A65FC0" w:rsidP="00894C6B">
            <w:pPr>
              <w:rPr>
                <w:rFonts w:asciiTheme="minorHAnsi" w:hAnsiTheme="minorHAnsi"/>
                <w:bCs/>
                <w:sz w:val="20"/>
                <w:szCs w:val="20"/>
              </w:rPr>
            </w:pPr>
          </w:p>
          <w:p w14:paraId="10CB23B5" w14:textId="77777777" w:rsidR="00A65FC0" w:rsidRPr="00A928D6" w:rsidRDefault="00A65FC0" w:rsidP="00894C6B">
            <w:pPr>
              <w:rPr>
                <w:rFonts w:asciiTheme="minorHAnsi" w:hAnsiTheme="minorHAnsi"/>
                <w:bCs/>
                <w:sz w:val="20"/>
                <w:szCs w:val="20"/>
              </w:rPr>
            </w:pPr>
          </w:p>
          <w:p w14:paraId="5C25A102" w14:textId="77777777" w:rsidR="00A65FC0" w:rsidRPr="00A928D6" w:rsidRDefault="00A65FC0" w:rsidP="00894C6B">
            <w:pPr>
              <w:rPr>
                <w:rFonts w:asciiTheme="minorHAnsi" w:hAnsiTheme="minorHAnsi"/>
                <w:bCs/>
                <w:sz w:val="20"/>
                <w:szCs w:val="20"/>
              </w:rPr>
            </w:pPr>
          </w:p>
          <w:p w14:paraId="2A9EA3CB" w14:textId="77777777" w:rsidR="00A65FC0" w:rsidRPr="00A928D6" w:rsidRDefault="00A65FC0" w:rsidP="00894C6B">
            <w:pPr>
              <w:rPr>
                <w:rFonts w:asciiTheme="minorHAnsi" w:hAnsiTheme="minorHAnsi"/>
                <w:bCs/>
                <w:sz w:val="20"/>
                <w:szCs w:val="20"/>
              </w:rPr>
            </w:pPr>
          </w:p>
        </w:tc>
      </w:tr>
      <w:tr w:rsidR="00A65FC0" w:rsidRPr="0002234D" w14:paraId="4B51AC02" w14:textId="77777777" w:rsidTr="00894C6B">
        <w:tc>
          <w:tcPr>
            <w:tcW w:w="2005" w:type="dxa"/>
            <w:tcBorders>
              <w:top w:val="single" w:sz="4" w:space="0" w:color="auto"/>
              <w:left w:val="single" w:sz="4" w:space="0" w:color="auto"/>
              <w:bottom w:val="single" w:sz="4" w:space="0" w:color="auto"/>
              <w:right w:val="single" w:sz="4" w:space="0" w:color="auto"/>
            </w:tcBorders>
          </w:tcPr>
          <w:p w14:paraId="14274465" w14:textId="77777777" w:rsidR="00A65FC0" w:rsidRPr="00A928D6" w:rsidRDefault="00A65FC0" w:rsidP="00A65FC0">
            <w:pPr>
              <w:pStyle w:val="ListParagraph"/>
              <w:numPr>
                <w:ilvl w:val="0"/>
                <w:numId w:val="103"/>
              </w:numPr>
              <w:ind w:left="30"/>
              <w:rPr>
                <w:rFonts w:asciiTheme="minorHAnsi" w:hAnsiTheme="minorHAnsi"/>
                <w:b/>
                <w:sz w:val="20"/>
                <w:szCs w:val="20"/>
              </w:rPr>
            </w:pPr>
            <w:r w:rsidRPr="00A928D6">
              <w:rPr>
                <w:rFonts w:asciiTheme="minorHAnsi" w:hAnsiTheme="minorHAnsi"/>
                <w:b/>
                <w:sz w:val="20"/>
                <w:szCs w:val="20"/>
              </w:rPr>
              <w:lastRenderedPageBreak/>
              <w:t>2.  Efficiency</w:t>
            </w:r>
          </w:p>
        </w:tc>
        <w:tc>
          <w:tcPr>
            <w:tcW w:w="2602" w:type="dxa"/>
            <w:tcBorders>
              <w:top w:val="single" w:sz="4" w:space="0" w:color="auto"/>
              <w:left w:val="single" w:sz="4" w:space="0" w:color="auto"/>
              <w:bottom w:val="single" w:sz="4" w:space="0" w:color="auto"/>
              <w:right w:val="single" w:sz="4" w:space="0" w:color="auto"/>
            </w:tcBorders>
          </w:tcPr>
          <w:p w14:paraId="4177A60A" w14:textId="77777777" w:rsidR="00A65FC0" w:rsidRPr="00A928D6" w:rsidRDefault="00A65FC0" w:rsidP="00894C6B">
            <w:pPr>
              <w:rPr>
                <w:rFonts w:asciiTheme="minorHAnsi" w:hAnsiTheme="minorHAnsi"/>
                <w:bCs/>
                <w:sz w:val="20"/>
                <w:szCs w:val="20"/>
              </w:rPr>
            </w:pPr>
          </w:p>
        </w:tc>
        <w:tc>
          <w:tcPr>
            <w:tcW w:w="2855" w:type="dxa"/>
            <w:tcBorders>
              <w:top w:val="single" w:sz="4" w:space="0" w:color="auto"/>
              <w:left w:val="single" w:sz="4" w:space="0" w:color="auto"/>
              <w:bottom w:val="single" w:sz="4" w:space="0" w:color="auto"/>
              <w:right w:val="single" w:sz="4" w:space="0" w:color="auto"/>
            </w:tcBorders>
          </w:tcPr>
          <w:p w14:paraId="2629B530"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918A6F7"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31CA11DF"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301C5E12" w14:textId="77777777" w:rsidR="00A65FC0" w:rsidRPr="00A928D6" w:rsidRDefault="00A65FC0" w:rsidP="00894C6B">
            <w:pPr>
              <w:rPr>
                <w:rFonts w:asciiTheme="minorHAnsi" w:hAnsiTheme="minorHAnsi"/>
                <w:b/>
                <w:sz w:val="20"/>
                <w:szCs w:val="20"/>
              </w:rPr>
            </w:pPr>
          </w:p>
        </w:tc>
      </w:tr>
      <w:tr w:rsidR="00A65FC0" w:rsidRPr="0002234D" w14:paraId="411953D5" w14:textId="77777777" w:rsidTr="00894C6B">
        <w:tc>
          <w:tcPr>
            <w:tcW w:w="2005" w:type="dxa"/>
            <w:tcBorders>
              <w:top w:val="single" w:sz="4" w:space="0" w:color="auto"/>
              <w:left w:val="single" w:sz="4" w:space="0" w:color="auto"/>
              <w:bottom w:val="single" w:sz="4" w:space="0" w:color="auto"/>
              <w:right w:val="single" w:sz="4" w:space="0" w:color="auto"/>
            </w:tcBorders>
          </w:tcPr>
          <w:p w14:paraId="1740AFE8" w14:textId="77777777" w:rsidR="00A65FC0" w:rsidRPr="00A928D6" w:rsidRDefault="00A65FC0" w:rsidP="00894C6B">
            <w:pPr>
              <w:rPr>
                <w:rFonts w:asciiTheme="minorHAnsi" w:hAnsiTheme="minorHAnsi"/>
                <w:b/>
                <w:sz w:val="20"/>
                <w:szCs w:val="20"/>
              </w:rPr>
            </w:pPr>
          </w:p>
          <w:p w14:paraId="27A90F54"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b.  Are we making appropriate use of Australia’s and our partners’ time and resources to achieve outcomes?</w:t>
            </w:r>
          </w:p>
          <w:p w14:paraId="1BBDDE43" w14:textId="77777777" w:rsidR="00A65FC0" w:rsidRPr="00A928D6" w:rsidRDefault="00A65FC0" w:rsidP="00894C6B">
            <w:pPr>
              <w:rPr>
                <w:rFonts w:asciiTheme="minorHAnsi" w:hAnsiTheme="minorHAnsi"/>
                <w:b/>
                <w:sz w:val="20"/>
                <w:szCs w:val="20"/>
              </w:rPr>
            </w:pPr>
          </w:p>
          <w:p w14:paraId="5E047486" w14:textId="77777777" w:rsidR="00A65FC0" w:rsidRPr="00A928D6" w:rsidRDefault="00A65FC0" w:rsidP="00894C6B">
            <w:pPr>
              <w:rPr>
                <w:rFonts w:asciiTheme="minorHAnsi" w:hAnsiTheme="minorHAnsi"/>
                <w:b/>
                <w:sz w:val="20"/>
                <w:szCs w:val="20"/>
              </w:rPr>
            </w:pPr>
          </w:p>
          <w:p w14:paraId="6BF71DC1" w14:textId="77777777" w:rsidR="00A65FC0" w:rsidRPr="00A928D6" w:rsidRDefault="00A65FC0" w:rsidP="00894C6B">
            <w:pPr>
              <w:rPr>
                <w:rFonts w:asciiTheme="minorHAnsi" w:hAnsiTheme="minorHAnsi"/>
                <w:b/>
                <w:sz w:val="20"/>
                <w:szCs w:val="20"/>
              </w:rPr>
            </w:pPr>
          </w:p>
          <w:p w14:paraId="023D7698" w14:textId="77777777" w:rsidR="00A65FC0" w:rsidRPr="00A928D6" w:rsidRDefault="00A65FC0" w:rsidP="00894C6B">
            <w:pPr>
              <w:rPr>
                <w:rFonts w:asciiTheme="minorHAnsi" w:hAnsiTheme="minorHAnsi"/>
                <w:b/>
                <w:sz w:val="20"/>
                <w:szCs w:val="20"/>
              </w:rPr>
            </w:pPr>
          </w:p>
          <w:p w14:paraId="0AFB53E7" w14:textId="77777777" w:rsidR="00A65FC0" w:rsidRPr="00A928D6" w:rsidRDefault="00A65FC0" w:rsidP="00894C6B">
            <w:pPr>
              <w:rPr>
                <w:rFonts w:asciiTheme="minorHAnsi" w:hAnsiTheme="minorHAnsi"/>
                <w:b/>
                <w:sz w:val="20"/>
                <w:szCs w:val="20"/>
              </w:rPr>
            </w:pPr>
          </w:p>
          <w:p w14:paraId="66CE7E9D" w14:textId="77777777" w:rsidR="00A65FC0" w:rsidRPr="00A928D6" w:rsidRDefault="00A65FC0" w:rsidP="00894C6B">
            <w:pPr>
              <w:rPr>
                <w:rFonts w:asciiTheme="minorHAnsi" w:hAnsiTheme="minorHAnsi"/>
                <w:b/>
                <w:sz w:val="20"/>
                <w:szCs w:val="20"/>
              </w:rPr>
            </w:pPr>
          </w:p>
          <w:p w14:paraId="1ADC38A0" w14:textId="77777777" w:rsidR="00A65FC0" w:rsidRPr="00A928D6" w:rsidRDefault="00A65FC0" w:rsidP="00894C6B">
            <w:pPr>
              <w:rPr>
                <w:rFonts w:asciiTheme="minorHAnsi" w:hAnsiTheme="minorHAnsi"/>
                <w:b/>
                <w:sz w:val="20"/>
                <w:szCs w:val="20"/>
              </w:rPr>
            </w:pPr>
          </w:p>
          <w:p w14:paraId="0D751663"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b.1 Is each activity able to monitor both the delivery of outputs and remain within the budget allocated?</w:t>
            </w:r>
          </w:p>
          <w:p w14:paraId="5FE899A6" w14:textId="77777777" w:rsidR="00A65FC0" w:rsidRPr="00A928D6" w:rsidRDefault="00A65FC0" w:rsidP="00894C6B">
            <w:pPr>
              <w:rPr>
                <w:rFonts w:asciiTheme="minorHAnsi" w:hAnsiTheme="minorHAnsi"/>
                <w:b/>
                <w:sz w:val="20"/>
                <w:szCs w:val="20"/>
              </w:rPr>
            </w:pPr>
          </w:p>
          <w:p w14:paraId="795B4C4B" w14:textId="77777777" w:rsidR="00A65FC0" w:rsidRPr="00A928D6" w:rsidRDefault="00A65FC0" w:rsidP="00894C6B">
            <w:pPr>
              <w:rPr>
                <w:rFonts w:asciiTheme="minorHAnsi" w:hAnsiTheme="minorHAnsi"/>
                <w:b/>
                <w:sz w:val="20"/>
                <w:szCs w:val="20"/>
              </w:rPr>
            </w:pPr>
          </w:p>
          <w:p w14:paraId="3E8AD507"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b.2 Are there other modalities that would be more appropriate to deliver the activities?</w:t>
            </w:r>
          </w:p>
          <w:p w14:paraId="6F1B4A14" w14:textId="77777777" w:rsidR="00A65FC0" w:rsidRPr="00A928D6" w:rsidRDefault="00A65FC0" w:rsidP="00894C6B">
            <w:pPr>
              <w:rPr>
                <w:rFonts w:asciiTheme="minorHAnsi" w:hAnsiTheme="minorHAnsi"/>
                <w:b/>
                <w:sz w:val="20"/>
                <w:szCs w:val="20"/>
              </w:rPr>
            </w:pPr>
          </w:p>
          <w:p w14:paraId="04F5C79F" w14:textId="77777777" w:rsidR="00A65FC0" w:rsidRPr="00A928D6" w:rsidRDefault="00A65FC0" w:rsidP="00894C6B">
            <w:pPr>
              <w:rPr>
                <w:rFonts w:asciiTheme="minorHAnsi" w:hAnsiTheme="minorHAnsi"/>
                <w:b/>
                <w:sz w:val="20"/>
                <w:szCs w:val="20"/>
              </w:rPr>
            </w:pPr>
          </w:p>
          <w:p w14:paraId="63F7D708"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b.3 The current implementation </w:t>
            </w:r>
            <w:r w:rsidRPr="00A928D6">
              <w:rPr>
                <w:rFonts w:asciiTheme="minorHAnsi" w:hAnsiTheme="minorHAnsi"/>
                <w:b/>
                <w:sz w:val="20"/>
                <w:szCs w:val="20"/>
              </w:rPr>
              <w:lastRenderedPageBreak/>
              <w:t>modalities are directly engaging partners and through multilateral organizations.  What are the benefits and costs of DFAT with these modalities rather than working through other modalities, such as managing contractor?</w:t>
            </w:r>
          </w:p>
          <w:p w14:paraId="3601378E" w14:textId="77777777" w:rsidR="00A65FC0" w:rsidRPr="00A928D6" w:rsidRDefault="00A65FC0" w:rsidP="00894C6B">
            <w:pPr>
              <w:rPr>
                <w:rFonts w:asciiTheme="minorHAnsi" w:hAnsiTheme="minorHAnsi"/>
                <w:b/>
                <w:sz w:val="20"/>
                <w:szCs w:val="20"/>
              </w:rPr>
            </w:pPr>
          </w:p>
        </w:tc>
        <w:tc>
          <w:tcPr>
            <w:tcW w:w="2602" w:type="dxa"/>
            <w:tcBorders>
              <w:top w:val="single" w:sz="4" w:space="0" w:color="auto"/>
              <w:left w:val="single" w:sz="4" w:space="0" w:color="auto"/>
              <w:bottom w:val="single" w:sz="4" w:space="0" w:color="auto"/>
              <w:right w:val="single" w:sz="4" w:space="0" w:color="auto"/>
            </w:tcBorders>
          </w:tcPr>
          <w:p w14:paraId="67BD20C5" w14:textId="77777777" w:rsidR="00A65FC0" w:rsidRPr="00A928D6" w:rsidRDefault="00A65FC0" w:rsidP="00894C6B">
            <w:pPr>
              <w:rPr>
                <w:rFonts w:asciiTheme="minorHAnsi" w:hAnsiTheme="minorHAnsi"/>
                <w:b/>
                <w:sz w:val="20"/>
                <w:szCs w:val="20"/>
              </w:rPr>
            </w:pPr>
          </w:p>
          <w:p w14:paraId="5D9F0BC4"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attention given by project proponent on PVE, assisting in Marawi reconstruction (a possible trigger of future conflict), and addressing land conflict is a highly </w:t>
            </w:r>
            <w:r w:rsidRPr="00A928D6">
              <w:rPr>
                <w:rFonts w:asciiTheme="minorHAnsi" w:hAnsiTheme="minorHAnsi"/>
                <w:bCs/>
                <w:sz w:val="20"/>
                <w:szCs w:val="20"/>
              </w:rPr>
              <w:lastRenderedPageBreak/>
              <w:t xml:space="preserve">judicious of resources, both time and money. </w:t>
            </w:r>
          </w:p>
          <w:p w14:paraId="3993551D" w14:textId="77777777" w:rsidR="00A65FC0" w:rsidRPr="00A928D6" w:rsidRDefault="00A65FC0" w:rsidP="00894C6B">
            <w:pPr>
              <w:rPr>
                <w:rFonts w:asciiTheme="minorHAnsi" w:hAnsiTheme="minorHAnsi"/>
                <w:bCs/>
                <w:sz w:val="20"/>
                <w:szCs w:val="20"/>
              </w:rPr>
            </w:pPr>
          </w:p>
          <w:p w14:paraId="1F772AEC" w14:textId="77777777" w:rsidR="00DB7675" w:rsidRPr="00A928D6" w:rsidRDefault="00DB7675" w:rsidP="00894C6B">
            <w:pPr>
              <w:rPr>
                <w:rFonts w:asciiTheme="minorHAnsi" w:hAnsiTheme="minorHAnsi"/>
                <w:bCs/>
                <w:sz w:val="20"/>
                <w:szCs w:val="20"/>
              </w:rPr>
            </w:pPr>
          </w:p>
          <w:p w14:paraId="654652E3" w14:textId="77777777" w:rsidR="00A65FC0" w:rsidRPr="00A928D6" w:rsidRDefault="00A65FC0" w:rsidP="00894C6B">
            <w:pPr>
              <w:rPr>
                <w:rFonts w:asciiTheme="minorHAnsi" w:hAnsiTheme="minorHAnsi"/>
                <w:bCs/>
                <w:sz w:val="20"/>
                <w:szCs w:val="20"/>
              </w:rPr>
            </w:pPr>
          </w:p>
          <w:p w14:paraId="55E6AD66" w14:textId="60E57FE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Project </w:t>
            </w:r>
            <w:proofErr w:type="gramStart"/>
            <w:r w:rsidRPr="00A928D6">
              <w:rPr>
                <w:rFonts w:asciiTheme="minorHAnsi" w:hAnsiTheme="minorHAnsi"/>
                <w:bCs/>
                <w:sz w:val="20"/>
                <w:szCs w:val="20"/>
              </w:rPr>
              <w:t>proponent  is</w:t>
            </w:r>
            <w:proofErr w:type="gramEnd"/>
            <w:r w:rsidRPr="00A928D6">
              <w:rPr>
                <w:rFonts w:asciiTheme="minorHAnsi" w:hAnsiTheme="minorHAnsi"/>
                <w:bCs/>
                <w:sz w:val="20"/>
                <w:szCs w:val="20"/>
              </w:rPr>
              <w:t xml:space="preserve"> able to diligently monitor delivery of outputs and budget expenditures.</w:t>
            </w:r>
          </w:p>
          <w:p w14:paraId="0D970138" w14:textId="77777777" w:rsidR="00A65FC0" w:rsidRPr="00A928D6" w:rsidRDefault="00A65FC0" w:rsidP="00894C6B">
            <w:pPr>
              <w:rPr>
                <w:rFonts w:asciiTheme="minorHAnsi" w:hAnsiTheme="minorHAnsi"/>
                <w:bCs/>
                <w:sz w:val="20"/>
                <w:szCs w:val="20"/>
              </w:rPr>
            </w:pPr>
          </w:p>
          <w:p w14:paraId="751668AE" w14:textId="77777777" w:rsidR="00A65FC0" w:rsidRPr="00A928D6" w:rsidRDefault="00A65FC0" w:rsidP="00894C6B">
            <w:pPr>
              <w:rPr>
                <w:rFonts w:asciiTheme="minorHAnsi" w:hAnsiTheme="minorHAnsi"/>
                <w:bCs/>
                <w:sz w:val="20"/>
                <w:szCs w:val="20"/>
              </w:rPr>
            </w:pPr>
          </w:p>
          <w:p w14:paraId="77BAC2E9"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IA’s comparative strength is its research capacity mainly through its Conflict Monitoring Project and its ability to share its analytical insights to key stakeholders in the peace process.  </w:t>
            </w:r>
          </w:p>
          <w:p w14:paraId="52D44D78" w14:textId="77777777" w:rsidR="00A65FC0" w:rsidRPr="00A928D6" w:rsidRDefault="00A65FC0" w:rsidP="00894C6B">
            <w:pPr>
              <w:rPr>
                <w:rFonts w:asciiTheme="minorHAnsi" w:hAnsiTheme="minorHAnsi"/>
                <w:bCs/>
                <w:sz w:val="20"/>
                <w:szCs w:val="20"/>
              </w:rPr>
            </w:pPr>
          </w:p>
          <w:p w14:paraId="35ACD2E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It enables DFAT to access various experts from different organizations </w:t>
            </w:r>
            <w:r w:rsidRPr="00A928D6">
              <w:rPr>
                <w:rFonts w:asciiTheme="minorHAnsi" w:hAnsiTheme="minorHAnsi"/>
                <w:bCs/>
                <w:sz w:val="20"/>
                <w:szCs w:val="20"/>
              </w:rPr>
              <w:lastRenderedPageBreak/>
              <w:t xml:space="preserve">which cannot be easily done if there is a single contractor.  It affords DFAT greater flexibility in addressing problems, some of which were not anticipated in the original project proposals submitted to it by project proponent. </w:t>
            </w:r>
          </w:p>
        </w:tc>
        <w:tc>
          <w:tcPr>
            <w:tcW w:w="2855" w:type="dxa"/>
            <w:tcBorders>
              <w:top w:val="single" w:sz="4" w:space="0" w:color="auto"/>
              <w:left w:val="single" w:sz="4" w:space="0" w:color="auto"/>
              <w:bottom w:val="single" w:sz="4" w:space="0" w:color="auto"/>
              <w:right w:val="single" w:sz="4" w:space="0" w:color="auto"/>
            </w:tcBorders>
          </w:tcPr>
          <w:p w14:paraId="4224C23D" w14:textId="77777777" w:rsidR="00A65FC0" w:rsidRPr="00A928D6" w:rsidRDefault="00A65FC0" w:rsidP="00894C6B">
            <w:pPr>
              <w:rPr>
                <w:rFonts w:asciiTheme="minorHAnsi" w:hAnsiTheme="minorHAnsi"/>
                <w:b/>
                <w:sz w:val="20"/>
                <w:szCs w:val="20"/>
              </w:rPr>
            </w:pPr>
          </w:p>
          <w:p w14:paraId="173C667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Given the stage of the peace process then when project activities were in full swing, it was among the best use of Australia and partner’s time resources.  There was critical need for consensus building, </w:t>
            </w:r>
            <w:r w:rsidRPr="00A928D6">
              <w:rPr>
                <w:rFonts w:asciiTheme="minorHAnsi" w:hAnsiTheme="minorHAnsi"/>
                <w:bCs/>
                <w:sz w:val="20"/>
                <w:szCs w:val="20"/>
              </w:rPr>
              <w:lastRenderedPageBreak/>
              <w:t>dialogues and massive information dissemination about the BOL and its implications on the peace process and the Bangsamoro governance.</w:t>
            </w:r>
          </w:p>
          <w:p w14:paraId="6C5A4427" w14:textId="77777777" w:rsidR="00A65FC0" w:rsidRPr="00A928D6" w:rsidRDefault="00A65FC0" w:rsidP="00894C6B">
            <w:pPr>
              <w:rPr>
                <w:rFonts w:asciiTheme="minorHAnsi" w:hAnsiTheme="minorHAnsi"/>
                <w:bCs/>
                <w:sz w:val="20"/>
                <w:szCs w:val="20"/>
              </w:rPr>
            </w:pPr>
          </w:p>
          <w:p w14:paraId="5DF5816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There was conscious effort on the part of project proponent to monitor progress made, whether they deliver outputs expected from the project and kept their expenditures within the bounds of their allotment.</w:t>
            </w:r>
          </w:p>
          <w:p w14:paraId="15FD624D" w14:textId="77777777" w:rsidR="00A65FC0" w:rsidRPr="00A928D6" w:rsidRDefault="00A65FC0" w:rsidP="00894C6B">
            <w:pPr>
              <w:rPr>
                <w:rFonts w:asciiTheme="minorHAnsi" w:hAnsiTheme="minorHAnsi"/>
                <w:bCs/>
                <w:sz w:val="20"/>
                <w:szCs w:val="20"/>
              </w:rPr>
            </w:pPr>
          </w:p>
          <w:p w14:paraId="34B0DDB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Conducting and sponsoring dialogues among key players in the peace process is a comparative advantage of IAG given that it is a homegrown institution with solid academic track record. </w:t>
            </w:r>
          </w:p>
          <w:p w14:paraId="70A55BFB"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It affords flexibility to DFAT in addressing a </w:t>
            </w:r>
            <w:proofErr w:type="gramStart"/>
            <w:r w:rsidRPr="00A928D6">
              <w:rPr>
                <w:rFonts w:asciiTheme="minorHAnsi" w:hAnsiTheme="minorHAnsi"/>
                <w:bCs/>
                <w:sz w:val="20"/>
                <w:szCs w:val="20"/>
              </w:rPr>
              <w:t>wide-range</w:t>
            </w:r>
            <w:proofErr w:type="gramEnd"/>
            <w:r w:rsidRPr="00A928D6">
              <w:rPr>
                <w:rFonts w:asciiTheme="minorHAnsi" w:hAnsiTheme="minorHAnsi"/>
                <w:bCs/>
                <w:sz w:val="20"/>
                <w:szCs w:val="20"/>
              </w:rPr>
              <w:t xml:space="preserve"> of issues which were not originally recognized from the start and make the best use of institutions fitted for the task of undertaking the particular activity.  In the case of IAG, its “convening” power among the local key stakeholders in the peace process enables it to engage various actors of different perspectives/persuasions to discuss a most important issue in the peace process and hopefully, to arrive at a consensus.  </w:t>
            </w:r>
          </w:p>
        </w:tc>
        <w:tc>
          <w:tcPr>
            <w:tcW w:w="2113" w:type="dxa"/>
            <w:tcBorders>
              <w:top w:val="single" w:sz="4" w:space="0" w:color="auto"/>
              <w:left w:val="single" w:sz="4" w:space="0" w:color="auto"/>
              <w:bottom w:val="single" w:sz="4" w:space="0" w:color="auto"/>
              <w:right w:val="single" w:sz="4" w:space="0" w:color="auto"/>
            </w:tcBorders>
          </w:tcPr>
          <w:p w14:paraId="12C699E2" w14:textId="77777777" w:rsidR="00A65FC0" w:rsidRPr="00A928D6" w:rsidRDefault="00A65FC0" w:rsidP="00894C6B">
            <w:pPr>
              <w:rPr>
                <w:rFonts w:asciiTheme="minorHAnsi" w:hAnsiTheme="minorHAnsi"/>
                <w:b/>
                <w:sz w:val="20"/>
                <w:szCs w:val="20"/>
              </w:rPr>
            </w:pPr>
          </w:p>
          <w:p w14:paraId="680A31F7" w14:textId="5F689FDA"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Worth noting is the quality of CARE engagement reflects both the goodwill built and the competence of TAF in assisting the BARMM </w:t>
            </w:r>
            <w:r w:rsidRPr="00A928D6">
              <w:rPr>
                <w:rFonts w:asciiTheme="minorHAnsi" w:hAnsiTheme="minorHAnsi"/>
                <w:bCs/>
                <w:sz w:val="20"/>
                <w:szCs w:val="20"/>
              </w:rPr>
              <w:lastRenderedPageBreak/>
              <w:t>in transition. They work from engaging the concerned ministry, facilitating the consultation process, engaging local institution</w:t>
            </w:r>
            <w:r w:rsidR="00DB7675">
              <w:rPr>
                <w:rFonts w:asciiTheme="minorHAnsi" w:hAnsiTheme="minorHAnsi"/>
                <w:bCs/>
                <w:sz w:val="20"/>
                <w:szCs w:val="20"/>
              </w:rPr>
              <w:t>s</w:t>
            </w:r>
            <w:r w:rsidRPr="00A928D6">
              <w:rPr>
                <w:rFonts w:asciiTheme="minorHAnsi" w:hAnsiTheme="minorHAnsi"/>
                <w:bCs/>
                <w:sz w:val="20"/>
                <w:szCs w:val="20"/>
              </w:rPr>
              <w:t xml:space="preserve"> like the Institute for Bangsamoro Studies (IBS) and consultants to bring together a draft, helping the ministry navigate through the BARMM executive branch. </w:t>
            </w:r>
          </w:p>
          <w:p w14:paraId="6A2BB9C7" w14:textId="77777777" w:rsidR="00A65FC0" w:rsidRPr="00A928D6" w:rsidRDefault="00A65FC0" w:rsidP="00894C6B">
            <w:pPr>
              <w:rPr>
                <w:rFonts w:asciiTheme="minorHAnsi" w:hAnsiTheme="minorHAnsi"/>
                <w:bCs/>
                <w:sz w:val="20"/>
                <w:szCs w:val="20"/>
              </w:rPr>
            </w:pPr>
          </w:p>
          <w:p w14:paraId="2A82FA76"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TAF through this CARE project demonstrated its appreciation of the critical actors in the region. Its engagement is not </w:t>
            </w:r>
            <w:r w:rsidRPr="00A928D6">
              <w:rPr>
                <w:rFonts w:asciiTheme="minorHAnsi" w:hAnsiTheme="minorHAnsi"/>
                <w:bCs/>
                <w:sz w:val="20"/>
                <w:szCs w:val="20"/>
              </w:rPr>
              <w:lastRenderedPageBreak/>
              <w:t>limited to national and regional government, MILF and MNLF leadership, but also woman-leaders, religious and youth leaders under its objective 3</w:t>
            </w:r>
          </w:p>
          <w:p w14:paraId="7DCF3B4F" w14:textId="77777777" w:rsidR="00A65FC0" w:rsidRPr="00A928D6" w:rsidRDefault="00A65FC0" w:rsidP="00894C6B">
            <w:pPr>
              <w:rPr>
                <w:rFonts w:asciiTheme="minorHAnsi" w:hAnsiTheme="minorHAnsi"/>
                <w:bCs/>
                <w:sz w:val="20"/>
                <w:szCs w:val="20"/>
              </w:rPr>
            </w:pPr>
          </w:p>
          <w:p w14:paraId="1223399E"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6C6615DF" w14:textId="77777777" w:rsidR="00A65FC0" w:rsidRPr="00A928D6" w:rsidRDefault="00A65FC0" w:rsidP="00894C6B">
            <w:pPr>
              <w:rPr>
                <w:rFonts w:asciiTheme="minorHAnsi" w:hAnsiTheme="minorHAnsi"/>
                <w:sz w:val="20"/>
                <w:szCs w:val="20"/>
              </w:rPr>
            </w:pPr>
          </w:p>
          <w:p w14:paraId="2362040D"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DFAT Manila and HD were able to outline partnership proposal sometime in 2018 that increases utilization of Australian expertise, </w:t>
            </w:r>
            <w:r w:rsidRPr="00A928D6">
              <w:rPr>
                <w:rFonts w:asciiTheme="minorHAnsi" w:hAnsiTheme="minorHAnsi"/>
                <w:sz w:val="20"/>
                <w:szCs w:val="20"/>
              </w:rPr>
              <w:lastRenderedPageBreak/>
              <w:t>inclusion of DFAT staff in the HD’s performance processes, provides analysis relevant to Australia’s role as UNHRC membership, and on on-going political and conflict analysis and conflict-affected areas useful for DFAT programming.</w:t>
            </w:r>
          </w:p>
          <w:p w14:paraId="024219E7" w14:textId="77777777" w:rsidR="00A65FC0" w:rsidRPr="00A928D6" w:rsidRDefault="00A65FC0" w:rsidP="00894C6B">
            <w:pPr>
              <w:rPr>
                <w:rFonts w:asciiTheme="minorHAnsi" w:hAnsiTheme="minorHAnsi"/>
                <w:sz w:val="20"/>
                <w:szCs w:val="20"/>
              </w:rPr>
            </w:pPr>
          </w:p>
          <w:p w14:paraId="3CE868B8"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HD’s strength lies in its early beginning in Sulu and decades-old rapport with the MNLF, dialogic interventions with these rebel leaders and experiences in local feud mediation. </w:t>
            </w:r>
          </w:p>
          <w:p w14:paraId="3B061E5B" w14:textId="77777777" w:rsidR="00A65FC0" w:rsidRPr="00A928D6" w:rsidRDefault="00A65FC0" w:rsidP="00894C6B">
            <w:pPr>
              <w:rPr>
                <w:rFonts w:asciiTheme="minorHAnsi" w:hAnsiTheme="minorHAnsi"/>
                <w:sz w:val="20"/>
                <w:szCs w:val="20"/>
              </w:rPr>
            </w:pPr>
          </w:p>
          <w:p w14:paraId="74C76CC9" w14:textId="77777777" w:rsidR="00A65FC0" w:rsidRPr="00A928D6" w:rsidRDefault="00A65FC0" w:rsidP="00894C6B">
            <w:pPr>
              <w:rPr>
                <w:rFonts w:asciiTheme="minorHAnsi" w:hAnsiTheme="minorHAnsi"/>
                <w:sz w:val="20"/>
                <w:szCs w:val="20"/>
              </w:rPr>
            </w:pPr>
          </w:p>
          <w:p w14:paraId="21A55228" w14:textId="77777777" w:rsidR="00A65FC0" w:rsidRPr="00A928D6" w:rsidRDefault="00A65FC0" w:rsidP="00894C6B">
            <w:pPr>
              <w:ind w:firstLine="720"/>
              <w:rPr>
                <w:rFonts w:asciiTheme="minorHAnsi" w:hAnsiTheme="minorHAnsi"/>
                <w:sz w:val="20"/>
                <w:szCs w:val="20"/>
              </w:rPr>
            </w:pPr>
          </w:p>
        </w:tc>
        <w:tc>
          <w:tcPr>
            <w:tcW w:w="2113" w:type="dxa"/>
            <w:tcBorders>
              <w:top w:val="single" w:sz="4" w:space="0" w:color="auto"/>
              <w:left w:val="single" w:sz="4" w:space="0" w:color="auto"/>
              <w:bottom w:val="single" w:sz="4" w:space="0" w:color="auto"/>
              <w:right w:val="single" w:sz="4" w:space="0" w:color="auto"/>
            </w:tcBorders>
          </w:tcPr>
          <w:p w14:paraId="5E4D9B2D" w14:textId="77777777" w:rsidR="00A65FC0" w:rsidRPr="00A928D6" w:rsidRDefault="00A65FC0" w:rsidP="00894C6B">
            <w:pPr>
              <w:rPr>
                <w:rFonts w:asciiTheme="minorHAnsi" w:hAnsiTheme="minorHAnsi"/>
                <w:b/>
                <w:sz w:val="20"/>
                <w:szCs w:val="20"/>
              </w:rPr>
            </w:pPr>
          </w:p>
          <w:p w14:paraId="6246F499" w14:textId="42AB9C69"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Local women organizations, such as the </w:t>
            </w:r>
            <w:proofErr w:type="spellStart"/>
            <w:r w:rsidRPr="00A928D6">
              <w:rPr>
                <w:rFonts w:asciiTheme="minorHAnsi" w:hAnsiTheme="minorHAnsi"/>
                <w:sz w:val="20"/>
                <w:szCs w:val="20"/>
              </w:rPr>
              <w:t>Tarbilang</w:t>
            </w:r>
            <w:proofErr w:type="spellEnd"/>
            <w:r w:rsidRPr="00A928D6">
              <w:rPr>
                <w:rFonts w:asciiTheme="minorHAnsi" w:hAnsiTheme="minorHAnsi"/>
                <w:sz w:val="20"/>
                <w:szCs w:val="20"/>
              </w:rPr>
              <w:t xml:space="preserve"> Foundation for the island provinces, and Philippine </w:t>
            </w:r>
            <w:proofErr w:type="spellStart"/>
            <w:r w:rsidRPr="00A928D6">
              <w:rPr>
                <w:rFonts w:asciiTheme="minorHAnsi" w:hAnsiTheme="minorHAnsi"/>
                <w:sz w:val="20"/>
                <w:szCs w:val="20"/>
              </w:rPr>
              <w:t>Usrah</w:t>
            </w:r>
            <w:proofErr w:type="spellEnd"/>
            <w:r w:rsidRPr="00A928D6">
              <w:rPr>
                <w:rFonts w:asciiTheme="minorHAnsi" w:hAnsiTheme="minorHAnsi"/>
                <w:sz w:val="20"/>
                <w:szCs w:val="20"/>
              </w:rPr>
              <w:t xml:space="preserve"> Foundation and </w:t>
            </w:r>
            <w:r w:rsidRPr="00A928D6">
              <w:rPr>
                <w:rFonts w:asciiTheme="minorHAnsi" w:hAnsiTheme="minorHAnsi"/>
                <w:sz w:val="20"/>
                <w:szCs w:val="20"/>
              </w:rPr>
              <w:lastRenderedPageBreak/>
              <w:t xml:space="preserve">AMDF in Lanao del Sur, </w:t>
            </w:r>
            <w:proofErr w:type="spellStart"/>
            <w:r w:rsidRPr="00A928D6">
              <w:rPr>
                <w:rFonts w:asciiTheme="minorHAnsi" w:hAnsiTheme="minorHAnsi"/>
                <w:sz w:val="20"/>
                <w:szCs w:val="20"/>
              </w:rPr>
              <w:t>UnyPhil</w:t>
            </w:r>
            <w:proofErr w:type="spellEnd"/>
            <w:r w:rsidRPr="00A928D6">
              <w:rPr>
                <w:rFonts w:asciiTheme="minorHAnsi" w:hAnsiTheme="minorHAnsi"/>
                <w:sz w:val="20"/>
                <w:szCs w:val="20"/>
              </w:rPr>
              <w:t xml:space="preserve">-Women, and </w:t>
            </w:r>
            <w:proofErr w:type="spellStart"/>
            <w:r w:rsidRPr="00A928D6">
              <w:rPr>
                <w:rFonts w:asciiTheme="minorHAnsi" w:hAnsiTheme="minorHAnsi"/>
                <w:sz w:val="20"/>
                <w:szCs w:val="20"/>
              </w:rPr>
              <w:t>Ummahat</w:t>
            </w:r>
            <w:proofErr w:type="spellEnd"/>
            <w:r w:rsidRPr="00A928D6">
              <w:rPr>
                <w:rFonts w:asciiTheme="minorHAnsi" w:hAnsiTheme="minorHAnsi"/>
                <w:sz w:val="20"/>
                <w:szCs w:val="20"/>
              </w:rPr>
              <w:t xml:space="preserve"> in North Cotabato and Maguindanao, were mobilized by Oxfam and connected them with national government and civil society entities, particularly in support of the peace process, creating awareness about it and the proposed Bangsamoro basic and organic laws. Oxfam and WELD Pea</w:t>
            </w:r>
            <w:r w:rsidR="00DB7675">
              <w:rPr>
                <w:rFonts w:asciiTheme="minorHAnsi" w:hAnsiTheme="minorHAnsi"/>
                <w:sz w:val="20"/>
                <w:szCs w:val="20"/>
              </w:rPr>
              <w:t>c</w:t>
            </w:r>
            <w:r w:rsidRPr="00A928D6">
              <w:rPr>
                <w:rFonts w:asciiTheme="minorHAnsi" w:hAnsiTheme="minorHAnsi"/>
                <w:sz w:val="20"/>
                <w:szCs w:val="20"/>
              </w:rPr>
              <w:t xml:space="preserve">e local </w:t>
            </w:r>
            <w:proofErr w:type="gramStart"/>
            <w:r w:rsidRPr="00A928D6">
              <w:rPr>
                <w:rFonts w:asciiTheme="minorHAnsi" w:hAnsiTheme="minorHAnsi"/>
                <w:sz w:val="20"/>
                <w:szCs w:val="20"/>
              </w:rPr>
              <w:t>partners  leverages</w:t>
            </w:r>
            <w:proofErr w:type="gramEnd"/>
            <w:r w:rsidRPr="00A928D6">
              <w:rPr>
                <w:rFonts w:asciiTheme="minorHAnsi" w:hAnsiTheme="minorHAnsi"/>
                <w:sz w:val="20"/>
                <w:szCs w:val="20"/>
              </w:rPr>
              <w:t xml:space="preserve"> resources though the conduct of back-to-back activities, </w:t>
            </w:r>
            <w:r w:rsidRPr="00A928D6">
              <w:rPr>
                <w:rFonts w:asciiTheme="minorHAnsi" w:hAnsiTheme="minorHAnsi"/>
                <w:sz w:val="20"/>
                <w:szCs w:val="20"/>
              </w:rPr>
              <w:lastRenderedPageBreak/>
              <w:t xml:space="preserve">harmonization of its capacity building support to partners and institutional benefits emphasized during interactions with local partners and participants. </w:t>
            </w:r>
          </w:p>
          <w:p w14:paraId="572276F5" w14:textId="77777777" w:rsidR="00A65FC0" w:rsidRPr="00A928D6" w:rsidRDefault="00A65FC0" w:rsidP="00894C6B">
            <w:pPr>
              <w:rPr>
                <w:rFonts w:asciiTheme="minorHAnsi" w:hAnsiTheme="minorHAnsi"/>
                <w:sz w:val="20"/>
                <w:szCs w:val="20"/>
              </w:rPr>
            </w:pPr>
          </w:p>
          <w:p w14:paraId="603A8BFD"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While Oxfam has partnership with DFAT on the WELD Peace Project, Oxfam presence in Mindanao is wider and long-term, operating in areas outside BARMM and with other cultural groups aside from the Moro communities, and with interventions </w:t>
            </w:r>
            <w:r w:rsidRPr="00A928D6">
              <w:rPr>
                <w:rFonts w:asciiTheme="minorHAnsi" w:hAnsiTheme="minorHAnsi"/>
                <w:sz w:val="20"/>
                <w:szCs w:val="20"/>
              </w:rPr>
              <w:lastRenderedPageBreak/>
              <w:t xml:space="preserve">beyond the current project engagement, such as health and sexual rights for girls and women and humanitarian responses. </w:t>
            </w:r>
          </w:p>
        </w:tc>
      </w:tr>
      <w:tr w:rsidR="00A65FC0" w:rsidRPr="0002234D" w14:paraId="7691E99F" w14:textId="77777777" w:rsidTr="00894C6B">
        <w:tc>
          <w:tcPr>
            <w:tcW w:w="2005" w:type="dxa"/>
            <w:tcBorders>
              <w:top w:val="single" w:sz="4" w:space="0" w:color="auto"/>
              <w:left w:val="single" w:sz="4" w:space="0" w:color="auto"/>
              <w:bottom w:val="single" w:sz="4" w:space="0" w:color="auto"/>
              <w:right w:val="single" w:sz="4" w:space="0" w:color="auto"/>
            </w:tcBorders>
          </w:tcPr>
          <w:p w14:paraId="03B1F3F1"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lastRenderedPageBreak/>
              <w:t>3. Relevance</w:t>
            </w:r>
          </w:p>
        </w:tc>
        <w:tc>
          <w:tcPr>
            <w:tcW w:w="2602" w:type="dxa"/>
            <w:tcBorders>
              <w:top w:val="single" w:sz="4" w:space="0" w:color="auto"/>
              <w:left w:val="single" w:sz="4" w:space="0" w:color="auto"/>
              <w:bottom w:val="single" w:sz="4" w:space="0" w:color="auto"/>
              <w:right w:val="single" w:sz="4" w:space="0" w:color="auto"/>
            </w:tcBorders>
          </w:tcPr>
          <w:p w14:paraId="5CE804B2" w14:textId="77777777" w:rsidR="00A65FC0" w:rsidRPr="00A928D6" w:rsidRDefault="00A65FC0" w:rsidP="00894C6B">
            <w:pPr>
              <w:rPr>
                <w:rFonts w:asciiTheme="minorHAnsi" w:hAnsiTheme="minorHAnsi"/>
                <w:b/>
                <w:sz w:val="20"/>
                <w:szCs w:val="20"/>
              </w:rPr>
            </w:pPr>
          </w:p>
        </w:tc>
        <w:tc>
          <w:tcPr>
            <w:tcW w:w="2855" w:type="dxa"/>
            <w:tcBorders>
              <w:top w:val="single" w:sz="4" w:space="0" w:color="auto"/>
              <w:left w:val="single" w:sz="4" w:space="0" w:color="auto"/>
              <w:bottom w:val="single" w:sz="4" w:space="0" w:color="auto"/>
              <w:right w:val="single" w:sz="4" w:space="0" w:color="auto"/>
            </w:tcBorders>
          </w:tcPr>
          <w:p w14:paraId="4C08F795"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0F0EDD95"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4857576C"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59C1B036" w14:textId="77777777" w:rsidR="00A65FC0" w:rsidRPr="00A928D6" w:rsidRDefault="00A65FC0" w:rsidP="00894C6B">
            <w:pPr>
              <w:rPr>
                <w:rFonts w:asciiTheme="minorHAnsi" w:hAnsiTheme="minorHAnsi"/>
                <w:b/>
                <w:sz w:val="20"/>
                <w:szCs w:val="20"/>
              </w:rPr>
            </w:pPr>
          </w:p>
        </w:tc>
      </w:tr>
      <w:tr w:rsidR="00A65FC0" w:rsidRPr="0002234D" w14:paraId="13E12257" w14:textId="77777777" w:rsidTr="00894C6B">
        <w:tc>
          <w:tcPr>
            <w:tcW w:w="2005" w:type="dxa"/>
            <w:tcBorders>
              <w:top w:val="single" w:sz="4" w:space="0" w:color="auto"/>
              <w:left w:val="single" w:sz="4" w:space="0" w:color="auto"/>
              <w:bottom w:val="single" w:sz="4" w:space="0" w:color="auto"/>
              <w:right w:val="single" w:sz="4" w:space="0" w:color="auto"/>
            </w:tcBorders>
          </w:tcPr>
          <w:p w14:paraId="56BC6914" w14:textId="77777777" w:rsidR="00A65FC0" w:rsidRPr="00A928D6" w:rsidRDefault="00A65FC0" w:rsidP="00894C6B">
            <w:pPr>
              <w:rPr>
                <w:rFonts w:asciiTheme="minorHAnsi" w:hAnsiTheme="minorHAnsi"/>
                <w:b/>
                <w:sz w:val="20"/>
                <w:szCs w:val="20"/>
              </w:rPr>
            </w:pPr>
          </w:p>
          <w:p w14:paraId="151808E6"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  Is this still the right thing to do?</w:t>
            </w:r>
          </w:p>
          <w:p w14:paraId="561A10DB" w14:textId="77777777" w:rsidR="00A65FC0" w:rsidRPr="00A928D6" w:rsidRDefault="00A65FC0" w:rsidP="00894C6B">
            <w:pPr>
              <w:rPr>
                <w:rFonts w:asciiTheme="minorHAnsi" w:hAnsiTheme="minorHAnsi"/>
                <w:b/>
                <w:sz w:val="20"/>
                <w:szCs w:val="20"/>
              </w:rPr>
            </w:pPr>
          </w:p>
          <w:p w14:paraId="41058F54" w14:textId="77777777" w:rsidR="00A65FC0" w:rsidRPr="00A928D6" w:rsidRDefault="00A65FC0" w:rsidP="00894C6B">
            <w:pPr>
              <w:rPr>
                <w:rFonts w:asciiTheme="minorHAnsi" w:hAnsiTheme="minorHAnsi"/>
                <w:b/>
                <w:sz w:val="20"/>
                <w:szCs w:val="20"/>
              </w:rPr>
            </w:pPr>
          </w:p>
          <w:p w14:paraId="0D586754" w14:textId="77777777" w:rsidR="00A65FC0" w:rsidRPr="00A928D6" w:rsidRDefault="00A65FC0" w:rsidP="00894C6B">
            <w:pPr>
              <w:rPr>
                <w:rFonts w:asciiTheme="minorHAnsi" w:hAnsiTheme="minorHAnsi"/>
                <w:b/>
                <w:sz w:val="20"/>
                <w:szCs w:val="20"/>
              </w:rPr>
            </w:pPr>
          </w:p>
          <w:p w14:paraId="1380C4E1" w14:textId="77777777" w:rsidR="00A65FC0" w:rsidRPr="00A928D6" w:rsidRDefault="00A65FC0" w:rsidP="00894C6B">
            <w:pPr>
              <w:rPr>
                <w:rFonts w:asciiTheme="minorHAnsi" w:hAnsiTheme="minorHAnsi"/>
                <w:b/>
                <w:sz w:val="20"/>
                <w:szCs w:val="20"/>
              </w:rPr>
            </w:pPr>
          </w:p>
          <w:p w14:paraId="4E0DAA87" w14:textId="77777777" w:rsidR="00A65FC0" w:rsidRPr="00A928D6" w:rsidRDefault="00A65FC0" w:rsidP="00894C6B">
            <w:pPr>
              <w:rPr>
                <w:rFonts w:asciiTheme="minorHAnsi" w:hAnsiTheme="minorHAnsi"/>
                <w:b/>
                <w:sz w:val="20"/>
                <w:szCs w:val="20"/>
              </w:rPr>
            </w:pPr>
          </w:p>
          <w:p w14:paraId="7D53DF1F" w14:textId="77777777" w:rsidR="00A65FC0" w:rsidRPr="00A928D6" w:rsidRDefault="00A65FC0" w:rsidP="00894C6B">
            <w:pPr>
              <w:rPr>
                <w:rFonts w:asciiTheme="minorHAnsi" w:hAnsiTheme="minorHAnsi"/>
                <w:b/>
                <w:sz w:val="20"/>
                <w:szCs w:val="20"/>
              </w:rPr>
            </w:pPr>
          </w:p>
          <w:p w14:paraId="15A39F8D"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c.1 How well have current programs adapted in response to the change in the context?  Are there programs/partners </w:t>
            </w:r>
            <w:r w:rsidRPr="00A928D6">
              <w:rPr>
                <w:rFonts w:asciiTheme="minorHAnsi" w:hAnsiTheme="minorHAnsi"/>
                <w:b/>
                <w:sz w:val="20"/>
                <w:szCs w:val="20"/>
              </w:rPr>
              <w:lastRenderedPageBreak/>
              <w:t>that are no longer relevant?</w:t>
            </w:r>
          </w:p>
          <w:p w14:paraId="412C9E4B" w14:textId="77777777" w:rsidR="00A65FC0" w:rsidRPr="00A928D6" w:rsidRDefault="00A65FC0" w:rsidP="00894C6B">
            <w:pPr>
              <w:rPr>
                <w:rFonts w:asciiTheme="minorHAnsi" w:hAnsiTheme="minorHAnsi"/>
                <w:b/>
                <w:sz w:val="20"/>
                <w:szCs w:val="20"/>
              </w:rPr>
            </w:pPr>
          </w:p>
          <w:p w14:paraId="67C17451" w14:textId="77777777" w:rsidR="00A65FC0" w:rsidRPr="00A928D6" w:rsidRDefault="00A65FC0" w:rsidP="00894C6B">
            <w:pPr>
              <w:rPr>
                <w:rFonts w:asciiTheme="minorHAnsi" w:hAnsiTheme="minorHAnsi"/>
                <w:b/>
                <w:sz w:val="20"/>
                <w:szCs w:val="20"/>
              </w:rPr>
            </w:pPr>
          </w:p>
          <w:p w14:paraId="039835CD" w14:textId="77777777" w:rsidR="00A65FC0" w:rsidRPr="00A928D6" w:rsidRDefault="00A65FC0" w:rsidP="00894C6B">
            <w:pPr>
              <w:rPr>
                <w:rFonts w:asciiTheme="minorHAnsi" w:hAnsiTheme="minorHAnsi"/>
                <w:b/>
                <w:sz w:val="20"/>
                <w:szCs w:val="20"/>
              </w:rPr>
            </w:pPr>
          </w:p>
          <w:p w14:paraId="01549BF2"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c.2 How well aligned or integrated is the program with the broader range of new initiatives being implemented and planned in BARMM?</w:t>
            </w:r>
          </w:p>
          <w:p w14:paraId="25EF354F" w14:textId="77777777" w:rsidR="00A65FC0" w:rsidRPr="00A928D6" w:rsidRDefault="00A65FC0" w:rsidP="00894C6B">
            <w:pPr>
              <w:rPr>
                <w:rFonts w:asciiTheme="minorHAnsi" w:hAnsiTheme="minorHAnsi"/>
                <w:b/>
                <w:sz w:val="20"/>
                <w:szCs w:val="20"/>
              </w:rPr>
            </w:pPr>
          </w:p>
          <w:p w14:paraId="64DCD97C" w14:textId="77777777" w:rsidR="00A65FC0" w:rsidRPr="00A928D6" w:rsidRDefault="00A65FC0" w:rsidP="00894C6B">
            <w:pPr>
              <w:rPr>
                <w:rFonts w:asciiTheme="minorHAnsi" w:hAnsiTheme="minorHAnsi"/>
                <w:b/>
                <w:sz w:val="20"/>
                <w:szCs w:val="20"/>
              </w:rPr>
            </w:pPr>
          </w:p>
          <w:p w14:paraId="079061D3"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c.3 What new initiatives/objectives/</w:t>
            </w:r>
          </w:p>
          <w:p w14:paraId="49058982"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partners are needed to support the transition of the BARMM govt and ongoing governance in the BARMM?</w:t>
            </w:r>
          </w:p>
          <w:p w14:paraId="7479205B" w14:textId="77777777" w:rsidR="00A65FC0" w:rsidRPr="00A928D6" w:rsidRDefault="00A65FC0" w:rsidP="00894C6B">
            <w:pPr>
              <w:rPr>
                <w:rFonts w:asciiTheme="minorHAnsi" w:hAnsiTheme="minorHAnsi"/>
                <w:b/>
                <w:sz w:val="20"/>
                <w:szCs w:val="20"/>
              </w:rPr>
            </w:pPr>
          </w:p>
          <w:p w14:paraId="65DB44FB" w14:textId="77777777" w:rsidR="00A65FC0" w:rsidRPr="00A928D6" w:rsidRDefault="00A65FC0" w:rsidP="00894C6B">
            <w:pPr>
              <w:rPr>
                <w:rFonts w:asciiTheme="minorHAnsi" w:hAnsiTheme="minorHAnsi"/>
                <w:b/>
                <w:sz w:val="20"/>
                <w:szCs w:val="20"/>
              </w:rPr>
            </w:pPr>
          </w:p>
          <w:p w14:paraId="27F25030" w14:textId="77777777" w:rsidR="00A65FC0" w:rsidRPr="00A928D6" w:rsidRDefault="00A65FC0" w:rsidP="00894C6B">
            <w:pPr>
              <w:rPr>
                <w:rFonts w:asciiTheme="minorHAnsi" w:hAnsiTheme="minorHAnsi"/>
                <w:b/>
                <w:sz w:val="20"/>
                <w:szCs w:val="20"/>
              </w:rPr>
            </w:pPr>
          </w:p>
          <w:p w14:paraId="15FB16B5" w14:textId="77777777" w:rsidR="00A65FC0" w:rsidRPr="00A928D6" w:rsidRDefault="00A65FC0" w:rsidP="00894C6B">
            <w:pPr>
              <w:rPr>
                <w:rFonts w:asciiTheme="minorHAnsi" w:hAnsiTheme="minorHAnsi"/>
                <w:b/>
                <w:sz w:val="20"/>
                <w:szCs w:val="20"/>
              </w:rPr>
            </w:pPr>
          </w:p>
          <w:p w14:paraId="5CA2EC5A" w14:textId="77777777" w:rsidR="00A65FC0" w:rsidRPr="00A928D6" w:rsidRDefault="00A65FC0" w:rsidP="00894C6B">
            <w:pPr>
              <w:rPr>
                <w:rFonts w:asciiTheme="minorHAnsi" w:hAnsiTheme="minorHAnsi"/>
                <w:b/>
                <w:sz w:val="20"/>
                <w:szCs w:val="20"/>
              </w:rPr>
            </w:pPr>
          </w:p>
          <w:p w14:paraId="71522749" w14:textId="77777777" w:rsidR="00A65FC0" w:rsidRPr="00A928D6" w:rsidRDefault="00A65FC0" w:rsidP="00894C6B">
            <w:pPr>
              <w:rPr>
                <w:rFonts w:asciiTheme="minorHAnsi" w:hAnsiTheme="minorHAnsi"/>
                <w:b/>
                <w:sz w:val="20"/>
                <w:szCs w:val="20"/>
              </w:rPr>
            </w:pPr>
          </w:p>
          <w:p w14:paraId="77BA1F9D" w14:textId="77777777" w:rsidR="00A65FC0" w:rsidRPr="00A928D6" w:rsidRDefault="00A65FC0" w:rsidP="00894C6B">
            <w:pPr>
              <w:rPr>
                <w:rFonts w:asciiTheme="minorHAnsi" w:hAnsiTheme="minorHAnsi"/>
                <w:b/>
                <w:sz w:val="20"/>
                <w:szCs w:val="20"/>
              </w:rPr>
            </w:pPr>
          </w:p>
          <w:p w14:paraId="3A5BD33B"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c.4 To what extent do the programs support regional security and economic growth?</w:t>
            </w:r>
          </w:p>
          <w:p w14:paraId="6FC34863" w14:textId="77777777" w:rsidR="00A65FC0" w:rsidRPr="00A928D6" w:rsidRDefault="00A65FC0" w:rsidP="00894C6B">
            <w:pPr>
              <w:rPr>
                <w:rFonts w:asciiTheme="minorHAnsi" w:hAnsiTheme="minorHAnsi"/>
                <w:b/>
                <w:sz w:val="20"/>
                <w:szCs w:val="20"/>
              </w:rPr>
            </w:pPr>
          </w:p>
          <w:p w14:paraId="31BCE285" w14:textId="77777777" w:rsidR="00A65FC0" w:rsidRPr="00A928D6" w:rsidRDefault="00A65FC0" w:rsidP="00894C6B">
            <w:pPr>
              <w:rPr>
                <w:rFonts w:asciiTheme="minorHAnsi" w:hAnsiTheme="minorHAnsi"/>
                <w:b/>
                <w:sz w:val="20"/>
                <w:szCs w:val="20"/>
              </w:rPr>
            </w:pPr>
          </w:p>
          <w:p w14:paraId="364AD92A" w14:textId="77777777" w:rsidR="00A65FC0" w:rsidRPr="00A928D6" w:rsidRDefault="00A65FC0" w:rsidP="00894C6B">
            <w:pPr>
              <w:rPr>
                <w:rFonts w:asciiTheme="minorHAnsi" w:hAnsiTheme="minorHAnsi"/>
                <w:b/>
                <w:sz w:val="20"/>
                <w:szCs w:val="20"/>
              </w:rPr>
            </w:pPr>
          </w:p>
          <w:p w14:paraId="7079F9B8" w14:textId="77777777" w:rsidR="00A65FC0" w:rsidRPr="00A928D6" w:rsidRDefault="00A65FC0" w:rsidP="00894C6B">
            <w:pPr>
              <w:rPr>
                <w:rFonts w:asciiTheme="minorHAnsi" w:hAnsiTheme="minorHAnsi"/>
                <w:b/>
                <w:sz w:val="20"/>
                <w:szCs w:val="20"/>
              </w:rPr>
            </w:pPr>
          </w:p>
          <w:p w14:paraId="126E0367" w14:textId="77777777" w:rsidR="00A65FC0" w:rsidRPr="00A928D6" w:rsidRDefault="00A65FC0" w:rsidP="00894C6B">
            <w:pPr>
              <w:rPr>
                <w:rFonts w:asciiTheme="minorHAnsi" w:hAnsiTheme="minorHAnsi"/>
                <w:b/>
                <w:sz w:val="20"/>
                <w:szCs w:val="20"/>
              </w:rPr>
            </w:pPr>
          </w:p>
          <w:p w14:paraId="21854E20" w14:textId="77777777" w:rsidR="00A65FC0" w:rsidRPr="00A928D6" w:rsidRDefault="00A65FC0" w:rsidP="00894C6B">
            <w:pPr>
              <w:rPr>
                <w:rFonts w:asciiTheme="minorHAnsi" w:hAnsiTheme="minorHAnsi"/>
                <w:b/>
                <w:sz w:val="20"/>
                <w:szCs w:val="20"/>
              </w:rPr>
            </w:pPr>
          </w:p>
          <w:p w14:paraId="1212F4F3" w14:textId="77777777" w:rsidR="00A65FC0" w:rsidRPr="00A928D6" w:rsidRDefault="00A65FC0" w:rsidP="00894C6B">
            <w:pPr>
              <w:rPr>
                <w:rFonts w:asciiTheme="minorHAnsi" w:hAnsiTheme="minorHAnsi"/>
                <w:b/>
                <w:sz w:val="20"/>
                <w:szCs w:val="20"/>
              </w:rPr>
            </w:pPr>
          </w:p>
          <w:p w14:paraId="7C4BC126" w14:textId="77777777" w:rsidR="00A65FC0" w:rsidRPr="00A928D6" w:rsidRDefault="00A65FC0" w:rsidP="00894C6B">
            <w:pPr>
              <w:rPr>
                <w:rFonts w:asciiTheme="minorHAnsi" w:hAnsiTheme="minorHAnsi"/>
                <w:b/>
                <w:sz w:val="20"/>
                <w:szCs w:val="20"/>
              </w:rPr>
            </w:pPr>
          </w:p>
          <w:p w14:paraId="013DDBD3" w14:textId="77777777" w:rsidR="00A65FC0" w:rsidRPr="00A928D6" w:rsidRDefault="00A65FC0" w:rsidP="00894C6B">
            <w:pPr>
              <w:rPr>
                <w:rFonts w:asciiTheme="minorHAnsi" w:hAnsiTheme="minorHAnsi"/>
                <w:b/>
                <w:sz w:val="20"/>
                <w:szCs w:val="20"/>
              </w:rPr>
            </w:pPr>
          </w:p>
          <w:p w14:paraId="3D26DB6F"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c.5 What future activities should be considered post the political transition?</w:t>
            </w:r>
          </w:p>
          <w:p w14:paraId="16BD0A7E" w14:textId="77777777" w:rsidR="00A65FC0" w:rsidRPr="00A928D6" w:rsidRDefault="00A65FC0" w:rsidP="00894C6B">
            <w:pPr>
              <w:rPr>
                <w:rFonts w:asciiTheme="minorHAnsi" w:hAnsiTheme="minorHAnsi"/>
                <w:b/>
                <w:sz w:val="20"/>
                <w:szCs w:val="20"/>
              </w:rPr>
            </w:pPr>
          </w:p>
          <w:p w14:paraId="6D48488E" w14:textId="77777777" w:rsidR="00A65FC0" w:rsidRPr="00A928D6" w:rsidRDefault="00A65FC0" w:rsidP="00894C6B">
            <w:pPr>
              <w:rPr>
                <w:rFonts w:asciiTheme="minorHAnsi" w:hAnsiTheme="minorHAnsi"/>
                <w:b/>
                <w:sz w:val="20"/>
                <w:szCs w:val="20"/>
              </w:rPr>
            </w:pPr>
          </w:p>
          <w:p w14:paraId="0914660D" w14:textId="77777777" w:rsidR="00A65FC0" w:rsidRPr="00A928D6" w:rsidRDefault="00A65FC0" w:rsidP="00894C6B">
            <w:pPr>
              <w:rPr>
                <w:rFonts w:asciiTheme="minorHAnsi" w:hAnsiTheme="minorHAnsi"/>
                <w:b/>
                <w:sz w:val="20"/>
                <w:szCs w:val="20"/>
              </w:rPr>
            </w:pPr>
          </w:p>
          <w:p w14:paraId="6E9BBAF0" w14:textId="77777777" w:rsidR="00A65FC0" w:rsidRPr="00A928D6" w:rsidRDefault="00A65FC0" w:rsidP="00894C6B">
            <w:pPr>
              <w:rPr>
                <w:rFonts w:asciiTheme="minorHAnsi" w:hAnsiTheme="minorHAnsi"/>
                <w:b/>
                <w:sz w:val="20"/>
                <w:szCs w:val="20"/>
              </w:rPr>
            </w:pPr>
          </w:p>
          <w:p w14:paraId="675F8E8F" w14:textId="77777777" w:rsidR="00A65FC0" w:rsidRPr="00A928D6" w:rsidRDefault="00A65FC0" w:rsidP="00894C6B">
            <w:pPr>
              <w:rPr>
                <w:rFonts w:asciiTheme="minorHAnsi" w:hAnsiTheme="minorHAnsi"/>
                <w:b/>
                <w:sz w:val="20"/>
                <w:szCs w:val="20"/>
              </w:rPr>
            </w:pPr>
          </w:p>
          <w:p w14:paraId="57ECEA13"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c.6 How well are the current programs responding to the different kinds of conflict in the region - violent extremism, community/</w:t>
            </w:r>
          </w:p>
          <w:p w14:paraId="36DCCAD9"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clan based, and political? Are we targeting the correct drivers of these conflicts?</w:t>
            </w:r>
          </w:p>
          <w:p w14:paraId="4F5EA88B" w14:textId="77777777" w:rsidR="00A65FC0" w:rsidRPr="00A928D6" w:rsidRDefault="00A65FC0" w:rsidP="00894C6B">
            <w:pPr>
              <w:rPr>
                <w:rFonts w:asciiTheme="minorHAnsi" w:hAnsiTheme="minorHAnsi"/>
                <w:b/>
                <w:sz w:val="20"/>
                <w:szCs w:val="20"/>
              </w:rPr>
            </w:pPr>
          </w:p>
        </w:tc>
        <w:tc>
          <w:tcPr>
            <w:tcW w:w="2602" w:type="dxa"/>
            <w:tcBorders>
              <w:top w:val="single" w:sz="4" w:space="0" w:color="auto"/>
              <w:left w:val="single" w:sz="4" w:space="0" w:color="auto"/>
              <w:bottom w:val="single" w:sz="4" w:space="0" w:color="auto"/>
              <w:right w:val="single" w:sz="4" w:space="0" w:color="auto"/>
            </w:tcBorders>
          </w:tcPr>
          <w:p w14:paraId="7D74C1CC"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Due to continuing threat of VE groups, activities on C/PVE must form part of the priority agenda in attaining peace and stability in the Bangsamoro region. </w:t>
            </w:r>
          </w:p>
          <w:p w14:paraId="4168CA2D" w14:textId="77777777" w:rsidR="00A65FC0" w:rsidRPr="00A928D6" w:rsidRDefault="00A65FC0" w:rsidP="00894C6B">
            <w:pPr>
              <w:rPr>
                <w:rFonts w:asciiTheme="minorHAnsi" w:hAnsiTheme="minorHAnsi"/>
                <w:bCs/>
                <w:sz w:val="20"/>
                <w:szCs w:val="20"/>
              </w:rPr>
            </w:pPr>
          </w:p>
          <w:p w14:paraId="6C20FD42" w14:textId="77777777" w:rsidR="00A65FC0" w:rsidRPr="00A928D6" w:rsidRDefault="00A65FC0" w:rsidP="00894C6B">
            <w:pPr>
              <w:rPr>
                <w:rFonts w:asciiTheme="minorHAnsi" w:hAnsiTheme="minorHAnsi"/>
                <w:bCs/>
                <w:sz w:val="20"/>
                <w:szCs w:val="20"/>
              </w:rPr>
            </w:pPr>
          </w:p>
          <w:p w14:paraId="48A0AFCF" w14:textId="51CD5445"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Current projects responded in the changing political economy context in the Bangsamoro region such as the rise and challenge of VE groups, </w:t>
            </w:r>
            <w:r w:rsidRPr="00A928D6">
              <w:rPr>
                <w:rFonts w:asciiTheme="minorHAnsi" w:hAnsiTheme="minorHAnsi"/>
                <w:bCs/>
                <w:sz w:val="20"/>
                <w:szCs w:val="20"/>
              </w:rPr>
              <w:lastRenderedPageBreak/>
              <w:t xml:space="preserve">the push for a more inclusive Marawi reconstruction effort, and the critical need for the Marawi reconstruction work to push through. </w:t>
            </w:r>
            <w:r w:rsidR="00DB7675">
              <w:rPr>
                <w:rFonts w:asciiTheme="minorHAnsi" w:hAnsiTheme="minorHAnsi"/>
                <w:bCs/>
                <w:sz w:val="20"/>
                <w:szCs w:val="20"/>
              </w:rPr>
              <w:t>IA’s shift to engaging local governments in using community monitoring and resource management tools is appropriate at this juncture.</w:t>
            </w:r>
            <w:r w:rsidRPr="00A928D6">
              <w:rPr>
                <w:rFonts w:asciiTheme="minorHAnsi" w:hAnsiTheme="minorHAnsi"/>
                <w:bCs/>
                <w:sz w:val="20"/>
                <w:szCs w:val="20"/>
              </w:rPr>
              <w:t xml:space="preserve"> </w:t>
            </w:r>
          </w:p>
          <w:p w14:paraId="57856227" w14:textId="77777777" w:rsidR="00A65FC0" w:rsidRPr="00A928D6" w:rsidRDefault="00A65FC0" w:rsidP="00894C6B">
            <w:pPr>
              <w:rPr>
                <w:rFonts w:asciiTheme="minorHAnsi" w:hAnsiTheme="minorHAnsi"/>
                <w:bCs/>
                <w:sz w:val="20"/>
                <w:szCs w:val="20"/>
              </w:rPr>
            </w:pPr>
          </w:p>
          <w:p w14:paraId="331356B9" w14:textId="77777777" w:rsidR="00A65FC0" w:rsidRPr="00A928D6" w:rsidRDefault="00A65FC0" w:rsidP="00894C6B">
            <w:pPr>
              <w:rPr>
                <w:rFonts w:asciiTheme="minorHAnsi" w:hAnsiTheme="minorHAnsi"/>
                <w:bCs/>
                <w:sz w:val="20"/>
                <w:szCs w:val="20"/>
              </w:rPr>
            </w:pPr>
          </w:p>
          <w:p w14:paraId="07F2C7E9"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Marawi reconstruction and addressing the challenge of VE groups are among the priority agendas that the new BARMM government is and will be addressing. </w:t>
            </w:r>
          </w:p>
          <w:p w14:paraId="07EBDAD0" w14:textId="77777777" w:rsidR="00A65FC0" w:rsidRPr="00A928D6" w:rsidRDefault="00A65FC0" w:rsidP="00894C6B">
            <w:pPr>
              <w:rPr>
                <w:rFonts w:asciiTheme="minorHAnsi" w:hAnsiTheme="minorHAnsi"/>
                <w:bCs/>
                <w:sz w:val="20"/>
                <w:szCs w:val="20"/>
              </w:rPr>
            </w:pPr>
          </w:p>
          <w:p w14:paraId="7E3614A2" w14:textId="77777777" w:rsidR="00A65FC0" w:rsidRPr="00A928D6" w:rsidRDefault="00A65FC0" w:rsidP="00894C6B">
            <w:pPr>
              <w:rPr>
                <w:rFonts w:asciiTheme="minorHAnsi" w:hAnsiTheme="minorHAnsi"/>
                <w:bCs/>
                <w:sz w:val="20"/>
                <w:szCs w:val="20"/>
              </w:rPr>
            </w:pPr>
          </w:p>
          <w:p w14:paraId="7BC27818" w14:textId="77777777" w:rsidR="00A65FC0" w:rsidRPr="00A928D6" w:rsidRDefault="00A65FC0" w:rsidP="00894C6B">
            <w:pPr>
              <w:rPr>
                <w:rFonts w:asciiTheme="minorHAnsi" w:hAnsiTheme="minorHAnsi"/>
                <w:bCs/>
                <w:sz w:val="20"/>
                <w:szCs w:val="20"/>
              </w:rPr>
            </w:pPr>
          </w:p>
          <w:p w14:paraId="6E862AA0"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There is a need for technical assistance support to the senior officers and middle level managers of BTA on how to successfully navigate the bureaucratic rules and regulations of the government in securing and releasing funds, utilizing them for development projects, monitoring progress of their development projects, properly accounting and auditing of the use of public funds, preparing feasibility studies, prioritizing activities to be funded, etc.</w:t>
            </w:r>
          </w:p>
          <w:p w14:paraId="2C1E2A59" w14:textId="77777777" w:rsidR="00A65FC0" w:rsidRPr="00A928D6" w:rsidRDefault="00A65FC0" w:rsidP="00894C6B">
            <w:pPr>
              <w:rPr>
                <w:rFonts w:asciiTheme="minorHAnsi" w:hAnsiTheme="minorHAnsi"/>
                <w:bCs/>
                <w:sz w:val="20"/>
                <w:szCs w:val="20"/>
              </w:rPr>
            </w:pPr>
          </w:p>
          <w:p w14:paraId="1C4B534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Quite strong in supporting regional security but limited effort in promoting economic growth (i.e., mainly thru MBC, BIMP-EAGA, organizing women’s coop, etc.).</w:t>
            </w:r>
          </w:p>
          <w:p w14:paraId="10C788F1" w14:textId="77777777" w:rsidR="00A65FC0" w:rsidRPr="00A928D6" w:rsidRDefault="00A65FC0" w:rsidP="00894C6B">
            <w:pPr>
              <w:rPr>
                <w:rFonts w:asciiTheme="minorHAnsi" w:hAnsiTheme="minorHAnsi"/>
                <w:bCs/>
                <w:sz w:val="20"/>
                <w:szCs w:val="20"/>
              </w:rPr>
            </w:pPr>
          </w:p>
          <w:p w14:paraId="319CDD64" w14:textId="77777777" w:rsidR="00A65FC0" w:rsidRPr="00A928D6" w:rsidRDefault="00A65FC0" w:rsidP="00894C6B">
            <w:pPr>
              <w:rPr>
                <w:rFonts w:asciiTheme="minorHAnsi" w:hAnsiTheme="minorHAnsi"/>
                <w:bCs/>
                <w:sz w:val="20"/>
                <w:szCs w:val="20"/>
              </w:rPr>
            </w:pPr>
          </w:p>
          <w:p w14:paraId="69E6204A"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Ensuring the BTA ministries effectively exercise good governance.  There is a proliferation of complaints on the lack of accomplishment in implementing development projects that will immediately benefit ordinary Bangsamoro. </w:t>
            </w:r>
          </w:p>
          <w:p w14:paraId="3C71A45B" w14:textId="77777777" w:rsidR="00A65FC0" w:rsidRPr="00A928D6" w:rsidRDefault="00A65FC0" w:rsidP="00894C6B">
            <w:pPr>
              <w:rPr>
                <w:rFonts w:asciiTheme="minorHAnsi" w:hAnsiTheme="minorHAnsi"/>
                <w:bCs/>
                <w:sz w:val="20"/>
                <w:szCs w:val="20"/>
              </w:rPr>
            </w:pPr>
          </w:p>
          <w:p w14:paraId="6EBAF8F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Projects under IA directly address VE, land-based conflict, conflict based on </w:t>
            </w:r>
            <w:r w:rsidRPr="00A928D6">
              <w:rPr>
                <w:rFonts w:asciiTheme="minorHAnsi" w:hAnsiTheme="minorHAnsi"/>
                <w:bCs/>
                <w:sz w:val="20"/>
                <w:szCs w:val="20"/>
              </w:rPr>
              <w:lastRenderedPageBreak/>
              <w:t xml:space="preserve">competition for economic opportunities, discrimination, etc. Project proponent possesses a sophisticated analytical tool in identifying drivers of conflict. </w:t>
            </w:r>
          </w:p>
        </w:tc>
        <w:tc>
          <w:tcPr>
            <w:tcW w:w="2855" w:type="dxa"/>
            <w:tcBorders>
              <w:top w:val="single" w:sz="4" w:space="0" w:color="auto"/>
              <w:left w:val="single" w:sz="4" w:space="0" w:color="auto"/>
              <w:bottom w:val="single" w:sz="4" w:space="0" w:color="auto"/>
              <w:right w:val="single" w:sz="4" w:space="0" w:color="auto"/>
            </w:tcBorders>
          </w:tcPr>
          <w:p w14:paraId="15EF227C"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The current socio-political context has significantly changed.  It is no longer building consensus and support to the ratification of BOL.  It is now ensuring that institutions created/established by virtue of BOL are now functioning effectively. </w:t>
            </w:r>
          </w:p>
          <w:p w14:paraId="120AAC6B" w14:textId="77777777" w:rsidR="00A65FC0" w:rsidRPr="00A928D6" w:rsidRDefault="00A65FC0" w:rsidP="00894C6B">
            <w:pPr>
              <w:rPr>
                <w:rFonts w:asciiTheme="minorHAnsi" w:hAnsiTheme="minorHAnsi"/>
                <w:bCs/>
                <w:sz w:val="20"/>
                <w:szCs w:val="20"/>
              </w:rPr>
            </w:pPr>
          </w:p>
          <w:p w14:paraId="3E852F48" w14:textId="77777777" w:rsidR="00A65FC0" w:rsidRPr="00A928D6" w:rsidRDefault="00A65FC0" w:rsidP="00894C6B">
            <w:pPr>
              <w:rPr>
                <w:rFonts w:asciiTheme="minorHAnsi" w:hAnsiTheme="minorHAnsi"/>
                <w:bCs/>
                <w:sz w:val="20"/>
                <w:szCs w:val="20"/>
              </w:rPr>
            </w:pPr>
          </w:p>
          <w:p w14:paraId="1673AFA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There was an attempt to install PVE measures through dialogues in Lanao del Sur </w:t>
            </w:r>
            <w:r w:rsidRPr="00A928D6">
              <w:rPr>
                <w:rFonts w:asciiTheme="minorHAnsi" w:hAnsiTheme="minorHAnsi"/>
                <w:bCs/>
                <w:sz w:val="20"/>
                <w:szCs w:val="20"/>
              </w:rPr>
              <w:lastRenderedPageBreak/>
              <w:t>and Zamboanga (with Sulu and Basilan participants).  It has downloaded Technical Working Group on Preventing and Transforming VE to UNDP.</w:t>
            </w:r>
          </w:p>
          <w:p w14:paraId="413DBB97" w14:textId="77777777" w:rsidR="00A65FC0" w:rsidRPr="00A928D6" w:rsidRDefault="00A65FC0" w:rsidP="00894C6B">
            <w:pPr>
              <w:rPr>
                <w:rFonts w:asciiTheme="minorHAnsi" w:hAnsiTheme="minorHAnsi"/>
                <w:bCs/>
                <w:sz w:val="20"/>
                <w:szCs w:val="20"/>
              </w:rPr>
            </w:pPr>
          </w:p>
          <w:p w14:paraId="78527023" w14:textId="4BC94D5B"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There is a need to build competence of project proponent on capacity building on actual governance and day to day operations of the BARMM.  This might require different skill set. </w:t>
            </w:r>
          </w:p>
          <w:p w14:paraId="0DA4D838" w14:textId="77777777" w:rsidR="00A65FC0" w:rsidRPr="00A928D6" w:rsidRDefault="00A65FC0" w:rsidP="00894C6B">
            <w:pPr>
              <w:rPr>
                <w:rFonts w:asciiTheme="minorHAnsi" w:hAnsiTheme="minorHAnsi"/>
                <w:bCs/>
                <w:sz w:val="20"/>
                <w:szCs w:val="20"/>
              </w:rPr>
            </w:pPr>
          </w:p>
          <w:p w14:paraId="0807863B" w14:textId="77777777" w:rsidR="00A65FC0" w:rsidRPr="00A928D6" w:rsidRDefault="00A65FC0" w:rsidP="00894C6B">
            <w:pPr>
              <w:rPr>
                <w:rFonts w:asciiTheme="minorHAnsi" w:hAnsiTheme="minorHAnsi"/>
                <w:bCs/>
                <w:sz w:val="20"/>
                <w:szCs w:val="20"/>
              </w:rPr>
            </w:pPr>
          </w:p>
          <w:p w14:paraId="23B54D84" w14:textId="77777777" w:rsidR="00A65FC0" w:rsidRPr="00A928D6" w:rsidRDefault="00A65FC0" w:rsidP="00894C6B">
            <w:pPr>
              <w:rPr>
                <w:rFonts w:asciiTheme="minorHAnsi" w:hAnsiTheme="minorHAnsi"/>
                <w:bCs/>
                <w:sz w:val="20"/>
                <w:szCs w:val="20"/>
              </w:rPr>
            </w:pPr>
          </w:p>
          <w:p w14:paraId="7D6B90C0"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There is need for technical experts to provide TA to run specific socio-development ministries (agencies) like the one for agriculture, health, education, social welfare and </w:t>
            </w:r>
            <w:r w:rsidRPr="00A928D6">
              <w:rPr>
                <w:rFonts w:asciiTheme="minorHAnsi" w:hAnsiTheme="minorHAnsi"/>
                <w:bCs/>
                <w:sz w:val="20"/>
                <w:szCs w:val="20"/>
              </w:rPr>
              <w:lastRenderedPageBreak/>
              <w:t>development, and trade and industry.  Governance experience of former MILF officers and key leaders are seriously inadequate for the development challenges of the Bangsamoro region.</w:t>
            </w:r>
          </w:p>
          <w:p w14:paraId="229D00C0" w14:textId="77777777" w:rsidR="00A65FC0" w:rsidRPr="00A928D6" w:rsidRDefault="00A65FC0" w:rsidP="00894C6B">
            <w:pPr>
              <w:rPr>
                <w:rFonts w:asciiTheme="minorHAnsi" w:hAnsiTheme="minorHAnsi"/>
                <w:bCs/>
                <w:sz w:val="20"/>
                <w:szCs w:val="20"/>
              </w:rPr>
            </w:pPr>
          </w:p>
          <w:p w14:paraId="7C3287E9" w14:textId="77777777" w:rsidR="00A65FC0" w:rsidRPr="00A928D6" w:rsidRDefault="00A65FC0" w:rsidP="00894C6B">
            <w:pPr>
              <w:rPr>
                <w:rFonts w:asciiTheme="minorHAnsi" w:hAnsiTheme="minorHAnsi"/>
                <w:bCs/>
                <w:sz w:val="20"/>
                <w:szCs w:val="20"/>
              </w:rPr>
            </w:pPr>
          </w:p>
          <w:p w14:paraId="3994DE65" w14:textId="77777777" w:rsidR="00A65FC0" w:rsidRPr="00A928D6" w:rsidRDefault="00A65FC0" w:rsidP="00894C6B">
            <w:pPr>
              <w:rPr>
                <w:rFonts w:asciiTheme="minorHAnsi" w:hAnsiTheme="minorHAnsi"/>
                <w:bCs/>
                <w:sz w:val="20"/>
                <w:szCs w:val="20"/>
              </w:rPr>
            </w:pPr>
          </w:p>
          <w:p w14:paraId="1F24A023" w14:textId="77777777" w:rsidR="00A65FC0" w:rsidRPr="00A928D6" w:rsidRDefault="00A65FC0" w:rsidP="00894C6B">
            <w:pPr>
              <w:rPr>
                <w:rFonts w:asciiTheme="minorHAnsi" w:hAnsiTheme="minorHAnsi"/>
                <w:bCs/>
                <w:sz w:val="20"/>
                <w:szCs w:val="20"/>
              </w:rPr>
            </w:pPr>
          </w:p>
          <w:p w14:paraId="5B201137"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To a certain extent, the project supports regional security (i.e., PVE tool).  However, it is far-fetched if it supports economic growth given the project was not intended for it. </w:t>
            </w:r>
          </w:p>
          <w:p w14:paraId="78415527" w14:textId="77777777" w:rsidR="00A65FC0" w:rsidRPr="00A928D6" w:rsidRDefault="00A65FC0" w:rsidP="00894C6B">
            <w:pPr>
              <w:rPr>
                <w:rFonts w:asciiTheme="minorHAnsi" w:hAnsiTheme="minorHAnsi"/>
                <w:bCs/>
                <w:sz w:val="20"/>
                <w:szCs w:val="20"/>
              </w:rPr>
            </w:pPr>
          </w:p>
          <w:p w14:paraId="7D6CA1C4" w14:textId="77777777" w:rsidR="00A65FC0" w:rsidRPr="00A928D6" w:rsidRDefault="00A65FC0" w:rsidP="00894C6B">
            <w:pPr>
              <w:rPr>
                <w:rFonts w:asciiTheme="minorHAnsi" w:hAnsiTheme="minorHAnsi"/>
                <w:bCs/>
                <w:sz w:val="20"/>
                <w:szCs w:val="20"/>
              </w:rPr>
            </w:pPr>
          </w:p>
          <w:p w14:paraId="4B86CBEC" w14:textId="77777777" w:rsidR="00A65FC0" w:rsidRPr="00A928D6" w:rsidRDefault="00A65FC0" w:rsidP="00894C6B">
            <w:pPr>
              <w:rPr>
                <w:rFonts w:asciiTheme="minorHAnsi" w:hAnsiTheme="minorHAnsi"/>
                <w:bCs/>
                <w:sz w:val="20"/>
                <w:szCs w:val="20"/>
              </w:rPr>
            </w:pPr>
          </w:p>
          <w:p w14:paraId="0D49EFFC" w14:textId="77777777" w:rsidR="00A65FC0" w:rsidRPr="00A928D6" w:rsidRDefault="00A65FC0" w:rsidP="00894C6B">
            <w:pPr>
              <w:rPr>
                <w:rFonts w:asciiTheme="minorHAnsi" w:hAnsiTheme="minorHAnsi"/>
                <w:bCs/>
                <w:sz w:val="20"/>
                <w:szCs w:val="20"/>
              </w:rPr>
            </w:pPr>
          </w:p>
          <w:p w14:paraId="68884274" w14:textId="77777777" w:rsidR="00A65FC0" w:rsidRPr="00A928D6" w:rsidRDefault="00A65FC0" w:rsidP="00894C6B">
            <w:pPr>
              <w:rPr>
                <w:rFonts w:asciiTheme="minorHAnsi" w:hAnsiTheme="minorHAnsi"/>
                <w:bCs/>
                <w:sz w:val="20"/>
                <w:szCs w:val="20"/>
              </w:rPr>
            </w:pPr>
          </w:p>
          <w:p w14:paraId="4E6A46EA" w14:textId="77777777" w:rsidR="00A65FC0" w:rsidRPr="00A928D6" w:rsidRDefault="00A65FC0" w:rsidP="00894C6B">
            <w:pPr>
              <w:rPr>
                <w:rFonts w:asciiTheme="minorHAnsi" w:hAnsiTheme="minorHAnsi"/>
                <w:bCs/>
                <w:sz w:val="20"/>
                <w:szCs w:val="20"/>
              </w:rPr>
            </w:pPr>
          </w:p>
          <w:p w14:paraId="5E2F52A0" w14:textId="77777777" w:rsidR="00A65FC0" w:rsidRPr="00A928D6" w:rsidRDefault="00A65FC0" w:rsidP="00894C6B">
            <w:pPr>
              <w:rPr>
                <w:rFonts w:asciiTheme="minorHAnsi" w:hAnsiTheme="minorHAnsi"/>
                <w:bCs/>
                <w:sz w:val="20"/>
                <w:szCs w:val="20"/>
              </w:rPr>
            </w:pPr>
          </w:p>
          <w:p w14:paraId="5881B93D" w14:textId="77777777" w:rsidR="00A65FC0" w:rsidRPr="00A928D6" w:rsidRDefault="00A65FC0" w:rsidP="00894C6B">
            <w:pPr>
              <w:rPr>
                <w:rFonts w:asciiTheme="minorHAnsi" w:hAnsiTheme="minorHAnsi"/>
                <w:bCs/>
                <w:sz w:val="20"/>
                <w:szCs w:val="20"/>
              </w:rPr>
            </w:pPr>
          </w:p>
          <w:p w14:paraId="03AC2F55"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Building capacity of senior and middle level managers of the Bangsamoro ministries and other instrumentalities to govern effectively. </w:t>
            </w:r>
          </w:p>
          <w:p w14:paraId="7FA07F01" w14:textId="77777777" w:rsidR="00A65FC0" w:rsidRPr="00A928D6" w:rsidRDefault="00A65FC0" w:rsidP="00894C6B">
            <w:pPr>
              <w:rPr>
                <w:rFonts w:asciiTheme="minorHAnsi" w:hAnsiTheme="minorHAnsi"/>
                <w:bCs/>
                <w:sz w:val="20"/>
                <w:szCs w:val="20"/>
              </w:rPr>
            </w:pPr>
          </w:p>
          <w:p w14:paraId="4B35533B" w14:textId="77777777" w:rsidR="00A65FC0" w:rsidRPr="00A928D6" w:rsidRDefault="00A65FC0" w:rsidP="00894C6B">
            <w:pPr>
              <w:rPr>
                <w:rFonts w:asciiTheme="minorHAnsi" w:hAnsiTheme="minorHAnsi"/>
                <w:bCs/>
                <w:sz w:val="20"/>
                <w:szCs w:val="20"/>
              </w:rPr>
            </w:pPr>
          </w:p>
          <w:p w14:paraId="57C6E0AA" w14:textId="77777777" w:rsidR="00A65FC0" w:rsidRPr="00A928D6" w:rsidRDefault="00A65FC0" w:rsidP="00894C6B">
            <w:pPr>
              <w:rPr>
                <w:rFonts w:asciiTheme="minorHAnsi" w:hAnsiTheme="minorHAnsi"/>
                <w:bCs/>
                <w:sz w:val="20"/>
                <w:szCs w:val="20"/>
              </w:rPr>
            </w:pPr>
          </w:p>
          <w:p w14:paraId="03A5B89F" w14:textId="77777777" w:rsidR="00A65FC0" w:rsidRPr="00A928D6" w:rsidRDefault="00A65FC0" w:rsidP="00894C6B">
            <w:pPr>
              <w:rPr>
                <w:rFonts w:asciiTheme="minorHAnsi" w:hAnsiTheme="minorHAnsi"/>
                <w:bCs/>
                <w:sz w:val="20"/>
                <w:szCs w:val="20"/>
              </w:rPr>
            </w:pPr>
          </w:p>
          <w:p w14:paraId="07A85D9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It responded to the previous possible source of conflict (i.e., non-support and ratification of BOL) and attempting to address VE, which now had been downloaded to UNDP.</w:t>
            </w:r>
          </w:p>
        </w:tc>
        <w:tc>
          <w:tcPr>
            <w:tcW w:w="2113" w:type="dxa"/>
            <w:tcBorders>
              <w:top w:val="single" w:sz="4" w:space="0" w:color="auto"/>
              <w:left w:val="single" w:sz="4" w:space="0" w:color="auto"/>
              <w:bottom w:val="single" w:sz="4" w:space="0" w:color="auto"/>
              <w:right w:val="single" w:sz="4" w:space="0" w:color="auto"/>
            </w:tcBorders>
          </w:tcPr>
          <w:p w14:paraId="611B3BAD"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The transition will take a number of years to be </w:t>
            </w:r>
            <w:proofErr w:type="gramStart"/>
            <w:r w:rsidRPr="00A928D6">
              <w:rPr>
                <w:rFonts w:asciiTheme="minorHAnsi" w:hAnsiTheme="minorHAnsi"/>
                <w:bCs/>
                <w:sz w:val="20"/>
                <w:szCs w:val="20"/>
              </w:rPr>
              <w:t>fully-completed</w:t>
            </w:r>
            <w:proofErr w:type="gramEnd"/>
            <w:r w:rsidRPr="00A928D6">
              <w:rPr>
                <w:rFonts w:asciiTheme="minorHAnsi" w:hAnsiTheme="minorHAnsi"/>
                <w:bCs/>
                <w:sz w:val="20"/>
                <w:szCs w:val="20"/>
              </w:rPr>
              <w:t xml:space="preserve">, way beyond the current term and can beyond the 2022 elections. Given this situation, the multisectoral strategy of working simultaneously with the national, regional and local governments as well as with civil society </w:t>
            </w:r>
            <w:r w:rsidRPr="00A928D6">
              <w:rPr>
                <w:rFonts w:asciiTheme="minorHAnsi" w:hAnsiTheme="minorHAnsi"/>
                <w:bCs/>
                <w:sz w:val="20"/>
                <w:szCs w:val="20"/>
              </w:rPr>
              <w:lastRenderedPageBreak/>
              <w:t>organizations continues to be a viable option.</w:t>
            </w:r>
          </w:p>
          <w:p w14:paraId="6CCD432C" w14:textId="77777777" w:rsidR="00A65FC0" w:rsidRPr="00A928D6" w:rsidRDefault="00A65FC0" w:rsidP="00894C6B">
            <w:pPr>
              <w:rPr>
                <w:rFonts w:asciiTheme="minorHAnsi" w:hAnsiTheme="minorHAnsi"/>
                <w:bCs/>
                <w:sz w:val="20"/>
                <w:szCs w:val="20"/>
              </w:rPr>
            </w:pPr>
          </w:p>
          <w:p w14:paraId="1996DB55"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VE didn’t start with Marawi Siege, it started with the ASG in the 1990s frustrated and antagonistic to the peace agreement between the government and the MNLF. It is now 3 decades long, and VE had transformed from kidnapped for ransom and bombing activities into laying siege of a city and recently built the capacity for suicide bombings. </w:t>
            </w:r>
            <w:r w:rsidRPr="00A928D6">
              <w:rPr>
                <w:rFonts w:asciiTheme="minorHAnsi" w:hAnsiTheme="minorHAnsi"/>
                <w:bCs/>
                <w:sz w:val="20"/>
                <w:szCs w:val="20"/>
              </w:rPr>
              <w:lastRenderedPageBreak/>
              <w:t>Addressing the VE’s push, pull and contextual factors need to be further contextualized. While Basilan, with strong local ownership and leadership demonstrated capacity to diminish the ASG threats, the same can’t be said of VE groups operating other BARMM provinces and neighboring areas.</w:t>
            </w:r>
          </w:p>
          <w:p w14:paraId="4B69188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Aside from direct and immediate support to the BARMM transition, camp transformation and support mechanisms to avert local feuds </w:t>
            </w:r>
            <w:r w:rsidRPr="00A928D6">
              <w:rPr>
                <w:rFonts w:asciiTheme="minorHAnsi" w:hAnsiTheme="minorHAnsi"/>
                <w:bCs/>
                <w:sz w:val="20"/>
                <w:szCs w:val="20"/>
              </w:rPr>
              <w:lastRenderedPageBreak/>
              <w:t xml:space="preserve">and violent extremism, CARE’s researches are critical to formulation of policies and programming on sectors that are both vulnerable and victim of the protracted conflict. The rapid assessment of at-risk orphans is ready for formal launch. The second study on the enabling environment for violent extremism is in the final phase. </w:t>
            </w:r>
          </w:p>
          <w:p w14:paraId="19DEEC48" w14:textId="77777777" w:rsidR="00A65FC0" w:rsidRPr="00A928D6" w:rsidRDefault="00A65FC0" w:rsidP="00894C6B">
            <w:pPr>
              <w:rPr>
                <w:rFonts w:asciiTheme="minorHAnsi" w:hAnsiTheme="minorHAnsi"/>
                <w:bCs/>
                <w:sz w:val="20"/>
                <w:szCs w:val="20"/>
              </w:rPr>
            </w:pPr>
          </w:p>
          <w:p w14:paraId="181B3597"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SALW framework and the ensuing baseline data </w:t>
            </w:r>
            <w:r w:rsidRPr="00A928D6">
              <w:rPr>
                <w:rFonts w:asciiTheme="minorHAnsi" w:hAnsiTheme="minorHAnsi"/>
                <w:bCs/>
                <w:sz w:val="20"/>
                <w:szCs w:val="20"/>
              </w:rPr>
              <w:lastRenderedPageBreak/>
              <w:t>on the nature and quantity of small arms in the region is important first step than can potentially impact on the long-term resolution of politics-based clan feuds, VE and illegal arms trade in the region.</w:t>
            </w:r>
          </w:p>
        </w:tc>
        <w:tc>
          <w:tcPr>
            <w:tcW w:w="2113" w:type="dxa"/>
            <w:tcBorders>
              <w:top w:val="single" w:sz="4" w:space="0" w:color="auto"/>
              <w:left w:val="single" w:sz="4" w:space="0" w:color="auto"/>
              <w:bottom w:val="single" w:sz="4" w:space="0" w:color="auto"/>
              <w:right w:val="single" w:sz="4" w:space="0" w:color="auto"/>
            </w:tcBorders>
          </w:tcPr>
          <w:p w14:paraId="66E39481"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There are two “BARMM” – mainland and islands. The mainland is where the MILF has a strong presence, and the MNLF continues to exert influence in the islands. HD’s engagement with MNLF and in Sulu helps mitigate the perceived divide between these two </w:t>
            </w:r>
            <w:r w:rsidRPr="00A928D6">
              <w:rPr>
                <w:rFonts w:asciiTheme="minorHAnsi" w:hAnsiTheme="minorHAnsi"/>
                <w:bCs/>
                <w:sz w:val="20"/>
                <w:szCs w:val="20"/>
              </w:rPr>
              <w:lastRenderedPageBreak/>
              <w:t>geo-political areas within the region.</w:t>
            </w:r>
          </w:p>
          <w:p w14:paraId="43C510F9" w14:textId="77777777" w:rsidR="00A65FC0" w:rsidRPr="00A928D6" w:rsidRDefault="00A65FC0" w:rsidP="00894C6B">
            <w:pPr>
              <w:rPr>
                <w:rFonts w:asciiTheme="minorHAnsi" w:hAnsiTheme="minorHAnsi"/>
                <w:bCs/>
                <w:sz w:val="20"/>
                <w:szCs w:val="20"/>
              </w:rPr>
            </w:pPr>
          </w:p>
          <w:p w14:paraId="7A2900D0"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HD utilizes its so-called adaptive monitoring and evaluation model that allows it to adapt to changing context regionally.</w:t>
            </w:r>
          </w:p>
          <w:p w14:paraId="12111C08" w14:textId="77777777" w:rsidR="00A65FC0" w:rsidRPr="00A928D6" w:rsidRDefault="00A65FC0" w:rsidP="00894C6B">
            <w:pPr>
              <w:rPr>
                <w:rFonts w:asciiTheme="minorHAnsi" w:hAnsiTheme="minorHAnsi"/>
                <w:bCs/>
                <w:sz w:val="20"/>
                <w:szCs w:val="20"/>
              </w:rPr>
            </w:pPr>
          </w:p>
          <w:p w14:paraId="356D2B1C"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HD talks about technical assistance to BTA members and technical staff to undertake their individual advocacy and collective deliverables as stated in the BOL, such as the passage of specific codes. It also points to the need to </w:t>
            </w:r>
            <w:r w:rsidRPr="00A928D6">
              <w:rPr>
                <w:rFonts w:asciiTheme="minorHAnsi" w:hAnsiTheme="minorHAnsi"/>
                <w:bCs/>
                <w:sz w:val="20"/>
                <w:szCs w:val="20"/>
              </w:rPr>
              <w:lastRenderedPageBreak/>
              <w:t xml:space="preserve">continue supporting its local partner like TSS to </w:t>
            </w:r>
            <w:proofErr w:type="gramStart"/>
            <w:r w:rsidRPr="00A928D6">
              <w:rPr>
                <w:rFonts w:asciiTheme="minorHAnsi" w:hAnsiTheme="minorHAnsi"/>
                <w:bCs/>
                <w:sz w:val="20"/>
                <w:szCs w:val="20"/>
              </w:rPr>
              <w:t>financially-stable</w:t>
            </w:r>
            <w:proofErr w:type="gramEnd"/>
            <w:r w:rsidRPr="00A928D6">
              <w:rPr>
                <w:rFonts w:asciiTheme="minorHAnsi" w:hAnsiTheme="minorHAnsi"/>
                <w:bCs/>
                <w:sz w:val="20"/>
                <w:szCs w:val="20"/>
              </w:rPr>
              <w:t xml:space="preserve"> and developmentally-capable. </w:t>
            </w:r>
          </w:p>
          <w:p w14:paraId="381BA099" w14:textId="77777777" w:rsidR="00A65FC0" w:rsidRPr="00A928D6" w:rsidRDefault="00A65FC0" w:rsidP="00894C6B">
            <w:pPr>
              <w:rPr>
                <w:rFonts w:asciiTheme="minorHAnsi" w:hAnsiTheme="minorHAnsi"/>
                <w:bCs/>
                <w:sz w:val="20"/>
                <w:szCs w:val="20"/>
              </w:rPr>
            </w:pPr>
          </w:p>
          <w:p w14:paraId="16ECD5B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HD’s engagement with MNLF </w:t>
            </w:r>
            <w:proofErr w:type="spellStart"/>
            <w:r w:rsidRPr="00A928D6">
              <w:rPr>
                <w:rFonts w:asciiTheme="minorHAnsi" w:hAnsiTheme="minorHAnsi"/>
                <w:bCs/>
                <w:sz w:val="20"/>
                <w:szCs w:val="20"/>
              </w:rPr>
              <w:t>Jikiri</w:t>
            </w:r>
            <w:proofErr w:type="spellEnd"/>
            <w:r w:rsidRPr="00A928D6">
              <w:rPr>
                <w:rFonts w:asciiTheme="minorHAnsi" w:hAnsiTheme="minorHAnsi"/>
                <w:bCs/>
                <w:sz w:val="20"/>
                <w:szCs w:val="20"/>
              </w:rPr>
              <w:t xml:space="preserve"> camp is crucial in ensuring this rebel organization continues to engage peacefully and proactively in regional governance. MNLF members are also expected to benefit socio-economic support package from the BARMM transition, which if nothing is </w:t>
            </w:r>
            <w:r w:rsidRPr="00A928D6">
              <w:rPr>
                <w:rFonts w:asciiTheme="minorHAnsi" w:hAnsiTheme="minorHAnsi"/>
                <w:bCs/>
                <w:sz w:val="20"/>
                <w:szCs w:val="20"/>
              </w:rPr>
              <w:lastRenderedPageBreak/>
              <w:t>felt can make them vulnerable to VE recruitment or join the league of poverty households, the rate of which is among the highest in the country.</w:t>
            </w:r>
          </w:p>
          <w:p w14:paraId="16D08A6E" w14:textId="77777777" w:rsidR="00A65FC0" w:rsidRPr="00A928D6" w:rsidRDefault="00A65FC0" w:rsidP="00894C6B">
            <w:pPr>
              <w:rPr>
                <w:rFonts w:asciiTheme="minorHAnsi" w:hAnsiTheme="minorHAnsi"/>
                <w:bCs/>
                <w:sz w:val="20"/>
                <w:szCs w:val="20"/>
              </w:rPr>
            </w:pPr>
          </w:p>
          <w:p w14:paraId="595B5E79"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HD’s presence started support to the peace process and has since evolved to competence in local conflict mediation, dialogue facilitation between government and MNLF forces, and to understanding Sulu-based VE. TSS also raised the Sabah issue as a political </w:t>
            </w:r>
            <w:r w:rsidRPr="00A928D6">
              <w:rPr>
                <w:rFonts w:asciiTheme="minorHAnsi" w:hAnsiTheme="minorHAnsi"/>
                <w:bCs/>
                <w:sz w:val="20"/>
                <w:szCs w:val="20"/>
              </w:rPr>
              <w:lastRenderedPageBreak/>
              <w:t xml:space="preserve">claim, the case of </w:t>
            </w:r>
            <w:proofErr w:type="spellStart"/>
            <w:r w:rsidRPr="00A928D6">
              <w:rPr>
                <w:rFonts w:asciiTheme="minorHAnsi" w:hAnsiTheme="minorHAnsi"/>
                <w:bCs/>
                <w:sz w:val="20"/>
                <w:szCs w:val="20"/>
              </w:rPr>
              <w:t>halaws</w:t>
            </w:r>
            <w:proofErr w:type="spellEnd"/>
            <w:r w:rsidRPr="00A928D6">
              <w:rPr>
                <w:rFonts w:asciiTheme="minorHAnsi" w:hAnsiTheme="minorHAnsi"/>
                <w:bCs/>
                <w:sz w:val="20"/>
                <w:szCs w:val="20"/>
              </w:rPr>
              <w:t xml:space="preserve"> (deportees), barter trading, porous border’s role in the movement of illegal drugs, guns and VE groups. </w:t>
            </w:r>
          </w:p>
        </w:tc>
        <w:tc>
          <w:tcPr>
            <w:tcW w:w="2113" w:type="dxa"/>
            <w:tcBorders>
              <w:top w:val="single" w:sz="4" w:space="0" w:color="auto"/>
              <w:left w:val="single" w:sz="4" w:space="0" w:color="auto"/>
              <w:bottom w:val="single" w:sz="4" w:space="0" w:color="auto"/>
              <w:right w:val="single" w:sz="4" w:space="0" w:color="auto"/>
            </w:tcBorders>
          </w:tcPr>
          <w:p w14:paraId="214430DC"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The focus of WELD Peace was to build women leadership within the peace process. This continues to be relevant as the BARMM transitions into a parliamentary and ministerial systems, and the MILF transitions to become a social movement and its combatants going </w:t>
            </w:r>
            <w:r w:rsidRPr="00A928D6">
              <w:rPr>
                <w:rFonts w:asciiTheme="minorHAnsi" w:hAnsiTheme="minorHAnsi"/>
                <w:bCs/>
                <w:sz w:val="20"/>
                <w:szCs w:val="20"/>
              </w:rPr>
              <w:lastRenderedPageBreak/>
              <w:t>through the normalization process and its camps to be transformed into functioning and peaceful communities.</w:t>
            </w:r>
          </w:p>
          <w:p w14:paraId="501326C9" w14:textId="77777777" w:rsidR="00A65FC0" w:rsidRPr="00A928D6" w:rsidRDefault="00A65FC0" w:rsidP="00894C6B">
            <w:pPr>
              <w:rPr>
                <w:rFonts w:asciiTheme="minorHAnsi" w:hAnsiTheme="minorHAnsi"/>
                <w:bCs/>
                <w:sz w:val="20"/>
                <w:szCs w:val="20"/>
              </w:rPr>
            </w:pPr>
          </w:p>
          <w:p w14:paraId="09C3D613"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Recently, the BTA passed Bangsamoro Autonomy Act 8 (January 2020) creating the Bangsamoro Women Commission (BWC) and replacing the ARMM Regional Commission on Bangsamoro Women (RCBW). Oxfam local partners and women were involved in </w:t>
            </w:r>
            <w:r w:rsidRPr="00A928D6">
              <w:rPr>
                <w:rFonts w:asciiTheme="minorHAnsi" w:hAnsiTheme="minorHAnsi"/>
                <w:bCs/>
                <w:sz w:val="20"/>
                <w:szCs w:val="20"/>
              </w:rPr>
              <w:lastRenderedPageBreak/>
              <w:t xml:space="preserve">different capacities in pushing for its passage. </w:t>
            </w:r>
          </w:p>
          <w:p w14:paraId="38F83D57" w14:textId="77777777" w:rsidR="00A65FC0" w:rsidRPr="00A928D6" w:rsidRDefault="00A65FC0" w:rsidP="00894C6B">
            <w:pPr>
              <w:rPr>
                <w:rFonts w:asciiTheme="minorHAnsi" w:hAnsiTheme="minorHAnsi"/>
                <w:bCs/>
                <w:sz w:val="20"/>
                <w:szCs w:val="20"/>
              </w:rPr>
            </w:pPr>
          </w:p>
          <w:p w14:paraId="2656136A" w14:textId="77777777" w:rsidR="00A65FC0" w:rsidRPr="00A928D6" w:rsidRDefault="00A65FC0" w:rsidP="00894C6B">
            <w:pPr>
              <w:rPr>
                <w:rFonts w:asciiTheme="minorHAnsi" w:hAnsiTheme="minorHAnsi"/>
                <w:bCs/>
                <w:sz w:val="20"/>
                <w:szCs w:val="20"/>
              </w:rPr>
            </w:pPr>
          </w:p>
          <w:p w14:paraId="4F33970F" w14:textId="77777777" w:rsidR="00A65FC0" w:rsidRPr="00A928D6" w:rsidRDefault="00A65FC0" w:rsidP="00894C6B">
            <w:pPr>
              <w:rPr>
                <w:rFonts w:asciiTheme="minorHAnsi" w:hAnsiTheme="minorHAnsi"/>
                <w:bCs/>
                <w:sz w:val="20"/>
                <w:szCs w:val="20"/>
              </w:rPr>
            </w:pPr>
          </w:p>
          <w:p w14:paraId="0936F438" w14:textId="77777777" w:rsidR="00A65FC0" w:rsidRPr="00A928D6" w:rsidRDefault="00A65FC0" w:rsidP="00894C6B">
            <w:pPr>
              <w:rPr>
                <w:rFonts w:asciiTheme="minorHAnsi" w:hAnsiTheme="minorHAnsi"/>
                <w:bCs/>
                <w:sz w:val="20"/>
                <w:szCs w:val="20"/>
              </w:rPr>
            </w:pPr>
          </w:p>
          <w:p w14:paraId="1C43ACB0" w14:textId="77777777" w:rsidR="00A65FC0" w:rsidRPr="00A928D6" w:rsidRDefault="00A65FC0" w:rsidP="00894C6B">
            <w:pPr>
              <w:rPr>
                <w:rFonts w:asciiTheme="minorHAnsi" w:hAnsiTheme="minorHAnsi"/>
                <w:bCs/>
                <w:sz w:val="20"/>
                <w:szCs w:val="20"/>
              </w:rPr>
            </w:pPr>
          </w:p>
          <w:p w14:paraId="6B449315" w14:textId="77777777" w:rsidR="00A65FC0" w:rsidRPr="00A928D6" w:rsidRDefault="00A65FC0" w:rsidP="00894C6B">
            <w:pPr>
              <w:rPr>
                <w:rFonts w:asciiTheme="minorHAnsi" w:hAnsiTheme="minorHAnsi"/>
                <w:bCs/>
                <w:sz w:val="20"/>
                <w:szCs w:val="20"/>
              </w:rPr>
            </w:pPr>
          </w:p>
          <w:p w14:paraId="40CB80D8" w14:textId="77777777" w:rsidR="00A65FC0" w:rsidRPr="00A928D6" w:rsidRDefault="00A65FC0" w:rsidP="00894C6B">
            <w:pPr>
              <w:rPr>
                <w:rFonts w:asciiTheme="minorHAnsi" w:hAnsiTheme="minorHAnsi"/>
                <w:bCs/>
                <w:sz w:val="20"/>
                <w:szCs w:val="20"/>
              </w:rPr>
            </w:pPr>
          </w:p>
          <w:p w14:paraId="5A1AADD1" w14:textId="77777777" w:rsidR="00A65FC0" w:rsidRPr="00A928D6" w:rsidRDefault="00A65FC0" w:rsidP="00894C6B">
            <w:pPr>
              <w:rPr>
                <w:rFonts w:asciiTheme="minorHAnsi" w:hAnsiTheme="minorHAnsi"/>
                <w:bCs/>
                <w:sz w:val="20"/>
                <w:szCs w:val="20"/>
              </w:rPr>
            </w:pPr>
          </w:p>
          <w:p w14:paraId="4C8B127A" w14:textId="77777777" w:rsidR="00A65FC0" w:rsidRPr="00A928D6" w:rsidRDefault="00A65FC0" w:rsidP="00894C6B">
            <w:pPr>
              <w:rPr>
                <w:rFonts w:asciiTheme="minorHAnsi" w:hAnsiTheme="minorHAnsi"/>
                <w:bCs/>
                <w:sz w:val="20"/>
                <w:szCs w:val="20"/>
              </w:rPr>
            </w:pPr>
          </w:p>
          <w:p w14:paraId="0E50AD36"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In the process of mobilizing women leaders, the need for economic development became apparent. Local women groups in Datu Saudi Ampatuan municipality benefited from initial </w:t>
            </w:r>
            <w:proofErr w:type="spellStart"/>
            <w:r w:rsidRPr="00A928D6">
              <w:rPr>
                <w:rFonts w:asciiTheme="minorHAnsi" w:hAnsiTheme="minorHAnsi"/>
                <w:bCs/>
                <w:sz w:val="20"/>
                <w:szCs w:val="20"/>
              </w:rPr>
              <w:lastRenderedPageBreak/>
              <w:t>linkeage</w:t>
            </w:r>
            <w:proofErr w:type="spellEnd"/>
            <w:r w:rsidRPr="00A928D6">
              <w:rPr>
                <w:rFonts w:asciiTheme="minorHAnsi" w:hAnsiTheme="minorHAnsi"/>
                <w:bCs/>
                <w:sz w:val="20"/>
                <w:szCs w:val="20"/>
              </w:rPr>
              <w:t xml:space="preserve"> with the Municipal Agriculturist’s Office and TESDA. </w:t>
            </w:r>
          </w:p>
          <w:p w14:paraId="4811B0C1" w14:textId="77777777" w:rsidR="00A65FC0" w:rsidRPr="00A928D6" w:rsidRDefault="00A65FC0" w:rsidP="00894C6B">
            <w:pPr>
              <w:rPr>
                <w:rFonts w:asciiTheme="minorHAnsi" w:hAnsiTheme="minorHAnsi"/>
                <w:bCs/>
                <w:sz w:val="20"/>
                <w:szCs w:val="20"/>
              </w:rPr>
            </w:pPr>
          </w:p>
          <w:p w14:paraId="69B6C888"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In the national conference on the revisit of the women’s agenda, women leaders and advocates defined their agenda following the thematic outline on the WPS national action plan. While participation and empowerment, prevention of VAW in conflict </w:t>
            </w:r>
            <w:proofErr w:type="spellStart"/>
            <w:r w:rsidRPr="00A928D6">
              <w:rPr>
                <w:rFonts w:asciiTheme="minorHAnsi" w:hAnsiTheme="minorHAnsi"/>
                <w:bCs/>
                <w:sz w:val="20"/>
                <w:szCs w:val="20"/>
              </w:rPr>
              <w:t>situationgender</w:t>
            </w:r>
            <w:proofErr w:type="spellEnd"/>
            <w:r w:rsidRPr="00A928D6">
              <w:rPr>
                <w:rFonts w:asciiTheme="minorHAnsi" w:hAnsiTheme="minorHAnsi"/>
                <w:bCs/>
                <w:sz w:val="20"/>
                <w:szCs w:val="20"/>
              </w:rPr>
              <w:t xml:space="preserve"> mainstreaming and security remain </w:t>
            </w:r>
            <w:r w:rsidRPr="00A928D6">
              <w:rPr>
                <w:rFonts w:asciiTheme="minorHAnsi" w:hAnsiTheme="minorHAnsi"/>
                <w:bCs/>
                <w:sz w:val="20"/>
                <w:szCs w:val="20"/>
              </w:rPr>
              <w:lastRenderedPageBreak/>
              <w:t>important, the participants also highlighted livelihood and economic opportunities as critical to poverty alleviation, empowering women to be independent of their spouses in financial terms and provide additional support to their children, in the case of married women.</w:t>
            </w:r>
          </w:p>
          <w:p w14:paraId="2438033E" w14:textId="77777777" w:rsidR="00A65FC0" w:rsidRPr="00A928D6" w:rsidRDefault="00A65FC0" w:rsidP="00894C6B">
            <w:pPr>
              <w:rPr>
                <w:rFonts w:asciiTheme="minorHAnsi" w:hAnsiTheme="minorHAnsi"/>
                <w:bCs/>
                <w:sz w:val="20"/>
                <w:szCs w:val="20"/>
              </w:rPr>
            </w:pPr>
          </w:p>
        </w:tc>
      </w:tr>
      <w:tr w:rsidR="00A65FC0" w:rsidRPr="0002234D" w14:paraId="2860C320" w14:textId="77777777" w:rsidTr="00894C6B">
        <w:tc>
          <w:tcPr>
            <w:tcW w:w="2005" w:type="dxa"/>
            <w:tcBorders>
              <w:top w:val="single" w:sz="4" w:space="0" w:color="auto"/>
              <w:left w:val="single" w:sz="4" w:space="0" w:color="auto"/>
              <w:bottom w:val="single" w:sz="4" w:space="0" w:color="auto"/>
              <w:right w:val="single" w:sz="4" w:space="0" w:color="auto"/>
            </w:tcBorders>
          </w:tcPr>
          <w:p w14:paraId="3EEF1BA7"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lastRenderedPageBreak/>
              <w:t>4. Gender Equality</w:t>
            </w:r>
          </w:p>
        </w:tc>
        <w:tc>
          <w:tcPr>
            <w:tcW w:w="2602" w:type="dxa"/>
            <w:tcBorders>
              <w:top w:val="single" w:sz="4" w:space="0" w:color="auto"/>
              <w:left w:val="single" w:sz="4" w:space="0" w:color="auto"/>
              <w:bottom w:val="single" w:sz="4" w:space="0" w:color="auto"/>
              <w:right w:val="single" w:sz="4" w:space="0" w:color="auto"/>
            </w:tcBorders>
          </w:tcPr>
          <w:p w14:paraId="7604AA69" w14:textId="77777777" w:rsidR="00A65FC0" w:rsidRPr="00A928D6" w:rsidRDefault="00A65FC0" w:rsidP="00894C6B">
            <w:pPr>
              <w:rPr>
                <w:rFonts w:asciiTheme="minorHAnsi" w:hAnsiTheme="minorHAnsi"/>
                <w:b/>
                <w:sz w:val="20"/>
                <w:szCs w:val="20"/>
              </w:rPr>
            </w:pPr>
          </w:p>
        </w:tc>
        <w:tc>
          <w:tcPr>
            <w:tcW w:w="2855" w:type="dxa"/>
            <w:tcBorders>
              <w:top w:val="single" w:sz="4" w:space="0" w:color="auto"/>
              <w:left w:val="single" w:sz="4" w:space="0" w:color="auto"/>
              <w:bottom w:val="single" w:sz="4" w:space="0" w:color="auto"/>
              <w:right w:val="single" w:sz="4" w:space="0" w:color="auto"/>
            </w:tcBorders>
          </w:tcPr>
          <w:p w14:paraId="2C0A68B2"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65F3388"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D48AB18"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57D88485" w14:textId="77777777" w:rsidR="00A65FC0" w:rsidRPr="00A928D6" w:rsidRDefault="00A65FC0" w:rsidP="00894C6B">
            <w:pPr>
              <w:rPr>
                <w:rFonts w:asciiTheme="minorHAnsi" w:hAnsiTheme="minorHAnsi"/>
                <w:b/>
                <w:sz w:val="20"/>
                <w:szCs w:val="20"/>
              </w:rPr>
            </w:pPr>
          </w:p>
        </w:tc>
      </w:tr>
      <w:tr w:rsidR="00A65FC0" w:rsidRPr="0002234D" w14:paraId="18580DCD" w14:textId="77777777" w:rsidTr="00894C6B">
        <w:tc>
          <w:tcPr>
            <w:tcW w:w="2005" w:type="dxa"/>
            <w:tcBorders>
              <w:top w:val="single" w:sz="4" w:space="0" w:color="auto"/>
              <w:left w:val="single" w:sz="4" w:space="0" w:color="auto"/>
              <w:bottom w:val="single" w:sz="4" w:space="0" w:color="auto"/>
              <w:right w:val="single" w:sz="4" w:space="0" w:color="auto"/>
            </w:tcBorders>
          </w:tcPr>
          <w:p w14:paraId="232A702E" w14:textId="77777777" w:rsidR="00A65FC0" w:rsidRPr="00A928D6" w:rsidRDefault="00A65FC0" w:rsidP="00894C6B">
            <w:pPr>
              <w:rPr>
                <w:rFonts w:asciiTheme="minorHAnsi" w:hAnsiTheme="minorHAnsi"/>
                <w:b/>
                <w:sz w:val="20"/>
                <w:szCs w:val="20"/>
              </w:rPr>
            </w:pPr>
          </w:p>
          <w:p w14:paraId="2E1E481D"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d. Are we contributing towards gender equality and </w:t>
            </w:r>
            <w:r w:rsidRPr="00A928D6">
              <w:rPr>
                <w:rFonts w:asciiTheme="minorHAnsi" w:hAnsiTheme="minorHAnsi"/>
                <w:b/>
                <w:sz w:val="20"/>
                <w:szCs w:val="20"/>
              </w:rPr>
              <w:lastRenderedPageBreak/>
              <w:t>empowering women and girls?</w:t>
            </w:r>
          </w:p>
          <w:p w14:paraId="5AC14B3D" w14:textId="77777777" w:rsidR="00A65FC0" w:rsidRPr="00A928D6" w:rsidRDefault="00A65FC0" w:rsidP="00894C6B">
            <w:pPr>
              <w:rPr>
                <w:rFonts w:asciiTheme="minorHAnsi" w:hAnsiTheme="minorHAnsi"/>
                <w:b/>
                <w:sz w:val="20"/>
                <w:szCs w:val="20"/>
              </w:rPr>
            </w:pPr>
          </w:p>
          <w:p w14:paraId="447040AC" w14:textId="77777777" w:rsidR="00A65FC0" w:rsidRPr="00A928D6" w:rsidRDefault="00A65FC0" w:rsidP="00894C6B">
            <w:pPr>
              <w:rPr>
                <w:rFonts w:asciiTheme="minorHAnsi" w:hAnsiTheme="minorHAnsi"/>
                <w:b/>
                <w:sz w:val="20"/>
                <w:szCs w:val="20"/>
              </w:rPr>
            </w:pPr>
          </w:p>
          <w:p w14:paraId="216DD456" w14:textId="77777777" w:rsidR="00A65FC0" w:rsidRPr="00A928D6" w:rsidRDefault="00A65FC0" w:rsidP="00894C6B">
            <w:pPr>
              <w:rPr>
                <w:rFonts w:asciiTheme="minorHAnsi" w:hAnsiTheme="minorHAnsi"/>
                <w:b/>
                <w:sz w:val="20"/>
                <w:szCs w:val="20"/>
              </w:rPr>
            </w:pPr>
          </w:p>
          <w:p w14:paraId="0D77B685" w14:textId="77777777" w:rsidR="00A65FC0" w:rsidRPr="00A928D6" w:rsidRDefault="00A65FC0" w:rsidP="00894C6B">
            <w:pPr>
              <w:rPr>
                <w:rFonts w:asciiTheme="minorHAnsi" w:hAnsiTheme="minorHAnsi"/>
                <w:b/>
                <w:sz w:val="20"/>
                <w:szCs w:val="20"/>
              </w:rPr>
            </w:pPr>
          </w:p>
          <w:p w14:paraId="44A1C689"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d.1 Is the program as a whole making progress as expected in effectively promoting gender equality and women’s empowerment?</w:t>
            </w:r>
          </w:p>
          <w:p w14:paraId="0D4A54C8" w14:textId="77777777" w:rsidR="00A65FC0" w:rsidRPr="00A928D6" w:rsidRDefault="00A65FC0" w:rsidP="00894C6B">
            <w:pPr>
              <w:rPr>
                <w:rFonts w:asciiTheme="minorHAnsi" w:hAnsiTheme="minorHAnsi"/>
                <w:b/>
                <w:sz w:val="20"/>
                <w:szCs w:val="20"/>
              </w:rPr>
            </w:pPr>
          </w:p>
          <w:p w14:paraId="77A33C6B" w14:textId="77777777" w:rsidR="00A65FC0" w:rsidRPr="00A928D6" w:rsidRDefault="00A65FC0" w:rsidP="00894C6B">
            <w:pPr>
              <w:rPr>
                <w:rFonts w:asciiTheme="minorHAnsi" w:hAnsiTheme="minorHAnsi"/>
                <w:b/>
                <w:sz w:val="20"/>
                <w:szCs w:val="20"/>
              </w:rPr>
            </w:pPr>
          </w:p>
          <w:p w14:paraId="4C51C4D0" w14:textId="77777777" w:rsidR="00A65FC0" w:rsidRPr="00A928D6" w:rsidRDefault="00A65FC0" w:rsidP="00894C6B">
            <w:pPr>
              <w:rPr>
                <w:rFonts w:asciiTheme="minorHAnsi" w:hAnsiTheme="minorHAnsi"/>
                <w:b/>
                <w:sz w:val="20"/>
                <w:szCs w:val="20"/>
              </w:rPr>
            </w:pPr>
          </w:p>
          <w:p w14:paraId="77F847C9"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d.2 Are the individual gender action plans being effectively utilized by partners?</w:t>
            </w:r>
          </w:p>
          <w:p w14:paraId="0AE6DD43" w14:textId="77777777" w:rsidR="00A65FC0" w:rsidRPr="00A928D6" w:rsidRDefault="00A65FC0" w:rsidP="00894C6B">
            <w:pPr>
              <w:rPr>
                <w:rFonts w:asciiTheme="minorHAnsi" w:hAnsiTheme="minorHAnsi"/>
                <w:b/>
                <w:sz w:val="20"/>
                <w:szCs w:val="20"/>
              </w:rPr>
            </w:pPr>
          </w:p>
          <w:p w14:paraId="55C314E7" w14:textId="77777777" w:rsidR="00A65FC0" w:rsidRPr="00A928D6" w:rsidRDefault="00A65FC0" w:rsidP="00894C6B">
            <w:pPr>
              <w:rPr>
                <w:rFonts w:asciiTheme="minorHAnsi" w:hAnsiTheme="minorHAnsi"/>
                <w:b/>
                <w:sz w:val="20"/>
                <w:szCs w:val="20"/>
              </w:rPr>
            </w:pPr>
          </w:p>
          <w:p w14:paraId="3805B949"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lastRenderedPageBreak/>
              <w:t>d.3 To what extent did the program contribute to the Women, Peace and Security agenda?</w:t>
            </w:r>
          </w:p>
          <w:p w14:paraId="4EA1F76A" w14:textId="77777777" w:rsidR="00A65FC0" w:rsidRPr="00A928D6" w:rsidRDefault="00A65FC0" w:rsidP="00894C6B">
            <w:pPr>
              <w:rPr>
                <w:rFonts w:asciiTheme="minorHAnsi" w:hAnsiTheme="minorHAnsi"/>
                <w:b/>
                <w:sz w:val="20"/>
                <w:szCs w:val="20"/>
              </w:rPr>
            </w:pPr>
          </w:p>
          <w:p w14:paraId="369D8BCE" w14:textId="77777777" w:rsidR="00A65FC0" w:rsidRPr="00A928D6" w:rsidRDefault="00A65FC0" w:rsidP="00894C6B">
            <w:pPr>
              <w:rPr>
                <w:rFonts w:asciiTheme="minorHAnsi" w:hAnsiTheme="minorHAnsi"/>
                <w:b/>
                <w:sz w:val="20"/>
                <w:szCs w:val="20"/>
              </w:rPr>
            </w:pPr>
          </w:p>
        </w:tc>
        <w:tc>
          <w:tcPr>
            <w:tcW w:w="2602" w:type="dxa"/>
            <w:tcBorders>
              <w:top w:val="single" w:sz="4" w:space="0" w:color="auto"/>
              <w:left w:val="single" w:sz="4" w:space="0" w:color="auto"/>
              <w:bottom w:val="single" w:sz="4" w:space="0" w:color="auto"/>
              <w:right w:val="single" w:sz="4" w:space="0" w:color="auto"/>
            </w:tcBorders>
          </w:tcPr>
          <w:p w14:paraId="55091FB2" w14:textId="77777777" w:rsidR="00A65FC0" w:rsidRPr="00A928D6" w:rsidRDefault="00A65FC0" w:rsidP="00894C6B">
            <w:pPr>
              <w:rPr>
                <w:rFonts w:asciiTheme="minorHAnsi" w:hAnsiTheme="minorHAnsi"/>
                <w:b/>
                <w:sz w:val="20"/>
                <w:szCs w:val="20"/>
              </w:rPr>
            </w:pPr>
          </w:p>
          <w:p w14:paraId="5A11E2E7" w14:textId="7EFE66C8"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Project proponent deliberately ensure</w:t>
            </w:r>
            <w:r w:rsidR="00FD479F">
              <w:rPr>
                <w:rFonts w:asciiTheme="minorHAnsi" w:hAnsiTheme="minorHAnsi"/>
                <w:bCs/>
                <w:sz w:val="20"/>
                <w:szCs w:val="20"/>
              </w:rPr>
              <w:t>d</w:t>
            </w:r>
            <w:r w:rsidRPr="00A928D6">
              <w:rPr>
                <w:rFonts w:asciiTheme="minorHAnsi" w:hAnsiTheme="minorHAnsi"/>
                <w:bCs/>
                <w:sz w:val="20"/>
                <w:szCs w:val="20"/>
              </w:rPr>
              <w:t xml:space="preserve"> women’s participation in their various activities and </w:t>
            </w:r>
            <w:r w:rsidRPr="00A928D6">
              <w:rPr>
                <w:rFonts w:asciiTheme="minorHAnsi" w:hAnsiTheme="minorHAnsi"/>
                <w:bCs/>
                <w:sz w:val="20"/>
                <w:szCs w:val="20"/>
              </w:rPr>
              <w:lastRenderedPageBreak/>
              <w:t xml:space="preserve">emphasize their critical role in peace building. </w:t>
            </w:r>
          </w:p>
          <w:p w14:paraId="7B3A9FB1" w14:textId="77777777" w:rsidR="00A65FC0" w:rsidRPr="00A928D6" w:rsidRDefault="00A65FC0" w:rsidP="00894C6B">
            <w:pPr>
              <w:rPr>
                <w:rFonts w:asciiTheme="minorHAnsi" w:hAnsiTheme="minorHAnsi"/>
                <w:bCs/>
                <w:sz w:val="20"/>
                <w:szCs w:val="20"/>
              </w:rPr>
            </w:pPr>
          </w:p>
          <w:p w14:paraId="130D3919" w14:textId="77777777" w:rsidR="00A65FC0" w:rsidRPr="00A928D6" w:rsidRDefault="00A65FC0" w:rsidP="00894C6B">
            <w:pPr>
              <w:rPr>
                <w:rFonts w:asciiTheme="minorHAnsi" w:hAnsiTheme="minorHAnsi"/>
                <w:bCs/>
                <w:sz w:val="20"/>
                <w:szCs w:val="20"/>
              </w:rPr>
            </w:pPr>
          </w:p>
          <w:p w14:paraId="7D5427DB" w14:textId="77777777" w:rsidR="00A65FC0" w:rsidRPr="00A928D6" w:rsidRDefault="00A65FC0" w:rsidP="00894C6B">
            <w:pPr>
              <w:rPr>
                <w:rFonts w:asciiTheme="minorHAnsi" w:hAnsiTheme="minorHAnsi"/>
                <w:bCs/>
                <w:sz w:val="20"/>
                <w:szCs w:val="20"/>
              </w:rPr>
            </w:pPr>
          </w:p>
          <w:p w14:paraId="2089EA1B" w14:textId="77777777" w:rsidR="00A65FC0" w:rsidRPr="00A928D6" w:rsidRDefault="00A65FC0" w:rsidP="00894C6B">
            <w:pPr>
              <w:rPr>
                <w:rFonts w:asciiTheme="minorHAnsi" w:hAnsiTheme="minorHAnsi"/>
                <w:bCs/>
                <w:sz w:val="20"/>
                <w:szCs w:val="20"/>
              </w:rPr>
            </w:pPr>
          </w:p>
          <w:p w14:paraId="61EE2ED4" w14:textId="04A969C3" w:rsidR="00DB7675" w:rsidRPr="00A928D6" w:rsidRDefault="00A65FC0" w:rsidP="00FD479F">
            <w:pPr>
              <w:rPr>
                <w:rFonts w:ascii="Cambria" w:hAnsi="Cambria"/>
                <w:bCs/>
                <w:sz w:val="20"/>
                <w:szCs w:val="20"/>
              </w:rPr>
            </w:pPr>
            <w:r w:rsidRPr="00A928D6">
              <w:rPr>
                <w:rFonts w:asciiTheme="minorHAnsi" w:hAnsiTheme="minorHAnsi"/>
                <w:bCs/>
                <w:sz w:val="20"/>
                <w:szCs w:val="20"/>
              </w:rPr>
              <w:t xml:space="preserve">Previous assessment of IA noted its project’s inadequate attention on gender issues.  Current projects now have made sure </w:t>
            </w:r>
            <w:r w:rsidRPr="00A928D6">
              <w:rPr>
                <w:rFonts w:ascii="Cambria" w:hAnsi="Cambria"/>
                <w:bCs/>
                <w:sz w:val="24"/>
                <w:szCs w:val="24"/>
              </w:rPr>
              <w:t>that women empowerment and gender equality are embed</w:t>
            </w:r>
            <w:r w:rsidRPr="00A928D6">
              <w:rPr>
                <w:rFonts w:ascii="Cambria" w:hAnsi="Cambria"/>
                <w:bCs/>
                <w:sz w:val="20"/>
                <w:szCs w:val="20"/>
              </w:rPr>
              <w:t>ded in the project activities.</w:t>
            </w:r>
            <w:r w:rsidR="00066E88" w:rsidRPr="00A928D6">
              <w:rPr>
                <w:rFonts w:ascii="Cambria" w:hAnsi="Cambria"/>
                <w:sz w:val="20"/>
                <w:szCs w:val="20"/>
              </w:rPr>
              <w:t xml:space="preserve"> </w:t>
            </w:r>
            <w:r w:rsidR="00DB7675" w:rsidRPr="00A928D6">
              <w:rPr>
                <w:rFonts w:ascii="Cambria" w:eastAsiaTheme="minorEastAsia" w:hAnsi="Cambria" w:cs="AppleSystemUIFont"/>
                <w:sz w:val="20"/>
                <w:szCs w:val="20"/>
                <w:lang w:val="en-GB" w:eastAsia="en-US"/>
              </w:rPr>
              <w:t>The</w:t>
            </w:r>
            <w:r w:rsidR="00066E88" w:rsidRPr="00A928D6">
              <w:rPr>
                <w:rFonts w:ascii="Cambria" w:eastAsiaTheme="minorEastAsia" w:hAnsi="Cambria" w:cs="AppleSystemUIFont"/>
                <w:sz w:val="20"/>
                <w:szCs w:val="20"/>
                <w:lang w:val="en-GB" w:eastAsia="en-US"/>
              </w:rPr>
              <w:t xml:space="preserve"> current </w:t>
            </w:r>
            <w:r w:rsidR="00DB7675" w:rsidRPr="00A928D6">
              <w:rPr>
                <w:rFonts w:ascii="Cambria" w:eastAsiaTheme="minorEastAsia" w:hAnsi="Cambria" w:cs="AppleSystemUIFont"/>
                <w:sz w:val="20"/>
                <w:szCs w:val="20"/>
                <w:lang w:val="en-GB" w:eastAsia="en-US"/>
              </w:rPr>
              <w:t>Conflict Sensitive Gender Action Plan (CSGAP) is well structured but should be reviewed</w:t>
            </w:r>
            <w:r w:rsidR="00066E88" w:rsidRPr="00A928D6">
              <w:rPr>
                <w:rFonts w:ascii="Cambria" w:eastAsiaTheme="minorEastAsia" w:hAnsi="Cambria" w:cs="AppleSystemUIFont"/>
                <w:sz w:val="20"/>
                <w:szCs w:val="20"/>
                <w:lang w:val="en-GB" w:eastAsia="en-US"/>
              </w:rPr>
              <w:t xml:space="preserve"> particularly on how changes are measured over time.</w:t>
            </w:r>
          </w:p>
          <w:p w14:paraId="666354B3" w14:textId="77777777" w:rsidR="00A65FC0" w:rsidRPr="00A928D6" w:rsidRDefault="00A65FC0" w:rsidP="00894C6B">
            <w:pPr>
              <w:rPr>
                <w:rFonts w:asciiTheme="minorHAnsi" w:hAnsiTheme="minorHAnsi"/>
                <w:bCs/>
                <w:sz w:val="20"/>
                <w:szCs w:val="20"/>
              </w:rPr>
            </w:pPr>
          </w:p>
          <w:p w14:paraId="0BB5446D" w14:textId="77777777" w:rsidR="00A65FC0" w:rsidRPr="00A928D6" w:rsidRDefault="00A65FC0" w:rsidP="00894C6B">
            <w:pPr>
              <w:rPr>
                <w:rFonts w:asciiTheme="minorHAnsi" w:hAnsiTheme="minorHAnsi"/>
                <w:bCs/>
                <w:sz w:val="20"/>
                <w:szCs w:val="20"/>
              </w:rPr>
            </w:pPr>
          </w:p>
          <w:p w14:paraId="440EC491" w14:textId="77777777" w:rsidR="00A65FC0" w:rsidRPr="00A928D6" w:rsidRDefault="00A65FC0" w:rsidP="00894C6B">
            <w:pPr>
              <w:rPr>
                <w:rFonts w:asciiTheme="minorHAnsi" w:hAnsiTheme="minorHAnsi"/>
                <w:bCs/>
                <w:sz w:val="20"/>
                <w:szCs w:val="20"/>
              </w:rPr>
            </w:pPr>
          </w:p>
          <w:p w14:paraId="4FB7163D" w14:textId="2FDF7852"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Difficult to determine because of </w:t>
            </w:r>
            <w:r w:rsidR="0002234D">
              <w:rPr>
                <w:rFonts w:asciiTheme="minorHAnsi" w:hAnsiTheme="minorHAnsi"/>
                <w:bCs/>
                <w:sz w:val="20"/>
                <w:szCs w:val="20"/>
              </w:rPr>
              <w:t xml:space="preserve">limited </w:t>
            </w:r>
            <w:r w:rsidRPr="00A928D6">
              <w:rPr>
                <w:rFonts w:asciiTheme="minorHAnsi" w:hAnsiTheme="minorHAnsi"/>
                <w:bCs/>
                <w:sz w:val="20"/>
                <w:szCs w:val="20"/>
              </w:rPr>
              <w:t>documentation on this parameter</w:t>
            </w:r>
            <w:r w:rsidR="0002234D">
              <w:rPr>
                <w:rFonts w:asciiTheme="minorHAnsi" w:hAnsiTheme="minorHAnsi"/>
                <w:bCs/>
                <w:sz w:val="20"/>
                <w:szCs w:val="20"/>
              </w:rPr>
              <w:t>, apart from sex-disaggregated figures and anecdotal reports</w:t>
            </w:r>
            <w:r w:rsidRPr="00A928D6">
              <w:rPr>
                <w:rFonts w:asciiTheme="minorHAnsi" w:hAnsiTheme="minorHAnsi"/>
                <w:bCs/>
                <w:sz w:val="20"/>
                <w:szCs w:val="20"/>
              </w:rPr>
              <w:t>.</w:t>
            </w:r>
          </w:p>
        </w:tc>
        <w:tc>
          <w:tcPr>
            <w:tcW w:w="2855" w:type="dxa"/>
            <w:tcBorders>
              <w:top w:val="single" w:sz="4" w:space="0" w:color="auto"/>
              <w:left w:val="single" w:sz="4" w:space="0" w:color="auto"/>
              <w:bottom w:val="single" w:sz="4" w:space="0" w:color="auto"/>
              <w:right w:val="single" w:sz="4" w:space="0" w:color="auto"/>
            </w:tcBorders>
          </w:tcPr>
          <w:p w14:paraId="3DDCFE8C" w14:textId="77777777" w:rsidR="00A65FC0" w:rsidRPr="00A928D6" w:rsidRDefault="00A65FC0" w:rsidP="00894C6B">
            <w:pPr>
              <w:rPr>
                <w:rFonts w:asciiTheme="minorHAnsi" w:hAnsiTheme="minorHAnsi"/>
                <w:b/>
                <w:sz w:val="20"/>
                <w:szCs w:val="20"/>
              </w:rPr>
            </w:pPr>
          </w:p>
          <w:p w14:paraId="621E1946"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 xml:space="preserve">The project sponsored forum devoted solely for women to increase their understanding of BOL and encourage their </w:t>
            </w:r>
            <w:r w:rsidRPr="00A928D6">
              <w:rPr>
                <w:rFonts w:asciiTheme="minorHAnsi" w:hAnsiTheme="minorHAnsi"/>
                <w:bCs/>
                <w:sz w:val="20"/>
                <w:szCs w:val="20"/>
              </w:rPr>
              <w:lastRenderedPageBreak/>
              <w:t xml:space="preserve">participation in the electoral process.  It also engaged mothers residing in areas where VE groups are operating/influencing. </w:t>
            </w:r>
          </w:p>
          <w:p w14:paraId="37BC7928" w14:textId="77777777" w:rsidR="00A65FC0" w:rsidRPr="00A928D6" w:rsidRDefault="00A65FC0" w:rsidP="00894C6B">
            <w:pPr>
              <w:rPr>
                <w:rFonts w:asciiTheme="minorHAnsi" w:hAnsiTheme="minorHAnsi"/>
                <w:bCs/>
                <w:sz w:val="20"/>
                <w:szCs w:val="20"/>
              </w:rPr>
            </w:pPr>
          </w:p>
          <w:p w14:paraId="5480CE7E" w14:textId="2B17AF91"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Project made a conscious effort in ensuring women’s participation in dialogues, consultations and various public gatherings it conducted.  Project reported that almost half of their participants in said public gatherings are women.</w:t>
            </w:r>
            <w:r w:rsidR="00FD479F">
              <w:rPr>
                <w:rFonts w:asciiTheme="minorHAnsi" w:hAnsiTheme="minorHAnsi"/>
                <w:bCs/>
                <w:sz w:val="20"/>
                <w:szCs w:val="20"/>
              </w:rPr>
              <w:t xml:space="preserve"> </w:t>
            </w:r>
            <w:r w:rsidR="00FD479F" w:rsidRPr="00FD479F">
              <w:rPr>
                <w:rFonts w:asciiTheme="minorHAnsi" w:hAnsiTheme="minorHAnsi"/>
                <w:bCs/>
                <w:sz w:val="20"/>
                <w:szCs w:val="20"/>
              </w:rPr>
              <w:t xml:space="preserve">Partners noted that </w:t>
            </w:r>
            <w:r w:rsidR="00FD479F" w:rsidRPr="00A928D6">
              <w:rPr>
                <w:rFonts w:asciiTheme="minorHAnsi" w:eastAsiaTheme="minorEastAsia" w:hAnsiTheme="minorHAnsi" w:cs="AppleSystemUIFont"/>
                <w:sz w:val="20"/>
                <w:szCs w:val="20"/>
                <w:lang w:val="en-GB" w:eastAsia="en-US"/>
              </w:rPr>
              <w:t xml:space="preserve">current engagement has started to create space and opportunities for the next generation of female peace and development workers. </w:t>
            </w:r>
          </w:p>
          <w:p w14:paraId="6C7EA53E" w14:textId="77777777" w:rsidR="00A65FC0" w:rsidRPr="00A928D6" w:rsidRDefault="00A65FC0" w:rsidP="00894C6B">
            <w:pPr>
              <w:rPr>
                <w:rFonts w:asciiTheme="minorHAnsi" w:hAnsiTheme="minorHAnsi"/>
                <w:bCs/>
                <w:sz w:val="20"/>
                <w:szCs w:val="20"/>
              </w:rPr>
            </w:pPr>
          </w:p>
          <w:p w14:paraId="519623D3" w14:textId="77777777" w:rsidR="00A65FC0" w:rsidRPr="00A928D6" w:rsidRDefault="00A65FC0" w:rsidP="00894C6B">
            <w:pPr>
              <w:rPr>
                <w:rFonts w:asciiTheme="minorHAnsi" w:hAnsiTheme="minorHAnsi"/>
                <w:bCs/>
                <w:sz w:val="20"/>
                <w:szCs w:val="20"/>
              </w:rPr>
            </w:pPr>
          </w:p>
          <w:p w14:paraId="07E92980" w14:textId="0FBF7BFE" w:rsidR="00A65FC0" w:rsidRPr="00A928D6" w:rsidRDefault="00DB7675" w:rsidP="00894C6B">
            <w:pPr>
              <w:rPr>
                <w:rFonts w:asciiTheme="minorHAnsi" w:hAnsiTheme="minorHAnsi"/>
                <w:bCs/>
                <w:sz w:val="20"/>
                <w:szCs w:val="20"/>
              </w:rPr>
            </w:pPr>
            <w:r w:rsidRPr="00A928D6">
              <w:rPr>
                <w:rFonts w:asciiTheme="minorHAnsi" w:eastAsiaTheme="minorEastAsia" w:hAnsiTheme="minorHAnsi" w:cs="AppleSystemUIFont"/>
                <w:sz w:val="20"/>
                <w:szCs w:val="20"/>
                <w:lang w:val="en-GB" w:eastAsia="en-US"/>
              </w:rPr>
              <w:lastRenderedPageBreak/>
              <w:t xml:space="preserve">CSGAP should be reviewed. Level of transformation of gender disparities achieved or contribution to WPS is </w:t>
            </w:r>
            <w:r w:rsidRPr="00A928D6">
              <w:rPr>
                <w:rFonts w:asciiTheme="minorHAnsi" w:hAnsiTheme="minorHAnsi"/>
                <w:sz w:val="20"/>
                <w:szCs w:val="20"/>
              </w:rPr>
              <w:t>d</w:t>
            </w:r>
            <w:r w:rsidRPr="00FD479F">
              <w:rPr>
                <w:rFonts w:asciiTheme="minorHAnsi" w:hAnsiTheme="minorHAnsi"/>
                <w:bCs/>
                <w:sz w:val="20"/>
                <w:szCs w:val="20"/>
              </w:rPr>
              <w:t>ifficult to measure because there is no detailed matrix provided to measure this objective, apart from sex-disaggregated figures and anecdotal reports.</w:t>
            </w:r>
          </w:p>
          <w:p w14:paraId="16E9D0CB" w14:textId="77777777" w:rsidR="00A65FC0" w:rsidRPr="00A928D6" w:rsidRDefault="00A65FC0" w:rsidP="00894C6B">
            <w:pPr>
              <w:rPr>
                <w:rFonts w:asciiTheme="minorHAnsi" w:hAnsiTheme="minorHAnsi"/>
                <w:bCs/>
                <w:sz w:val="20"/>
                <w:szCs w:val="20"/>
              </w:rPr>
            </w:pPr>
          </w:p>
          <w:p w14:paraId="2FD688D7" w14:textId="77777777" w:rsidR="00A65FC0" w:rsidRPr="00A928D6" w:rsidRDefault="00A65FC0" w:rsidP="00894C6B">
            <w:pPr>
              <w:rPr>
                <w:rFonts w:asciiTheme="minorHAnsi" w:hAnsiTheme="minorHAnsi"/>
                <w:bCs/>
                <w:sz w:val="20"/>
                <w:szCs w:val="20"/>
              </w:rPr>
            </w:pPr>
          </w:p>
          <w:p w14:paraId="544C790B" w14:textId="77777777" w:rsidR="00A65FC0" w:rsidRPr="00A928D6" w:rsidRDefault="00A65FC0" w:rsidP="00894C6B">
            <w:pPr>
              <w:rPr>
                <w:rFonts w:asciiTheme="minorHAnsi" w:hAnsiTheme="minorHAnsi"/>
                <w:bCs/>
                <w:sz w:val="20"/>
                <w:szCs w:val="20"/>
              </w:rPr>
            </w:pPr>
          </w:p>
          <w:p w14:paraId="14CC8C24" w14:textId="77777777" w:rsidR="00A65FC0" w:rsidRPr="00A928D6" w:rsidRDefault="00A65FC0" w:rsidP="00894C6B">
            <w:pPr>
              <w:rPr>
                <w:rFonts w:asciiTheme="minorHAnsi" w:hAnsiTheme="minorHAnsi"/>
                <w:bCs/>
                <w:sz w:val="20"/>
                <w:szCs w:val="20"/>
              </w:rPr>
            </w:pPr>
          </w:p>
          <w:p w14:paraId="6DD2EAE4" w14:textId="56EE3D19" w:rsidR="00A65FC0" w:rsidRPr="00A928D6" w:rsidRDefault="00A65FC0" w:rsidP="00894C6B">
            <w:pPr>
              <w:rPr>
                <w:rFonts w:asciiTheme="minorHAnsi" w:hAnsiTheme="minorHAnsi"/>
                <w:bCs/>
                <w:sz w:val="20"/>
                <w:szCs w:val="20"/>
              </w:rPr>
            </w:pPr>
          </w:p>
        </w:tc>
        <w:tc>
          <w:tcPr>
            <w:tcW w:w="2113" w:type="dxa"/>
            <w:tcBorders>
              <w:top w:val="single" w:sz="4" w:space="0" w:color="auto"/>
              <w:left w:val="single" w:sz="4" w:space="0" w:color="auto"/>
              <w:bottom w:val="single" w:sz="4" w:space="0" w:color="auto"/>
              <w:right w:val="single" w:sz="4" w:space="0" w:color="auto"/>
            </w:tcBorders>
          </w:tcPr>
          <w:p w14:paraId="4F8A22D7"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lastRenderedPageBreak/>
              <w:t xml:space="preserve">CARE has an explicit </w:t>
            </w:r>
            <w:proofErr w:type="gramStart"/>
            <w:r w:rsidRPr="00A928D6">
              <w:rPr>
                <w:rFonts w:asciiTheme="minorHAnsi" w:hAnsiTheme="minorHAnsi"/>
                <w:sz w:val="20"/>
                <w:szCs w:val="20"/>
              </w:rPr>
              <w:t>and  strong</w:t>
            </w:r>
            <w:proofErr w:type="gramEnd"/>
            <w:r w:rsidRPr="00A928D6">
              <w:rPr>
                <w:rFonts w:asciiTheme="minorHAnsi" w:hAnsiTheme="minorHAnsi"/>
                <w:sz w:val="20"/>
                <w:szCs w:val="20"/>
              </w:rPr>
              <w:t xml:space="preserve"> focus on women engagement under Objective 1 on women </w:t>
            </w:r>
            <w:r w:rsidRPr="00A928D6">
              <w:rPr>
                <w:rFonts w:asciiTheme="minorHAnsi" w:hAnsiTheme="minorHAnsi"/>
                <w:sz w:val="20"/>
                <w:szCs w:val="20"/>
              </w:rPr>
              <w:lastRenderedPageBreak/>
              <w:t>empowerment, Objective 3 on increasing community cohesion and resilience on engaging young women and women leaders, and psychosocial support for affected mothers.</w:t>
            </w:r>
          </w:p>
          <w:p w14:paraId="01676F3F" w14:textId="77777777" w:rsidR="00A65FC0" w:rsidRPr="00A928D6" w:rsidRDefault="00A65FC0" w:rsidP="00894C6B">
            <w:pPr>
              <w:rPr>
                <w:rFonts w:asciiTheme="minorHAnsi" w:hAnsiTheme="minorHAnsi"/>
                <w:sz w:val="20"/>
                <w:szCs w:val="20"/>
              </w:rPr>
            </w:pPr>
          </w:p>
          <w:p w14:paraId="2ED45D76" w14:textId="68CB5C6A"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Gender action plan as reflected in the project design and reports is specified in terms of engagement of young women and woman-leaders and support to affected mothers.   </w:t>
            </w:r>
            <w:r w:rsidR="00FD479F" w:rsidRPr="00FD479F">
              <w:rPr>
                <w:rFonts w:asciiTheme="minorHAnsi" w:hAnsiTheme="minorHAnsi"/>
                <w:sz w:val="20"/>
                <w:szCs w:val="20"/>
              </w:rPr>
              <w:t xml:space="preserve">Women-led and focused organizations are engaged as </w:t>
            </w:r>
            <w:r w:rsidR="00FD479F" w:rsidRPr="00FD479F">
              <w:rPr>
                <w:rFonts w:asciiTheme="minorHAnsi" w:hAnsiTheme="minorHAnsi"/>
                <w:sz w:val="20"/>
                <w:szCs w:val="20"/>
              </w:rPr>
              <w:lastRenderedPageBreak/>
              <w:t>subgrantees and community partners.</w:t>
            </w:r>
          </w:p>
          <w:p w14:paraId="24124FFA" w14:textId="77777777" w:rsidR="00A65FC0" w:rsidRPr="00A928D6" w:rsidRDefault="00A65FC0" w:rsidP="00894C6B">
            <w:pPr>
              <w:rPr>
                <w:rFonts w:asciiTheme="minorHAnsi" w:hAnsiTheme="minorHAnsi"/>
                <w:sz w:val="20"/>
                <w:szCs w:val="20"/>
              </w:rPr>
            </w:pPr>
          </w:p>
          <w:p w14:paraId="6D92E56C" w14:textId="77777777" w:rsidR="00A65FC0" w:rsidRPr="00A928D6" w:rsidRDefault="00A65FC0" w:rsidP="00894C6B">
            <w:pPr>
              <w:rPr>
                <w:rFonts w:asciiTheme="minorHAnsi" w:hAnsiTheme="minorHAnsi"/>
                <w:sz w:val="20"/>
                <w:szCs w:val="20"/>
              </w:rPr>
            </w:pPr>
          </w:p>
          <w:p w14:paraId="526F3BE4"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In order for DFAT investment to have an explicit connection with the global Women, Peace and Security ((WPS) Index, future engagement and programming to Muslim Mindanao should foreshadow the WPS indicators on inclusion, justice and security, even on an exploratory basis given the nature of traditional and cultural contexts </w:t>
            </w:r>
            <w:r w:rsidRPr="00A928D6">
              <w:rPr>
                <w:rFonts w:asciiTheme="minorHAnsi" w:hAnsiTheme="minorHAnsi"/>
                <w:sz w:val="20"/>
                <w:szCs w:val="20"/>
              </w:rPr>
              <w:lastRenderedPageBreak/>
              <w:t>prevailing in the region.</w:t>
            </w:r>
          </w:p>
        </w:tc>
        <w:tc>
          <w:tcPr>
            <w:tcW w:w="2113" w:type="dxa"/>
            <w:tcBorders>
              <w:top w:val="single" w:sz="4" w:space="0" w:color="auto"/>
              <w:left w:val="single" w:sz="4" w:space="0" w:color="auto"/>
              <w:bottom w:val="single" w:sz="4" w:space="0" w:color="auto"/>
              <w:right w:val="single" w:sz="4" w:space="0" w:color="auto"/>
            </w:tcBorders>
          </w:tcPr>
          <w:p w14:paraId="1059741F"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lastRenderedPageBreak/>
              <w:t xml:space="preserve">HD strives to improve women participation in its activities. The continuing </w:t>
            </w:r>
            <w:r w:rsidRPr="00A928D6">
              <w:rPr>
                <w:rFonts w:asciiTheme="minorHAnsi" w:hAnsiTheme="minorHAnsi"/>
                <w:sz w:val="20"/>
                <w:szCs w:val="20"/>
              </w:rPr>
              <w:lastRenderedPageBreak/>
              <w:t xml:space="preserve">engagement of the MNLF women’s committee and the MILF social affairs committee are strategies get more women engaged in the development process. MNLF woman-leader </w:t>
            </w:r>
            <w:proofErr w:type="spellStart"/>
            <w:r w:rsidRPr="00A928D6">
              <w:rPr>
                <w:rFonts w:asciiTheme="minorHAnsi" w:hAnsiTheme="minorHAnsi"/>
                <w:sz w:val="20"/>
                <w:szCs w:val="20"/>
              </w:rPr>
              <w:t>Hadja</w:t>
            </w:r>
            <w:proofErr w:type="spellEnd"/>
            <w:r w:rsidRPr="00A928D6">
              <w:rPr>
                <w:rFonts w:asciiTheme="minorHAnsi" w:hAnsiTheme="minorHAnsi"/>
                <w:sz w:val="20"/>
                <w:szCs w:val="20"/>
              </w:rPr>
              <w:t xml:space="preserve"> </w:t>
            </w:r>
            <w:proofErr w:type="spellStart"/>
            <w:r w:rsidRPr="00A928D6">
              <w:rPr>
                <w:rFonts w:asciiTheme="minorHAnsi" w:hAnsiTheme="minorHAnsi"/>
                <w:sz w:val="20"/>
                <w:szCs w:val="20"/>
              </w:rPr>
              <w:t>Bainon</w:t>
            </w:r>
            <w:proofErr w:type="spellEnd"/>
            <w:r w:rsidRPr="00A928D6">
              <w:rPr>
                <w:rFonts w:asciiTheme="minorHAnsi" w:hAnsiTheme="minorHAnsi"/>
                <w:sz w:val="20"/>
                <w:szCs w:val="20"/>
              </w:rPr>
              <w:t xml:space="preserve"> Karon and MILF woman leader Aida </w:t>
            </w:r>
            <w:proofErr w:type="spellStart"/>
            <w:r w:rsidRPr="00A928D6">
              <w:rPr>
                <w:rFonts w:asciiTheme="minorHAnsi" w:hAnsiTheme="minorHAnsi"/>
                <w:sz w:val="20"/>
                <w:szCs w:val="20"/>
              </w:rPr>
              <w:t>Silongan</w:t>
            </w:r>
            <w:proofErr w:type="spellEnd"/>
            <w:r w:rsidRPr="00A928D6">
              <w:rPr>
                <w:rFonts w:asciiTheme="minorHAnsi" w:hAnsiTheme="minorHAnsi"/>
                <w:sz w:val="20"/>
                <w:szCs w:val="20"/>
              </w:rPr>
              <w:t xml:space="preserve"> are considered champions of women’s causes in the region. However, the real challenge is beyond personality-based engaged to get more ordinary Moro women engaged. TSS also promoted spaces </w:t>
            </w:r>
            <w:r w:rsidRPr="00A928D6">
              <w:rPr>
                <w:rFonts w:asciiTheme="minorHAnsi" w:hAnsiTheme="minorHAnsi"/>
                <w:sz w:val="20"/>
                <w:szCs w:val="20"/>
              </w:rPr>
              <w:lastRenderedPageBreak/>
              <w:t xml:space="preserve">and developed local women involvement in conflict mediation.   </w:t>
            </w:r>
          </w:p>
        </w:tc>
        <w:tc>
          <w:tcPr>
            <w:tcW w:w="2113" w:type="dxa"/>
            <w:tcBorders>
              <w:top w:val="single" w:sz="4" w:space="0" w:color="auto"/>
              <w:left w:val="single" w:sz="4" w:space="0" w:color="auto"/>
              <w:bottom w:val="single" w:sz="4" w:space="0" w:color="auto"/>
              <w:right w:val="single" w:sz="4" w:space="0" w:color="auto"/>
            </w:tcBorders>
          </w:tcPr>
          <w:p w14:paraId="52C87804"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lastRenderedPageBreak/>
              <w:t xml:space="preserve">WELD Peace project have explicit gender focus, and therefore contribute to empowering women </w:t>
            </w:r>
            <w:r w:rsidRPr="00A928D6">
              <w:rPr>
                <w:rFonts w:asciiTheme="minorHAnsi" w:hAnsiTheme="minorHAnsi"/>
                <w:sz w:val="20"/>
                <w:szCs w:val="20"/>
              </w:rPr>
              <w:lastRenderedPageBreak/>
              <w:t>and developing women leaders in Moro communities, and actively engaging them in the peace process and in voicing their development agenda.</w:t>
            </w:r>
          </w:p>
          <w:p w14:paraId="6FB1187A" w14:textId="77777777" w:rsidR="00A65FC0" w:rsidRPr="00A928D6" w:rsidRDefault="00A65FC0" w:rsidP="00894C6B">
            <w:pPr>
              <w:rPr>
                <w:rFonts w:asciiTheme="minorHAnsi" w:hAnsiTheme="minorHAnsi"/>
                <w:sz w:val="20"/>
                <w:szCs w:val="20"/>
              </w:rPr>
            </w:pPr>
          </w:p>
          <w:p w14:paraId="7804F727"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Very explicit progress in terms of promoting the gender agenda.</w:t>
            </w:r>
          </w:p>
          <w:p w14:paraId="718A96AA" w14:textId="77777777" w:rsidR="00A65FC0" w:rsidRPr="00A928D6" w:rsidRDefault="00A65FC0" w:rsidP="00894C6B">
            <w:pPr>
              <w:rPr>
                <w:rFonts w:asciiTheme="minorHAnsi" w:hAnsiTheme="minorHAnsi"/>
                <w:sz w:val="20"/>
                <w:szCs w:val="20"/>
              </w:rPr>
            </w:pPr>
          </w:p>
          <w:p w14:paraId="6CC2EF91" w14:textId="77777777" w:rsidR="00A65FC0" w:rsidRPr="00A928D6" w:rsidRDefault="00A65FC0" w:rsidP="00894C6B">
            <w:pPr>
              <w:rPr>
                <w:rFonts w:asciiTheme="minorHAnsi" w:hAnsiTheme="minorHAnsi"/>
                <w:sz w:val="20"/>
                <w:szCs w:val="20"/>
              </w:rPr>
            </w:pPr>
          </w:p>
          <w:p w14:paraId="0D6D789A" w14:textId="77777777" w:rsidR="00A65FC0" w:rsidRPr="00A928D6" w:rsidRDefault="00A65FC0" w:rsidP="00894C6B">
            <w:pPr>
              <w:rPr>
                <w:rFonts w:asciiTheme="minorHAnsi" w:hAnsiTheme="minorHAnsi"/>
                <w:sz w:val="20"/>
                <w:szCs w:val="20"/>
              </w:rPr>
            </w:pPr>
          </w:p>
          <w:p w14:paraId="3BB86737" w14:textId="77777777" w:rsidR="00A65FC0" w:rsidRPr="00A928D6" w:rsidRDefault="00A65FC0" w:rsidP="00894C6B">
            <w:pPr>
              <w:rPr>
                <w:rFonts w:asciiTheme="minorHAnsi" w:hAnsiTheme="minorHAnsi"/>
                <w:sz w:val="20"/>
                <w:szCs w:val="20"/>
              </w:rPr>
            </w:pPr>
          </w:p>
          <w:p w14:paraId="2C5C7675" w14:textId="77777777" w:rsidR="00A65FC0" w:rsidRPr="00A928D6" w:rsidRDefault="00A65FC0" w:rsidP="00894C6B">
            <w:pPr>
              <w:rPr>
                <w:rFonts w:asciiTheme="minorHAnsi" w:hAnsiTheme="minorHAnsi"/>
                <w:sz w:val="20"/>
                <w:szCs w:val="20"/>
              </w:rPr>
            </w:pPr>
          </w:p>
          <w:p w14:paraId="7239394C" w14:textId="77777777" w:rsidR="00A65FC0" w:rsidRPr="00A928D6" w:rsidRDefault="00A65FC0" w:rsidP="00894C6B">
            <w:pPr>
              <w:rPr>
                <w:rFonts w:asciiTheme="minorHAnsi" w:hAnsiTheme="minorHAnsi"/>
                <w:sz w:val="20"/>
                <w:szCs w:val="20"/>
              </w:rPr>
            </w:pPr>
            <w:r w:rsidRPr="00A928D6">
              <w:rPr>
                <w:rFonts w:asciiTheme="minorHAnsi" w:hAnsiTheme="minorHAnsi"/>
                <w:sz w:val="20"/>
                <w:szCs w:val="20"/>
              </w:rPr>
              <w:t xml:space="preserve">The development agenda developed through a national conference is being utilized by local civil </w:t>
            </w:r>
            <w:r w:rsidRPr="00A928D6">
              <w:rPr>
                <w:rFonts w:asciiTheme="minorHAnsi" w:hAnsiTheme="minorHAnsi"/>
                <w:sz w:val="20"/>
                <w:szCs w:val="20"/>
              </w:rPr>
              <w:lastRenderedPageBreak/>
              <w:t>society partners and women leaders as they work and advocate with their local and regional governments, calling for women’s presence and voices in LGU consultations and dialogues,  provision of economic opportunities and wider dissemination and education on the women’s rights.</w:t>
            </w:r>
          </w:p>
        </w:tc>
      </w:tr>
      <w:tr w:rsidR="00A65FC0" w:rsidRPr="0002234D" w14:paraId="26D21AC6" w14:textId="77777777" w:rsidTr="00894C6B">
        <w:tc>
          <w:tcPr>
            <w:tcW w:w="2005" w:type="dxa"/>
            <w:tcBorders>
              <w:top w:val="single" w:sz="4" w:space="0" w:color="auto"/>
              <w:left w:val="single" w:sz="4" w:space="0" w:color="auto"/>
              <w:bottom w:val="single" w:sz="4" w:space="0" w:color="auto"/>
              <w:right w:val="single" w:sz="4" w:space="0" w:color="auto"/>
            </w:tcBorders>
          </w:tcPr>
          <w:p w14:paraId="05162840"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lastRenderedPageBreak/>
              <w:t xml:space="preserve">5.  Disability Inclusion </w:t>
            </w:r>
          </w:p>
        </w:tc>
        <w:tc>
          <w:tcPr>
            <w:tcW w:w="2602" w:type="dxa"/>
            <w:tcBorders>
              <w:top w:val="single" w:sz="4" w:space="0" w:color="auto"/>
              <w:left w:val="single" w:sz="4" w:space="0" w:color="auto"/>
              <w:bottom w:val="single" w:sz="4" w:space="0" w:color="auto"/>
              <w:right w:val="single" w:sz="4" w:space="0" w:color="auto"/>
            </w:tcBorders>
          </w:tcPr>
          <w:p w14:paraId="3E12CA42" w14:textId="77777777" w:rsidR="00A65FC0" w:rsidRPr="00A928D6" w:rsidRDefault="00A65FC0" w:rsidP="00894C6B">
            <w:pPr>
              <w:rPr>
                <w:rFonts w:asciiTheme="minorHAnsi" w:hAnsiTheme="minorHAnsi"/>
                <w:b/>
                <w:sz w:val="20"/>
                <w:szCs w:val="20"/>
              </w:rPr>
            </w:pPr>
          </w:p>
        </w:tc>
        <w:tc>
          <w:tcPr>
            <w:tcW w:w="2855" w:type="dxa"/>
            <w:tcBorders>
              <w:top w:val="single" w:sz="4" w:space="0" w:color="auto"/>
              <w:left w:val="single" w:sz="4" w:space="0" w:color="auto"/>
              <w:bottom w:val="single" w:sz="4" w:space="0" w:color="auto"/>
              <w:right w:val="single" w:sz="4" w:space="0" w:color="auto"/>
            </w:tcBorders>
          </w:tcPr>
          <w:p w14:paraId="71E629DA"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5E09545"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33CB4252" w14:textId="77777777" w:rsidR="00A65FC0" w:rsidRPr="00A928D6" w:rsidRDefault="00A65FC0" w:rsidP="00894C6B">
            <w:pPr>
              <w:rPr>
                <w:rFonts w:asciiTheme="minorHAnsi" w:hAnsiTheme="minorHAnsi"/>
                <w:b/>
                <w:sz w:val="20"/>
                <w:szCs w:val="20"/>
              </w:rPr>
            </w:pPr>
          </w:p>
        </w:tc>
        <w:tc>
          <w:tcPr>
            <w:tcW w:w="2113" w:type="dxa"/>
            <w:tcBorders>
              <w:top w:val="single" w:sz="4" w:space="0" w:color="auto"/>
              <w:left w:val="single" w:sz="4" w:space="0" w:color="auto"/>
              <w:bottom w:val="single" w:sz="4" w:space="0" w:color="auto"/>
              <w:right w:val="single" w:sz="4" w:space="0" w:color="auto"/>
            </w:tcBorders>
          </w:tcPr>
          <w:p w14:paraId="17BC1DDB" w14:textId="77777777" w:rsidR="00A65FC0" w:rsidRPr="00A928D6" w:rsidRDefault="00A65FC0" w:rsidP="00894C6B">
            <w:pPr>
              <w:rPr>
                <w:rFonts w:asciiTheme="minorHAnsi" w:hAnsiTheme="minorHAnsi"/>
                <w:b/>
                <w:sz w:val="20"/>
                <w:szCs w:val="20"/>
              </w:rPr>
            </w:pPr>
          </w:p>
        </w:tc>
      </w:tr>
      <w:tr w:rsidR="00A65FC0" w:rsidRPr="0002234D" w14:paraId="39D1A996" w14:textId="77777777" w:rsidTr="00894C6B">
        <w:tc>
          <w:tcPr>
            <w:tcW w:w="2005" w:type="dxa"/>
            <w:tcBorders>
              <w:top w:val="single" w:sz="4" w:space="0" w:color="auto"/>
              <w:left w:val="single" w:sz="4" w:space="0" w:color="auto"/>
              <w:bottom w:val="single" w:sz="4" w:space="0" w:color="auto"/>
              <w:right w:val="single" w:sz="4" w:space="0" w:color="auto"/>
            </w:tcBorders>
          </w:tcPr>
          <w:p w14:paraId="6559EAF4"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e. Is the investment actively involve people with disabilities?</w:t>
            </w:r>
          </w:p>
        </w:tc>
        <w:tc>
          <w:tcPr>
            <w:tcW w:w="2602" w:type="dxa"/>
            <w:tcBorders>
              <w:top w:val="single" w:sz="4" w:space="0" w:color="auto"/>
              <w:left w:val="single" w:sz="4" w:space="0" w:color="auto"/>
              <w:bottom w:val="single" w:sz="4" w:space="0" w:color="auto"/>
              <w:right w:val="single" w:sz="4" w:space="0" w:color="auto"/>
            </w:tcBorders>
          </w:tcPr>
          <w:p w14:paraId="4597885A" w14:textId="0CAAD1CF"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w:t>
            </w:r>
            <w:r w:rsidR="00066E88">
              <w:rPr>
                <w:rFonts w:asciiTheme="minorHAnsi" w:hAnsiTheme="minorHAnsi"/>
                <w:bCs/>
                <w:sz w:val="20"/>
                <w:szCs w:val="20"/>
              </w:rPr>
              <w:t xml:space="preserve">. Accessibility policy for captioning of video reports in place. </w:t>
            </w:r>
          </w:p>
        </w:tc>
        <w:tc>
          <w:tcPr>
            <w:tcW w:w="2855" w:type="dxa"/>
            <w:tcBorders>
              <w:top w:val="single" w:sz="4" w:space="0" w:color="auto"/>
              <w:left w:val="single" w:sz="4" w:space="0" w:color="auto"/>
              <w:bottom w:val="single" w:sz="4" w:space="0" w:color="auto"/>
              <w:right w:val="single" w:sz="4" w:space="0" w:color="auto"/>
            </w:tcBorders>
          </w:tcPr>
          <w:p w14:paraId="6156CC3F"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Data/response not available in the report.</w:t>
            </w:r>
          </w:p>
        </w:tc>
        <w:tc>
          <w:tcPr>
            <w:tcW w:w="2113" w:type="dxa"/>
            <w:tcBorders>
              <w:top w:val="single" w:sz="4" w:space="0" w:color="auto"/>
              <w:left w:val="single" w:sz="4" w:space="0" w:color="auto"/>
              <w:bottom w:val="single" w:sz="4" w:space="0" w:color="auto"/>
              <w:right w:val="single" w:sz="4" w:space="0" w:color="auto"/>
            </w:tcBorders>
          </w:tcPr>
          <w:p w14:paraId="59E667C6" w14:textId="60873A38" w:rsidR="00A65FC0" w:rsidRDefault="00A65FC0" w:rsidP="00894C6B">
            <w:pPr>
              <w:rPr>
                <w:rFonts w:asciiTheme="minorHAnsi" w:hAnsiTheme="minorHAnsi"/>
                <w:bCs/>
                <w:sz w:val="20"/>
                <w:szCs w:val="20"/>
              </w:rPr>
            </w:pPr>
            <w:r w:rsidRPr="00A928D6">
              <w:rPr>
                <w:rFonts w:asciiTheme="minorHAnsi" w:hAnsiTheme="minorHAnsi"/>
                <w:bCs/>
                <w:sz w:val="20"/>
                <w:szCs w:val="20"/>
              </w:rPr>
              <w:t>No data available on this. The suggestion from the review team is to explore and integrate this theme in future programming either as a rapid assessment or research activity into disabled combatants, disability due to conflict or disability in a conflict situation.</w:t>
            </w:r>
          </w:p>
          <w:p w14:paraId="3ED15EDE" w14:textId="01315367" w:rsidR="00066E88" w:rsidRDefault="00066E88" w:rsidP="00894C6B">
            <w:pPr>
              <w:rPr>
                <w:rFonts w:asciiTheme="minorHAnsi" w:hAnsiTheme="minorHAnsi"/>
                <w:bCs/>
                <w:sz w:val="20"/>
                <w:szCs w:val="20"/>
              </w:rPr>
            </w:pPr>
          </w:p>
          <w:p w14:paraId="5C594758" w14:textId="6812EC42" w:rsidR="00066E88" w:rsidRPr="00A928D6" w:rsidRDefault="00066E88" w:rsidP="00894C6B">
            <w:pPr>
              <w:rPr>
                <w:rFonts w:asciiTheme="minorHAnsi" w:hAnsiTheme="minorHAnsi"/>
                <w:bCs/>
                <w:sz w:val="20"/>
                <w:szCs w:val="20"/>
              </w:rPr>
            </w:pPr>
            <w:r>
              <w:rPr>
                <w:bCs/>
                <w:sz w:val="20"/>
                <w:szCs w:val="20"/>
              </w:rPr>
              <w:t xml:space="preserve">No deliberate plan for this purpose. Partners merely saying that participants with physical disability are </w:t>
            </w:r>
            <w:r>
              <w:rPr>
                <w:bCs/>
                <w:sz w:val="20"/>
                <w:szCs w:val="20"/>
              </w:rPr>
              <w:lastRenderedPageBreak/>
              <w:t>welcomed and consideration in accommodation and transportation are provided, e.g. room at ground floor or near an elevator. Allowed a relative to assist in their movement from home to venue.</w:t>
            </w:r>
          </w:p>
          <w:p w14:paraId="7727FD6E" w14:textId="77777777" w:rsidR="00A65FC0" w:rsidRPr="00A928D6" w:rsidRDefault="00A65FC0" w:rsidP="00894C6B">
            <w:pPr>
              <w:rPr>
                <w:rFonts w:asciiTheme="minorHAnsi" w:hAnsiTheme="minorHAnsi"/>
                <w:bCs/>
                <w:sz w:val="20"/>
                <w:szCs w:val="20"/>
              </w:rPr>
            </w:pPr>
          </w:p>
        </w:tc>
        <w:tc>
          <w:tcPr>
            <w:tcW w:w="2113" w:type="dxa"/>
            <w:tcBorders>
              <w:top w:val="single" w:sz="4" w:space="0" w:color="auto"/>
              <w:left w:val="single" w:sz="4" w:space="0" w:color="auto"/>
              <w:bottom w:val="single" w:sz="4" w:space="0" w:color="auto"/>
              <w:right w:val="single" w:sz="4" w:space="0" w:color="auto"/>
            </w:tcBorders>
          </w:tcPr>
          <w:p w14:paraId="54325162"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HD had undertaken a workshop for persons with disabilities. </w:t>
            </w:r>
          </w:p>
        </w:tc>
        <w:tc>
          <w:tcPr>
            <w:tcW w:w="2113" w:type="dxa"/>
            <w:tcBorders>
              <w:top w:val="single" w:sz="4" w:space="0" w:color="auto"/>
              <w:left w:val="single" w:sz="4" w:space="0" w:color="auto"/>
              <w:bottom w:val="single" w:sz="4" w:space="0" w:color="auto"/>
              <w:right w:val="single" w:sz="4" w:space="0" w:color="auto"/>
            </w:tcBorders>
          </w:tcPr>
          <w:p w14:paraId="2968F026"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Data/response not available in the report.</w:t>
            </w:r>
          </w:p>
        </w:tc>
      </w:tr>
      <w:tr w:rsidR="00A65FC0" w:rsidRPr="0002234D" w14:paraId="6A1702AC" w14:textId="77777777" w:rsidTr="00894C6B">
        <w:tc>
          <w:tcPr>
            <w:tcW w:w="2005" w:type="dxa"/>
            <w:tcBorders>
              <w:top w:val="single" w:sz="4" w:space="0" w:color="auto"/>
              <w:left w:val="single" w:sz="4" w:space="0" w:color="auto"/>
              <w:bottom w:val="single" w:sz="4" w:space="0" w:color="auto"/>
              <w:right w:val="single" w:sz="4" w:space="0" w:color="auto"/>
            </w:tcBorders>
          </w:tcPr>
          <w:p w14:paraId="3B63B9C8"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e.1 How well does the investment actively involved people with disabilities and/or disabled peoples’ organizations in planning, </w:t>
            </w:r>
            <w:proofErr w:type="gramStart"/>
            <w:r w:rsidRPr="00A928D6">
              <w:rPr>
                <w:rFonts w:asciiTheme="minorHAnsi" w:hAnsiTheme="minorHAnsi"/>
                <w:b/>
                <w:sz w:val="20"/>
                <w:szCs w:val="20"/>
              </w:rPr>
              <w:t>implementation,  monitoring</w:t>
            </w:r>
            <w:proofErr w:type="gramEnd"/>
            <w:r w:rsidRPr="00A928D6">
              <w:rPr>
                <w:rFonts w:asciiTheme="minorHAnsi" w:hAnsiTheme="minorHAnsi"/>
                <w:b/>
                <w:sz w:val="20"/>
                <w:szCs w:val="20"/>
              </w:rPr>
              <w:t xml:space="preserve"> and evaluation?</w:t>
            </w:r>
          </w:p>
        </w:tc>
        <w:tc>
          <w:tcPr>
            <w:tcW w:w="2602" w:type="dxa"/>
            <w:tcBorders>
              <w:top w:val="single" w:sz="4" w:space="0" w:color="auto"/>
              <w:left w:val="single" w:sz="4" w:space="0" w:color="auto"/>
              <w:bottom w:val="single" w:sz="4" w:space="0" w:color="auto"/>
              <w:right w:val="single" w:sz="4" w:space="0" w:color="auto"/>
            </w:tcBorders>
          </w:tcPr>
          <w:p w14:paraId="7BDB02C5"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 on this</w:t>
            </w:r>
          </w:p>
        </w:tc>
        <w:tc>
          <w:tcPr>
            <w:tcW w:w="2855" w:type="dxa"/>
            <w:tcBorders>
              <w:top w:val="single" w:sz="4" w:space="0" w:color="auto"/>
              <w:left w:val="single" w:sz="4" w:space="0" w:color="auto"/>
              <w:bottom w:val="single" w:sz="4" w:space="0" w:color="auto"/>
              <w:right w:val="single" w:sz="4" w:space="0" w:color="auto"/>
            </w:tcBorders>
          </w:tcPr>
          <w:p w14:paraId="1C064CF5"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Data/response not available in the report.</w:t>
            </w:r>
          </w:p>
        </w:tc>
        <w:tc>
          <w:tcPr>
            <w:tcW w:w="2113" w:type="dxa"/>
            <w:tcBorders>
              <w:top w:val="single" w:sz="4" w:space="0" w:color="auto"/>
              <w:left w:val="single" w:sz="4" w:space="0" w:color="auto"/>
              <w:bottom w:val="single" w:sz="4" w:space="0" w:color="auto"/>
              <w:right w:val="single" w:sz="4" w:space="0" w:color="auto"/>
            </w:tcBorders>
          </w:tcPr>
          <w:p w14:paraId="38C3238D"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 on this</w:t>
            </w:r>
          </w:p>
        </w:tc>
        <w:tc>
          <w:tcPr>
            <w:tcW w:w="2113" w:type="dxa"/>
            <w:vMerge w:val="restart"/>
            <w:tcBorders>
              <w:top w:val="single" w:sz="4" w:space="0" w:color="auto"/>
              <w:left w:val="single" w:sz="4" w:space="0" w:color="auto"/>
              <w:right w:val="single" w:sz="4" w:space="0" w:color="auto"/>
            </w:tcBorders>
          </w:tcPr>
          <w:p w14:paraId="3137BC2E"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However, no follow-up activities have been undertaken after the workshop for PWDs.</w:t>
            </w:r>
          </w:p>
        </w:tc>
        <w:tc>
          <w:tcPr>
            <w:tcW w:w="2113" w:type="dxa"/>
            <w:tcBorders>
              <w:top w:val="single" w:sz="4" w:space="0" w:color="auto"/>
              <w:left w:val="single" w:sz="4" w:space="0" w:color="auto"/>
              <w:bottom w:val="single" w:sz="4" w:space="0" w:color="auto"/>
              <w:right w:val="single" w:sz="4" w:space="0" w:color="auto"/>
            </w:tcBorders>
          </w:tcPr>
          <w:p w14:paraId="423AF007"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 on this</w:t>
            </w:r>
          </w:p>
        </w:tc>
      </w:tr>
      <w:tr w:rsidR="00A65FC0" w:rsidRPr="0002234D" w14:paraId="0CE1232D" w14:textId="77777777" w:rsidTr="00894C6B">
        <w:tc>
          <w:tcPr>
            <w:tcW w:w="2005" w:type="dxa"/>
            <w:tcBorders>
              <w:top w:val="single" w:sz="4" w:space="0" w:color="auto"/>
              <w:left w:val="single" w:sz="4" w:space="0" w:color="auto"/>
              <w:bottom w:val="single" w:sz="4" w:space="0" w:color="auto"/>
              <w:right w:val="single" w:sz="4" w:space="0" w:color="auto"/>
            </w:tcBorders>
          </w:tcPr>
          <w:p w14:paraId="0FCE814A" w14:textId="77777777" w:rsidR="00A65FC0" w:rsidRPr="00A928D6" w:rsidRDefault="00A65FC0" w:rsidP="00894C6B">
            <w:pPr>
              <w:rPr>
                <w:rFonts w:asciiTheme="minorHAnsi" w:hAnsiTheme="minorHAnsi"/>
                <w:b/>
                <w:sz w:val="20"/>
                <w:szCs w:val="20"/>
              </w:rPr>
            </w:pPr>
            <w:r w:rsidRPr="00A928D6">
              <w:rPr>
                <w:rFonts w:asciiTheme="minorHAnsi" w:hAnsiTheme="minorHAnsi"/>
                <w:b/>
                <w:sz w:val="20"/>
                <w:szCs w:val="20"/>
              </w:rPr>
              <w:t xml:space="preserve">e.2 How well does the investment identify </w:t>
            </w:r>
            <w:r w:rsidRPr="00A928D6">
              <w:rPr>
                <w:rFonts w:asciiTheme="minorHAnsi" w:hAnsiTheme="minorHAnsi"/>
                <w:b/>
                <w:sz w:val="20"/>
                <w:szCs w:val="20"/>
              </w:rPr>
              <w:lastRenderedPageBreak/>
              <w:t>and address barriers to inclusion and opportunities for participation for people with disabilities to enable them to benefit equally from aid investment?</w:t>
            </w:r>
          </w:p>
        </w:tc>
        <w:tc>
          <w:tcPr>
            <w:tcW w:w="2602" w:type="dxa"/>
            <w:tcBorders>
              <w:top w:val="single" w:sz="4" w:space="0" w:color="auto"/>
              <w:left w:val="single" w:sz="4" w:space="0" w:color="auto"/>
              <w:bottom w:val="single" w:sz="4" w:space="0" w:color="auto"/>
              <w:right w:val="single" w:sz="4" w:space="0" w:color="auto"/>
            </w:tcBorders>
          </w:tcPr>
          <w:p w14:paraId="0042B094"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All AVP materials produced have subtitles to </w:t>
            </w:r>
            <w:r w:rsidRPr="00A928D6">
              <w:rPr>
                <w:rFonts w:asciiTheme="minorHAnsi" w:hAnsiTheme="minorHAnsi"/>
                <w:bCs/>
                <w:sz w:val="20"/>
                <w:szCs w:val="20"/>
              </w:rPr>
              <w:lastRenderedPageBreak/>
              <w:t>benefit persons suffering from deafness.  Orientation briefings with IA partners include disability awareness practices.</w:t>
            </w:r>
          </w:p>
        </w:tc>
        <w:tc>
          <w:tcPr>
            <w:tcW w:w="2855" w:type="dxa"/>
            <w:tcBorders>
              <w:top w:val="single" w:sz="4" w:space="0" w:color="auto"/>
              <w:left w:val="single" w:sz="4" w:space="0" w:color="auto"/>
              <w:bottom w:val="single" w:sz="4" w:space="0" w:color="auto"/>
              <w:right w:val="single" w:sz="4" w:space="0" w:color="auto"/>
            </w:tcBorders>
          </w:tcPr>
          <w:p w14:paraId="197CD630"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lastRenderedPageBreak/>
              <w:t xml:space="preserve">Data/response not available in the report. </w:t>
            </w:r>
          </w:p>
        </w:tc>
        <w:tc>
          <w:tcPr>
            <w:tcW w:w="2113" w:type="dxa"/>
            <w:tcBorders>
              <w:top w:val="single" w:sz="4" w:space="0" w:color="auto"/>
              <w:left w:val="single" w:sz="4" w:space="0" w:color="auto"/>
              <w:bottom w:val="single" w:sz="4" w:space="0" w:color="auto"/>
              <w:right w:val="single" w:sz="4" w:space="0" w:color="auto"/>
            </w:tcBorders>
          </w:tcPr>
          <w:p w14:paraId="6531C0A9" w14:textId="308B068E"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 on this</w:t>
            </w:r>
            <w:r w:rsidR="00066E88">
              <w:rPr>
                <w:rFonts w:asciiTheme="minorHAnsi" w:hAnsiTheme="minorHAnsi"/>
                <w:bCs/>
                <w:sz w:val="20"/>
                <w:szCs w:val="20"/>
              </w:rPr>
              <w:t xml:space="preserve"> </w:t>
            </w:r>
          </w:p>
        </w:tc>
        <w:tc>
          <w:tcPr>
            <w:tcW w:w="2113" w:type="dxa"/>
            <w:vMerge/>
            <w:tcBorders>
              <w:left w:val="single" w:sz="4" w:space="0" w:color="auto"/>
              <w:bottom w:val="single" w:sz="4" w:space="0" w:color="auto"/>
              <w:right w:val="single" w:sz="4" w:space="0" w:color="auto"/>
            </w:tcBorders>
          </w:tcPr>
          <w:p w14:paraId="40B8F7B4" w14:textId="77777777" w:rsidR="00A65FC0" w:rsidRPr="00A928D6" w:rsidRDefault="00A65FC0" w:rsidP="00894C6B">
            <w:pPr>
              <w:rPr>
                <w:rFonts w:asciiTheme="minorHAnsi" w:hAnsiTheme="minorHAnsi"/>
                <w:bCs/>
                <w:sz w:val="20"/>
                <w:szCs w:val="20"/>
              </w:rPr>
            </w:pPr>
          </w:p>
        </w:tc>
        <w:tc>
          <w:tcPr>
            <w:tcW w:w="2113" w:type="dxa"/>
            <w:tcBorders>
              <w:top w:val="single" w:sz="4" w:space="0" w:color="auto"/>
              <w:left w:val="single" w:sz="4" w:space="0" w:color="auto"/>
              <w:bottom w:val="single" w:sz="4" w:space="0" w:color="auto"/>
              <w:right w:val="single" w:sz="4" w:space="0" w:color="auto"/>
            </w:tcBorders>
          </w:tcPr>
          <w:p w14:paraId="13039E6B" w14:textId="77777777" w:rsidR="00A65FC0" w:rsidRPr="00A928D6" w:rsidRDefault="00A65FC0" w:rsidP="00894C6B">
            <w:pPr>
              <w:rPr>
                <w:rFonts w:asciiTheme="minorHAnsi" w:hAnsiTheme="minorHAnsi"/>
                <w:bCs/>
                <w:sz w:val="20"/>
                <w:szCs w:val="20"/>
              </w:rPr>
            </w:pPr>
            <w:r w:rsidRPr="00A928D6">
              <w:rPr>
                <w:rFonts w:asciiTheme="minorHAnsi" w:hAnsiTheme="minorHAnsi"/>
                <w:bCs/>
                <w:sz w:val="20"/>
                <w:szCs w:val="20"/>
              </w:rPr>
              <w:t>No data available on this</w:t>
            </w:r>
          </w:p>
        </w:tc>
      </w:tr>
    </w:tbl>
    <w:p w14:paraId="340F2095" w14:textId="77777777" w:rsidR="00A65FC0" w:rsidRPr="00617B15" w:rsidRDefault="00A65FC0" w:rsidP="00A65FC0">
      <w:pPr>
        <w:sectPr w:rsidR="00A65FC0" w:rsidRPr="00617B15" w:rsidSect="00894C6B">
          <w:pgSz w:w="15840" w:h="12240" w:orient="landscape"/>
          <w:pgMar w:top="1800" w:right="1440" w:bottom="1800" w:left="1440" w:header="708" w:footer="708" w:gutter="0"/>
          <w:cols w:space="708"/>
          <w:docGrid w:linePitch="360"/>
        </w:sectPr>
      </w:pPr>
    </w:p>
    <w:p w14:paraId="4361C68D" w14:textId="654EC459" w:rsidR="00A65FC0" w:rsidRPr="00D058C1" w:rsidRDefault="00A65FC0" w:rsidP="00A65FC0">
      <w:pPr>
        <w:pStyle w:val="Heading2"/>
        <w:rPr>
          <w:rFonts w:ascii="Cambria" w:hAnsi="Cambria"/>
          <w:b/>
        </w:rPr>
      </w:pPr>
      <w:bookmarkStart w:id="53" w:name="_Toc34220998"/>
      <w:bookmarkStart w:id="54" w:name="_Toc34352297"/>
      <w:bookmarkStart w:id="55" w:name="_Toc38299534"/>
      <w:bookmarkStart w:id="56" w:name="_Toc55309693"/>
      <w:r w:rsidRPr="00D058C1">
        <w:rPr>
          <w:rFonts w:ascii="Cambria" w:hAnsi="Cambria"/>
          <w:b/>
        </w:rPr>
        <w:lastRenderedPageBreak/>
        <w:t xml:space="preserve">Annex </w:t>
      </w:r>
      <w:r w:rsidR="001324EB">
        <w:rPr>
          <w:rFonts w:ascii="Cambria" w:hAnsi="Cambria"/>
          <w:b/>
        </w:rPr>
        <w:t>C</w:t>
      </w:r>
      <w:r w:rsidRPr="00D058C1">
        <w:rPr>
          <w:rFonts w:ascii="Cambria" w:hAnsi="Cambria"/>
          <w:b/>
        </w:rPr>
        <w:t>.2 Multilateral Partners</w:t>
      </w:r>
      <w:bookmarkEnd w:id="53"/>
      <w:bookmarkEnd w:id="54"/>
      <w:bookmarkEnd w:id="55"/>
      <w:bookmarkEnd w:id="56"/>
    </w:p>
    <w:p w14:paraId="190AE192" w14:textId="77777777" w:rsidR="00A65FC0" w:rsidRDefault="00A65FC0" w:rsidP="00A65FC0">
      <w:pPr>
        <w:rPr>
          <w:rFonts w:ascii="Cambria" w:hAnsi="Cambria"/>
          <w:b/>
        </w:rPr>
      </w:pPr>
    </w:p>
    <w:tbl>
      <w:tblPr>
        <w:tblStyle w:val="TableGrid"/>
        <w:tblW w:w="14738" w:type="dxa"/>
        <w:tblInd w:w="-851" w:type="dxa"/>
        <w:tblLook w:val="04A0" w:firstRow="1" w:lastRow="0" w:firstColumn="1" w:lastColumn="0" w:noHBand="0" w:noVBand="1"/>
      </w:tblPr>
      <w:tblGrid>
        <w:gridCol w:w="2406"/>
        <w:gridCol w:w="2976"/>
        <w:gridCol w:w="2835"/>
        <w:gridCol w:w="2977"/>
        <w:gridCol w:w="3544"/>
      </w:tblGrid>
      <w:tr w:rsidR="00066E88" w14:paraId="3BD28A99" w14:textId="77777777" w:rsidTr="00A928D6">
        <w:trPr>
          <w:tblHeader/>
        </w:trPr>
        <w:tc>
          <w:tcPr>
            <w:tcW w:w="240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7C696B" w14:textId="77777777" w:rsidR="00066E88" w:rsidRDefault="00066E88" w:rsidP="00894C6B">
            <w:pPr>
              <w:rPr>
                <w:b/>
                <w:sz w:val="20"/>
                <w:szCs w:val="20"/>
              </w:rPr>
            </w:pPr>
            <w:r>
              <w:rPr>
                <w:b/>
                <w:sz w:val="20"/>
                <w:szCs w:val="20"/>
              </w:rPr>
              <w:t>Evaluation Criteria based on TOR</w:t>
            </w:r>
          </w:p>
        </w:tc>
        <w:tc>
          <w:tcPr>
            <w:tcW w:w="29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E4FD5F" w14:textId="77777777" w:rsidR="00066E88" w:rsidRDefault="00066E88" w:rsidP="00894C6B">
            <w:pPr>
              <w:rPr>
                <w:b/>
                <w:sz w:val="20"/>
                <w:szCs w:val="20"/>
              </w:rPr>
            </w:pPr>
            <w:r>
              <w:rPr>
                <w:b/>
                <w:sz w:val="20"/>
                <w:szCs w:val="20"/>
              </w:rPr>
              <w:t xml:space="preserve">World Bank </w:t>
            </w:r>
          </w:p>
          <w:p w14:paraId="67D8F4A2" w14:textId="77777777" w:rsidR="00066E88" w:rsidRDefault="00066E88" w:rsidP="00894C6B">
            <w:pPr>
              <w:rPr>
                <w:b/>
                <w:sz w:val="20"/>
                <w:szCs w:val="20"/>
              </w:rPr>
            </w:pPr>
            <w:r>
              <w:rPr>
                <w:b/>
                <w:sz w:val="20"/>
                <w:szCs w:val="20"/>
              </w:rPr>
              <w:t>Mindanao Trust Fund 2 (MTF-2) --2017-2019</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2DE3DD" w14:textId="77777777" w:rsidR="00066E88" w:rsidRDefault="00066E88" w:rsidP="00894C6B">
            <w:pPr>
              <w:rPr>
                <w:b/>
                <w:sz w:val="20"/>
                <w:szCs w:val="20"/>
              </w:rPr>
            </w:pPr>
            <w:r>
              <w:rPr>
                <w:b/>
                <w:sz w:val="20"/>
                <w:szCs w:val="20"/>
              </w:rPr>
              <w:t>World Bank</w:t>
            </w:r>
          </w:p>
          <w:p w14:paraId="408B562C" w14:textId="77777777" w:rsidR="00066E88" w:rsidRDefault="00066E88" w:rsidP="00894C6B">
            <w:pPr>
              <w:rPr>
                <w:b/>
                <w:sz w:val="20"/>
                <w:szCs w:val="20"/>
              </w:rPr>
            </w:pPr>
            <w:r>
              <w:rPr>
                <w:b/>
                <w:sz w:val="20"/>
                <w:szCs w:val="20"/>
              </w:rPr>
              <w:t xml:space="preserve">Task Force </w:t>
            </w:r>
            <w:proofErr w:type="spellStart"/>
            <w:r>
              <w:rPr>
                <w:b/>
                <w:sz w:val="20"/>
                <w:szCs w:val="20"/>
              </w:rPr>
              <w:t>Bangon</w:t>
            </w:r>
            <w:proofErr w:type="spellEnd"/>
            <w:r>
              <w:rPr>
                <w:b/>
                <w:sz w:val="20"/>
                <w:szCs w:val="20"/>
              </w:rPr>
              <w:t xml:space="preserve"> </w:t>
            </w:r>
            <w:proofErr w:type="spellStart"/>
            <w:r>
              <w:rPr>
                <w:b/>
                <w:sz w:val="20"/>
                <w:szCs w:val="20"/>
              </w:rPr>
              <w:t>Marawi</w:t>
            </w:r>
            <w:proofErr w:type="spellEnd"/>
            <w:r>
              <w:rPr>
                <w:b/>
                <w:sz w:val="20"/>
                <w:szCs w:val="20"/>
              </w:rPr>
              <w:t xml:space="preserve"> (TFBM)</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75BB5D" w14:textId="77777777" w:rsidR="00066E88" w:rsidRDefault="00066E88" w:rsidP="00894C6B">
            <w:pPr>
              <w:rPr>
                <w:b/>
                <w:sz w:val="20"/>
                <w:szCs w:val="20"/>
              </w:rPr>
            </w:pPr>
            <w:r>
              <w:rPr>
                <w:b/>
                <w:sz w:val="20"/>
                <w:szCs w:val="20"/>
              </w:rPr>
              <w:t xml:space="preserve">UNDP </w:t>
            </w:r>
            <w:r w:rsidRPr="00CD235C">
              <w:rPr>
                <w:b/>
                <w:sz w:val="20"/>
                <w:szCs w:val="20"/>
              </w:rPr>
              <w:t>Peace, Reconciliation, and Empowerment Initiatives in the Bangsamoro (PRIME Bangsamoro)</w:t>
            </w:r>
          </w:p>
          <w:p w14:paraId="0BA1AF69" w14:textId="77777777" w:rsidR="00066E88" w:rsidRDefault="00066E88" w:rsidP="00894C6B">
            <w:pPr>
              <w:rPr>
                <w:b/>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313B4" w14:textId="77777777" w:rsidR="00066E88" w:rsidRDefault="00066E88" w:rsidP="00894C6B">
            <w:pPr>
              <w:rPr>
                <w:b/>
                <w:sz w:val="20"/>
                <w:szCs w:val="20"/>
              </w:rPr>
            </w:pPr>
            <w:r>
              <w:rPr>
                <w:b/>
                <w:sz w:val="20"/>
                <w:szCs w:val="20"/>
              </w:rPr>
              <w:t xml:space="preserve">UNDP </w:t>
            </w:r>
            <w:r w:rsidRPr="00CD235C">
              <w:rPr>
                <w:b/>
                <w:sz w:val="20"/>
                <w:szCs w:val="20"/>
              </w:rPr>
              <w:t>Stabilization, Recovery, and Transformation for PEACE (START-PEACE)</w:t>
            </w:r>
          </w:p>
          <w:p w14:paraId="40A7C1F3" w14:textId="77777777" w:rsidR="00066E88" w:rsidRDefault="00066E88" w:rsidP="00894C6B">
            <w:pPr>
              <w:rPr>
                <w:b/>
                <w:sz w:val="20"/>
                <w:szCs w:val="20"/>
              </w:rPr>
            </w:pPr>
          </w:p>
        </w:tc>
      </w:tr>
      <w:tr w:rsidR="00066E88" w14:paraId="1E1B2B9D" w14:textId="77777777" w:rsidTr="00A928D6">
        <w:tc>
          <w:tcPr>
            <w:tcW w:w="2406" w:type="dxa"/>
            <w:tcBorders>
              <w:top w:val="single" w:sz="4" w:space="0" w:color="auto"/>
              <w:left w:val="single" w:sz="4" w:space="0" w:color="auto"/>
              <w:bottom w:val="single" w:sz="4" w:space="0" w:color="auto"/>
              <w:right w:val="single" w:sz="4" w:space="0" w:color="auto"/>
            </w:tcBorders>
          </w:tcPr>
          <w:p w14:paraId="171BE0A8" w14:textId="77777777" w:rsidR="00066E88" w:rsidRPr="0094336C" w:rsidRDefault="00066E88" w:rsidP="00A65FC0">
            <w:pPr>
              <w:pStyle w:val="ListParagraph"/>
              <w:numPr>
                <w:ilvl w:val="0"/>
                <w:numId w:val="102"/>
              </w:numPr>
              <w:tabs>
                <w:tab w:val="left" w:pos="320"/>
              </w:tabs>
              <w:ind w:left="0" w:firstLine="0"/>
              <w:rPr>
                <w:b/>
                <w:sz w:val="20"/>
                <w:szCs w:val="20"/>
              </w:rPr>
            </w:pPr>
            <w:r>
              <w:rPr>
                <w:b/>
                <w:sz w:val="20"/>
                <w:szCs w:val="20"/>
              </w:rPr>
              <w:t>Effectiveness</w:t>
            </w:r>
          </w:p>
        </w:tc>
        <w:tc>
          <w:tcPr>
            <w:tcW w:w="2976" w:type="dxa"/>
            <w:tcBorders>
              <w:top w:val="single" w:sz="4" w:space="0" w:color="auto"/>
              <w:left w:val="single" w:sz="4" w:space="0" w:color="auto"/>
              <w:bottom w:val="single" w:sz="4" w:space="0" w:color="auto"/>
              <w:right w:val="single" w:sz="4" w:space="0" w:color="auto"/>
            </w:tcBorders>
          </w:tcPr>
          <w:p w14:paraId="2386550A" w14:textId="77777777" w:rsidR="00066E88" w:rsidRDefault="00066E88" w:rsidP="00894C6B">
            <w:pPr>
              <w:rPr>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792976" w14:textId="77777777" w:rsidR="00066E88" w:rsidRDefault="00066E88" w:rsidP="00894C6B">
            <w:pPr>
              <w:rPr>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882FD" w14:textId="77777777" w:rsidR="00066E88" w:rsidRDefault="00066E88" w:rsidP="00894C6B">
            <w:pP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505E5C6" w14:textId="77777777" w:rsidR="00066E88" w:rsidRDefault="00066E88" w:rsidP="00894C6B">
            <w:pPr>
              <w:rPr>
                <w:b/>
                <w:sz w:val="20"/>
                <w:szCs w:val="20"/>
              </w:rPr>
            </w:pPr>
          </w:p>
        </w:tc>
      </w:tr>
      <w:tr w:rsidR="00066E88" w14:paraId="063E9D71" w14:textId="77777777" w:rsidTr="00A928D6">
        <w:tc>
          <w:tcPr>
            <w:tcW w:w="2406" w:type="dxa"/>
            <w:tcBorders>
              <w:top w:val="single" w:sz="4" w:space="0" w:color="auto"/>
              <w:left w:val="single" w:sz="4" w:space="0" w:color="auto"/>
              <w:bottom w:val="single" w:sz="4" w:space="0" w:color="auto"/>
              <w:right w:val="single" w:sz="4" w:space="0" w:color="auto"/>
            </w:tcBorders>
          </w:tcPr>
          <w:p w14:paraId="1364EF78" w14:textId="77777777" w:rsidR="00066E88" w:rsidRPr="0094336C" w:rsidRDefault="00066E88" w:rsidP="00A65FC0">
            <w:pPr>
              <w:pStyle w:val="ListParagraph"/>
              <w:numPr>
                <w:ilvl w:val="0"/>
                <w:numId w:val="103"/>
              </w:numPr>
              <w:tabs>
                <w:tab w:val="left" w:pos="256"/>
              </w:tabs>
              <w:ind w:left="0" w:firstLine="0"/>
              <w:rPr>
                <w:b/>
                <w:sz w:val="20"/>
                <w:szCs w:val="20"/>
              </w:rPr>
            </w:pPr>
            <w:r w:rsidRPr="0094336C">
              <w:rPr>
                <w:b/>
                <w:sz w:val="20"/>
                <w:szCs w:val="20"/>
              </w:rPr>
              <w:t xml:space="preserve">Are we achieving the outputs and outcomes that we expected </w:t>
            </w:r>
            <w:proofErr w:type="gramStart"/>
            <w:r w:rsidRPr="0094336C">
              <w:rPr>
                <w:b/>
                <w:sz w:val="20"/>
                <w:szCs w:val="20"/>
              </w:rPr>
              <w:t>at this point in time</w:t>
            </w:r>
            <w:proofErr w:type="gramEnd"/>
            <w:r w:rsidRPr="0094336C">
              <w:rPr>
                <w:b/>
                <w:sz w:val="20"/>
                <w:szCs w:val="20"/>
              </w:rPr>
              <w:t>?</w:t>
            </w:r>
          </w:p>
          <w:p w14:paraId="2243825F" w14:textId="77777777" w:rsidR="00066E88" w:rsidRDefault="00066E88" w:rsidP="00894C6B">
            <w:pPr>
              <w:rPr>
                <w:b/>
                <w:sz w:val="20"/>
                <w:szCs w:val="20"/>
              </w:rPr>
            </w:pPr>
          </w:p>
          <w:p w14:paraId="12ED3DB2" w14:textId="77777777" w:rsidR="00066E88" w:rsidRDefault="00066E88" w:rsidP="00894C6B">
            <w:pPr>
              <w:rPr>
                <w:b/>
                <w:sz w:val="20"/>
                <w:szCs w:val="20"/>
              </w:rPr>
            </w:pPr>
          </w:p>
          <w:p w14:paraId="32649E92" w14:textId="77777777" w:rsidR="00066E88" w:rsidRDefault="00066E88" w:rsidP="00894C6B">
            <w:pPr>
              <w:rPr>
                <w:b/>
                <w:sz w:val="20"/>
                <w:szCs w:val="20"/>
              </w:rPr>
            </w:pPr>
          </w:p>
          <w:p w14:paraId="592416C3" w14:textId="77777777" w:rsidR="00066E88" w:rsidRDefault="00066E88" w:rsidP="00894C6B">
            <w:pPr>
              <w:rPr>
                <w:b/>
                <w:sz w:val="20"/>
                <w:szCs w:val="20"/>
              </w:rPr>
            </w:pPr>
            <w:r>
              <w:rPr>
                <w:b/>
                <w:sz w:val="20"/>
                <w:szCs w:val="20"/>
              </w:rPr>
              <w:t>a.1 Is each activity on track to meet its outcomes and objectives?</w:t>
            </w:r>
          </w:p>
          <w:p w14:paraId="588A1ADE" w14:textId="77777777" w:rsidR="00066E88" w:rsidRDefault="00066E88" w:rsidP="00894C6B">
            <w:pPr>
              <w:rPr>
                <w:b/>
                <w:sz w:val="20"/>
                <w:szCs w:val="20"/>
              </w:rPr>
            </w:pPr>
          </w:p>
          <w:p w14:paraId="4535A34B" w14:textId="77777777" w:rsidR="00066E88" w:rsidRDefault="00066E88" w:rsidP="00894C6B">
            <w:pPr>
              <w:rPr>
                <w:b/>
                <w:sz w:val="20"/>
                <w:szCs w:val="20"/>
              </w:rPr>
            </w:pPr>
          </w:p>
          <w:p w14:paraId="35C65C9F" w14:textId="77777777" w:rsidR="00066E88" w:rsidRDefault="00066E88" w:rsidP="00894C6B">
            <w:pPr>
              <w:rPr>
                <w:b/>
                <w:sz w:val="20"/>
                <w:szCs w:val="20"/>
              </w:rPr>
            </w:pPr>
          </w:p>
          <w:p w14:paraId="15DC1A94" w14:textId="77777777" w:rsidR="00066E88" w:rsidRDefault="00066E88" w:rsidP="00894C6B">
            <w:pPr>
              <w:rPr>
                <w:b/>
                <w:sz w:val="20"/>
                <w:szCs w:val="20"/>
              </w:rPr>
            </w:pPr>
          </w:p>
          <w:p w14:paraId="37F458F0" w14:textId="77777777" w:rsidR="00066E88" w:rsidRDefault="00066E88" w:rsidP="00894C6B">
            <w:pPr>
              <w:rPr>
                <w:b/>
                <w:sz w:val="20"/>
                <w:szCs w:val="20"/>
              </w:rPr>
            </w:pPr>
          </w:p>
          <w:p w14:paraId="3404B95E" w14:textId="77777777" w:rsidR="00066E88" w:rsidRDefault="00066E88" w:rsidP="00894C6B">
            <w:pPr>
              <w:rPr>
                <w:b/>
                <w:sz w:val="20"/>
                <w:szCs w:val="20"/>
              </w:rPr>
            </w:pPr>
          </w:p>
          <w:p w14:paraId="34481E3F" w14:textId="77777777" w:rsidR="00066E88" w:rsidRDefault="00066E88" w:rsidP="00894C6B">
            <w:pPr>
              <w:rPr>
                <w:b/>
                <w:sz w:val="20"/>
                <w:szCs w:val="20"/>
              </w:rPr>
            </w:pPr>
          </w:p>
          <w:p w14:paraId="4DBD1B39" w14:textId="77777777" w:rsidR="00066E88" w:rsidRDefault="00066E88" w:rsidP="00894C6B">
            <w:pPr>
              <w:rPr>
                <w:b/>
                <w:sz w:val="20"/>
                <w:szCs w:val="20"/>
              </w:rPr>
            </w:pPr>
            <w:r>
              <w:rPr>
                <w:b/>
                <w:sz w:val="20"/>
                <w:szCs w:val="20"/>
              </w:rPr>
              <w:t>a.2 What are the benefits and costs of DFAT’s flexible programming strategy, for both implementing partners and DFAT?</w:t>
            </w:r>
          </w:p>
          <w:p w14:paraId="6ACA265B" w14:textId="77777777" w:rsidR="00066E88" w:rsidRDefault="00066E88" w:rsidP="00894C6B">
            <w:pPr>
              <w:rPr>
                <w:b/>
                <w:sz w:val="20"/>
                <w:szCs w:val="20"/>
              </w:rPr>
            </w:pPr>
          </w:p>
          <w:p w14:paraId="682E6A4A" w14:textId="77777777" w:rsidR="00066E88" w:rsidRDefault="00066E88" w:rsidP="00894C6B">
            <w:pPr>
              <w:rPr>
                <w:b/>
                <w:sz w:val="20"/>
                <w:szCs w:val="20"/>
              </w:rPr>
            </w:pPr>
          </w:p>
          <w:p w14:paraId="57B09530" w14:textId="77777777" w:rsidR="00066E88" w:rsidRDefault="00066E88" w:rsidP="00894C6B">
            <w:pPr>
              <w:rPr>
                <w:b/>
                <w:sz w:val="20"/>
                <w:szCs w:val="20"/>
              </w:rPr>
            </w:pPr>
          </w:p>
          <w:p w14:paraId="2C583964" w14:textId="77777777" w:rsidR="00066E88" w:rsidRDefault="00066E88" w:rsidP="00894C6B">
            <w:pPr>
              <w:rPr>
                <w:b/>
                <w:sz w:val="20"/>
                <w:szCs w:val="20"/>
              </w:rPr>
            </w:pPr>
          </w:p>
          <w:p w14:paraId="4F9E7AD5" w14:textId="77777777" w:rsidR="00066E88" w:rsidRDefault="00066E88" w:rsidP="00894C6B">
            <w:pPr>
              <w:rPr>
                <w:b/>
                <w:sz w:val="20"/>
                <w:szCs w:val="20"/>
              </w:rPr>
            </w:pPr>
          </w:p>
          <w:p w14:paraId="0DDB1E7D" w14:textId="77777777" w:rsidR="00066E88" w:rsidRDefault="00066E88" w:rsidP="00894C6B">
            <w:pPr>
              <w:rPr>
                <w:b/>
                <w:sz w:val="20"/>
                <w:szCs w:val="20"/>
              </w:rPr>
            </w:pPr>
          </w:p>
          <w:p w14:paraId="2A2D6479" w14:textId="77777777" w:rsidR="00066E88" w:rsidRDefault="00066E88" w:rsidP="00894C6B">
            <w:pPr>
              <w:rPr>
                <w:b/>
                <w:sz w:val="20"/>
                <w:szCs w:val="20"/>
              </w:rPr>
            </w:pPr>
          </w:p>
          <w:p w14:paraId="2A743F3D" w14:textId="77777777" w:rsidR="00066E88" w:rsidRDefault="00066E88" w:rsidP="00894C6B">
            <w:pPr>
              <w:rPr>
                <w:b/>
                <w:sz w:val="20"/>
                <w:szCs w:val="20"/>
              </w:rPr>
            </w:pPr>
            <w:r>
              <w:rPr>
                <w:b/>
                <w:sz w:val="20"/>
                <w:szCs w:val="20"/>
              </w:rPr>
              <w:t xml:space="preserve">a.3 Is the program </w:t>
            </w:r>
            <w:proofErr w:type="gramStart"/>
            <w:r>
              <w:rPr>
                <w:b/>
                <w:sz w:val="20"/>
                <w:szCs w:val="20"/>
              </w:rPr>
              <w:t>as a whole addressing</w:t>
            </w:r>
            <w:proofErr w:type="gramEnd"/>
            <w:r>
              <w:rPr>
                <w:b/>
                <w:sz w:val="20"/>
                <w:szCs w:val="20"/>
              </w:rPr>
              <w:t xml:space="preserve"> the drivers of conflict and violence?  Does it meet the “do no harm” standard?</w:t>
            </w:r>
          </w:p>
          <w:p w14:paraId="48AAD35D" w14:textId="77777777" w:rsidR="00066E88" w:rsidRDefault="00066E88" w:rsidP="00894C6B">
            <w:pPr>
              <w:rPr>
                <w:b/>
                <w:sz w:val="20"/>
                <w:szCs w:val="20"/>
              </w:rPr>
            </w:pPr>
          </w:p>
          <w:p w14:paraId="5C7B6635" w14:textId="77777777" w:rsidR="00066E88" w:rsidRDefault="00066E88" w:rsidP="00894C6B">
            <w:pPr>
              <w:rPr>
                <w:b/>
                <w:sz w:val="20"/>
                <w:szCs w:val="20"/>
              </w:rPr>
            </w:pPr>
          </w:p>
          <w:p w14:paraId="050CEDC7" w14:textId="77777777" w:rsidR="00066E88" w:rsidRDefault="00066E88" w:rsidP="00894C6B">
            <w:pPr>
              <w:rPr>
                <w:b/>
                <w:sz w:val="20"/>
                <w:szCs w:val="20"/>
              </w:rPr>
            </w:pPr>
          </w:p>
          <w:p w14:paraId="5C0A9BB2" w14:textId="77777777" w:rsidR="00066E88" w:rsidRDefault="00066E88" w:rsidP="00894C6B">
            <w:pPr>
              <w:rPr>
                <w:b/>
                <w:sz w:val="20"/>
                <w:szCs w:val="20"/>
              </w:rPr>
            </w:pPr>
          </w:p>
          <w:p w14:paraId="1E03E28B" w14:textId="77777777" w:rsidR="00066E88" w:rsidRDefault="00066E88" w:rsidP="00894C6B">
            <w:pPr>
              <w:rPr>
                <w:b/>
                <w:sz w:val="20"/>
                <w:szCs w:val="20"/>
              </w:rPr>
            </w:pPr>
          </w:p>
          <w:p w14:paraId="1616B109" w14:textId="77777777" w:rsidR="00066E88" w:rsidRDefault="00066E88" w:rsidP="00894C6B">
            <w:pPr>
              <w:rPr>
                <w:b/>
                <w:sz w:val="20"/>
                <w:szCs w:val="20"/>
              </w:rPr>
            </w:pPr>
          </w:p>
          <w:p w14:paraId="7F926521" w14:textId="77777777" w:rsidR="00066E88" w:rsidRDefault="00066E88" w:rsidP="00894C6B">
            <w:pPr>
              <w:rPr>
                <w:b/>
                <w:sz w:val="20"/>
                <w:szCs w:val="20"/>
              </w:rPr>
            </w:pPr>
          </w:p>
          <w:p w14:paraId="2E3EB267" w14:textId="77777777" w:rsidR="00066E88" w:rsidRDefault="00066E88" w:rsidP="00894C6B">
            <w:pPr>
              <w:rPr>
                <w:b/>
                <w:sz w:val="20"/>
                <w:szCs w:val="20"/>
              </w:rPr>
            </w:pPr>
          </w:p>
          <w:p w14:paraId="364EE65F" w14:textId="77777777" w:rsidR="00066E88" w:rsidRDefault="00066E88" w:rsidP="00894C6B">
            <w:pPr>
              <w:rPr>
                <w:b/>
                <w:sz w:val="20"/>
                <w:szCs w:val="20"/>
              </w:rPr>
            </w:pPr>
          </w:p>
          <w:p w14:paraId="0BE892E5" w14:textId="77777777" w:rsidR="00066E88" w:rsidRDefault="00066E88" w:rsidP="00894C6B">
            <w:pPr>
              <w:jc w:val="center"/>
              <w:rPr>
                <w:b/>
                <w:sz w:val="20"/>
                <w:szCs w:val="20"/>
              </w:rPr>
            </w:pPr>
          </w:p>
          <w:p w14:paraId="7458207F" w14:textId="77777777" w:rsidR="00066E88" w:rsidRDefault="00066E88" w:rsidP="00894C6B">
            <w:pPr>
              <w:jc w:val="center"/>
              <w:rPr>
                <w:b/>
                <w:sz w:val="20"/>
                <w:szCs w:val="20"/>
              </w:rPr>
            </w:pPr>
          </w:p>
          <w:p w14:paraId="73E3A903" w14:textId="77777777" w:rsidR="00066E88" w:rsidRDefault="00066E88" w:rsidP="00894C6B">
            <w:pPr>
              <w:rPr>
                <w:b/>
                <w:sz w:val="20"/>
                <w:szCs w:val="20"/>
              </w:rPr>
            </w:pPr>
          </w:p>
          <w:p w14:paraId="7FD7C21C" w14:textId="77777777" w:rsidR="00066E88" w:rsidRDefault="00066E88" w:rsidP="00894C6B">
            <w:pPr>
              <w:rPr>
                <w:b/>
                <w:sz w:val="20"/>
                <w:szCs w:val="20"/>
              </w:rPr>
            </w:pPr>
            <w:r>
              <w:rPr>
                <w:b/>
                <w:sz w:val="20"/>
                <w:szCs w:val="20"/>
              </w:rPr>
              <w:t>a.4 What is the impact of the research activities being supported?  Have these been used to inform policies and programs?</w:t>
            </w:r>
          </w:p>
          <w:p w14:paraId="133EAD47" w14:textId="77777777" w:rsidR="00066E88" w:rsidRDefault="00066E88" w:rsidP="00894C6B">
            <w:pPr>
              <w:rPr>
                <w:b/>
                <w:sz w:val="20"/>
                <w:szCs w:val="20"/>
              </w:rPr>
            </w:pPr>
          </w:p>
          <w:p w14:paraId="668A2F11" w14:textId="77777777" w:rsidR="00066E88" w:rsidRDefault="00066E88" w:rsidP="00894C6B">
            <w:pPr>
              <w:rPr>
                <w:b/>
                <w:sz w:val="20"/>
                <w:szCs w:val="20"/>
              </w:rPr>
            </w:pPr>
          </w:p>
          <w:p w14:paraId="5E3C9ACE" w14:textId="77777777" w:rsidR="00066E88" w:rsidRDefault="00066E88" w:rsidP="00894C6B">
            <w:pPr>
              <w:rPr>
                <w:b/>
                <w:sz w:val="20"/>
                <w:szCs w:val="20"/>
              </w:rPr>
            </w:pPr>
          </w:p>
          <w:p w14:paraId="560BC5CC" w14:textId="77777777" w:rsidR="00066E88" w:rsidRDefault="00066E88" w:rsidP="00894C6B">
            <w:pPr>
              <w:rPr>
                <w:b/>
                <w:sz w:val="20"/>
                <w:szCs w:val="20"/>
              </w:rPr>
            </w:pPr>
          </w:p>
          <w:p w14:paraId="1CB011B5" w14:textId="77777777" w:rsidR="00066E88" w:rsidRDefault="00066E88" w:rsidP="00894C6B">
            <w:pPr>
              <w:rPr>
                <w:b/>
                <w:sz w:val="20"/>
                <w:szCs w:val="20"/>
              </w:rPr>
            </w:pPr>
          </w:p>
          <w:p w14:paraId="29A40421" w14:textId="77777777" w:rsidR="00066E88" w:rsidRDefault="00066E88" w:rsidP="00894C6B">
            <w:pPr>
              <w:rPr>
                <w:b/>
                <w:sz w:val="20"/>
                <w:szCs w:val="20"/>
              </w:rPr>
            </w:pPr>
          </w:p>
          <w:p w14:paraId="143F2262" w14:textId="77777777" w:rsidR="00066E88" w:rsidRDefault="00066E88" w:rsidP="00894C6B">
            <w:pPr>
              <w:rPr>
                <w:b/>
                <w:sz w:val="20"/>
                <w:szCs w:val="20"/>
              </w:rPr>
            </w:pPr>
            <w:r>
              <w:rPr>
                <w:b/>
                <w:sz w:val="20"/>
                <w:szCs w:val="20"/>
              </w:rPr>
              <w:lastRenderedPageBreak/>
              <w:t>a.5 Are activities well-aligned with other Australian aid interventions in Muslim Mindanao?</w:t>
            </w:r>
          </w:p>
        </w:tc>
        <w:tc>
          <w:tcPr>
            <w:tcW w:w="2976" w:type="dxa"/>
            <w:tcBorders>
              <w:top w:val="single" w:sz="4" w:space="0" w:color="auto"/>
              <w:left w:val="single" w:sz="4" w:space="0" w:color="auto"/>
              <w:bottom w:val="single" w:sz="4" w:space="0" w:color="auto"/>
              <w:right w:val="single" w:sz="4" w:space="0" w:color="auto"/>
            </w:tcBorders>
          </w:tcPr>
          <w:p w14:paraId="5516CC83" w14:textId="77777777" w:rsidR="00066E88" w:rsidRDefault="00066E88" w:rsidP="00894C6B">
            <w:pPr>
              <w:rPr>
                <w:bCs/>
                <w:sz w:val="20"/>
                <w:szCs w:val="20"/>
              </w:rPr>
            </w:pPr>
            <w:r>
              <w:rPr>
                <w:bCs/>
                <w:sz w:val="20"/>
                <w:szCs w:val="20"/>
              </w:rPr>
              <w:lastRenderedPageBreak/>
              <w:t xml:space="preserve">The project is on track in achieving outputs and outcomes given that it has </w:t>
            </w:r>
            <w:proofErr w:type="gramStart"/>
            <w:r>
              <w:rPr>
                <w:bCs/>
                <w:sz w:val="20"/>
                <w:szCs w:val="20"/>
              </w:rPr>
              <w:t>sufficient</w:t>
            </w:r>
            <w:proofErr w:type="gramEnd"/>
            <w:r>
              <w:rPr>
                <w:bCs/>
                <w:sz w:val="20"/>
                <w:szCs w:val="20"/>
              </w:rPr>
              <w:t xml:space="preserve"> knowledge and experience in project implementation given that they were built on previous activities and experiences of the project.</w:t>
            </w:r>
          </w:p>
          <w:p w14:paraId="66B09F4B" w14:textId="77777777" w:rsidR="00066E88" w:rsidRDefault="00066E88" w:rsidP="00894C6B">
            <w:pPr>
              <w:rPr>
                <w:bCs/>
                <w:sz w:val="20"/>
                <w:szCs w:val="20"/>
              </w:rPr>
            </w:pPr>
          </w:p>
          <w:p w14:paraId="20DBFB0E" w14:textId="77777777" w:rsidR="00066E88" w:rsidRDefault="00066E88" w:rsidP="00894C6B">
            <w:pPr>
              <w:rPr>
                <w:bCs/>
                <w:sz w:val="20"/>
                <w:szCs w:val="20"/>
              </w:rPr>
            </w:pPr>
            <w:r>
              <w:rPr>
                <w:bCs/>
                <w:sz w:val="20"/>
                <w:szCs w:val="20"/>
              </w:rPr>
              <w:t>Socio-economic Infrastructure under Component 1 (Community Development Assistance) encountered delay due to security problems.  The other two components (i.e., Capacity and Institution-Building, and Project Administration, Monitoring and Evaluation) are on track of meeting outcomes and objectives.</w:t>
            </w:r>
          </w:p>
          <w:p w14:paraId="323B16C3" w14:textId="77777777" w:rsidR="00066E88" w:rsidRDefault="00066E88" w:rsidP="00894C6B">
            <w:pPr>
              <w:rPr>
                <w:bCs/>
                <w:sz w:val="20"/>
                <w:szCs w:val="20"/>
              </w:rPr>
            </w:pPr>
          </w:p>
          <w:p w14:paraId="1FE5060B" w14:textId="77777777" w:rsidR="00066E88" w:rsidRDefault="00066E88" w:rsidP="00894C6B">
            <w:pPr>
              <w:rPr>
                <w:bCs/>
                <w:sz w:val="20"/>
                <w:szCs w:val="20"/>
              </w:rPr>
            </w:pPr>
            <w:r>
              <w:rPr>
                <w:bCs/>
                <w:sz w:val="20"/>
                <w:szCs w:val="20"/>
              </w:rPr>
              <w:t xml:space="preserve">Given the fluid situation in conflict-affected areas, the flexibility afforded by DFAT’s flexible programming strategy enables partners to better respond to the needs of the community.  On the downside, it requires greater supervision work on the </w:t>
            </w:r>
            <w:r>
              <w:rPr>
                <w:bCs/>
                <w:sz w:val="20"/>
                <w:szCs w:val="20"/>
              </w:rPr>
              <w:lastRenderedPageBreak/>
              <w:t>part of DFAT given the need to ensure that any shift in strategic direction is aligned with the genuine needs of the community.</w:t>
            </w:r>
          </w:p>
          <w:p w14:paraId="30258740" w14:textId="77777777" w:rsidR="00066E88" w:rsidRDefault="00066E88" w:rsidP="00894C6B">
            <w:pPr>
              <w:rPr>
                <w:bCs/>
                <w:sz w:val="20"/>
                <w:szCs w:val="20"/>
              </w:rPr>
            </w:pPr>
          </w:p>
          <w:p w14:paraId="2AC25F05" w14:textId="77777777" w:rsidR="00066E88" w:rsidRDefault="00066E88" w:rsidP="00894C6B">
            <w:pPr>
              <w:rPr>
                <w:bCs/>
                <w:sz w:val="20"/>
                <w:szCs w:val="20"/>
              </w:rPr>
            </w:pPr>
          </w:p>
          <w:p w14:paraId="7DC40234" w14:textId="77777777" w:rsidR="00066E88" w:rsidRDefault="00066E88" w:rsidP="00894C6B">
            <w:pPr>
              <w:rPr>
                <w:bCs/>
                <w:sz w:val="20"/>
                <w:szCs w:val="20"/>
              </w:rPr>
            </w:pPr>
            <w:r>
              <w:rPr>
                <w:bCs/>
                <w:sz w:val="20"/>
                <w:szCs w:val="20"/>
              </w:rPr>
              <w:t>It is addressing basic socio-economic needs of communities and thus, help ease tension and brings hope to the communities.  The consultative manner by which projects/activities are identified with MILF and local leaders and community members conform to the “do no harm” principle.</w:t>
            </w:r>
          </w:p>
          <w:p w14:paraId="6395785A" w14:textId="77777777" w:rsidR="00066E88" w:rsidRDefault="00066E88" w:rsidP="00894C6B">
            <w:pPr>
              <w:rPr>
                <w:bCs/>
                <w:sz w:val="20"/>
                <w:szCs w:val="20"/>
              </w:rPr>
            </w:pPr>
          </w:p>
          <w:p w14:paraId="78371173" w14:textId="77777777" w:rsidR="00066E88" w:rsidRDefault="00066E88" w:rsidP="00894C6B">
            <w:pPr>
              <w:rPr>
                <w:bCs/>
                <w:sz w:val="20"/>
                <w:szCs w:val="20"/>
              </w:rPr>
            </w:pPr>
          </w:p>
          <w:p w14:paraId="73A5532C" w14:textId="77777777" w:rsidR="00066E88" w:rsidRDefault="00066E88" w:rsidP="00894C6B">
            <w:pPr>
              <w:rPr>
                <w:bCs/>
                <w:sz w:val="20"/>
                <w:szCs w:val="20"/>
              </w:rPr>
            </w:pPr>
          </w:p>
          <w:p w14:paraId="08B7A32F" w14:textId="77777777" w:rsidR="00066E88" w:rsidRDefault="00066E88" w:rsidP="00894C6B">
            <w:pPr>
              <w:rPr>
                <w:bCs/>
                <w:sz w:val="20"/>
                <w:szCs w:val="20"/>
              </w:rPr>
            </w:pPr>
          </w:p>
          <w:p w14:paraId="07FBF148" w14:textId="77777777" w:rsidR="00066E88" w:rsidRDefault="00066E88" w:rsidP="00894C6B">
            <w:pPr>
              <w:rPr>
                <w:bCs/>
                <w:sz w:val="20"/>
                <w:szCs w:val="20"/>
              </w:rPr>
            </w:pPr>
            <w:r>
              <w:rPr>
                <w:bCs/>
                <w:sz w:val="20"/>
                <w:szCs w:val="20"/>
              </w:rPr>
              <w:t>Little engagement in research activities but more in project implementation.  However, mode of implementation (i.e., community driven development) is being used as a model by the Bangsamoro Development Agency (BDA) in implementing projects funded by other development partners.</w:t>
            </w:r>
          </w:p>
          <w:p w14:paraId="3B238DC7" w14:textId="77777777" w:rsidR="00066E88" w:rsidRDefault="00066E88" w:rsidP="00894C6B">
            <w:pPr>
              <w:rPr>
                <w:bCs/>
                <w:sz w:val="20"/>
                <w:szCs w:val="20"/>
              </w:rPr>
            </w:pPr>
          </w:p>
          <w:p w14:paraId="5E02EEDF" w14:textId="77777777" w:rsidR="00066E88" w:rsidRDefault="00066E88" w:rsidP="00894C6B">
            <w:pPr>
              <w:rPr>
                <w:bCs/>
                <w:sz w:val="20"/>
                <w:szCs w:val="20"/>
              </w:rPr>
            </w:pPr>
            <w:r>
              <w:rPr>
                <w:bCs/>
                <w:sz w:val="20"/>
                <w:szCs w:val="20"/>
              </w:rPr>
              <w:lastRenderedPageBreak/>
              <w:t xml:space="preserve">They are well-aligned because they took into consideration recent developments in the peace process (i.e., signing of BOL, focus on Camp Transformation, assistance to combatants and their family)  </w:t>
            </w:r>
          </w:p>
          <w:p w14:paraId="3192CA36" w14:textId="77777777" w:rsidR="00066E88" w:rsidRPr="0094336C" w:rsidRDefault="00066E88" w:rsidP="00894C6B">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4545A" w14:textId="77777777" w:rsidR="00066E88" w:rsidRDefault="00066E88" w:rsidP="00894C6B">
            <w:pPr>
              <w:rPr>
                <w:bCs/>
                <w:sz w:val="20"/>
                <w:szCs w:val="20"/>
              </w:rPr>
            </w:pPr>
            <w:r>
              <w:rPr>
                <w:bCs/>
                <w:sz w:val="20"/>
                <w:szCs w:val="20"/>
              </w:rPr>
              <w:lastRenderedPageBreak/>
              <w:t>The technical assistance support provided to the TFBM accomplished the tasks that it aimed to undertake.  There were 12 activities to be completed within a short-time fame and mostly technical work in nature</w:t>
            </w:r>
          </w:p>
          <w:p w14:paraId="0F04FFA1" w14:textId="77777777" w:rsidR="00066E88" w:rsidRDefault="00066E88" w:rsidP="00894C6B">
            <w:pPr>
              <w:rPr>
                <w:bCs/>
                <w:sz w:val="20"/>
                <w:szCs w:val="20"/>
              </w:rPr>
            </w:pPr>
          </w:p>
          <w:p w14:paraId="4DCF6B6D" w14:textId="77777777" w:rsidR="00066E88" w:rsidRDefault="00066E88" w:rsidP="00894C6B">
            <w:pPr>
              <w:rPr>
                <w:bCs/>
                <w:sz w:val="20"/>
                <w:szCs w:val="20"/>
              </w:rPr>
            </w:pPr>
            <w:r>
              <w:rPr>
                <w:bCs/>
                <w:sz w:val="20"/>
                <w:szCs w:val="20"/>
              </w:rPr>
              <w:t>Most of them except for the continuing activities, which is expected, such as the MIS, technical and advisory support to the TFBM, Citizens Engagement, IDPs and returnees profiling, and support to Compensation Law</w:t>
            </w:r>
          </w:p>
          <w:p w14:paraId="29590752" w14:textId="77777777" w:rsidR="00066E88" w:rsidRDefault="00066E88" w:rsidP="00894C6B">
            <w:pPr>
              <w:rPr>
                <w:bCs/>
                <w:sz w:val="20"/>
                <w:szCs w:val="20"/>
              </w:rPr>
            </w:pPr>
          </w:p>
          <w:p w14:paraId="577A9CA5" w14:textId="77777777" w:rsidR="00066E88" w:rsidRDefault="00066E88" w:rsidP="00894C6B">
            <w:pPr>
              <w:rPr>
                <w:bCs/>
                <w:sz w:val="20"/>
                <w:szCs w:val="20"/>
              </w:rPr>
            </w:pPr>
          </w:p>
          <w:p w14:paraId="15D84734" w14:textId="77777777" w:rsidR="00066E88" w:rsidRDefault="00066E88" w:rsidP="00894C6B">
            <w:pPr>
              <w:rPr>
                <w:bCs/>
                <w:sz w:val="20"/>
                <w:szCs w:val="20"/>
              </w:rPr>
            </w:pPr>
          </w:p>
          <w:p w14:paraId="25304087" w14:textId="77777777" w:rsidR="00066E88" w:rsidRDefault="00066E88" w:rsidP="00894C6B">
            <w:pPr>
              <w:rPr>
                <w:bCs/>
                <w:sz w:val="20"/>
                <w:szCs w:val="20"/>
              </w:rPr>
            </w:pPr>
          </w:p>
          <w:p w14:paraId="47283C15" w14:textId="77777777" w:rsidR="00066E88" w:rsidRDefault="00066E88" w:rsidP="00894C6B">
            <w:pPr>
              <w:rPr>
                <w:bCs/>
                <w:sz w:val="20"/>
                <w:szCs w:val="20"/>
              </w:rPr>
            </w:pPr>
            <w:r>
              <w:rPr>
                <w:bCs/>
                <w:sz w:val="20"/>
                <w:szCs w:val="20"/>
              </w:rPr>
              <w:t xml:space="preserve">It allowed accommodation of activities which were not anticipated at the start of the </w:t>
            </w:r>
            <w:proofErr w:type="gramStart"/>
            <w:r>
              <w:rPr>
                <w:bCs/>
                <w:sz w:val="20"/>
                <w:szCs w:val="20"/>
              </w:rPr>
              <w:t>project</w:t>
            </w:r>
            <w:proofErr w:type="gramEnd"/>
            <w:r>
              <w:rPr>
                <w:bCs/>
                <w:sz w:val="20"/>
                <w:szCs w:val="20"/>
              </w:rPr>
              <w:t xml:space="preserve"> but which are currently deemed important in achieving stability and peace within the community.</w:t>
            </w:r>
          </w:p>
          <w:p w14:paraId="6D95BE94" w14:textId="77777777" w:rsidR="00066E88" w:rsidRDefault="00066E88" w:rsidP="00894C6B">
            <w:pPr>
              <w:rPr>
                <w:bCs/>
                <w:sz w:val="20"/>
                <w:szCs w:val="20"/>
              </w:rPr>
            </w:pPr>
          </w:p>
          <w:p w14:paraId="24BD2283" w14:textId="77777777" w:rsidR="00066E88" w:rsidRDefault="00066E88" w:rsidP="00894C6B">
            <w:pPr>
              <w:rPr>
                <w:bCs/>
                <w:sz w:val="20"/>
                <w:szCs w:val="20"/>
              </w:rPr>
            </w:pPr>
          </w:p>
          <w:p w14:paraId="06E1C10D" w14:textId="77777777" w:rsidR="00066E88" w:rsidRDefault="00066E88" w:rsidP="00894C6B">
            <w:pPr>
              <w:rPr>
                <w:bCs/>
                <w:sz w:val="20"/>
                <w:szCs w:val="20"/>
              </w:rPr>
            </w:pPr>
          </w:p>
          <w:p w14:paraId="1DB7D1D0" w14:textId="77777777" w:rsidR="00066E88" w:rsidRDefault="00066E88" w:rsidP="00894C6B">
            <w:pPr>
              <w:rPr>
                <w:bCs/>
                <w:sz w:val="20"/>
                <w:szCs w:val="20"/>
              </w:rPr>
            </w:pPr>
          </w:p>
          <w:p w14:paraId="2FF8D3FB" w14:textId="77777777" w:rsidR="00066E88" w:rsidRDefault="00066E88" w:rsidP="00894C6B">
            <w:pPr>
              <w:rPr>
                <w:bCs/>
                <w:sz w:val="20"/>
                <w:szCs w:val="20"/>
              </w:rPr>
            </w:pPr>
          </w:p>
          <w:p w14:paraId="77E91F98" w14:textId="77777777" w:rsidR="00066E88" w:rsidRDefault="00066E88" w:rsidP="00894C6B">
            <w:pPr>
              <w:rPr>
                <w:bCs/>
                <w:sz w:val="20"/>
                <w:szCs w:val="20"/>
              </w:rPr>
            </w:pPr>
          </w:p>
          <w:p w14:paraId="456DFB23" w14:textId="77777777" w:rsidR="00066E88" w:rsidRDefault="00066E88" w:rsidP="00894C6B">
            <w:pPr>
              <w:rPr>
                <w:bCs/>
                <w:sz w:val="20"/>
                <w:szCs w:val="20"/>
              </w:rPr>
            </w:pPr>
          </w:p>
          <w:p w14:paraId="27483D5E" w14:textId="77777777" w:rsidR="00066E88" w:rsidRDefault="00066E88" w:rsidP="00894C6B">
            <w:pPr>
              <w:rPr>
                <w:bCs/>
                <w:sz w:val="20"/>
                <w:szCs w:val="20"/>
              </w:rPr>
            </w:pPr>
            <w:r>
              <w:rPr>
                <w:bCs/>
                <w:sz w:val="20"/>
                <w:szCs w:val="20"/>
              </w:rPr>
              <w:t>It does because it promotes inclusion of affected parties in decision making of TFBM that will affect them and inputting feedback from displaced residents as to their needs to the TFBM.  The problem are the expectations built by the project among conflict victims, which unfortunately are beyond the project to deliver because its work is recommendatory in nature.</w:t>
            </w:r>
          </w:p>
          <w:p w14:paraId="1966F5D9" w14:textId="77777777" w:rsidR="00066E88" w:rsidRDefault="00066E88" w:rsidP="00894C6B">
            <w:pPr>
              <w:rPr>
                <w:bCs/>
                <w:sz w:val="20"/>
                <w:szCs w:val="20"/>
              </w:rPr>
            </w:pPr>
          </w:p>
          <w:p w14:paraId="1DF2503D" w14:textId="77777777" w:rsidR="00066E88" w:rsidRDefault="00066E88" w:rsidP="00894C6B">
            <w:pPr>
              <w:rPr>
                <w:bCs/>
                <w:sz w:val="20"/>
                <w:szCs w:val="20"/>
              </w:rPr>
            </w:pPr>
          </w:p>
          <w:p w14:paraId="0A02F045" w14:textId="77777777" w:rsidR="00066E88" w:rsidRDefault="00066E88" w:rsidP="00894C6B">
            <w:pPr>
              <w:rPr>
                <w:bCs/>
                <w:sz w:val="20"/>
                <w:szCs w:val="20"/>
              </w:rPr>
            </w:pPr>
          </w:p>
          <w:p w14:paraId="2DC82FFB" w14:textId="77777777" w:rsidR="00066E88" w:rsidRDefault="00066E88" w:rsidP="00894C6B">
            <w:pPr>
              <w:rPr>
                <w:bCs/>
                <w:sz w:val="20"/>
                <w:szCs w:val="20"/>
              </w:rPr>
            </w:pPr>
            <w:r>
              <w:rPr>
                <w:bCs/>
                <w:sz w:val="20"/>
                <w:szCs w:val="20"/>
              </w:rPr>
              <w:t xml:space="preserve">Most of the recommendations of research studies and surveys have been submitted for consideration by TFBM and those within the competence of TFBM to deliver were implemented.  </w:t>
            </w:r>
          </w:p>
          <w:p w14:paraId="164BA1A7" w14:textId="77777777" w:rsidR="00066E88" w:rsidRDefault="00066E88" w:rsidP="00894C6B">
            <w:pPr>
              <w:rPr>
                <w:bCs/>
                <w:sz w:val="20"/>
                <w:szCs w:val="20"/>
              </w:rPr>
            </w:pPr>
          </w:p>
          <w:p w14:paraId="6E854C59" w14:textId="77777777" w:rsidR="00066E88" w:rsidRDefault="00066E88" w:rsidP="00894C6B">
            <w:pPr>
              <w:rPr>
                <w:bCs/>
                <w:sz w:val="20"/>
                <w:szCs w:val="20"/>
              </w:rPr>
            </w:pPr>
            <w:r>
              <w:rPr>
                <w:bCs/>
                <w:sz w:val="20"/>
                <w:szCs w:val="20"/>
              </w:rPr>
              <w:t xml:space="preserve">The project is aligned with the various assistance of DFAT on </w:t>
            </w:r>
            <w:r>
              <w:rPr>
                <w:bCs/>
                <w:sz w:val="20"/>
                <w:szCs w:val="20"/>
              </w:rPr>
              <w:lastRenderedPageBreak/>
              <w:t xml:space="preserve">the peace process given that it addresses a specific </w:t>
            </w:r>
            <w:proofErr w:type="gramStart"/>
            <w:r>
              <w:rPr>
                <w:bCs/>
                <w:sz w:val="20"/>
                <w:szCs w:val="20"/>
              </w:rPr>
              <w:t>emergency situation</w:t>
            </w:r>
            <w:proofErr w:type="gramEnd"/>
            <w:r>
              <w:rPr>
                <w:bCs/>
                <w:sz w:val="20"/>
                <w:szCs w:val="20"/>
              </w:rPr>
              <w:t xml:space="preserve"> which has very high importance among the Bangsamoro, both residents and non-residents of Marawi City. </w:t>
            </w:r>
          </w:p>
          <w:p w14:paraId="0ACED385" w14:textId="77777777" w:rsidR="00066E88" w:rsidRDefault="00066E88" w:rsidP="00894C6B">
            <w:pPr>
              <w:rPr>
                <w:bCs/>
                <w:sz w:val="20"/>
                <w:szCs w:val="20"/>
              </w:rPr>
            </w:pPr>
          </w:p>
          <w:p w14:paraId="3B95390F" w14:textId="77777777" w:rsidR="00066E88" w:rsidRPr="00307222" w:rsidRDefault="00066E88" w:rsidP="00894C6B">
            <w:pPr>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BAC093" w14:textId="77777777" w:rsidR="00066E88" w:rsidRDefault="00066E88" w:rsidP="00894C6B">
            <w:pPr>
              <w:rPr>
                <w:bCs/>
                <w:sz w:val="20"/>
                <w:szCs w:val="20"/>
              </w:rPr>
            </w:pPr>
            <w:r>
              <w:rPr>
                <w:bCs/>
                <w:sz w:val="20"/>
                <w:szCs w:val="20"/>
              </w:rPr>
              <w:lastRenderedPageBreak/>
              <w:t xml:space="preserve">PRIME Bangsamoro is one of the multilateral activities implemented from 2016 to 2018, a period when the peace process suffered major setbacks with the </w:t>
            </w:r>
            <w:proofErr w:type="spellStart"/>
            <w:r>
              <w:rPr>
                <w:bCs/>
                <w:sz w:val="20"/>
                <w:szCs w:val="20"/>
              </w:rPr>
              <w:t>Mamasapano</w:t>
            </w:r>
            <w:proofErr w:type="spellEnd"/>
            <w:r>
              <w:rPr>
                <w:bCs/>
                <w:sz w:val="20"/>
                <w:szCs w:val="20"/>
              </w:rPr>
              <w:t xml:space="preserve"> incident and the non-passage of the Bangsamoro Basic Law (BBL) by the Philippine Congress. 2017 is when the Marawi Siege happened. Despite of these events, the project was able to provide support to the MILF and MNLF leadership. Among its support was facilitating the group desires to participate in the political process through the organization of their respective political parties, the </w:t>
            </w:r>
            <w:proofErr w:type="gramStart"/>
            <w:r>
              <w:rPr>
                <w:bCs/>
                <w:sz w:val="20"/>
                <w:szCs w:val="20"/>
              </w:rPr>
              <w:t>United  Bangsamoro</w:t>
            </w:r>
            <w:proofErr w:type="gramEnd"/>
            <w:r>
              <w:rPr>
                <w:bCs/>
                <w:sz w:val="20"/>
                <w:szCs w:val="20"/>
              </w:rPr>
              <w:t xml:space="preserve"> Justice Party (UBJP) for the MILF and the Bangsamoro Party (</w:t>
            </w:r>
            <w:proofErr w:type="spellStart"/>
            <w:r>
              <w:rPr>
                <w:bCs/>
                <w:sz w:val="20"/>
                <w:szCs w:val="20"/>
              </w:rPr>
              <w:t>BaPa</w:t>
            </w:r>
            <w:proofErr w:type="spellEnd"/>
            <w:r>
              <w:rPr>
                <w:bCs/>
                <w:sz w:val="20"/>
                <w:szCs w:val="20"/>
              </w:rPr>
              <w:t xml:space="preserve">) for the MNLF </w:t>
            </w:r>
            <w:proofErr w:type="spellStart"/>
            <w:r>
              <w:rPr>
                <w:bCs/>
                <w:sz w:val="20"/>
                <w:szCs w:val="20"/>
              </w:rPr>
              <w:t>Jikiri</w:t>
            </w:r>
            <w:proofErr w:type="spellEnd"/>
            <w:r>
              <w:rPr>
                <w:bCs/>
                <w:sz w:val="20"/>
                <w:szCs w:val="20"/>
              </w:rPr>
              <w:t xml:space="preserve"> wing. </w:t>
            </w:r>
          </w:p>
          <w:p w14:paraId="257AB639" w14:textId="77777777" w:rsidR="00066E88" w:rsidRDefault="00066E88" w:rsidP="00894C6B">
            <w:pPr>
              <w:rPr>
                <w:bCs/>
                <w:sz w:val="20"/>
                <w:szCs w:val="20"/>
              </w:rPr>
            </w:pPr>
          </w:p>
          <w:p w14:paraId="6FAD74FB" w14:textId="77777777" w:rsidR="00066E88" w:rsidRDefault="00066E88" w:rsidP="00894C6B">
            <w:pPr>
              <w:rPr>
                <w:bCs/>
                <w:sz w:val="20"/>
                <w:szCs w:val="20"/>
              </w:rPr>
            </w:pPr>
            <w:r>
              <w:rPr>
                <w:bCs/>
                <w:sz w:val="20"/>
                <w:szCs w:val="20"/>
              </w:rPr>
              <w:t xml:space="preserve">PRIME Bangsamoro was able to access the </w:t>
            </w:r>
            <w:proofErr w:type="spellStart"/>
            <w:r>
              <w:rPr>
                <w:bCs/>
                <w:sz w:val="20"/>
                <w:szCs w:val="20"/>
              </w:rPr>
              <w:t>Clingendael</w:t>
            </w:r>
            <w:proofErr w:type="spellEnd"/>
            <w:r>
              <w:rPr>
                <w:bCs/>
                <w:sz w:val="20"/>
                <w:szCs w:val="20"/>
              </w:rPr>
              <w:t xml:space="preserve"> Institute in the Netherlands to deliver customized dialogue, negotiation, mediation and political skills </w:t>
            </w:r>
            <w:r>
              <w:rPr>
                <w:bCs/>
                <w:sz w:val="20"/>
                <w:szCs w:val="20"/>
              </w:rPr>
              <w:lastRenderedPageBreak/>
              <w:t>training program for MILF, MNLF, traditional, religious and professional leaders in Bangsamoro.</w:t>
            </w:r>
          </w:p>
          <w:p w14:paraId="6C6DBDF0" w14:textId="77777777" w:rsidR="00066E88" w:rsidRDefault="00066E88" w:rsidP="00894C6B">
            <w:pPr>
              <w:rPr>
                <w:bCs/>
                <w:sz w:val="20"/>
                <w:szCs w:val="20"/>
              </w:rPr>
            </w:pPr>
          </w:p>
          <w:p w14:paraId="491C8AA9" w14:textId="77777777" w:rsidR="00066E88" w:rsidRDefault="00066E88" w:rsidP="00894C6B">
            <w:pPr>
              <w:rPr>
                <w:bCs/>
                <w:sz w:val="20"/>
                <w:szCs w:val="20"/>
              </w:rPr>
            </w:pPr>
            <w:r>
              <w:rPr>
                <w:bCs/>
                <w:sz w:val="20"/>
                <w:szCs w:val="20"/>
              </w:rPr>
              <w:t xml:space="preserve">By engaging both the MILF and MNLF, and training and </w:t>
            </w:r>
            <w:proofErr w:type="gramStart"/>
            <w:r>
              <w:rPr>
                <w:bCs/>
                <w:sz w:val="20"/>
                <w:szCs w:val="20"/>
              </w:rPr>
              <w:t>mobilizing  Moro</w:t>
            </w:r>
            <w:proofErr w:type="gramEnd"/>
            <w:r>
              <w:rPr>
                <w:bCs/>
                <w:sz w:val="20"/>
                <w:szCs w:val="20"/>
              </w:rPr>
              <w:t xml:space="preserve"> leaders across broad spectrum of political persuasion, the project was able to demonstrate how conflicting narratives can be heard in the safe spaces of dialogue and mediation.  </w:t>
            </w:r>
          </w:p>
          <w:p w14:paraId="67005394" w14:textId="77777777" w:rsidR="00066E88" w:rsidRDefault="00066E88" w:rsidP="00894C6B">
            <w:pPr>
              <w:rPr>
                <w:bCs/>
                <w:sz w:val="20"/>
                <w:szCs w:val="20"/>
              </w:rPr>
            </w:pPr>
          </w:p>
          <w:p w14:paraId="12933AF9" w14:textId="77777777" w:rsidR="00066E88" w:rsidRDefault="00066E88" w:rsidP="00894C6B">
            <w:pPr>
              <w:rPr>
                <w:bCs/>
                <w:sz w:val="20"/>
                <w:szCs w:val="20"/>
              </w:rPr>
            </w:pPr>
            <w:r>
              <w:rPr>
                <w:bCs/>
                <w:sz w:val="20"/>
                <w:szCs w:val="20"/>
              </w:rPr>
              <w:t xml:space="preserve">Prior to the assumption of the government of the day in the BARMM, PRIME Bangsamoro was able to provide timely technical and operational assistance leading to the strategic review and reorganization of such ministries as local government, agriculture and fisheries, science and technology, trade and tourism and the women’s commission. </w:t>
            </w:r>
          </w:p>
        </w:tc>
        <w:tc>
          <w:tcPr>
            <w:tcW w:w="3544" w:type="dxa"/>
            <w:tcBorders>
              <w:top w:val="single" w:sz="4" w:space="0" w:color="auto"/>
              <w:left w:val="single" w:sz="4" w:space="0" w:color="auto"/>
              <w:bottom w:val="single" w:sz="4" w:space="0" w:color="auto"/>
              <w:right w:val="single" w:sz="4" w:space="0" w:color="auto"/>
            </w:tcBorders>
          </w:tcPr>
          <w:p w14:paraId="354A0CA5" w14:textId="77777777" w:rsidR="00066E88" w:rsidRDefault="00066E88" w:rsidP="00894C6B">
            <w:pPr>
              <w:rPr>
                <w:bCs/>
                <w:sz w:val="20"/>
                <w:szCs w:val="20"/>
              </w:rPr>
            </w:pPr>
            <w:r>
              <w:rPr>
                <w:bCs/>
                <w:sz w:val="20"/>
                <w:szCs w:val="20"/>
              </w:rPr>
              <w:lastRenderedPageBreak/>
              <w:t xml:space="preserve">START PEACE started on April 2019 and will run up to 2022. It appears from early report and interview with implementing partner that this project is off to a good start with quality inputs that can </w:t>
            </w:r>
            <w:proofErr w:type="gramStart"/>
            <w:r>
              <w:rPr>
                <w:bCs/>
                <w:sz w:val="20"/>
                <w:szCs w:val="20"/>
              </w:rPr>
              <w:t>significant</w:t>
            </w:r>
            <w:proofErr w:type="gramEnd"/>
            <w:r>
              <w:rPr>
                <w:bCs/>
                <w:sz w:val="20"/>
                <w:szCs w:val="20"/>
              </w:rPr>
              <w:t xml:space="preserve"> influence good outputs. </w:t>
            </w:r>
          </w:p>
          <w:p w14:paraId="74D3D388" w14:textId="77777777" w:rsidR="00066E88" w:rsidRDefault="00066E88" w:rsidP="00894C6B">
            <w:pPr>
              <w:rPr>
                <w:bCs/>
                <w:sz w:val="20"/>
                <w:szCs w:val="20"/>
              </w:rPr>
            </w:pPr>
          </w:p>
          <w:p w14:paraId="7D66EE15" w14:textId="77777777" w:rsidR="00066E88" w:rsidRDefault="00066E88" w:rsidP="00894C6B">
            <w:pPr>
              <w:rPr>
                <w:bCs/>
                <w:sz w:val="20"/>
                <w:szCs w:val="20"/>
              </w:rPr>
            </w:pPr>
            <w:r>
              <w:rPr>
                <w:bCs/>
                <w:sz w:val="20"/>
                <w:szCs w:val="20"/>
              </w:rPr>
              <w:t>The project was able to connect BARMM group with Aceh, Indonesia, for hands-on experience in assessing transition and autonomy exercise, learning from past experiences and exploring opportunities for replication.</w:t>
            </w:r>
          </w:p>
          <w:p w14:paraId="70C88833" w14:textId="77777777" w:rsidR="00066E88" w:rsidRDefault="00066E88" w:rsidP="00894C6B">
            <w:pPr>
              <w:rPr>
                <w:bCs/>
                <w:sz w:val="20"/>
                <w:szCs w:val="20"/>
              </w:rPr>
            </w:pPr>
          </w:p>
          <w:p w14:paraId="581DEE02" w14:textId="77777777" w:rsidR="00066E88" w:rsidRDefault="00066E88" w:rsidP="00894C6B">
            <w:pPr>
              <w:rPr>
                <w:bCs/>
                <w:sz w:val="20"/>
                <w:szCs w:val="20"/>
              </w:rPr>
            </w:pPr>
            <w:r>
              <w:rPr>
                <w:bCs/>
                <w:sz w:val="20"/>
                <w:szCs w:val="20"/>
              </w:rPr>
              <w:t>UNDP brings into the partnership with DFAT its overseas exposure, related experience and network of development resources from documents and models to consultants.</w:t>
            </w:r>
          </w:p>
          <w:p w14:paraId="0F40A8B5" w14:textId="77777777" w:rsidR="00066E88" w:rsidRDefault="00066E88" w:rsidP="00894C6B">
            <w:pPr>
              <w:rPr>
                <w:bCs/>
                <w:sz w:val="20"/>
                <w:szCs w:val="20"/>
              </w:rPr>
            </w:pPr>
          </w:p>
          <w:p w14:paraId="3E94E366" w14:textId="77777777" w:rsidR="00066E88" w:rsidRDefault="00066E88" w:rsidP="00894C6B">
            <w:pPr>
              <w:rPr>
                <w:bCs/>
                <w:sz w:val="20"/>
                <w:szCs w:val="20"/>
              </w:rPr>
            </w:pPr>
            <w:r>
              <w:rPr>
                <w:bCs/>
                <w:sz w:val="20"/>
                <w:szCs w:val="20"/>
              </w:rPr>
              <w:t xml:space="preserve">The establishment of a functional BARMM and the support being extended by the START PEACE Project are crucial in addressing the protracted conflict and its drivers. </w:t>
            </w:r>
          </w:p>
          <w:p w14:paraId="70E48A02" w14:textId="77777777" w:rsidR="00066E88" w:rsidRDefault="00066E88" w:rsidP="00894C6B">
            <w:pPr>
              <w:rPr>
                <w:bCs/>
                <w:sz w:val="20"/>
                <w:szCs w:val="20"/>
              </w:rPr>
            </w:pPr>
          </w:p>
          <w:p w14:paraId="0A8F5349" w14:textId="77777777" w:rsidR="00066E88" w:rsidRDefault="00066E88" w:rsidP="00894C6B">
            <w:pPr>
              <w:rPr>
                <w:bCs/>
                <w:sz w:val="20"/>
                <w:szCs w:val="20"/>
              </w:rPr>
            </w:pPr>
            <w:r>
              <w:rPr>
                <w:bCs/>
                <w:sz w:val="20"/>
                <w:szCs w:val="20"/>
              </w:rPr>
              <w:t xml:space="preserve">While learning and lessons are curled from overseas exposure, the ensuing </w:t>
            </w:r>
            <w:r>
              <w:rPr>
                <w:bCs/>
                <w:sz w:val="20"/>
                <w:szCs w:val="20"/>
              </w:rPr>
              <w:lastRenderedPageBreak/>
              <w:t xml:space="preserve">replication is more akin to the BARMM context than to the overseas model it was taken from. For example, while the concept of the School of Peace and Democracy is taken from the Aceh model in Indonesia, the BARMM model is reflective of the local intricacies and need. The school will be developed through a consortium that includes AIM, DAP, LGA, </w:t>
            </w:r>
            <w:proofErr w:type="spellStart"/>
            <w:r>
              <w:rPr>
                <w:bCs/>
                <w:sz w:val="20"/>
                <w:szCs w:val="20"/>
              </w:rPr>
              <w:t>Galing</w:t>
            </w:r>
            <w:proofErr w:type="spellEnd"/>
            <w:r>
              <w:rPr>
                <w:bCs/>
                <w:sz w:val="20"/>
                <w:szCs w:val="20"/>
              </w:rPr>
              <w:t xml:space="preserve"> </w:t>
            </w:r>
            <w:proofErr w:type="spellStart"/>
            <w:r>
              <w:rPr>
                <w:bCs/>
                <w:sz w:val="20"/>
                <w:szCs w:val="20"/>
              </w:rPr>
              <w:t>Pook</w:t>
            </w:r>
            <w:proofErr w:type="spellEnd"/>
            <w:r>
              <w:rPr>
                <w:bCs/>
                <w:sz w:val="20"/>
                <w:szCs w:val="20"/>
              </w:rPr>
              <w:t xml:space="preserve">, </w:t>
            </w:r>
            <w:proofErr w:type="spellStart"/>
            <w:r>
              <w:rPr>
                <w:bCs/>
                <w:sz w:val="20"/>
                <w:szCs w:val="20"/>
              </w:rPr>
              <w:t>Clindengael</w:t>
            </w:r>
            <w:proofErr w:type="spellEnd"/>
            <w:r>
              <w:rPr>
                <w:bCs/>
                <w:sz w:val="20"/>
                <w:szCs w:val="20"/>
              </w:rPr>
              <w:t xml:space="preserve"> Institute and SPD-Aceh. The work is divided into two tracks, one to support the BARMM bureaucracy and the other one to support MILF </w:t>
            </w:r>
            <w:proofErr w:type="gramStart"/>
            <w:r>
              <w:rPr>
                <w:bCs/>
                <w:sz w:val="20"/>
                <w:szCs w:val="20"/>
              </w:rPr>
              <w:t>combatants</w:t>
            </w:r>
            <w:proofErr w:type="gramEnd"/>
            <w:r>
              <w:rPr>
                <w:bCs/>
                <w:sz w:val="20"/>
                <w:szCs w:val="20"/>
              </w:rPr>
              <w:t xml:space="preserve"> transition to civilian life. </w:t>
            </w:r>
          </w:p>
          <w:p w14:paraId="377AC201" w14:textId="77777777" w:rsidR="00066E88" w:rsidRDefault="00066E88" w:rsidP="00894C6B">
            <w:pPr>
              <w:rPr>
                <w:bCs/>
                <w:sz w:val="20"/>
                <w:szCs w:val="20"/>
              </w:rPr>
            </w:pPr>
          </w:p>
          <w:p w14:paraId="7B7179D3" w14:textId="77777777" w:rsidR="00066E88" w:rsidRDefault="00066E88" w:rsidP="00894C6B">
            <w:pPr>
              <w:rPr>
                <w:bCs/>
                <w:sz w:val="20"/>
                <w:szCs w:val="20"/>
              </w:rPr>
            </w:pPr>
            <w:r>
              <w:rPr>
                <w:bCs/>
                <w:sz w:val="20"/>
                <w:szCs w:val="20"/>
              </w:rPr>
              <w:t xml:space="preserve">START PEACE focus is well-aligned with DFAT AIP Pillar 1 on Security and Stability particularly on demobilization of combatants and return to normal life, and the BARMM transition resulting to a more inclusive and responsive autonomous government and improvement </w:t>
            </w:r>
            <w:proofErr w:type="gramStart"/>
            <w:r>
              <w:rPr>
                <w:bCs/>
                <w:sz w:val="20"/>
                <w:szCs w:val="20"/>
              </w:rPr>
              <w:t>in  government</w:t>
            </w:r>
            <w:proofErr w:type="gramEnd"/>
            <w:r>
              <w:rPr>
                <w:bCs/>
                <w:sz w:val="20"/>
                <w:szCs w:val="20"/>
              </w:rPr>
              <w:t xml:space="preserve"> services to the communities.</w:t>
            </w:r>
          </w:p>
          <w:p w14:paraId="4B5B8F35" w14:textId="77777777" w:rsidR="00066E88" w:rsidRDefault="00066E88" w:rsidP="00894C6B">
            <w:pPr>
              <w:rPr>
                <w:bCs/>
                <w:sz w:val="20"/>
                <w:szCs w:val="20"/>
              </w:rPr>
            </w:pPr>
            <w:r>
              <w:rPr>
                <w:bCs/>
                <w:sz w:val="20"/>
                <w:szCs w:val="20"/>
              </w:rPr>
              <w:t xml:space="preserve"> </w:t>
            </w:r>
          </w:p>
        </w:tc>
      </w:tr>
      <w:tr w:rsidR="00066E88" w14:paraId="0D3DB1C4" w14:textId="77777777" w:rsidTr="00A928D6">
        <w:tc>
          <w:tcPr>
            <w:tcW w:w="2406" w:type="dxa"/>
            <w:tcBorders>
              <w:top w:val="single" w:sz="4" w:space="0" w:color="auto"/>
              <w:left w:val="single" w:sz="4" w:space="0" w:color="auto"/>
              <w:bottom w:val="single" w:sz="4" w:space="0" w:color="auto"/>
              <w:right w:val="single" w:sz="4" w:space="0" w:color="auto"/>
            </w:tcBorders>
          </w:tcPr>
          <w:p w14:paraId="2B2A98CC" w14:textId="77777777" w:rsidR="00066E88" w:rsidRPr="0094336C" w:rsidRDefault="00066E88" w:rsidP="00A65FC0">
            <w:pPr>
              <w:pStyle w:val="ListParagraph"/>
              <w:numPr>
                <w:ilvl w:val="0"/>
                <w:numId w:val="103"/>
              </w:numPr>
              <w:ind w:left="30"/>
              <w:rPr>
                <w:b/>
                <w:sz w:val="20"/>
                <w:szCs w:val="20"/>
              </w:rPr>
            </w:pPr>
            <w:r>
              <w:rPr>
                <w:b/>
                <w:sz w:val="20"/>
                <w:szCs w:val="20"/>
              </w:rPr>
              <w:lastRenderedPageBreak/>
              <w:t>2.  Efficiency</w:t>
            </w:r>
          </w:p>
        </w:tc>
        <w:tc>
          <w:tcPr>
            <w:tcW w:w="2976" w:type="dxa"/>
            <w:tcBorders>
              <w:top w:val="single" w:sz="4" w:space="0" w:color="auto"/>
              <w:left w:val="single" w:sz="4" w:space="0" w:color="auto"/>
              <w:bottom w:val="single" w:sz="4" w:space="0" w:color="auto"/>
              <w:right w:val="single" w:sz="4" w:space="0" w:color="auto"/>
            </w:tcBorders>
          </w:tcPr>
          <w:p w14:paraId="1C348C0C" w14:textId="77777777" w:rsidR="00066E88" w:rsidRDefault="00066E88" w:rsidP="00894C6B">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D7C35" w14:textId="77777777" w:rsidR="00066E88" w:rsidRDefault="00066E88" w:rsidP="00894C6B">
            <w:pPr>
              <w:rPr>
                <w:b/>
              </w:rPr>
            </w:pPr>
          </w:p>
        </w:tc>
        <w:tc>
          <w:tcPr>
            <w:tcW w:w="2977" w:type="dxa"/>
            <w:tcBorders>
              <w:top w:val="single" w:sz="4" w:space="0" w:color="auto"/>
              <w:left w:val="single" w:sz="4" w:space="0" w:color="auto"/>
              <w:bottom w:val="single" w:sz="4" w:space="0" w:color="auto"/>
              <w:right w:val="single" w:sz="4" w:space="0" w:color="auto"/>
            </w:tcBorders>
          </w:tcPr>
          <w:p w14:paraId="7FC2BA8B" w14:textId="77777777" w:rsidR="00066E88" w:rsidRDefault="00066E88" w:rsidP="00894C6B">
            <w:pPr>
              <w:rPr>
                <w:b/>
              </w:rPr>
            </w:pPr>
          </w:p>
        </w:tc>
        <w:tc>
          <w:tcPr>
            <w:tcW w:w="3544" w:type="dxa"/>
            <w:tcBorders>
              <w:top w:val="single" w:sz="4" w:space="0" w:color="auto"/>
              <w:left w:val="single" w:sz="4" w:space="0" w:color="auto"/>
              <w:bottom w:val="single" w:sz="4" w:space="0" w:color="auto"/>
              <w:right w:val="single" w:sz="4" w:space="0" w:color="auto"/>
            </w:tcBorders>
          </w:tcPr>
          <w:p w14:paraId="6C7B56A9" w14:textId="77777777" w:rsidR="00066E88" w:rsidRDefault="00066E88" w:rsidP="00894C6B">
            <w:pPr>
              <w:rPr>
                <w:b/>
              </w:rPr>
            </w:pPr>
          </w:p>
        </w:tc>
      </w:tr>
      <w:tr w:rsidR="00066E88" w14:paraId="73C2BAE1" w14:textId="77777777" w:rsidTr="00A928D6">
        <w:tc>
          <w:tcPr>
            <w:tcW w:w="2406" w:type="dxa"/>
            <w:tcBorders>
              <w:top w:val="single" w:sz="4" w:space="0" w:color="auto"/>
              <w:left w:val="single" w:sz="4" w:space="0" w:color="auto"/>
              <w:bottom w:val="single" w:sz="4" w:space="0" w:color="auto"/>
              <w:right w:val="single" w:sz="4" w:space="0" w:color="auto"/>
            </w:tcBorders>
          </w:tcPr>
          <w:p w14:paraId="12D95378" w14:textId="77777777" w:rsidR="00066E88" w:rsidRDefault="00066E88" w:rsidP="00894C6B">
            <w:pPr>
              <w:rPr>
                <w:b/>
                <w:sz w:val="20"/>
                <w:szCs w:val="20"/>
              </w:rPr>
            </w:pPr>
          </w:p>
          <w:p w14:paraId="3663DCF7" w14:textId="77777777" w:rsidR="00066E88" w:rsidRDefault="00066E88" w:rsidP="00894C6B">
            <w:pPr>
              <w:rPr>
                <w:b/>
                <w:sz w:val="20"/>
                <w:szCs w:val="20"/>
              </w:rPr>
            </w:pPr>
            <w:r>
              <w:rPr>
                <w:b/>
                <w:sz w:val="20"/>
                <w:szCs w:val="20"/>
              </w:rPr>
              <w:t>b.  Are we making appropriate use of Australia’s and our partners’ time and resources to achieve outcomes?</w:t>
            </w:r>
          </w:p>
          <w:p w14:paraId="3020B650" w14:textId="77777777" w:rsidR="00066E88" w:rsidRDefault="00066E88" w:rsidP="00894C6B">
            <w:pPr>
              <w:rPr>
                <w:b/>
                <w:sz w:val="20"/>
                <w:szCs w:val="20"/>
              </w:rPr>
            </w:pPr>
          </w:p>
          <w:p w14:paraId="71FEF8F2" w14:textId="77777777" w:rsidR="00066E88" w:rsidRDefault="00066E88" w:rsidP="00894C6B">
            <w:pPr>
              <w:rPr>
                <w:b/>
                <w:sz w:val="20"/>
                <w:szCs w:val="20"/>
              </w:rPr>
            </w:pPr>
          </w:p>
          <w:p w14:paraId="5DA14C9B" w14:textId="77777777" w:rsidR="00066E88" w:rsidRDefault="00066E88" w:rsidP="00894C6B">
            <w:pPr>
              <w:rPr>
                <w:b/>
                <w:sz w:val="20"/>
                <w:szCs w:val="20"/>
              </w:rPr>
            </w:pPr>
          </w:p>
          <w:p w14:paraId="1004B758" w14:textId="77777777" w:rsidR="00066E88" w:rsidRDefault="00066E88" w:rsidP="00894C6B">
            <w:pPr>
              <w:rPr>
                <w:b/>
                <w:sz w:val="20"/>
                <w:szCs w:val="20"/>
              </w:rPr>
            </w:pPr>
          </w:p>
          <w:p w14:paraId="1FFA6710" w14:textId="77777777" w:rsidR="00066E88" w:rsidRDefault="00066E88" w:rsidP="00894C6B">
            <w:pPr>
              <w:rPr>
                <w:b/>
                <w:sz w:val="20"/>
                <w:szCs w:val="20"/>
              </w:rPr>
            </w:pPr>
          </w:p>
          <w:p w14:paraId="64509E36" w14:textId="77777777" w:rsidR="00066E88" w:rsidRDefault="00066E88" w:rsidP="00894C6B">
            <w:pPr>
              <w:rPr>
                <w:b/>
                <w:sz w:val="20"/>
                <w:szCs w:val="20"/>
              </w:rPr>
            </w:pPr>
          </w:p>
          <w:p w14:paraId="03D26FD0" w14:textId="77777777" w:rsidR="00066E88" w:rsidRDefault="00066E88" w:rsidP="00894C6B">
            <w:pPr>
              <w:rPr>
                <w:b/>
                <w:sz w:val="20"/>
                <w:szCs w:val="20"/>
              </w:rPr>
            </w:pPr>
          </w:p>
          <w:p w14:paraId="3B182B25" w14:textId="77777777" w:rsidR="00066E88" w:rsidRDefault="00066E88" w:rsidP="00894C6B">
            <w:pPr>
              <w:rPr>
                <w:b/>
                <w:sz w:val="20"/>
                <w:szCs w:val="20"/>
              </w:rPr>
            </w:pPr>
            <w:r>
              <w:rPr>
                <w:b/>
                <w:sz w:val="20"/>
                <w:szCs w:val="20"/>
              </w:rPr>
              <w:t>b.1 Is each activity able to monitor both the delivery of outputs and remain within the budget allocated?</w:t>
            </w:r>
          </w:p>
          <w:p w14:paraId="293C0734" w14:textId="77777777" w:rsidR="00066E88" w:rsidRDefault="00066E88" w:rsidP="00894C6B">
            <w:pPr>
              <w:rPr>
                <w:b/>
                <w:sz w:val="20"/>
                <w:szCs w:val="20"/>
              </w:rPr>
            </w:pPr>
          </w:p>
          <w:p w14:paraId="7EED2AC8" w14:textId="77777777" w:rsidR="00066E88" w:rsidRDefault="00066E88" w:rsidP="00894C6B">
            <w:pPr>
              <w:rPr>
                <w:b/>
                <w:sz w:val="20"/>
                <w:szCs w:val="20"/>
              </w:rPr>
            </w:pPr>
          </w:p>
          <w:p w14:paraId="6B8F3323" w14:textId="77777777" w:rsidR="00066E88" w:rsidRDefault="00066E88" w:rsidP="00894C6B">
            <w:pPr>
              <w:rPr>
                <w:b/>
                <w:sz w:val="20"/>
                <w:szCs w:val="20"/>
              </w:rPr>
            </w:pPr>
            <w:r>
              <w:rPr>
                <w:b/>
                <w:sz w:val="20"/>
                <w:szCs w:val="20"/>
              </w:rPr>
              <w:t xml:space="preserve">b.2 Are there other modalities that would be </w:t>
            </w:r>
            <w:r>
              <w:rPr>
                <w:b/>
                <w:sz w:val="20"/>
                <w:szCs w:val="20"/>
              </w:rPr>
              <w:lastRenderedPageBreak/>
              <w:t>more appropriate to deliver the activities?</w:t>
            </w:r>
          </w:p>
          <w:p w14:paraId="6FA9C8E9" w14:textId="77777777" w:rsidR="00066E88" w:rsidRDefault="00066E88" w:rsidP="00894C6B">
            <w:pPr>
              <w:rPr>
                <w:b/>
                <w:sz w:val="20"/>
                <w:szCs w:val="20"/>
              </w:rPr>
            </w:pPr>
          </w:p>
          <w:p w14:paraId="5F8D94F1" w14:textId="77777777" w:rsidR="00066E88" w:rsidRDefault="00066E88" w:rsidP="00894C6B">
            <w:pPr>
              <w:rPr>
                <w:b/>
                <w:sz w:val="20"/>
                <w:szCs w:val="20"/>
              </w:rPr>
            </w:pPr>
          </w:p>
          <w:p w14:paraId="5597DCF5" w14:textId="77777777" w:rsidR="00066E88" w:rsidRDefault="00066E88" w:rsidP="00894C6B">
            <w:pPr>
              <w:rPr>
                <w:b/>
                <w:sz w:val="20"/>
                <w:szCs w:val="20"/>
              </w:rPr>
            </w:pPr>
            <w:r>
              <w:rPr>
                <w:b/>
                <w:sz w:val="20"/>
                <w:szCs w:val="20"/>
              </w:rPr>
              <w:t>b.3 The current implementation modalities are directly engaging partners and through multilateral organizations.  What are the benefits and costs of DFAT with these modalities rather than working through other modalities, such as managing contractor?</w:t>
            </w:r>
          </w:p>
          <w:p w14:paraId="3E048310" w14:textId="77777777" w:rsidR="00066E88" w:rsidRDefault="00066E88" w:rsidP="00894C6B">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E24D168" w14:textId="77777777" w:rsidR="00066E88" w:rsidRDefault="00066E88" w:rsidP="00894C6B">
            <w:pPr>
              <w:rPr>
                <w:b/>
              </w:rPr>
            </w:pPr>
          </w:p>
          <w:p w14:paraId="75825F64" w14:textId="77777777" w:rsidR="00066E88" w:rsidRDefault="00066E88" w:rsidP="00894C6B">
            <w:pPr>
              <w:rPr>
                <w:bCs/>
                <w:sz w:val="20"/>
                <w:szCs w:val="20"/>
              </w:rPr>
            </w:pPr>
            <w:r>
              <w:rPr>
                <w:bCs/>
                <w:sz w:val="20"/>
                <w:szCs w:val="20"/>
              </w:rPr>
              <w:t>DFAT’s investment is sound because project responds to the current needs of conflict-affected communities for socio-economic projects.</w:t>
            </w:r>
          </w:p>
          <w:p w14:paraId="25926CA7" w14:textId="77777777" w:rsidR="00066E88" w:rsidRDefault="00066E88" w:rsidP="00894C6B">
            <w:pPr>
              <w:rPr>
                <w:bCs/>
                <w:sz w:val="20"/>
                <w:szCs w:val="20"/>
              </w:rPr>
            </w:pPr>
          </w:p>
          <w:p w14:paraId="7D5EF6BD" w14:textId="77777777" w:rsidR="00066E88" w:rsidRDefault="00066E88" w:rsidP="00894C6B">
            <w:pPr>
              <w:rPr>
                <w:bCs/>
                <w:sz w:val="20"/>
                <w:szCs w:val="20"/>
              </w:rPr>
            </w:pPr>
          </w:p>
          <w:p w14:paraId="3F2CBA14" w14:textId="77777777" w:rsidR="00066E88" w:rsidRDefault="00066E88" w:rsidP="00894C6B">
            <w:pPr>
              <w:rPr>
                <w:bCs/>
                <w:sz w:val="20"/>
                <w:szCs w:val="20"/>
              </w:rPr>
            </w:pPr>
          </w:p>
          <w:p w14:paraId="31EB7033" w14:textId="77777777" w:rsidR="00066E88" w:rsidRDefault="00066E88" w:rsidP="00894C6B">
            <w:pPr>
              <w:rPr>
                <w:bCs/>
                <w:sz w:val="20"/>
                <w:szCs w:val="20"/>
              </w:rPr>
            </w:pPr>
          </w:p>
          <w:p w14:paraId="303C33B0" w14:textId="77777777" w:rsidR="00066E88" w:rsidRDefault="00066E88" w:rsidP="00894C6B">
            <w:pPr>
              <w:rPr>
                <w:bCs/>
                <w:sz w:val="20"/>
                <w:szCs w:val="20"/>
              </w:rPr>
            </w:pPr>
          </w:p>
          <w:p w14:paraId="1097B4A4" w14:textId="77777777" w:rsidR="00066E88" w:rsidRDefault="00066E88" w:rsidP="00894C6B">
            <w:pPr>
              <w:rPr>
                <w:bCs/>
                <w:sz w:val="20"/>
                <w:szCs w:val="20"/>
              </w:rPr>
            </w:pPr>
          </w:p>
          <w:p w14:paraId="26F9B8EB" w14:textId="77777777" w:rsidR="00066E88" w:rsidRDefault="00066E88" w:rsidP="00894C6B">
            <w:pPr>
              <w:rPr>
                <w:bCs/>
                <w:sz w:val="20"/>
                <w:szCs w:val="20"/>
              </w:rPr>
            </w:pPr>
          </w:p>
          <w:p w14:paraId="5537D1D5" w14:textId="77777777" w:rsidR="00066E88" w:rsidRDefault="00066E88" w:rsidP="00894C6B">
            <w:pPr>
              <w:rPr>
                <w:bCs/>
                <w:sz w:val="20"/>
                <w:szCs w:val="20"/>
              </w:rPr>
            </w:pPr>
          </w:p>
          <w:p w14:paraId="5979B6A3" w14:textId="77777777" w:rsidR="00066E88" w:rsidRDefault="00066E88" w:rsidP="00894C6B">
            <w:pPr>
              <w:rPr>
                <w:bCs/>
                <w:sz w:val="20"/>
                <w:szCs w:val="20"/>
              </w:rPr>
            </w:pPr>
            <w:r>
              <w:rPr>
                <w:bCs/>
                <w:sz w:val="20"/>
                <w:szCs w:val="20"/>
              </w:rPr>
              <w:t>The project has installed a robust monitoring and evaluation system and thus, been able to track progress made and budget expenditures</w:t>
            </w:r>
          </w:p>
          <w:p w14:paraId="2D607863" w14:textId="77777777" w:rsidR="00066E88" w:rsidRDefault="00066E88" w:rsidP="00894C6B">
            <w:pPr>
              <w:rPr>
                <w:bCs/>
                <w:sz w:val="20"/>
                <w:szCs w:val="20"/>
              </w:rPr>
            </w:pPr>
          </w:p>
          <w:p w14:paraId="68F73A64" w14:textId="77777777" w:rsidR="00066E88" w:rsidRDefault="00066E88" w:rsidP="00894C6B">
            <w:pPr>
              <w:rPr>
                <w:bCs/>
                <w:sz w:val="20"/>
                <w:szCs w:val="20"/>
              </w:rPr>
            </w:pPr>
          </w:p>
          <w:p w14:paraId="6F87F2A8" w14:textId="77777777" w:rsidR="00066E88" w:rsidRDefault="00066E88" w:rsidP="00894C6B">
            <w:pPr>
              <w:rPr>
                <w:bCs/>
                <w:sz w:val="20"/>
                <w:szCs w:val="20"/>
              </w:rPr>
            </w:pPr>
          </w:p>
          <w:p w14:paraId="4D74F930" w14:textId="77777777" w:rsidR="00066E88" w:rsidRDefault="00066E88" w:rsidP="00894C6B">
            <w:pPr>
              <w:rPr>
                <w:bCs/>
                <w:sz w:val="20"/>
                <w:szCs w:val="20"/>
              </w:rPr>
            </w:pPr>
          </w:p>
          <w:p w14:paraId="1B887E7B" w14:textId="77777777" w:rsidR="00066E88" w:rsidRDefault="00066E88" w:rsidP="00894C6B">
            <w:pPr>
              <w:rPr>
                <w:bCs/>
                <w:sz w:val="20"/>
                <w:szCs w:val="20"/>
              </w:rPr>
            </w:pPr>
            <w:r>
              <w:rPr>
                <w:bCs/>
                <w:sz w:val="20"/>
                <w:szCs w:val="20"/>
              </w:rPr>
              <w:lastRenderedPageBreak/>
              <w:t>None has the ability and experience of the project implementor given their almost 15 years work in the Bangsamoro region.</w:t>
            </w:r>
          </w:p>
          <w:p w14:paraId="5E68F891" w14:textId="77777777" w:rsidR="00066E88" w:rsidRDefault="00066E88" w:rsidP="00894C6B">
            <w:pPr>
              <w:rPr>
                <w:bCs/>
                <w:sz w:val="20"/>
                <w:szCs w:val="20"/>
              </w:rPr>
            </w:pPr>
          </w:p>
          <w:p w14:paraId="7C14C23E" w14:textId="77777777" w:rsidR="00066E88" w:rsidRDefault="00066E88" w:rsidP="00894C6B">
            <w:pPr>
              <w:rPr>
                <w:bCs/>
                <w:sz w:val="20"/>
                <w:szCs w:val="20"/>
              </w:rPr>
            </w:pPr>
          </w:p>
          <w:p w14:paraId="436CB01F" w14:textId="77777777" w:rsidR="00066E88" w:rsidRDefault="00066E88" w:rsidP="00894C6B">
            <w:pPr>
              <w:rPr>
                <w:bCs/>
                <w:sz w:val="20"/>
                <w:szCs w:val="20"/>
              </w:rPr>
            </w:pPr>
          </w:p>
          <w:p w14:paraId="3BAD68CF" w14:textId="77777777" w:rsidR="00066E88" w:rsidRDefault="00066E88" w:rsidP="00894C6B">
            <w:pPr>
              <w:rPr>
                <w:bCs/>
                <w:sz w:val="20"/>
                <w:szCs w:val="20"/>
              </w:rPr>
            </w:pPr>
            <w:r>
              <w:rPr>
                <w:bCs/>
                <w:sz w:val="20"/>
                <w:szCs w:val="20"/>
              </w:rPr>
              <w:t>It provides greater flexibility in operations and the arrangement is more responsive to changing needs because DFAT engages different service providers instead of engaging the service of a single managing contractor.</w:t>
            </w:r>
          </w:p>
          <w:p w14:paraId="069A94FC" w14:textId="77777777" w:rsidR="00066E88" w:rsidRDefault="00066E88" w:rsidP="00894C6B">
            <w:pPr>
              <w:rPr>
                <w:bCs/>
                <w:sz w:val="20"/>
                <w:szCs w:val="20"/>
              </w:rPr>
            </w:pPr>
          </w:p>
          <w:p w14:paraId="73523B78" w14:textId="77777777" w:rsidR="00066E88" w:rsidRPr="00B95C16" w:rsidRDefault="00066E88" w:rsidP="00894C6B">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4C06614" w14:textId="77777777" w:rsidR="00066E88" w:rsidRDefault="00066E88" w:rsidP="00894C6B">
            <w:pPr>
              <w:rPr>
                <w:b/>
              </w:rPr>
            </w:pPr>
          </w:p>
          <w:p w14:paraId="5418CDEE" w14:textId="77777777" w:rsidR="00066E88" w:rsidRDefault="00066E88" w:rsidP="00894C6B">
            <w:pPr>
              <w:rPr>
                <w:bCs/>
                <w:sz w:val="20"/>
                <w:szCs w:val="20"/>
              </w:rPr>
            </w:pPr>
            <w:r>
              <w:rPr>
                <w:bCs/>
                <w:sz w:val="20"/>
                <w:szCs w:val="20"/>
              </w:rPr>
              <w:t>Yes, as the successful reconstruction of Marawi will have a confidence-building effect not only on the residents of Marawi but with the Bangsamoro in general because of the symbolic importance of the city to them.  Unsuccessful reconstruction of the City is being used as a propaganda material by VE groups against the government.</w:t>
            </w:r>
          </w:p>
          <w:p w14:paraId="56A0F3EF" w14:textId="77777777" w:rsidR="00066E88" w:rsidRDefault="00066E88" w:rsidP="00894C6B">
            <w:pPr>
              <w:rPr>
                <w:bCs/>
                <w:sz w:val="20"/>
                <w:szCs w:val="20"/>
              </w:rPr>
            </w:pPr>
          </w:p>
          <w:p w14:paraId="77BAF4CF" w14:textId="77777777" w:rsidR="00066E88" w:rsidRDefault="00066E88" w:rsidP="00894C6B">
            <w:pPr>
              <w:rPr>
                <w:bCs/>
                <w:sz w:val="20"/>
                <w:szCs w:val="20"/>
              </w:rPr>
            </w:pPr>
            <w:r>
              <w:rPr>
                <w:bCs/>
                <w:sz w:val="20"/>
                <w:szCs w:val="20"/>
              </w:rPr>
              <w:t>Clear outputs from each of the 12 components of the project have been identified and submitted.</w:t>
            </w:r>
          </w:p>
          <w:p w14:paraId="5A4E92FF" w14:textId="77777777" w:rsidR="00066E88" w:rsidRDefault="00066E88" w:rsidP="00894C6B">
            <w:pPr>
              <w:rPr>
                <w:bCs/>
                <w:sz w:val="20"/>
                <w:szCs w:val="20"/>
              </w:rPr>
            </w:pPr>
          </w:p>
          <w:p w14:paraId="136A2CC3" w14:textId="77777777" w:rsidR="00066E88" w:rsidRDefault="00066E88" w:rsidP="00894C6B">
            <w:pPr>
              <w:rPr>
                <w:bCs/>
                <w:sz w:val="20"/>
                <w:szCs w:val="20"/>
              </w:rPr>
            </w:pPr>
          </w:p>
          <w:p w14:paraId="6B43EC6F" w14:textId="77777777" w:rsidR="00066E88" w:rsidRDefault="00066E88" w:rsidP="00894C6B">
            <w:pPr>
              <w:rPr>
                <w:bCs/>
                <w:sz w:val="20"/>
                <w:szCs w:val="20"/>
              </w:rPr>
            </w:pPr>
          </w:p>
          <w:p w14:paraId="27D255FD" w14:textId="77777777" w:rsidR="00066E88" w:rsidRDefault="00066E88" w:rsidP="00894C6B">
            <w:pPr>
              <w:rPr>
                <w:bCs/>
                <w:sz w:val="20"/>
                <w:szCs w:val="20"/>
              </w:rPr>
            </w:pPr>
          </w:p>
          <w:p w14:paraId="4B398188" w14:textId="77777777" w:rsidR="00066E88" w:rsidRDefault="00066E88" w:rsidP="00894C6B">
            <w:pPr>
              <w:rPr>
                <w:bCs/>
                <w:sz w:val="20"/>
                <w:szCs w:val="20"/>
              </w:rPr>
            </w:pPr>
          </w:p>
          <w:p w14:paraId="782B2834" w14:textId="77777777" w:rsidR="00066E88" w:rsidRDefault="00066E88" w:rsidP="00894C6B">
            <w:pPr>
              <w:rPr>
                <w:bCs/>
                <w:sz w:val="20"/>
                <w:szCs w:val="20"/>
              </w:rPr>
            </w:pPr>
            <w:r>
              <w:rPr>
                <w:bCs/>
                <w:sz w:val="20"/>
                <w:szCs w:val="20"/>
              </w:rPr>
              <w:lastRenderedPageBreak/>
              <w:t>The spread and scope of the project implementor in working in conflict areas around the world makes it the ideal agent for this type of technical assistance project.</w:t>
            </w:r>
          </w:p>
          <w:p w14:paraId="2AB23F04" w14:textId="77777777" w:rsidR="00066E88" w:rsidRDefault="00066E88" w:rsidP="00894C6B">
            <w:pPr>
              <w:rPr>
                <w:bCs/>
                <w:sz w:val="20"/>
                <w:szCs w:val="20"/>
              </w:rPr>
            </w:pPr>
          </w:p>
          <w:p w14:paraId="13283421" w14:textId="77777777" w:rsidR="00066E88" w:rsidRPr="00B30A78" w:rsidRDefault="00066E88" w:rsidP="00894C6B">
            <w:pPr>
              <w:rPr>
                <w:bCs/>
                <w:sz w:val="20"/>
                <w:szCs w:val="20"/>
              </w:rPr>
            </w:pPr>
            <w:r>
              <w:rPr>
                <w:bCs/>
                <w:sz w:val="20"/>
                <w:szCs w:val="20"/>
              </w:rPr>
              <w:t xml:space="preserve">Flexibility is enjoyed by DFAT in addressing new and emerging issues which have not been anticipated at the start of the project.  It also allows to be more responsive to needs/demands of the client stakeholders. </w:t>
            </w:r>
          </w:p>
        </w:tc>
        <w:tc>
          <w:tcPr>
            <w:tcW w:w="2977" w:type="dxa"/>
            <w:tcBorders>
              <w:top w:val="single" w:sz="4" w:space="0" w:color="auto"/>
              <w:left w:val="single" w:sz="4" w:space="0" w:color="auto"/>
              <w:bottom w:val="single" w:sz="4" w:space="0" w:color="auto"/>
              <w:right w:val="single" w:sz="4" w:space="0" w:color="auto"/>
            </w:tcBorders>
          </w:tcPr>
          <w:p w14:paraId="086487E5" w14:textId="77777777" w:rsidR="00066E88" w:rsidRDefault="00066E88" w:rsidP="00894C6B">
            <w:pPr>
              <w:rPr>
                <w:b/>
              </w:rPr>
            </w:pPr>
          </w:p>
          <w:p w14:paraId="13BE0E9F" w14:textId="77777777" w:rsidR="00066E88" w:rsidRDefault="00066E88" w:rsidP="00894C6B">
            <w:pPr>
              <w:rPr>
                <w:sz w:val="20"/>
                <w:szCs w:val="20"/>
              </w:rPr>
            </w:pPr>
            <w:r>
              <w:rPr>
                <w:sz w:val="20"/>
                <w:szCs w:val="20"/>
              </w:rPr>
              <w:t xml:space="preserve">PRIME Bangsamoro is one of the more prominent and relevant donor-funded interventions that made significant in-roads in terms of supporting an enabling environment, mobilizing key stakeholders and facilitating platforms for inclusive political dialogues and mediations. </w:t>
            </w:r>
          </w:p>
          <w:p w14:paraId="7D43A69A" w14:textId="77777777" w:rsidR="00066E88" w:rsidRDefault="00066E88" w:rsidP="00894C6B">
            <w:pPr>
              <w:rPr>
                <w:sz w:val="20"/>
                <w:szCs w:val="20"/>
              </w:rPr>
            </w:pPr>
          </w:p>
          <w:p w14:paraId="275B4EAB" w14:textId="77777777" w:rsidR="00066E88" w:rsidRDefault="00066E88" w:rsidP="00894C6B">
            <w:pPr>
              <w:rPr>
                <w:sz w:val="20"/>
                <w:szCs w:val="20"/>
              </w:rPr>
            </w:pPr>
          </w:p>
          <w:p w14:paraId="74E5BF2C" w14:textId="77777777" w:rsidR="00066E88" w:rsidRDefault="00066E88" w:rsidP="00894C6B">
            <w:pPr>
              <w:rPr>
                <w:sz w:val="20"/>
                <w:szCs w:val="20"/>
              </w:rPr>
            </w:pPr>
          </w:p>
          <w:p w14:paraId="2CE3FF02" w14:textId="77777777" w:rsidR="00066E88" w:rsidRDefault="00066E88" w:rsidP="00894C6B">
            <w:pPr>
              <w:rPr>
                <w:sz w:val="20"/>
                <w:szCs w:val="20"/>
              </w:rPr>
            </w:pPr>
          </w:p>
          <w:p w14:paraId="41BACBAA" w14:textId="77777777" w:rsidR="00066E88" w:rsidRDefault="00066E88" w:rsidP="00894C6B">
            <w:pPr>
              <w:rPr>
                <w:sz w:val="20"/>
                <w:szCs w:val="20"/>
              </w:rPr>
            </w:pPr>
          </w:p>
          <w:p w14:paraId="36240DBA" w14:textId="77777777" w:rsidR="00066E88" w:rsidRDefault="00066E88" w:rsidP="00894C6B">
            <w:pPr>
              <w:rPr>
                <w:sz w:val="20"/>
                <w:szCs w:val="20"/>
              </w:rPr>
            </w:pPr>
            <w:r>
              <w:rPr>
                <w:sz w:val="20"/>
                <w:szCs w:val="20"/>
              </w:rPr>
              <w:t xml:space="preserve">It is arguably one of few donor-funded projects well-positioned to provide substantial support to influence the stakeholders to stay the course of the peace </w:t>
            </w:r>
            <w:proofErr w:type="gramStart"/>
            <w:r>
              <w:rPr>
                <w:sz w:val="20"/>
                <w:szCs w:val="20"/>
              </w:rPr>
              <w:t>process, and</w:t>
            </w:r>
            <w:proofErr w:type="gramEnd"/>
            <w:r>
              <w:rPr>
                <w:sz w:val="20"/>
                <w:szCs w:val="20"/>
              </w:rPr>
              <w:t xml:space="preserve"> promote intra-Moro dialogues in view of the BOL and federalism tracks. </w:t>
            </w:r>
          </w:p>
          <w:p w14:paraId="3D23C369" w14:textId="77777777" w:rsidR="00066E88" w:rsidRDefault="00066E88" w:rsidP="00894C6B">
            <w:pPr>
              <w:rPr>
                <w:sz w:val="20"/>
                <w:szCs w:val="20"/>
              </w:rPr>
            </w:pPr>
            <w:r>
              <w:rPr>
                <w:sz w:val="20"/>
                <w:szCs w:val="20"/>
              </w:rPr>
              <w:lastRenderedPageBreak/>
              <w:t xml:space="preserve">There was a strong sense of ownership and engagement from dialogue partners such as the MILF and MNLF; local foreign, national and local civil society organizations; and national, regional and local governments. </w:t>
            </w:r>
          </w:p>
          <w:p w14:paraId="200C5DA0" w14:textId="77777777" w:rsidR="00066E88" w:rsidRDefault="00066E88" w:rsidP="00894C6B">
            <w:pPr>
              <w:rPr>
                <w:sz w:val="20"/>
                <w:szCs w:val="20"/>
              </w:rPr>
            </w:pPr>
          </w:p>
          <w:p w14:paraId="15708BBC" w14:textId="77777777" w:rsidR="00066E88" w:rsidRDefault="00066E88" w:rsidP="00894C6B">
            <w:pPr>
              <w:rPr>
                <w:sz w:val="20"/>
                <w:szCs w:val="20"/>
              </w:rPr>
            </w:pPr>
            <w:r>
              <w:rPr>
                <w:sz w:val="20"/>
                <w:szCs w:val="20"/>
              </w:rPr>
              <w:t xml:space="preserve">PRIME Bangsamoro was very explicit in terms of building local capacities and context-sensitive inputs. While dominated by Moros and the MILF as contractual partner in the peace process, PRIME Bangsamoro was also able to mobilize and provide opportunities for minority sectors, such as the descendants of Christian settlers and non-Moro indigenous peoples to articulate their issues and concerns. </w:t>
            </w:r>
          </w:p>
          <w:p w14:paraId="19AD5F26" w14:textId="77777777" w:rsidR="00066E88" w:rsidRPr="00B61FDD" w:rsidRDefault="00066E88" w:rsidP="00894C6B">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B2802F5" w14:textId="77777777" w:rsidR="00066E88" w:rsidRDefault="00066E88" w:rsidP="00894C6B">
            <w:pPr>
              <w:rPr>
                <w:sz w:val="20"/>
                <w:szCs w:val="20"/>
              </w:rPr>
            </w:pPr>
            <w:r>
              <w:rPr>
                <w:sz w:val="20"/>
                <w:szCs w:val="20"/>
              </w:rPr>
              <w:lastRenderedPageBreak/>
              <w:t xml:space="preserve">UNDP’s engagement provides a unique global perspective to political transition and violent extremism. The START PEACE project can learn and benefits from UNDP’s post conflict reconstruction and development experiences. </w:t>
            </w:r>
          </w:p>
          <w:p w14:paraId="390635CA" w14:textId="77777777" w:rsidR="00066E88" w:rsidRDefault="00066E88" w:rsidP="00894C6B">
            <w:pPr>
              <w:rPr>
                <w:sz w:val="20"/>
                <w:szCs w:val="20"/>
              </w:rPr>
            </w:pPr>
          </w:p>
          <w:p w14:paraId="3E4A567B" w14:textId="77777777" w:rsidR="00066E88" w:rsidRDefault="00066E88" w:rsidP="00894C6B">
            <w:pPr>
              <w:rPr>
                <w:sz w:val="20"/>
                <w:szCs w:val="20"/>
              </w:rPr>
            </w:pPr>
            <w:r>
              <w:rPr>
                <w:sz w:val="20"/>
                <w:szCs w:val="20"/>
              </w:rPr>
              <w:t xml:space="preserve">Consequently, the critical two factors to post-conflict reconstruction – nature of transition by armed groups and their ability to practice, participate and lead a different type of politics – have been integrated into the START PEACE project design. </w:t>
            </w:r>
          </w:p>
          <w:p w14:paraId="44E48D31" w14:textId="77777777" w:rsidR="00066E88" w:rsidRDefault="00066E88" w:rsidP="00894C6B">
            <w:pPr>
              <w:rPr>
                <w:sz w:val="20"/>
                <w:szCs w:val="20"/>
              </w:rPr>
            </w:pPr>
          </w:p>
          <w:p w14:paraId="0F0968D8" w14:textId="77777777" w:rsidR="00066E88" w:rsidRPr="00301A8D" w:rsidRDefault="00066E88" w:rsidP="00894C6B">
            <w:pPr>
              <w:rPr>
                <w:sz w:val="20"/>
                <w:szCs w:val="20"/>
              </w:rPr>
            </w:pPr>
            <w:r>
              <w:rPr>
                <w:sz w:val="20"/>
                <w:szCs w:val="20"/>
              </w:rPr>
              <w:t xml:space="preserve">There is a healthy mix of varied implementing partners – international, national and local – in this project, each bringing its own expertise and experience and allows the BARMM to benefits in terms of wider input choices to its governance transition, </w:t>
            </w:r>
            <w:r>
              <w:rPr>
                <w:sz w:val="20"/>
                <w:szCs w:val="20"/>
              </w:rPr>
              <w:lastRenderedPageBreak/>
              <w:t xml:space="preserve">normalization and camp transformation. This hopefully would mean more qualitative outputs for the project that support value for money for the DFAT investment in Muslim Mindanao.  </w:t>
            </w:r>
          </w:p>
        </w:tc>
      </w:tr>
      <w:tr w:rsidR="00066E88" w14:paraId="1E183227" w14:textId="77777777" w:rsidTr="00A928D6">
        <w:tc>
          <w:tcPr>
            <w:tcW w:w="2406" w:type="dxa"/>
            <w:tcBorders>
              <w:top w:val="single" w:sz="4" w:space="0" w:color="auto"/>
              <w:left w:val="single" w:sz="4" w:space="0" w:color="auto"/>
              <w:bottom w:val="single" w:sz="4" w:space="0" w:color="auto"/>
              <w:right w:val="single" w:sz="4" w:space="0" w:color="auto"/>
            </w:tcBorders>
          </w:tcPr>
          <w:p w14:paraId="10884466" w14:textId="77777777" w:rsidR="00066E88" w:rsidRDefault="00066E88" w:rsidP="00894C6B">
            <w:pPr>
              <w:rPr>
                <w:b/>
                <w:sz w:val="20"/>
                <w:szCs w:val="20"/>
              </w:rPr>
            </w:pPr>
            <w:r>
              <w:rPr>
                <w:b/>
                <w:sz w:val="20"/>
                <w:szCs w:val="20"/>
              </w:rPr>
              <w:lastRenderedPageBreak/>
              <w:t>3. Relevance</w:t>
            </w:r>
          </w:p>
        </w:tc>
        <w:tc>
          <w:tcPr>
            <w:tcW w:w="2976" w:type="dxa"/>
            <w:tcBorders>
              <w:top w:val="single" w:sz="4" w:space="0" w:color="auto"/>
              <w:left w:val="single" w:sz="4" w:space="0" w:color="auto"/>
              <w:bottom w:val="single" w:sz="4" w:space="0" w:color="auto"/>
              <w:right w:val="single" w:sz="4" w:space="0" w:color="auto"/>
            </w:tcBorders>
          </w:tcPr>
          <w:p w14:paraId="56B4BDDE" w14:textId="77777777" w:rsidR="00066E88" w:rsidRDefault="00066E88" w:rsidP="00894C6B">
            <w:pPr>
              <w:rPr>
                <w:b/>
              </w:rPr>
            </w:pPr>
          </w:p>
        </w:tc>
        <w:tc>
          <w:tcPr>
            <w:tcW w:w="2835" w:type="dxa"/>
            <w:tcBorders>
              <w:top w:val="single" w:sz="4" w:space="0" w:color="auto"/>
              <w:left w:val="single" w:sz="4" w:space="0" w:color="auto"/>
              <w:bottom w:val="single" w:sz="4" w:space="0" w:color="auto"/>
              <w:right w:val="single" w:sz="4" w:space="0" w:color="auto"/>
            </w:tcBorders>
          </w:tcPr>
          <w:p w14:paraId="6EE4CC0E" w14:textId="77777777" w:rsidR="00066E88" w:rsidRDefault="00066E88" w:rsidP="00894C6B">
            <w:pPr>
              <w:rPr>
                <w:b/>
              </w:rPr>
            </w:pPr>
          </w:p>
        </w:tc>
        <w:tc>
          <w:tcPr>
            <w:tcW w:w="2977" w:type="dxa"/>
            <w:tcBorders>
              <w:top w:val="single" w:sz="4" w:space="0" w:color="auto"/>
              <w:left w:val="single" w:sz="4" w:space="0" w:color="auto"/>
              <w:bottom w:val="single" w:sz="4" w:space="0" w:color="auto"/>
              <w:right w:val="single" w:sz="4" w:space="0" w:color="auto"/>
            </w:tcBorders>
          </w:tcPr>
          <w:p w14:paraId="5A753031" w14:textId="77777777" w:rsidR="00066E88" w:rsidRDefault="00066E88" w:rsidP="00894C6B">
            <w:pPr>
              <w:rPr>
                <w:b/>
              </w:rPr>
            </w:pPr>
          </w:p>
        </w:tc>
        <w:tc>
          <w:tcPr>
            <w:tcW w:w="3544" w:type="dxa"/>
            <w:tcBorders>
              <w:top w:val="single" w:sz="4" w:space="0" w:color="auto"/>
              <w:left w:val="single" w:sz="4" w:space="0" w:color="auto"/>
              <w:bottom w:val="single" w:sz="4" w:space="0" w:color="auto"/>
              <w:right w:val="single" w:sz="4" w:space="0" w:color="auto"/>
            </w:tcBorders>
          </w:tcPr>
          <w:p w14:paraId="5CC6B26C" w14:textId="77777777" w:rsidR="00066E88" w:rsidRDefault="00066E88" w:rsidP="00894C6B">
            <w:pPr>
              <w:rPr>
                <w:b/>
              </w:rPr>
            </w:pPr>
          </w:p>
        </w:tc>
      </w:tr>
      <w:tr w:rsidR="00066E88" w14:paraId="46C9C94E" w14:textId="77777777" w:rsidTr="00A928D6">
        <w:tc>
          <w:tcPr>
            <w:tcW w:w="2406" w:type="dxa"/>
            <w:tcBorders>
              <w:top w:val="single" w:sz="4" w:space="0" w:color="auto"/>
              <w:left w:val="single" w:sz="4" w:space="0" w:color="auto"/>
              <w:bottom w:val="single" w:sz="4" w:space="0" w:color="auto"/>
              <w:right w:val="single" w:sz="4" w:space="0" w:color="auto"/>
            </w:tcBorders>
          </w:tcPr>
          <w:p w14:paraId="2148B13A" w14:textId="77777777" w:rsidR="00066E88" w:rsidRDefault="00066E88" w:rsidP="00894C6B">
            <w:pPr>
              <w:rPr>
                <w:b/>
                <w:sz w:val="20"/>
                <w:szCs w:val="20"/>
              </w:rPr>
            </w:pPr>
          </w:p>
          <w:p w14:paraId="7CC3B43D" w14:textId="77777777" w:rsidR="00066E88" w:rsidRDefault="00066E88" w:rsidP="00894C6B">
            <w:pPr>
              <w:rPr>
                <w:b/>
                <w:sz w:val="20"/>
                <w:szCs w:val="20"/>
              </w:rPr>
            </w:pPr>
            <w:r>
              <w:rPr>
                <w:b/>
                <w:sz w:val="20"/>
                <w:szCs w:val="20"/>
              </w:rPr>
              <w:t>c.  Is this still the right thing to do?</w:t>
            </w:r>
          </w:p>
          <w:p w14:paraId="7AE694DF" w14:textId="77777777" w:rsidR="00066E88" w:rsidRDefault="00066E88" w:rsidP="00894C6B">
            <w:pPr>
              <w:rPr>
                <w:b/>
                <w:sz w:val="20"/>
                <w:szCs w:val="20"/>
              </w:rPr>
            </w:pPr>
          </w:p>
          <w:p w14:paraId="7AEA3402" w14:textId="77777777" w:rsidR="00066E88" w:rsidRDefault="00066E88" w:rsidP="00894C6B">
            <w:pPr>
              <w:rPr>
                <w:b/>
                <w:sz w:val="20"/>
                <w:szCs w:val="20"/>
              </w:rPr>
            </w:pPr>
          </w:p>
          <w:p w14:paraId="05DA1A74" w14:textId="77777777" w:rsidR="00066E88" w:rsidRDefault="00066E88" w:rsidP="00894C6B">
            <w:pPr>
              <w:rPr>
                <w:b/>
                <w:sz w:val="20"/>
                <w:szCs w:val="20"/>
              </w:rPr>
            </w:pPr>
          </w:p>
          <w:p w14:paraId="1B359302" w14:textId="77777777" w:rsidR="00066E88" w:rsidRDefault="00066E88" w:rsidP="00894C6B">
            <w:pPr>
              <w:rPr>
                <w:b/>
                <w:sz w:val="20"/>
                <w:szCs w:val="20"/>
              </w:rPr>
            </w:pPr>
          </w:p>
          <w:p w14:paraId="71557669" w14:textId="77777777" w:rsidR="00066E88" w:rsidRDefault="00066E88" w:rsidP="00894C6B">
            <w:pPr>
              <w:rPr>
                <w:b/>
                <w:sz w:val="20"/>
                <w:szCs w:val="20"/>
              </w:rPr>
            </w:pPr>
          </w:p>
          <w:p w14:paraId="76AC8D4E" w14:textId="77777777" w:rsidR="00066E88" w:rsidRDefault="00066E88" w:rsidP="00894C6B">
            <w:pPr>
              <w:rPr>
                <w:b/>
                <w:sz w:val="20"/>
                <w:szCs w:val="20"/>
              </w:rPr>
            </w:pPr>
          </w:p>
          <w:p w14:paraId="54B5F095" w14:textId="77777777" w:rsidR="00066E88" w:rsidRDefault="00066E88" w:rsidP="00894C6B">
            <w:pPr>
              <w:rPr>
                <w:b/>
                <w:sz w:val="20"/>
                <w:szCs w:val="20"/>
              </w:rPr>
            </w:pPr>
            <w:r>
              <w:rPr>
                <w:b/>
                <w:sz w:val="20"/>
                <w:szCs w:val="20"/>
              </w:rPr>
              <w:lastRenderedPageBreak/>
              <w:t>c.1 How well have current programs adapted in response to the change in the context?  Are there programs/partners that are no longer relevant?</w:t>
            </w:r>
          </w:p>
          <w:p w14:paraId="62DB58B9" w14:textId="77777777" w:rsidR="00066E88" w:rsidRDefault="00066E88" w:rsidP="00894C6B">
            <w:pPr>
              <w:rPr>
                <w:b/>
                <w:sz w:val="20"/>
                <w:szCs w:val="20"/>
              </w:rPr>
            </w:pPr>
          </w:p>
          <w:p w14:paraId="13E78DD2" w14:textId="77777777" w:rsidR="00066E88" w:rsidRDefault="00066E88" w:rsidP="00894C6B">
            <w:pPr>
              <w:rPr>
                <w:b/>
                <w:sz w:val="20"/>
                <w:szCs w:val="20"/>
              </w:rPr>
            </w:pPr>
          </w:p>
          <w:p w14:paraId="3538783F" w14:textId="77777777" w:rsidR="00066E88" w:rsidRDefault="00066E88" w:rsidP="00894C6B">
            <w:pPr>
              <w:rPr>
                <w:b/>
                <w:sz w:val="20"/>
                <w:szCs w:val="20"/>
              </w:rPr>
            </w:pPr>
          </w:p>
          <w:p w14:paraId="5269E340" w14:textId="77777777" w:rsidR="00066E88" w:rsidRDefault="00066E88" w:rsidP="00894C6B">
            <w:pPr>
              <w:rPr>
                <w:b/>
                <w:sz w:val="20"/>
                <w:szCs w:val="20"/>
              </w:rPr>
            </w:pPr>
            <w:r>
              <w:rPr>
                <w:b/>
                <w:sz w:val="20"/>
                <w:szCs w:val="20"/>
              </w:rPr>
              <w:t>c.2 How well aligned or integrated is the program with the broader range of new initiatives being implemented and planned in BARMM?</w:t>
            </w:r>
          </w:p>
          <w:p w14:paraId="433FEA56" w14:textId="77777777" w:rsidR="00066E88" w:rsidRDefault="00066E88" w:rsidP="00894C6B">
            <w:pPr>
              <w:rPr>
                <w:b/>
                <w:sz w:val="20"/>
                <w:szCs w:val="20"/>
              </w:rPr>
            </w:pPr>
          </w:p>
          <w:p w14:paraId="060DC827" w14:textId="77777777" w:rsidR="00066E88" w:rsidRDefault="00066E88" w:rsidP="00894C6B">
            <w:pPr>
              <w:rPr>
                <w:b/>
                <w:sz w:val="20"/>
                <w:szCs w:val="20"/>
              </w:rPr>
            </w:pPr>
          </w:p>
          <w:p w14:paraId="59C42AA7" w14:textId="77777777" w:rsidR="00066E88" w:rsidRDefault="00066E88" w:rsidP="00894C6B">
            <w:pPr>
              <w:rPr>
                <w:b/>
                <w:sz w:val="20"/>
                <w:szCs w:val="20"/>
              </w:rPr>
            </w:pPr>
            <w:r>
              <w:rPr>
                <w:b/>
                <w:sz w:val="20"/>
                <w:szCs w:val="20"/>
              </w:rPr>
              <w:t>c.3 What new initiatives/objectives/</w:t>
            </w:r>
          </w:p>
          <w:p w14:paraId="55A52222" w14:textId="77777777" w:rsidR="00066E88" w:rsidRDefault="00066E88" w:rsidP="00894C6B">
            <w:pPr>
              <w:rPr>
                <w:b/>
                <w:sz w:val="20"/>
                <w:szCs w:val="20"/>
              </w:rPr>
            </w:pPr>
            <w:r>
              <w:rPr>
                <w:b/>
                <w:sz w:val="20"/>
                <w:szCs w:val="20"/>
              </w:rPr>
              <w:t>partners are needed to support the transition of the BARMM govt and ongoing governance in the BARMM?</w:t>
            </w:r>
          </w:p>
          <w:p w14:paraId="3B1B478C" w14:textId="77777777" w:rsidR="00066E88" w:rsidRDefault="00066E88" w:rsidP="00894C6B">
            <w:pPr>
              <w:rPr>
                <w:b/>
                <w:sz w:val="20"/>
                <w:szCs w:val="20"/>
              </w:rPr>
            </w:pPr>
          </w:p>
          <w:p w14:paraId="20948D7E" w14:textId="77777777" w:rsidR="00066E88" w:rsidRDefault="00066E88" w:rsidP="00894C6B">
            <w:pPr>
              <w:rPr>
                <w:b/>
                <w:sz w:val="20"/>
                <w:szCs w:val="20"/>
              </w:rPr>
            </w:pPr>
          </w:p>
          <w:p w14:paraId="7E04E71F" w14:textId="77777777" w:rsidR="00066E88" w:rsidRDefault="00066E88" w:rsidP="00894C6B">
            <w:pPr>
              <w:rPr>
                <w:b/>
                <w:sz w:val="20"/>
                <w:szCs w:val="20"/>
              </w:rPr>
            </w:pPr>
          </w:p>
          <w:p w14:paraId="1D2393FD" w14:textId="77777777" w:rsidR="00066E88" w:rsidRDefault="00066E88" w:rsidP="00894C6B">
            <w:pPr>
              <w:rPr>
                <w:b/>
                <w:sz w:val="20"/>
                <w:szCs w:val="20"/>
              </w:rPr>
            </w:pPr>
          </w:p>
          <w:p w14:paraId="78F110F8" w14:textId="77777777" w:rsidR="00066E88" w:rsidRDefault="00066E88" w:rsidP="00894C6B">
            <w:pPr>
              <w:rPr>
                <w:b/>
                <w:sz w:val="20"/>
                <w:szCs w:val="20"/>
              </w:rPr>
            </w:pPr>
          </w:p>
          <w:p w14:paraId="532505E9" w14:textId="77777777" w:rsidR="00066E88" w:rsidRDefault="00066E88" w:rsidP="00894C6B">
            <w:pPr>
              <w:rPr>
                <w:b/>
                <w:sz w:val="20"/>
                <w:szCs w:val="20"/>
              </w:rPr>
            </w:pPr>
          </w:p>
          <w:p w14:paraId="4E609363" w14:textId="77777777" w:rsidR="00066E88" w:rsidRDefault="00066E88" w:rsidP="00894C6B">
            <w:pPr>
              <w:rPr>
                <w:b/>
                <w:sz w:val="20"/>
                <w:szCs w:val="20"/>
              </w:rPr>
            </w:pPr>
          </w:p>
          <w:p w14:paraId="6A030B56" w14:textId="77777777" w:rsidR="00066E88" w:rsidRDefault="00066E88" w:rsidP="00894C6B">
            <w:pPr>
              <w:rPr>
                <w:b/>
                <w:sz w:val="20"/>
                <w:szCs w:val="20"/>
              </w:rPr>
            </w:pPr>
            <w:r>
              <w:rPr>
                <w:b/>
                <w:sz w:val="20"/>
                <w:szCs w:val="20"/>
              </w:rPr>
              <w:lastRenderedPageBreak/>
              <w:t>c.4 To what extent do the programs support regional security and economic growth?</w:t>
            </w:r>
          </w:p>
          <w:p w14:paraId="11D6E24C" w14:textId="77777777" w:rsidR="00066E88" w:rsidRDefault="00066E88" w:rsidP="00894C6B">
            <w:pPr>
              <w:rPr>
                <w:b/>
                <w:sz w:val="20"/>
                <w:szCs w:val="20"/>
              </w:rPr>
            </w:pPr>
          </w:p>
          <w:p w14:paraId="7BB44157" w14:textId="77777777" w:rsidR="00066E88" w:rsidRDefault="00066E88" w:rsidP="00894C6B">
            <w:pPr>
              <w:rPr>
                <w:b/>
                <w:sz w:val="20"/>
                <w:szCs w:val="20"/>
              </w:rPr>
            </w:pPr>
          </w:p>
          <w:p w14:paraId="4D3BAE9A" w14:textId="77777777" w:rsidR="00066E88" w:rsidRDefault="00066E88" w:rsidP="00894C6B">
            <w:pPr>
              <w:rPr>
                <w:b/>
                <w:sz w:val="20"/>
                <w:szCs w:val="20"/>
              </w:rPr>
            </w:pPr>
          </w:p>
          <w:p w14:paraId="05A61780" w14:textId="77777777" w:rsidR="00066E88" w:rsidRDefault="00066E88" w:rsidP="00894C6B">
            <w:pPr>
              <w:rPr>
                <w:b/>
                <w:sz w:val="20"/>
                <w:szCs w:val="20"/>
              </w:rPr>
            </w:pPr>
          </w:p>
          <w:p w14:paraId="4FE03CE6" w14:textId="77777777" w:rsidR="00066E88" w:rsidRDefault="00066E88" w:rsidP="00894C6B">
            <w:pPr>
              <w:rPr>
                <w:b/>
                <w:sz w:val="20"/>
                <w:szCs w:val="20"/>
              </w:rPr>
            </w:pPr>
          </w:p>
          <w:p w14:paraId="688D349F" w14:textId="77777777" w:rsidR="00066E88" w:rsidRDefault="00066E88" w:rsidP="00894C6B">
            <w:pPr>
              <w:rPr>
                <w:b/>
                <w:sz w:val="20"/>
                <w:szCs w:val="20"/>
              </w:rPr>
            </w:pPr>
          </w:p>
          <w:p w14:paraId="0C289547" w14:textId="77777777" w:rsidR="00066E88" w:rsidRDefault="00066E88" w:rsidP="00894C6B">
            <w:pPr>
              <w:rPr>
                <w:b/>
                <w:sz w:val="20"/>
                <w:szCs w:val="20"/>
              </w:rPr>
            </w:pPr>
          </w:p>
          <w:p w14:paraId="0BF36C49" w14:textId="77777777" w:rsidR="00066E88" w:rsidRDefault="00066E88" w:rsidP="00894C6B">
            <w:pPr>
              <w:rPr>
                <w:b/>
                <w:sz w:val="20"/>
                <w:szCs w:val="20"/>
              </w:rPr>
            </w:pPr>
          </w:p>
          <w:p w14:paraId="148DD56F" w14:textId="77777777" w:rsidR="00066E88" w:rsidRDefault="00066E88" w:rsidP="00894C6B">
            <w:pPr>
              <w:rPr>
                <w:b/>
                <w:sz w:val="20"/>
                <w:szCs w:val="20"/>
              </w:rPr>
            </w:pPr>
          </w:p>
          <w:p w14:paraId="2041BD8C" w14:textId="77777777" w:rsidR="00066E88" w:rsidRDefault="00066E88" w:rsidP="00894C6B">
            <w:pPr>
              <w:rPr>
                <w:b/>
                <w:sz w:val="20"/>
                <w:szCs w:val="20"/>
              </w:rPr>
            </w:pPr>
            <w:r>
              <w:rPr>
                <w:b/>
                <w:sz w:val="20"/>
                <w:szCs w:val="20"/>
              </w:rPr>
              <w:t>c.5 What future activities should be considered post the political transition?</w:t>
            </w:r>
          </w:p>
          <w:p w14:paraId="15115C82" w14:textId="77777777" w:rsidR="00066E88" w:rsidRDefault="00066E88" w:rsidP="00894C6B">
            <w:pPr>
              <w:rPr>
                <w:b/>
                <w:sz w:val="20"/>
                <w:szCs w:val="20"/>
              </w:rPr>
            </w:pPr>
          </w:p>
          <w:p w14:paraId="3CBA425F" w14:textId="77777777" w:rsidR="00066E88" w:rsidRDefault="00066E88" w:rsidP="00894C6B">
            <w:pPr>
              <w:rPr>
                <w:b/>
                <w:sz w:val="20"/>
                <w:szCs w:val="20"/>
              </w:rPr>
            </w:pPr>
          </w:p>
          <w:p w14:paraId="5091002A" w14:textId="77777777" w:rsidR="00066E88" w:rsidRDefault="00066E88" w:rsidP="00894C6B">
            <w:pPr>
              <w:rPr>
                <w:b/>
                <w:sz w:val="20"/>
                <w:szCs w:val="20"/>
              </w:rPr>
            </w:pPr>
            <w:r>
              <w:rPr>
                <w:b/>
                <w:sz w:val="20"/>
                <w:szCs w:val="20"/>
              </w:rPr>
              <w:t>c.6 How well are the current programs responding to the different kinds of conflict in the region - violent extremism, community/</w:t>
            </w:r>
          </w:p>
          <w:p w14:paraId="65C03A4D" w14:textId="77777777" w:rsidR="00066E88" w:rsidRDefault="00066E88" w:rsidP="00894C6B">
            <w:pPr>
              <w:rPr>
                <w:b/>
                <w:sz w:val="20"/>
                <w:szCs w:val="20"/>
              </w:rPr>
            </w:pPr>
            <w:r>
              <w:rPr>
                <w:b/>
                <w:sz w:val="20"/>
                <w:szCs w:val="20"/>
              </w:rPr>
              <w:t>clan based, and political? Are we targeting the correct drivers of these conflicts?</w:t>
            </w:r>
          </w:p>
          <w:p w14:paraId="1A897D28" w14:textId="77777777" w:rsidR="00066E88" w:rsidRDefault="00066E88" w:rsidP="00894C6B">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7933190" w14:textId="77777777" w:rsidR="00066E88" w:rsidRDefault="00066E88" w:rsidP="00894C6B">
            <w:pPr>
              <w:rPr>
                <w:bCs/>
                <w:sz w:val="20"/>
                <w:szCs w:val="20"/>
              </w:rPr>
            </w:pPr>
            <w:r>
              <w:rPr>
                <w:bCs/>
                <w:sz w:val="20"/>
                <w:szCs w:val="20"/>
              </w:rPr>
              <w:lastRenderedPageBreak/>
              <w:t>Focusing assistance to combatants, their camps, and family is both timely and relevant given the stage within which the peace process is at right now.</w:t>
            </w:r>
          </w:p>
          <w:p w14:paraId="54E12678" w14:textId="77777777" w:rsidR="00066E88" w:rsidRDefault="00066E88" w:rsidP="00894C6B">
            <w:pPr>
              <w:rPr>
                <w:bCs/>
                <w:sz w:val="20"/>
                <w:szCs w:val="20"/>
              </w:rPr>
            </w:pPr>
          </w:p>
          <w:p w14:paraId="5C8DBC88" w14:textId="77777777" w:rsidR="00066E88" w:rsidRDefault="00066E88" w:rsidP="00894C6B">
            <w:pPr>
              <w:rPr>
                <w:bCs/>
                <w:sz w:val="20"/>
                <w:szCs w:val="20"/>
              </w:rPr>
            </w:pPr>
          </w:p>
          <w:p w14:paraId="44869FAC" w14:textId="77777777" w:rsidR="00066E88" w:rsidRDefault="00066E88" w:rsidP="00894C6B">
            <w:pPr>
              <w:rPr>
                <w:bCs/>
                <w:sz w:val="20"/>
                <w:szCs w:val="20"/>
              </w:rPr>
            </w:pPr>
          </w:p>
          <w:p w14:paraId="7BA86365" w14:textId="77777777" w:rsidR="00066E88" w:rsidRDefault="00066E88" w:rsidP="00894C6B">
            <w:pPr>
              <w:rPr>
                <w:bCs/>
                <w:sz w:val="20"/>
                <w:szCs w:val="20"/>
              </w:rPr>
            </w:pPr>
          </w:p>
          <w:p w14:paraId="05FA18B3" w14:textId="77777777" w:rsidR="00066E88" w:rsidRDefault="00066E88" w:rsidP="00894C6B">
            <w:pPr>
              <w:rPr>
                <w:bCs/>
                <w:sz w:val="20"/>
                <w:szCs w:val="20"/>
              </w:rPr>
            </w:pPr>
            <w:r>
              <w:rPr>
                <w:bCs/>
                <w:sz w:val="20"/>
                <w:szCs w:val="20"/>
              </w:rPr>
              <w:lastRenderedPageBreak/>
              <w:t xml:space="preserve">Quite well given that “normalization” has now occupied a front stage in the peace process.   In fact, activities helping the transformation process of the camps and combatants and their family should be intensified for them to immediately realize the benefit </w:t>
            </w:r>
            <w:proofErr w:type="gramStart"/>
            <w:r>
              <w:rPr>
                <w:bCs/>
                <w:sz w:val="20"/>
                <w:szCs w:val="20"/>
              </w:rPr>
              <w:t>of  peace</w:t>
            </w:r>
            <w:proofErr w:type="gramEnd"/>
            <w:r>
              <w:rPr>
                <w:bCs/>
                <w:sz w:val="20"/>
                <w:szCs w:val="20"/>
              </w:rPr>
              <w:t xml:space="preserve"> and build their confidence and support to the peace process.</w:t>
            </w:r>
          </w:p>
          <w:p w14:paraId="66923A01" w14:textId="77777777" w:rsidR="00066E88" w:rsidRDefault="00066E88" w:rsidP="00894C6B">
            <w:pPr>
              <w:rPr>
                <w:bCs/>
                <w:sz w:val="20"/>
                <w:szCs w:val="20"/>
              </w:rPr>
            </w:pPr>
          </w:p>
          <w:p w14:paraId="12C8344C" w14:textId="77777777" w:rsidR="00066E88" w:rsidRDefault="00066E88" w:rsidP="00894C6B">
            <w:pPr>
              <w:rPr>
                <w:bCs/>
                <w:sz w:val="20"/>
                <w:szCs w:val="20"/>
              </w:rPr>
            </w:pPr>
            <w:r>
              <w:rPr>
                <w:bCs/>
                <w:sz w:val="20"/>
                <w:szCs w:val="20"/>
              </w:rPr>
              <w:t>Well aligned given the priority accorded by the BARMM government to “normalization” support activities, including camp transformation and assisting combatants and their family.</w:t>
            </w:r>
          </w:p>
          <w:p w14:paraId="258B0BB9" w14:textId="77777777" w:rsidR="00066E88" w:rsidRDefault="00066E88" w:rsidP="00894C6B">
            <w:pPr>
              <w:rPr>
                <w:bCs/>
                <w:sz w:val="20"/>
                <w:szCs w:val="20"/>
              </w:rPr>
            </w:pPr>
          </w:p>
          <w:p w14:paraId="624D6FF4" w14:textId="77777777" w:rsidR="00066E88" w:rsidRDefault="00066E88" w:rsidP="00894C6B">
            <w:pPr>
              <w:rPr>
                <w:bCs/>
                <w:sz w:val="20"/>
                <w:szCs w:val="20"/>
              </w:rPr>
            </w:pPr>
          </w:p>
          <w:p w14:paraId="4FCCC2E0" w14:textId="77777777" w:rsidR="00066E88" w:rsidRDefault="00066E88" w:rsidP="00894C6B">
            <w:pPr>
              <w:rPr>
                <w:bCs/>
                <w:sz w:val="20"/>
                <w:szCs w:val="20"/>
              </w:rPr>
            </w:pPr>
          </w:p>
          <w:p w14:paraId="7D5CE00A" w14:textId="77777777" w:rsidR="00066E88" w:rsidRDefault="00066E88" w:rsidP="00894C6B">
            <w:pPr>
              <w:rPr>
                <w:bCs/>
                <w:sz w:val="20"/>
                <w:szCs w:val="20"/>
              </w:rPr>
            </w:pPr>
            <w:r>
              <w:rPr>
                <w:bCs/>
                <w:sz w:val="20"/>
                <w:szCs w:val="20"/>
              </w:rPr>
              <w:t xml:space="preserve">There is need to find partners who can help BARMM officials in formulating and quickly implementing socio-economic projects which are meant to improve the well-being of ordinary Bangsamoro in the region. </w:t>
            </w:r>
          </w:p>
          <w:p w14:paraId="6F0BE993" w14:textId="77777777" w:rsidR="00066E88" w:rsidRDefault="00066E88" w:rsidP="00894C6B">
            <w:pPr>
              <w:rPr>
                <w:bCs/>
                <w:sz w:val="20"/>
                <w:szCs w:val="20"/>
              </w:rPr>
            </w:pPr>
          </w:p>
          <w:p w14:paraId="370C95AD" w14:textId="77777777" w:rsidR="00066E88" w:rsidRDefault="00066E88" w:rsidP="00894C6B">
            <w:pPr>
              <w:rPr>
                <w:bCs/>
                <w:sz w:val="20"/>
                <w:szCs w:val="20"/>
              </w:rPr>
            </w:pPr>
          </w:p>
          <w:p w14:paraId="78D6EFA0" w14:textId="77777777" w:rsidR="00066E88" w:rsidRDefault="00066E88" w:rsidP="00894C6B">
            <w:pPr>
              <w:rPr>
                <w:bCs/>
                <w:sz w:val="20"/>
                <w:szCs w:val="20"/>
              </w:rPr>
            </w:pPr>
          </w:p>
          <w:p w14:paraId="2A1638CF" w14:textId="77777777" w:rsidR="00066E88" w:rsidRDefault="00066E88" w:rsidP="00894C6B">
            <w:pPr>
              <w:rPr>
                <w:bCs/>
                <w:sz w:val="20"/>
                <w:szCs w:val="20"/>
              </w:rPr>
            </w:pPr>
            <w:r>
              <w:rPr>
                <w:bCs/>
                <w:sz w:val="20"/>
                <w:szCs w:val="20"/>
              </w:rPr>
              <w:lastRenderedPageBreak/>
              <w:t>The project fits well with the current thrust of BARMM to develop the regional economy and by doing this, build confidence of the people to the newly constituted BARMM government and wean them away from supporting violent extremist groups.</w:t>
            </w:r>
          </w:p>
          <w:p w14:paraId="318E18B2" w14:textId="77777777" w:rsidR="00066E88" w:rsidRDefault="00066E88" w:rsidP="00894C6B">
            <w:pPr>
              <w:rPr>
                <w:bCs/>
                <w:sz w:val="20"/>
                <w:szCs w:val="20"/>
              </w:rPr>
            </w:pPr>
          </w:p>
          <w:p w14:paraId="335620AF" w14:textId="77777777" w:rsidR="00066E88" w:rsidRDefault="00066E88" w:rsidP="00894C6B">
            <w:pPr>
              <w:rPr>
                <w:bCs/>
                <w:sz w:val="20"/>
                <w:szCs w:val="20"/>
              </w:rPr>
            </w:pPr>
          </w:p>
          <w:p w14:paraId="06773CAE" w14:textId="103FB0FE" w:rsidR="00066E88" w:rsidRDefault="00FD479F" w:rsidP="00894C6B">
            <w:pPr>
              <w:rPr>
                <w:bCs/>
                <w:sz w:val="20"/>
                <w:szCs w:val="20"/>
              </w:rPr>
            </w:pPr>
            <w:r>
              <w:rPr>
                <w:bCs/>
                <w:sz w:val="20"/>
                <w:szCs w:val="20"/>
              </w:rPr>
              <w:t>\</w:t>
            </w:r>
          </w:p>
          <w:p w14:paraId="275F8B6C" w14:textId="77777777" w:rsidR="00066E88" w:rsidRDefault="00066E88" w:rsidP="00894C6B">
            <w:pPr>
              <w:rPr>
                <w:bCs/>
                <w:sz w:val="20"/>
                <w:szCs w:val="20"/>
              </w:rPr>
            </w:pPr>
          </w:p>
          <w:p w14:paraId="17746828" w14:textId="77777777" w:rsidR="00066E88" w:rsidRDefault="00066E88" w:rsidP="00894C6B">
            <w:pPr>
              <w:rPr>
                <w:bCs/>
                <w:sz w:val="20"/>
                <w:szCs w:val="20"/>
              </w:rPr>
            </w:pPr>
            <w:r>
              <w:rPr>
                <w:bCs/>
                <w:sz w:val="20"/>
                <w:szCs w:val="20"/>
              </w:rPr>
              <w:t>Activities that will help Bangsamoro voters to elect in the 2022 scheduled election MILF endorsed candidates.</w:t>
            </w:r>
          </w:p>
          <w:p w14:paraId="67CC89AA" w14:textId="77777777" w:rsidR="00066E88" w:rsidRDefault="00066E88" w:rsidP="00894C6B">
            <w:pPr>
              <w:rPr>
                <w:bCs/>
                <w:sz w:val="20"/>
                <w:szCs w:val="20"/>
              </w:rPr>
            </w:pPr>
          </w:p>
          <w:p w14:paraId="7DEA8C73" w14:textId="77777777" w:rsidR="00066E88" w:rsidRDefault="00066E88" w:rsidP="00894C6B">
            <w:pPr>
              <w:rPr>
                <w:bCs/>
                <w:sz w:val="20"/>
                <w:szCs w:val="20"/>
              </w:rPr>
            </w:pPr>
          </w:p>
          <w:p w14:paraId="2A1B004E" w14:textId="77777777" w:rsidR="00066E88" w:rsidRDefault="00066E88" w:rsidP="00894C6B">
            <w:pPr>
              <w:rPr>
                <w:bCs/>
                <w:sz w:val="20"/>
                <w:szCs w:val="20"/>
              </w:rPr>
            </w:pPr>
          </w:p>
          <w:p w14:paraId="68E772CC" w14:textId="77777777" w:rsidR="00066E88" w:rsidRPr="00281931" w:rsidRDefault="00066E88" w:rsidP="00894C6B">
            <w:pPr>
              <w:rPr>
                <w:bCs/>
                <w:sz w:val="20"/>
                <w:szCs w:val="20"/>
              </w:rPr>
            </w:pPr>
            <w:r>
              <w:rPr>
                <w:bCs/>
                <w:sz w:val="20"/>
                <w:szCs w:val="20"/>
              </w:rPr>
              <w:t xml:space="preserve">The current project responds well to counter influence of VE groups and clan related conflicts by showing concrete results on the grounds (benefits of the peace dividend) and being consultative in the process of identifying and implementing projects.  Unfortunately, the scale of project implementation is relatively small due to budgetary constraints.  </w:t>
            </w:r>
          </w:p>
        </w:tc>
        <w:tc>
          <w:tcPr>
            <w:tcW w:w="2835" w:type="dxa"/>
            <w:tcBorders>
              <w:top w:val="single" w:sz="4" w:space="0" w:color="auto"/>
              <w:left w:val="single" w:sz="4" w:space="0" w:color="auto"/>
              <w:bottom w:val="single" w:sz="4" w:space="0" w:color="auto"/>
              <w:right w:val="single" w:sz="4" w:space="0" w:color="auto"/>
            </w:tcBorders>
          </w:tcPr>
          <w:p w14:paraId="122BDA5F" w14:textId="77777777" w:rsidR="00066E88" w:rsidRDefault="00066E88" w:rsidP="00894C6B">
            <w:pPr>
              <w:rPr>
                <w:bCs/>
                <w:sz w:val="20"/>
                <w:szCs w:val="20"/>
              </w:rPr>
            </w:pPr>
            <w:r>
              <w:rPr>
                <w:bCs/>
                <w:sz w:val="20"/>
                <w:szCs w:val="20"/>
              </w:rPr>
              <w:lastRenderedPageBreak/>
              <w:t xml:space="preserve">Rehabilitation and reconstruction of Marawi is long overdue.  It is way past preparatory technical support for rehabilitation and reconstruction of the City.  There is urgent need for implementation, which is </w:t>
            </w:r>
            <w:r>
              <w:rPr>
                <w:bCs/>
                <w:sz w:val="20"/>
                <w:szCs w:val="20"/>
              </w:rPr>
              <w:lastRenderedPageBreak/>
              <w:t>beyond control of project implementor.</w:t>
            </w:r>
          </w:p>
          <w:p w14:paraId="37653552" w14:textId="77777777" w:rsidR="00066E88" w:rsidRDefault="00066E88" w:rsidP="00894C6B">
            <w:pPr>
              <w:rPr>
                <w:bCs/>
                <w:sz w:val="20"/>
                <w:szCs w:val="20"/>
              </w:rPr>
            </w:pPr>
          </w:p>
          <w:p w14:paraId="40BB5737" w14:textId="77777777" w:rsidR="00066E88" w:rsidRDefault="00066E88" w:rsidP="00894C6B">
            <w:pPr>
              <w:rPr>
                <w:bCs/>
                <w:sz w:val="20"/>
                <w:szCs w:val="20"/>
              </w:rPr>
            </w:pPr>
            <w:r>
              <w:rPr>
                <w:bCs/>
                <w:sz w:val="20"/>
                <w:szCs w:val="20"/>
              </w:rPr>
              <w:t>Project proponent has responded well to needs of TFBM and stakeholders and the changing situation in Marawi.  But without actual implementation by the government of the rehabilitation and reconstruction program, people’s expectation will not be satisfied.</w:t>
            </w:r>
          </w:p>
          <w:p w14:paraId="6E0DBD4F" w14:textId="77777777" w:rsidR="00066E88" w:rsidRDefault="00066E88" w:rsidP="00894C6B">
            <w:pPr>
              <w:rPr>
                <w:bCs/>
                <w:sz w:val="20"/>
                <w:szCs w:val="20"/>
              </w:rPr>
            </w:pPr>
          </w:p>
          <w:p w14:paraId="202461DC" w14:textId="77777777" w:rsidR="00066E88" w:rsidRDefault="00066E88" w:rsidP="00894C6B">
            <w:pPr>
              <w:rPr>
                <w:bCs/>
                <w:sz w:val="20"/>
                <w:szCs w:val="20"/>
              </w:rPr>
            </w:pPr>
          </w:p>
          <w:p w14:paraId="2ECAE69A" w14:textId="77777777" w:rsidR="00066E88" w:rsidRDefault="00066E88" w:rsidP="00894C6B">
            <w:pPr>
              <w:rPr>
                <w:bCs/>
                <w:sz w:val="20"/>
                <w:szCs w:val="20"/>
              </w:rPr>
            </w:pPr>
            <w:r>
              <w:rPr>
                <w:bCs/>
                <w:sz w:val="20"/>
                <w:szCs w:val="20"/>
              </w:rPr>
              <w:t xml:space="preserve">The leadership of BTA has made the rehabilitation and reconstruction of Marawi City a priority activity.  Hence, the outputs coming from the various activities of the project can serve as important inputs to the BTA’s work. </w:t>
            </w:r>
          </w:p>
          <w:p w14:paraId="38FD65D5" w14:textId="77777777" w:rsidR="00066E88" w:rsidRDefault="00066E88" w:rsidP="00894C6B">
            <w:pPr>
              <w:rPr>
                <w:bCs/>
                <w:sz w:val="20"/>
                <w:szCs w:val="20"/>
              </w:rPr>
            </w:pPr>
          </w:p>
          <w:p w14:paraId="6C386595" w14:textId="77777777" w:rsidR="00066E88" w:rsidRDefault="00066E88" w:rsidP="00894C6B">
            <w:pPr>
              <w:rPr>
                <w:bCs/>
                <w:sz w:val="20"/>
                <w:szCs w:val="20"/>
              </w:rPr>
            </w:pPr>
            <w:r>
              <w:rPr>
                <w:bCs/>
                <w:sz w:val="20"/>
                <w:szCs w:val="20"/>
              </w:rPr>
              <w:t>Good project managers to implement the rehabilitation and reconstruction work and provided with the corresponding budget to do their work properly.</w:t>
            </w:r>
          </w:p>
          <w:p w14:paraId="4A9DF0BA" w14:textId="77777777" w:rsidR="00066E88" w:rsidRDefault="00066E88" w:rsidP="00894C6B">
            <w:pPr>
              <w:rPr>
                <w:bCs/>
                <w:sz w:val="20"/>
                <w:szCs w:val="20"/>
              </w:rPr>
            </w:pPr>
          </w:p>
          <w:p w14:paraId="2828E31E" w14:textId="77777777" w:rsidR="00066E88" w:rsidRDefault="00066E88" w:rsidP="00894C6B">
            <w:pPr>
              <w:rPr>
                <w:bCs/>
                <w:sz w:val="20"/>
                <w:szCs w:val="20"/>
              </w:rPr>
            </w:pPr>
          </w:p>
          <w:p w14:paraId="439DBDAE" w14:textId="77777777" w:rsidR="00066E88" w:rsidRDefault="00066E88" w:rsidP="00894C6B">
            <w:pPr>
              <w:rPr>
                <w:bCs/>
                <w:sz w:val="20"/>
                <w:szCs w:val="20"/>
              </w:rPr>
            </w:pPr>
          </w:p>
          <w:p w14:paraId="4E6B2D6A" w14:textId="77777777" w:rsidR="00066E88" w:rsidRDefault="00066E88" w:rsidP="00894C6B">
            <w:pPr>
              <w:rPr>
                <w:bCs/>
                <w:sz w:val="20"/>
                <w:szCs w:val="20"/>
              </w:rPr>
            </w:pPr>
            <w:r>
              <w:rPr>
                <w:bCs/>
                <w:sz w:val="20"/>
                <w:szCs w:val="20"/>
              </w:rPr>
              <w:lastRenderedPageBreak/>
              <w:t>Marawi City has a huge symbolic meaning to the Bangsamoro as it is the only “Islamic City” in the country.  Its successful rehabilitation and reconstruction will weaken the VE groups’ propaganda that the Christian-dominated central government in Manila is not interested in reconstructing an Islamic area because of its bias against Islam.</w:t>
            </w:r>
          </w:p>
          <w:p w14:paraId="00BA2C21" w14:textId="77777777" w:rsidR="00066E88" w:rsidRDefault="00066E88" w:rsidP="00894C6B">
            <w:pPr>
              <w:rPr>
                <w:bCs/>
                <w:sz w:val="20"/>
                <w:szCs w:val="20"/>
              </w:rPr>
            </w:pPr>
          </w:p>
          <w:p w14:paraId="013BA1B1" w14:textId="77777777" w:rsidR="00066E88" w:rsidRDefault="00066E88" w:rsidP="00894C6B">
            <w:pPr>
              <w:rPr>
                <w:bCs/>
                <w:sz w:val="20"/>
                <w:szCs w:val="20"/>
              </w:rPr>
            </w:pPr>
          </w:p>
          <w:p w14:paraId="67B6C383" w14:textId="77777777" w:rsidR="00066E88" w:rsidRDefault="00066E88" w:rsidP="00894C6B">
            <w:pPr>
              <w:rPr>
                <w:bCs/>
                <w:sz w:val="20"/>
                <w:szCs w:val="20"/>
              </w:rPr>
            </w:pPr>
            <w:r>
              <w:rPr>
                <w:bCs/>
                <w:sz w:val="20"/>
                <w:szCs w:val="20"/>
              </w:rPr>
              <w:t>Continuing effort to restore and improve Marawi City to enhance its reputation as the center of Islamic faith and culture.</w:t>
            </w:r>
          </w:p>
          <w:p w14:paraId="6977777A" w14:textId="77777777" w:rsidR="00066E88" w:rsidRDefault="00066E88" w:rsidP="00894C6B">
            <w:pPr>
              <w:rPr>
                <w:bCs/>
                <w:sz w:val="20"/>
                <w:szCs w:val="20"/>
              </w:rPr>
            </w:pPr>
          </w:p>
          <w:p w14:paraId="2C7ADA53" w14:textId="77777777" w:rsidR="00066E88" w:rsidRDefault="00066E88" w:rsidP="00894C6B">
            <w:pPr>
              <w:rPr>
                <w:bCs/>
                <w:sz w:val="20"/>
                <w:szCs w:val="20"/>
              </w:rPr>
            </w:pPr>
          </w:p>
          <w:p w14:paraId="00166F7C" w14:textId="77777777" w:rsidR="00066E88" w:rsidRPr="004C7430" w:rsidRDefault="00066E88" w:rsidP="00894C6B">
            <w:pPr>
              <w:rPr>
                <w:bCs/>
                <w:sz w:val="20"/>
                <w:szCs w:val="20"/>
              </w:rPr>
            </w:pPr>
            <w:r>
              <w:rPr>
                <w:bCs/>
                <w:sz w:val="20"/>
                <w:szCs w:val="20"/>
              </w:rPr>
              <w:t xml:space="preserve">It does respond to a major propaganda line of the VE groups that the Christian government based in Manila is on war path against Islam and hence, targeted the destruction of the only “Islamic City” in the Philippines. Its rehabilitation and reconstruction </w:t>
            </w:r>
            <w:proofErr w:type="gramStart"/>
            <w:r>
              <w:rPr>
                <w:bCs/>
                <w:sz w:val="20"/>
                <w:szCs w:val="20"/>
              </w:rPr>
              <w:t>is</w:t>
            </w:r>
            <w:proofErr w:type="gramEnd"/>
            <w:r>
              <w:rPr>
                <w:bCs/>
                <w:sz w:val="20"/>
                <w:szCs w:val="20"/>
              </w:rPr>
              <w:t xml:space="preserve"> not taking place as it prioritizes the development of other cities in </w:t>
            </w:r>
            <w:r>
              <w:rPr>
                <w:bCs/>
                <w:sz w:val="20"/>
                <w:szCs w:val="20"/>
              </w:rPr>
              <w:lastRenderedPageBreak/>
              <w:t xml:space="preserve">the country populated by Christians. </w:t>
            </w:r>
          </w:p>
        </w:tc>
        <w:tc>
          <w:tcPr>
            <w:tcW w:w="2977" w:type="dxa"/>
            <w:tcBorders>
              <w:top w:val="single" w:sz="4" w:space="0" w:color="auto"/>
              <w:left w:val="single" w:sz="4" w:space="0" w:color="auto"/>
              <w:bottom w:val="single" w:sz="4" w:space="0" w:color="auto"/>
              <w:right w:val="single" w:sz="4" w:space="0" w:color="auto"/>
            </w:tcBorders>
          </w:tcPr>
          <w:p w14:paraId="77BF868A" w14:textId="77777777" w:rsidR="00066E88" w:rsidRDefault="00066E88" w:rsidP="00894C6B">
            <w:pPr>
              <w:rPr>
                <w:bCs/>
                <w:sz w:val="20"/>
                <w:szCs w:val="20"/>
              </w:rPr>
            </w:pPr>
            <w:r>
              <w:rPr>
                <w:bCs/>
                <w:sz w:val="20"/>
                <w:szCs w:val="20"/>
              </w:rPr>
              <w:lastRenderedPageBreak/>
              <w:t xml:space="preserve">The PRIME Bangsamoro programmatic approach with built in flexibility and nuanced implementation based on changing and emerging political and security contexts is relevant to this day. In fact, in all the focus groups and interviews, these flexibility and nuanced </w:t>
            </w:r>
            <w:r>
              <w:rPr>
                <w:bCs/>
                <w:sz w:val="20"/>
                <w:szCs w:val="20"/>
              </w:rPr>
              <w:lastRenderedPageBreak/>
              <w:t xml:space="preserve">implementation appear to be the strongest points of DFAT programming in Muslim Mindanao. </w:t>
            </w:r>
          </w:p>
          <w:p w14:paraId="09995991" w14:textId="77777777" w:rsidR="00066E88" w:rsidRDefault="00066E88" w:rsidP="00894C6B">
            <w:pPr>
              <w:rPr>
                <w:bCs/>
                <w:sz w:val="20"/>
                <w:szCs w:val="20"/>
              </w:rPr>
            </w:pPr>
          </w:p>
          <w:p w14:paraId="5B0DD37C" w14:textId="77777777" w:rsidR="00066E88" w:rsidRDefault="00066E88" w:rsidP="00894C6B">
            <w:pPr>
              <w:rPr>
                <w:bCs/>
                <w:sz w:val="20"/>
                <w:szCs w:val="20"/>
              </w:rPr>
            </w:pPr>
          </w:p>
          <w:p w14:paraId="3C7724A6" w14:textId="77777777" w:rsidR="00066E88" w:rsidRDefault="00066E88" w:rsidP="00894C6B">
            <w:pPr>
              <w:rPr>
                <w:bCs/>
                <w:sz w:val="20"/>
                <w:szCs w:val="20"/>
              </w:rPr>
            </w:pPr>
            <w:r>
              <w:rPr>
                <w:bCs/>
                <w:sz w:val="20"/>
                <w:szCs w:val="20"/>
              </w:rPr>
              <w:t>Many of those engaged under PRIME Bangsamoro are now the shakers and movers in the BARMM, from being members of the BTA, to occupying senior and technical positions across the ministries and leading in the normalization of combatants and the provision of socio-economic support package as well as in the camp transformation.</w:t>
            </w:r>
          </w:p>
          <w:p w14:paraId="41C5BDA9" w14:textId="77777777" w:rsidR="00066E88" w:rsidRDefault="00066E88" w:rsidP="00894C6B">
            <w:pPr>
              <w:rPr>
                <w:bCs/>
                <w:sz w:val="20"/>
                <w:szCs w:val="20"/>
              </w:rPr>
            </w:pPr>
          </w:p>
          <w:p w14:paraId="5A09CF90" w14:textId="77777777" w:rsidR="00066E88" w:rsidRDefault="00066E88" w:rsidP="00894C6B">
            <w:pPr>
              <w:rPr>
                <w:bCs/>
                <w:sz w:val="20"/>
                <w:szCs w:val="20"/>
              </w:rPr>
            </w:pPr>
            <w:r>
              <w:rPr>
                <w:bCs/>
                <w:sz w:val="20"/>
                <w:szCs w:val="20"/>
              </w:rPr>
              <w:t xml:space="preserve">Because of the unique nature of transition towards parliamentary and ministerial system and given that no such realities </w:t>
            </w:r>
            <w:proofErr w:type="gramStart"/>
            <w:r>
              <w:rPr>
                <w:bCs/>
                <w:sz w:val="20"/>
                <w:szCs w:val="20"/>
              </w:rPr>
              <w:t>is</w:t>
            </w:r>
            <w:proofErr w:type="gramEnd"/>
            <w:r>
              <w:rPr>
                <w:bCs/>
                <w:sz w:val="20"/>
                <w:szCs w:val="20"/>
              </w:rPr>
              <w:t xml:space="preserve"> present in the current Philippine system, capacity building support, technical and institutional, continues to be expressed by political appointees and civil society leaders in the region.</w:t>
            </w:r>
          </w:p>
          <w:p w14:paraId="456CB8FB" w14:textId="77777777" w:rsidR="00066E88" w:rsidRDefault="00066E88" w:rsidP="00894C6B">
            <w:pPr>
              <w:rPr>
                <w:bCs/>
                <w:sz w:val="20"/>
                <w:szCs w:val="20"/>
              </w:rPr>
            </w:pPr>
          </w:p>
          <w:p w14:paraId="77013DB6" w14:textId="77777777" w:rsidR="00066E88" w:rsidRDefault="00066E88" w:rsidP="00894C6B">
            <w:pPr>
              <w:rPr>
                <w:bCs/>
                <w:sz w:val="20"/>
                <w:szCs w:val="20"/>
              </w:rPr>
            </w:pPr>
          </w:p>
          <w:p w14:paraId="05A968BB" w14:textId="77777777" w:rsidR="00066E88" w:rsidRDefault="00066E88" w:rsidP="00894C6B">
            <w:pPr>
              <w:rPr>
                <w:bCs/>
                <w:sz w:val="20"/>
                <w:szCs w:val="20"/>
              </w:rPr>
            </w:pPr>
          </w:p>
          <w:p w14:paraId="4F2379EA" w14:textId="77777777" w:rsidR="00066E88" w:rsidRDefault="00066E88" w:rsidP="00894C6B">
            <w:pPr>
              <w:rPr>
                <w:bCs/>
                <w:sz w:val="20"/>
                <w:szCs w:val="20"/>
              </w:rPr>
            </w:pPr>
          </w:p>
          <w:p w14:paraId="282E1386" w14:textId="77777777" w:rsidR="00066E88" w:rsidRDefault="00066E88" w:rsidP="00894C6B">
            <w:pPr>
              <w:rPr>
                <w:bCs/>
                <w:sz w:val="20"/>
                <w:szCs w:val="20"/>
              </w:rPr>
            </w:pPr>
            <w:r>
              <w:rPr>
                <w:bCs/>
                <w:sz w:val="20"/>
                <w:szCs w:val="20"/>
              </w:rPr>
              <w:lastRenderedPageBreak/>
              <w:t xml:space="preserve">There is a need to ensure that the normative functions of parliament and ministerial cabinet are fully understood by the next batch of </w:t>
            </w:r>
            <w:proofErr w:type="gramStart"/>
            <w:r>
              <w:rPr>
                <w:bCs/>
                <w:sz w:val="20"/>
                <w:szCs w:val="20"/>
              </w:rPr>
              <w:t>regional  leadership</w:t>
            </w:r>
            <w:proofErr w:type="gramEnd"/>
            <w:r>
              <w:rPr>
                <w:bCs/>
                <w:sz w:val="20"/>
                <w:szCs w:val="20"/>
              </w:rPr>
              <w:t xml:space="preserve"> and that they have the capacity to live up to the expectations of good governance, rule of law and public service. </w:t>
            </w:r>
          </w:p>
          <w:p w14:paraId="0AAFBC92" w14:textId="77777777" w:rsidR="00066E88" w:rsidRDefault="00066E88" w:rsidP="00894C6B">
            <w:pPr>
              <w:rPr>
                <w:bCs/>
                <w:sz w:val="20"/>
                <w:szCs w:val="20"/>
              </w:rPr>
            </w:pPr>
          </w:p>
          <w:p w14:paraId="12E1EC0F" w14:textId="77777777" w:rsidR="00066E88" w:rsidRDefault="00066E88" w:rsidP="00894C6B">
            <w:pPr>
              <w:rPr>
                <w:bCs/>
                <w:sz w:val="20"/>
                <w:szCs w:val="20"/>
              </w:rPr>
            </w:pPr>
            <w:r>
              <w:rPr>
                <w:bCs/>
                <w:sz w:val="20"/>
                <w:szCs w:val="20"/>
              </w:rPr>
              <w:t xml:space="preserve">PRIME Bangsamoro was flexible enough to be implemented in a 3-year period of so much uncertainty in the political and security fronts. It was also able to accommodate early initiatives on P/CVE especially after the Marawi Siege. </w:t>
            </w:r>
          </w:p>
          <w:p w14:paraId="0029A5B7" w14:textId="77777777" w:rsidR="00066E88" w:rsidRDefault="00066E88" w:rsidP="00894C6B">
            <w:pPr>
              <w:rPr>
                <w:bCs/>
                <w:sz w:val="20"/>
                <w:szCs w:val="20"/>
              </w:rPr>
            </w:pPr>
          </w:p>
          <w:p w14:paraId="58C6FBAD" w14:textId="77777777" w:rsidR="00066E88" w:rsidRDefault="00066E88" w:rsidP="00894C6B">
            <w:pPr>
              <w:rPr>
                <w:bCs/>
                <w:sz w:val="20"/>
                <w:szCs w:val="20"/>
              </w:rPr>
            </w:pPr>
            <w:r>
              <w:rPr>
                <w:bCs/>
                <w:sz w:val="20"/>
                <w:szCs w:val="20"/>
              </w:rPr>
              <w:t xml:space="preserve">The current political and security frame in addressing VE drivers is very limiting. There is a need for DFAT to consider a larger “human security” frame in its programming so that other dimensions of insecurity such as economic, food, health, environment, personal and culture, which feed into the drivers and complexity of violent extremism.  </w:t>
            </w:r>
          </w:p>
          <w:p w14:paraId="64B1FD67" w14:textId="77777777" w:rsidR="00066E88" w:rsidRDefault="00066E88" w:rsidP="00894C6B">
            <w:pPr>
              <w:rPr>
                <w:bCs/>
                <w:sz w:val="20"/>
                <w:szCs w:val="20"/>
              </w:rPr>
            </w:pPr>
          </w:p>
          <w:p w14:paraId="1B5353AD" w14:textId="77777777" w:rsidR="00066E88" w:rsidRDefault="00066E88" w:rsidP="00894C6B">
            <w:pPr>
              <w:rPr>
                <w:bCs/>
                <w:sz w:val="20"/>
                <w:szCs w:val="20"/>
              </w:rPr>
            </w:pPr>
          </w:p>
          <w:p w14:paraId="66BDE5F8" w14:textId="77777777" w:rsidR="00066E88" w:rsidRDefault="00066E88" w:rsidP="00894C6B">
            <w:pP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E2C37EF" w14:textId="77777777" w:rsidR="00066E88" w:rsidRDefault="00066E88" w:rsidP="00894C6B">
            <w:pPr>
              <w:rPr>
                <w:bCs/>
                <w:sz w:val="20"/>
                <w:szCs w:val="20"/>
              </w:rPr>
            </w:pPr>
            <w:r>
              <w:rPr>
                <w:bCs/>
                <w:sz w:val="20"/>
                <w:szCs w:val="20"/>
              </w:rPr>
              <w:lastRenderedPageBreak/>
              <w:t xml:space="preserve">The contexts upon which START PEACE operates is very much relevant to the BARMM situation – the need to support the MILF (and MNLF) to transition from a secessionist to a social movement, the need for proactive and customized approaches to violent extremism (while the BARMM provinces are beset by the same problem </w:t>
            </w:r>
            <w:r>
              <w:rPr>
                <w:bCs/>
                <w:sz w:val="20"/>
                <w:szCs w:val="20"/>
              </w:rPr>
              <w:lastRenderedPageBreak/>
              <w:t>the situations in each area is also unique and different from the rest), the transition of their combatants into productive citizens and of their camps into productive and resilient communities.</w:t>
            </w:r>
          </w:p>
          <w:p w14:paraId="216A8153" w14:textId="77777777" w:rsidR="00066E88" w:rsidRDefault="00066E88" w:rsidP="00894C6B">
            <w:pPr>
              <w:rPr>
                <w:bCs/>
                <w:sz w:val="20"/>
                <w:szCs w:val="20"/>
              </w:rPr>
            </w:pPr>
          </w:p>
          <w:p w14:paraId="0DF01B28" w14:textId="77777777" w:rsidR="00066E88" w:rsidRDefault="00066E88" w:rsidP="00894C6B">
            <w:pPr>
              <w:rPr>
                <w:bCs/>
                <w:sz w:val="20"/>
                <w:szCs w:val="20"/>
              </w:rPr>
            </w:pPr>
            <w:r>
              <w:rPr>
                <w:bCs/>
                <w:sz w:val="20"/>
                <w:szCs w:val="20"/>
              </w:rPr>
              <w:t xml:space="preserve">While transition takes time, obviously beyond 2022, the START PEACE project is in the best position to help jumpstart and built the foundations for succeeding and continuing interventions. </w:t>
            </w:r>
          </w:p>
          <w:p w14:paraId="4F4E8461" w14:textId="77777777" w:rsidR="00066E88" w:rsidRDefault="00066E88" w:rsidP="00894C6B">
            <w:pPr>
              <w:rPr>
                <w:bCs/>
                <w:sz w:val="20"/>
                <w:szCs w:val="20"/>
              </w:rPr>
            </w:pPr>
          </w:p>
          <w:p w14:paraId="12395595" w14:textId="77777777" w:rsidR="00066E88" w:rsidRDefault="00066E88" w:rsidP="00894C6B">
            <w:pPr>
              <w:rPr>
                <w:bCs/>
                <w:sz w:val="20"/>
                <w:szCs w:val="20"/>
              </w:rPr>
            </w:pPr>
            <w:r>
              <w:rPr>
                <w:bCs/>
                <w:sz w:val="20"/>
                <w:szCs w:val="20"/>
              </w:rPr>
              <w:t xml:space="preserve">START PEACE project have already captured some of the interventions needed to jumpstart the transition at various levels.   </w:t>
            </w:r>
          </w:p>
          <w:p w14:paraId="3C94EE86" w14:textId="77777777" w:rsidR="00066E88" w:rsidRDefault="00066E88" w:rsidP="00894C6B">
            <w:pPr>
              <w:rPr>
                <w:bCs/>
                <w:sz w:val="20"/>
                <w:szCs w:val="20"/>
              </w:rPr>
            </w:pPr>
          </w:p>
          <w:p w14:paraId="388F69C4" w14:textId="77777777" w:rsidR="00066E88" w:rsidRDefault="00066E88" w:rsidP="00894C6B">
            <w:pPr>
              <w:rPr>
                <w:bCs/>
                <w:sz w:val="20"/>
                <w:szCs w:val="20"/>
              </w:rPr>
            </w:pPr>
            <w:r>
              <w:rPr>
                <w:bCs/>
                <w:sz w:val="20"/>
                <w:szCs w:val="20"/>
              </w:rPr>
              <w:t xml:space="preserve">The success of the transition is integral to regional peace and development. The success of the government transition will also it to focus on the lingering challenges of poverty.  Early successes in the normalization would alleviate combatants from ails of poverty and other forms on insecurity. The early successes in camp transformation would build productive and resilient communities away from the lure and pull of violent extremism. </w:t>
            </w:r>
          </w:p>
          <w:p w14:paraId="70D94AEF" w14:textId="77777777" w:rsidR="00066E88" w:rsidRDefault="00066E88" w:rsidP="00894C6B">
            <w:pPr>
              <w:rPr>
                <w:bCs/>
                <w:sz w:val="20"/>
                <w:szCs w:val="20"/>
              </w:rPr>
            </w:pPr>
          </w:p>
          <w:p w14:paraId="5B1C9EA5" w14:textId="77777777" w:rsidR="00066E88" w:rsidRDefault="00066E88" w:rsidP="00894C6B">
            <w:pPr>
              <w:rPr>
                <w:bCs/>
                <w:sz w:val="20"/>
                <w:szCs w:val="20"/>
              </w:rPr>
            </w:pPr>
            <w:r>
              <w:rPr>
                <w:bCs/>
                <w:sz w:val="20"/>
                <w:szCs w:val="20"/>
              </w:rPr>
              <w:t xml:space="preserve">Post transition and project end in 2022, future activities should pursue the </w:t>
            </w:r>
            <w:r>
              <w:rPr>
                <w:bCs/>
                <w:sz w:val="20"/>
                <w:szCs w:val="20"/>
              </w:rPr>
              <w:lastRenderedPageBreak/>
              <w:t>unfinished businesses of combatant normalization, camp transformation and governance transition to the parliamentary and ministerial system.</w:t>
            </w:r>
          </w:p>
          <w:p w14:paraId="73FF0877" w14:textId="77777777" w:rsidR="00066E88" w:rsidRDefault="00066E88" w:rsidP="00894C6B">
            <w:pPr>
              <w:rPr>
                <w:bCs/>
                <w:sz w:val="20"/>
                <w:szCs w:val="20"/>
              </w:rPr>
            </w:pPr>
          </w:p>
          <w:p w14:paraId="19F4A5FC" w14:textId="77777777" w:rsidR="00066E88" w:rsidRDefault="00066E88" w:rsidP="00894C6B">
            <w:pPr>
              <w:rPr>
                <w:bCs/>
                <w:sz w:val="20"/>
                <w:szCs w:val="20"/>
              </w:rPr>
            </w:pPr>
            <w:r>
              <w:rPr>
                <w:bCs/>
                <w:sz w:val="20"/>
                <w:szCs w:val="20"/>
              </w:rPr>
              <w:t xml:space="preserve">Conditional on the demobilization of combatants is the parallel reduction and management of small arms and light weapons (SALWs)which are often associated with political clans, local warlords and armed groups. While the project has clear intervention support for demobilization, it should also influence the government and the security sectors to be serious about arresting the proliferation of loose firearms. </w:t>
            </w:r>
          </w:p>
          <w:p w14:paraId="599065A0" w14:textId="77777777" w:rsidR="00066E88" w:rsidRDefault="00066E88" w:rsidP="00894C6B">
            <w:pPr>
              <w:rPr>
                <w:bCs/>
                <w:sz w:val="20"/>
                <w:szCs w:val="20"/>
              </w:rPr>
            </w:pPr>
          </w:p>
          <w:p w14:paraId="139783FE" w14:textId="77777777" w:rsidR="00066E88" w:rsidRDefault="00066E88" w:rsidP="00894C6B">
            <w:pPr>
              <w:rPr>
                <w:bCs/>
                <w:sz w:val="20"/>
                <w:szCs w:val="20"/>
              </w:rPr>
            </w:pPr>
          </w:p>
          <w:p w14:paraId="36AF6B16" w14:textId="77777777" w:rsidR="00066E88" w:rsidRDefault="00066E88" w:rsidP="00894C6B">
            <w:pPr>
              <w:rPr>
                <w:bCs/>
                <w:sz w:val="20"/>
                <w:szCs w:val="20"/>
              </w:rPr>
            </w:pPr>
          </w:p>
        </w:tc>
      </w:tr>
      <w:tr w:rsidR="00066E88" w14:paraId="62DFE540" w14:textId="77777777" w:rsidTr="00A928D6">
        <w:tc>
          <w:tcPr>
            <w:tcW w:w="2406" w:type="dxa"/>
            <w:tcBorders>
              <w:top w:val="single" w:sz="4" w:space="0" w:color="auto"/>
              <w:left w:val="single" w:sz="4" w:space="0" w:color="auto"/>
              <w:bottom w:val="single" w:sz="4" w:space="0" w:color="auto"/>
              <w:right w:val="single" w:sz="4" w:space="0" w:color="auto"/>
            </w:tcBorders>
          </w:tcPr>
          <w:p w14:paraId="463C8D14" w14:textId="77777777" w:rsidR="00066E88" w:rsidRDefault="00066E88" w:rsidP="00894C6B">
            <w:pPr>
              <w:rPr>
                <w:b/>
                <w:sz w:val="20"/>
                <w:szCs w:val="20"/>
              </w:rPr>
            </w:pPr>
            <w:r>
              <w:rPr>
                <w:b/>
                <w:sz w:val="20"/>
                <w:szCs w:val="20"/>
              </w:rPr>
              <w:lastRenderedPageBreak/>
              <w:t>4. Gender Equality</w:t>
            </w:r>
          </w:p>
        </w:tc>
        <w:tc>
          <w:tcPr>
            <w:tcW w:w="2976" w:type="dxa"/>
            <w:tcBorders>
              <w:top w:val="single" w:sz="4" w:space="0" w:color="auto"/>
              <w:left w:val="single" w:sz="4" w:space="0" w:color="auto"/>
              <w:bottom w:val="single" w:sz="4" w:space="0" w:color="auto"/>
              <w:right w:val="single" w:sz="4" w:space="0" w:color="auto"/>
            </w:tcBorders>
          </w:tcPr>
          <w:p w14:paraId="1BFD06A5" w14:textId="77777777" w:rsidR="00066E88" w:rsidRDefault="00066E88" w:rsidP="00894C6B">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4F49B44" w14:textId="77777777" w:rsidR="00066E88" w:rsidRDefault="00066E88" w:rsidP="00894C6B">
            <w:pPr>
              <w:rPr>
                <w:bCs/>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F569CD" w14:textId="77777777" w:rsidR="00066E88" w:rsidRDefault="00066E88" w:rsidP="00894C6B">
            <w:pP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FE8BF1B" w14:textId="77777777" w:rsidR="00066E88" w:rsidRDefault="00066E88" w:rsidP="00894C6B">
            <w:pPr>
              <w:rPr>
                <w:bCs/>
                <w:sz w:val="20"/>
                <w:szCs w:val="20"/>
              </w:rPr>
            </w:pPr>
          </w:p>
        </w:tc>
      </w:tr>
      <w:tr w:rsidR="00066E88" w14:paraId="5FD00FE1" w14:textId="77777777" w:rsidTr="00A928D6">
        <w:tc>
          <w:tcPr>
            <w:tcW w:w="2406" w:type="dxa"/>
            <w:tcBorders>
              <w:top w:val="single" w:sz="4" w:space="0" w:color="auto"/>
              <w:left w:val="single" w:sz="4" w:space="0" w:color="auto"/>
              <w:bottom w:val="single" w:sz="4" w:space="0" w:color="auto"/>
              <w:right w:val="single" w:sz="4" w:space="0" w:color="auto"/>
            </w:tcBorders>
          </w:tcPr>
          <w:p w14:paraId="426AA563" w14:textId="77777777" w:rsidR="00066E88" w:rsidRDefault="00066E88" w:rsidP="00894C6B">
            <w:pPr>
              <w:rPr>
                <w:b/>
                <w:sz w:val="20"/>
                <w:szCs w:val="20"/>
              </w:rPr>
            </w:pPr>
          </w:p>
          <w:p w14:paraId="10579857" w14:textId="77777777" w:rsidR="00066E88" w:rsidRDefault="00066E88" w:rsidP="00894C6B">
            <w:pPr>
              <w:rPr>
                <w:b/>
                <w:sz w:val="20"/>
                <w:szCs w:val="20"/>
              </w:rPr>
            </w:pPr>
            <w:r>
              <w:rPr>
                <w:b/>
                <w:sz w:val="20"/>
                <w:szCs w:val="20"/>
              </w:rPr>
              <w:t>d. Are we contributing towards gender equality and empowering women and girls?</w:t>
            </w:r>
          </w:p>
          <w:p w14:paraId="0B7BFF20" w14:textId="77777777" w:rsidR="00066E88" w:rsidRDefault="00066E88" w:rsidP="00894C6B">
            <w:pPr>
              <w:rPr>
                <w:b/>
                <w:sz w:val="20"/>
                <w:szCs w:val="20"/>
              </w:rPr>
            </w:pPr>
          </w:p>
          <w:p w14:paraId="2EF726F9" w14:textId="77777777" w:rsidR="00066E88" w:rsidRDefault="00066E88" w:rsidP="00894C6B">
            <w:pPr>
              <w:rPr>
                <w:b/>
                <w:sz w:val="20"/>
                <w:szCs w:val="20"/>
              </w:rPr>
            </w:pPr>
          </w:p>
          <w:p w14:paraId="5A9EE8B6" w14:textId="77777777" w:rsidR="00066E88" w:rsidRDefault="00066E88" w:rsidP="00894C6B">
            <w:pPr>
              <w:rPr>
                <w:b/>
                <w:sz w:val="20"/>
                <w:szCs w:val="20"/>
              </w:rPr>
            </w:pPr>
          </w:p>
          <w:p w14:paraId="1D52682F" w14:textId="77777777" w:rsidR="00066E88" w:rsidRDefault="00066E88" w:rsidP="00894C6B">
            <w:pPr>
              <w:rPr>
                <w:b/>
                <w:sz w:val="20"/>
                <w:szCs w:val="20"/>
              </w:rPr>
            </w:pPr>
          </w:p>
          <w:p w14:paraId="7D739349" w14:textId="77777777" w:rsidR="00066E88" w:rsidRDefault="00066E88" w:rsidP="00894C6B">
            <w:pPr>
              <w:rPr>
                <w:b/>
                <w:sz w:val="20"/>
                <w:szCs w:val="20"/>
              </w:rPr>
            </w:pPr>
            <w:r>
              <w:rPr>
                <w:b/>
                <w:sz w:val="20"/>
                <w:szCs w:val="20"/>
              </w:rPr>
              <w:t>d.1 Is the program as a whole making progress as expected in effectively promoting gender equality and women’s empowerment?</w:t>
            </w:r>
          </w:p>
          <w:p w14:paraId="55E64AE8" w14:textId="77777777" w:rsidR="00066E88" w:rsidRDefault="00066E88" w:rsidP="00894C6B">
            <w:pPr>
              <w:rPr>
                <w:b/>
                <w:sz w:val="20"/>
                <w:szCs w:val="20"/>
              </w:rPr>
            </w:pPr>
          </w:p>
          <w:p w14:paraId="7ED49BFD" w14:textId="77777777" w:rsidR="00066E88" w:rsidRDefault="00066E88" w:rsidP="00894C6B">
            <w:pPr>
              <w:rPr>
                <w:b/>
                <w:sz w:val="20"/>
                <w:szCs w:val="20"/>
              </w:rPr>
            </w:pPr>
          </w:p>
          <w:p w14:paraId="3D7146D3" w14:textId="77777777" w:rsidR="00066E88" w:rsidRDefault="00066E88" w:rsidP="00894C6B">
            <w:pPr>
              <w:rPr>
                <w:b/>
                <w:sz w:val="20"/>
                <w:szCs w:val="20"/>
              </w:rPr>
            </w:pPr>
          </w:p>
          <w:p w14:paraId="3DB6E7B1" w14:textId="77777777" w:rsidR="00066E88" w:rsidRDefault="00066E88" w:rsidP="00894C6B">
            <w:pPr>
              <w:rPr>
                <w:b/>
                <w:sz w:val="20"/>
                <w:szCs w:val="20"/>
              </w:rPr>
            </w:pPr>
            <w:r>
              <w:rPr>
                <w:b/>
                <w:sz w:val="20"/>
                <w:szCs w:val="20"/>
              </w:rPr>
              <w:t>d.2 Are the individual gender action plans being effectively utilized by partners?</w:t>
            </w:r>
          </w:p>
          <w:p w14:paraId="2CE33F61" w14:textId="77777777" w:rsidR="00066E88" w:rsidRDefault="00066E88" w:rsidP="00894C6B">
            <w:pPr>
              <w:rPr>
                <w:b/>
                <w:sz w:val="20"/>
                <w:szCs w:val="20"/>
              </w:rPr>
            </w:pPr>
          </w:p>
          <w:p w14:paraId="25032A0E" w14:textId="77777777" w:rsidR="00066E88" w:rsidRDefault="00066E88" w:rsidP="00894C6B">
            <w:pPr>
              <w:rPr>
                <w:b/>
                <w:sz w:val="20"/>
                <w:szCs w:val="20"/>
              </w:rPr>
            </w:pPr>
          </w:p>
          <w:p w14:paraId="05712F4F" w14:textId="77777777" w:rsidR="00066E88" w:rsidRDefault="00066E88" w:rsidP="00894C6B">
            <w:pPr>
              <w:rPr>
                <w:b/>
                <w:sz w:val="20"/>
                <w:szCs w:val="20"/>
              </w:rPr>
            </w:pPr>
            <w:r>
              <w:rPr>
                <w:b/>
                <w:sz w:val="20"/>
                <w:szCs w:val="20"/>
              </w:rPr>
              <w:t>d.3 To what extent did the program contribute to the Women, Peace and Security agenda?</w:t>
            </w:r>
          </w:p>
          <w:p w14:paraId="6230A378" w14:textId="77777777" w:rsidR="00066E88" w:rsidRDefault="00066E88" w:rsidP="00894C6B">
            <w:pPr>
              <w:rPr>
                <w:b/>
                <w:sz w:val="20"/>
                <w:szCs w:val="20"/>
              </w:rPr>
            </w:pPr>
          </w:p>
          <w:p w14:paraId="7EFC0E27" w14:textId="77777777" w:rsidR="00066E88" w:rsidRDefault="00066E88" w:rsidP="00894C6B">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6B7ED06" w14:textId="77777777" w:rsidR="00066E88" w:rsidRDefault="00066E88" w:rsidP="00894C6B">
            <w:pPr>
              <w:rPr>
                <w:b/>
              </w:rPr>
            </w:pPr>
          </w:p>
          <w:p w14:paraId="790CC695" w14:textId="77777777" w:rsidR="00066E88" w:rsidRDefault="00066E88" w:rsidP="00894C6B">
            <w:pPr>
              <w:rPr>
                <w:bCs/>
                <w:sz w:val="20"/>
                <w:szCs w:val="20"/>
              </w:rPr>
            </w:pPr>
            <w:r>
              <w:rPr>
                <w:bCs/>
                <w:sz w:val="20"/>
                <w:szCs w:val="20"/>
              </w:rPr>
              <w:t xml:space="preserve">Project makes conscious effort in ensuring participation of women in training programs it conducted, during the community consultation process, and the kind of socio-economic sub-projects it implements.  </w:t>
            </w:r>
          </w:p>
          <w:p w14:paraId="7A2B464D" w14:textId="77777777" w:rsidR="00066E88" w:rsidRDefault="00066E88" w:rsidP="00894C6B">
            <w:pPr>
              <w:rPr>
                <w:bCs/>
                <w:sz w:val="20"/>
                <w:szCs w:val="20"/>
              </w:rPr>
            </w:pPr>
          </w:p>
          <w:p w14:paraId="6934E1B2" w14:textId="77777777" w:rsidR="00066E88" w:rsidRDefault="00066E88" w:rsidP="00894C6B">
            <w:pPr>
              <w:rPr>
                <w:bCs/>
                <w:sz w:val="20"/>
                <w:szCs w:val="20"/>
              </w:rPr>
            </w:pPr>
          </w:p>
          <w:p w14:paraId="2CC34EE5" w14:textId="77777777" w:rsidR="00066E88" w:rsidRDefault="00066E88" w:rsidP="00894C6B">
            <w:pPr>
              <w:rPr>
                <w:bCs/>
                <w:sz w:val="20"/>
                <w:szCs w:val="20"/>
              </w:rPr>
            </w:pPr>
            <w:r>
              <w:rPr>
                <w:bCs/>
                <w:sz w:val="20"/>
                <w:szCs w:val="20"/>
              </w:rPr>
              <w:t xml:space="preserve">There is no specific activity along the line of promoting gender equality and women’s empowerment but their active participation in the community consultation sessions, serving as community volunteers, being recipients of the Alternative Learning System are activities that contribute toward this goal. </w:t>
            </w:r>
          </w:p>
          <w:p w14:paraId="5BB669E0" w14:textId="77777777" w:rsidR="00066E88" w:rsidRDefault="00066E88" w:rsidP="00894C6B">
            <w:pPr>
              <w:rPr>
                <w:bCs/>
                <w:sz w:val="20"/>
                <w:szCs w:val="20"/>
              </w:rPr>
            </w:pPr>
          </w:p>
          <w:p w14:paraId="0008A98B" w14:textId="77777777" w:rsidR="00066E88" w:rsidRDefault="00066E88" w:rsidP="00894C6B">
            <w:pPr>
              <w:rPr>
                <w:bCs/>
                <w:sz w:val="20"/>
                <w:szCs w:val="20"/>
              </w:rPr>
            </w:pPr>
          </w:p>
          <w:p w14:paraId="675CF3F0" w14:textId="7675BBFD" w:rsidR="00066E88" w:rsidRDefault="00066E88" w:rsidP="00894C6B">
            <w:pPr>
              <w:rPr>
                <w:bCs/>
                <w:sz w:val="20"/>
                <w:szCs w:val="20"/>
              </w:rPr>
            </w:pPr>
            <w:r>
              <w:rPr>
                <w:bCs/>
                <w:sz w:val="20"/>
                <w:szCs w:val="20"/>
              </w:rPr>
              <w:t xml:space="preserve">No specific gender action plan has been provided </w:t>
            </w:r>
            <w:r w:rsidR="00FD479F">
              <w:rPr>
                <w:bCs/>
                <w:sz w:val="20"/>
                <w:szCs w:val="20"/>
              </w:rPr>
              <w:t xml:space="preserve">for the </w:t>
            </w:r>
            <w:proofErr w:type="gramStart"/>
            <w:r w:rsidR="00FD479F">
              <w:rPr>
                <w:bCs/>
                <w:sz w:val="20"/>
                <w:szCs w:val="20"/>
              </w:rPr>
              <w:t>review.</w:t>
            </w:r>
            <w:r>
              <w:rPr>
                <w:bCs/>
                <w:sz w:val="20"/>
                <w:szCs w:val="20"/>
              </w:rPr>
              <w:t>.</w:t>
            </w:r>
            <w:proofErr w:type="gramEnd"/>
          </w:p>
          <w:p w14:paraId="7407321A" w14:textId="77777777" w:rsidR="00066E88" w:rsidRDefault="00066E88" w:rsidP="00894C6B">
            <w:pPr>
              <w:rPr>
                <w:bCs/>
                <w:sz w:val="20"/>
                <w:szCs w:val="20"/>
              </w:rPr>
            </w:pPr>
          </w:p>
          <w:p w14:paraId="5319F6D8" w14:textId="77777777" w:rsidR="00066E88" w:rsidRDefault="00066E88" w:rsidP="00894C6B">
            <w:pPr>
              <w:rPr>
                <w:bCs/>
                <w:sz w:val="20"/>
                <w:szCs w:val="20"/>
              </w:rPr>
            </w:pPr>
          </w:p>
          <w:p w14:paraId="261FAFC9" w14:textId="77777777" w:rsidR="00066E88" w:rsidRDefault="00066E88" w:rsidP="00894C6B">
            <w:pPr>
              <w:rPr>
                <w:bCs/>
                <w:sz w:val="20"/>
                <w:szCs w:val="20"/>
              </w:rPr>
            </w:pPr>
          </w:p>
          <w:p w14:paraId="28A77A67" w14:textId="77777777" w:rsidR="00066E88" w:rsidRDefault="00066E88" w:rsidP="00894C6B">
            <w:pPr>
              <w:rPr>
                <w:bCs/>
                <w:sz w:val="20"/>
                <w:szCs w:val="20"/>
              </w:rPr>
            </w:pPr>
          </w:p>
          <w:p w14:paraId="3C0F86BA" w14:textId="77777777" w:rsidR="00066E88" w:rsidRDefault="00066E88" w:rsidP="00894C6B">
            <w:pPr>
              <w:rPr>
                <w:bCs/>
                <w:sz w:val="20"/>
                <w:szCs w:val="20"/>
              </w:rPr>
            </w:pPr>
            <w:r>
              <w:rPr>
                <w:bCs/>
                <w:sz w:val="20"/>
                <w:szCs w:val="20"/>
              </w:rPr>
              <w:lastRenderedPageBreak/>
              <w:t xml:space="preserve">Difficult to measure but the fact that the project ensured participation of women, particularly members of the BWAF, in all components/activities of the project must have positive contribution to emphasizing the role of women in peace and security agenda. </w:t>
            </w:r>
          </w:p>
          <w:p w14:paraId="3AB06816" w14:textId="77777777" w:rsidR="00066E88" w:rsidRPr="00A24FB4" w:rsidRDefault="00066E88" w:rsidP="00894C6B">
            <w:pPr>
              <w:rPr>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95D7A8" w14:textId="77777777" w:rsidR="00066E88" w:rsidRDefault="00066E88" w:rsidP="00894C6B">
            <w:pPr>
              <w:rPr>
                <w:b/>
              </w:rPr>
            </w:pPr>
          </w:p>
          <w:p w14:paraId="3B7EFC55" w14:textId="77777777" w:rsidR="00066E88" w:rsidRDefault="00066E88" w:rsidP="00894C6B">
            <w:pPr>
              <w:rPr>
                <w:bCs/>
                <w:sz w:val="20"/>
                <w:szCs w:val="20"/>
              </w:rPr>
            </w:pPr>
            <w:r>
              <w:rPr>
                <w:bCs/>
                <w:sz w:val="20"/>
                <w:szCs w:val="20"/>
              </w:rPr>
              <w:t>Consultations and citizens engagement conducted deliberately engaged women in the process and encouraged their active participation.</w:t>
            </w:r>
          </w:p>
          <w:p w14:paraId="11A31A7B" w14:textId="77777777" w:rsidR="00066E88" w:rsidRDefault="00066E88" w:rsidP="00894C6B">
            <w:pPr>
              <w:rPr>
                <w:bCs/>
                <w:sz w:val="20"/>
                <w:szCs w:val="20"/>
              </w:rPr>
            </w:pPr>
          </w:p>
          <w:p w14:paraId="393B8CBE" w14:textId="77777777" w:rsidR="00066E88" w:rsidRDefault="00066E88" w:rsidP="00894C6B">
            <w:pPr>
              <w:rPr>
                <w:bCs/>
                <w:sz w:val="20"/>
                <w:szCs w:val="20"/>
              </w:rPr>
            </w:pPr>
          </w:p>
          <w:p w14:paraId="3C93275F" w14:textId="77777777" w:rsidR="00066E88" w:rsidRDefault="00066E88" w:rsidP="00894C6B">
            <w:pPr>
              <w:rPr>
                <w:bCs/>
                <w:sz w:val="20"/>
                <w:szCs w:val="20"/>
              </w:rPr>
            </w:pPr>
          </w:p>
          <w:p w14:paraId="745A32E3" w14:textId="77777777" w:rsidR="00066E88" w:rsidRDefault="00066E88" w:rsidP="00894C6B">
            <w:pPr>
              <w:rPr>
                <w:bCs/>
                <w:sz w:val="20"/>
                <w:szCs w:val="20"/>
              </w:rPr>
            </w:pPr>
          </w:p>
          <w:p w14:paraId="435F2454" w14:textId="77777777" w:rsidR="00066E88" w:rsidRDefault="00066E88" w:rsidP="00894C6B">
            <w:pPr>
              <w:rPr>
                <w:bCs/>
                <w:sz w:val="20"/>
                <w:szCs w:val="20"/>
              </w:rPr>
            </w:pPr>
            <w:r>
              <w:rPr>
                <w:bCs/>
                <w:sz w:val="20"/>
                <w:szCs w:val="20"/>
              </w:rPr>
              <w:t xml:space="preserve">Not the main objective of the project though women are encouraged to participate in discussions and women’s groups were specifically invited to various consultations. </w:t>
            </w:r>
          </w:p>
          <w:p w14:paraId="340179B7" w14:textId="77777777" w:rsidR="00066E88" w:rsidRDefault="00066E88" w:rsidP="00894C6B">
            <w:pPr>
              <w:rPr>
                <w:bCs/>
                <w:sz w:val="20"/>
                <w:szCs w:val="20"/>
              </w:rPr>
            </w:pPr>
          </w:p>
          <w:p w14:paraId="37A73B18" w14:textId="77777777" w:rsidR="00066E88" w:rsidRDefault="00066E88" w:rsidP="00894C6B">
            <w:pPr>
              <w:rPr>
                <w:bCs/>
                <w:sz w:val="20"/>
                <w:szCs w:val="20"/>
              </w:rPr>
            </w:pPr>
          </w:p>
          <w:p w14:paraId="2592EADA" w14:textId="77777777" w:rsidR="00066E88" w:rsidRDefault="00066E88" w:rsidP="00894C6B">
            <w:pPr>
              <w:rPr>
                <w:bCs/>
                <w:sz w:val="20"/>
                <w:szCs w:val="20"/>
              </w:rPr>
            </w:pPr>
          </w:p>
          <w:p w14:paraId="10486C96" w14:textId="77777777" w:rsidR="00066E88" w:rsidRDefault="00066E88" w:rsidP="00894C6B">
            <w:pPr>
              <w:rPr>
                <w:bCs/>
                <w:sz w:val="20"/>
                <w:szCs w:val="20"/>
              </w:rPr>
            </w:pPr>
          </w:p>
          <w:p w14:paraId="457A8398" w14:textId="77777777" w:rsidR="00066E88" w:rsidRDefault="00066E88" w:rsidP="00894C6B">
            <w:pPr>
              <w:rPr>
                <w:bCs/>
                <w:sz w:val="20"/>
                <w:szCs w:val="20"/>
              </w:rPr>
            </w:pPr>
          </w:p>
          <w:p w14:paraId="0817348A" w14:textId="1DB9D033" w:rsidR="00066E88" w:rsidRDefault="00066E88" w:rsidP="00894C6B">
            <w:pPr>
              <w:rPr>
                <w:bCs/>
                <w:sz w:val="20"/>
                <w:szCs w:val="20"/>
              </w:rPr>
            </w:pPr>
            <w:r>
              <w:rPr>
                <w:bCs/>
                <w:sz w:val="20"/>
                <w:szCs w:val="20"/>
              </w:rPr>
              <w:t xml:space="preserve">No specific gender action plan has been </w:t>
            </w:r>
            <w:r w:rsidR="00FD479F">
              <w:rPr>
                <w:bCs/>
                <w:sz w:val="20"/>
                <w:szCs w:val="20"/>
              </w:rPr>
              <w:t>provided for the review.</w:t>
            </w:r>
            <w:r>
              <w:rPr>
                <w:bCs/>
                <w:sz w:val="20"/>
                <w:szCs w:val="20"/>
              </w:rPr>
              <w:t xml:space="preserve"> </w:t>
            </w:r>
          </w:p>
          <w:p w14:paraId="54018BC8" w14:textId="77777777" w:rsidR="00FD479F" w:rsidRDefault="00FD479F" w:rsidP="00894C6B">
            <w:pPr>
              <w:rPr>
                <w:bCs/>
                <w:sz w:val="20"/>
                <w:szCs w:val="20"/>
              </w:rPr>
            </w:pPr>
          </w:p>
          <w:p w14:paraId="4CB55158" w14:textId="77777777" w:rsidR="00066E88" w:rsidRPr="001B6D13" w:rsidRDefault="00066E88" w:rsidP="00894C6B">
            <w:pPr>
              <w:rPr>
                <w:sz w:val="20"/>
                <w:szCs w:val="20"/>
              </w:rPr>
            </w:pPr>
            <w:r w:rsidRPr="001B6D13">
              <w:rPr>
                <w:sz w:val="20"/>
                <w:szCs w:val="20"/>
              </w:rPr>
              <w:t xml:space="preserve">This is not included in the original objective of the project and hence, difficult to measure. However, leaders and </w:t>
            </w:r>
            <w:r w:rsidRPr="001B6D13">
              <w:rPr>
                <w:sz w:val="20"/>
                <w:szCs w:val="20"/>
              </w:rPr>
              <w:lastRenderedPageBreak/>
              <w:t>representatives of various women’s groups were invited to the consultations and planning activities of the project with TFBM.</w:t>
            </w:r>
          </w:p>
        </w:tc>
        <w:tc>
          <w:tcPr>
            <w:tcW w:w="2977" w:type="dxa"/>
            <w:tcBorders>
              <w:top w:val="single" w:sz="4" w:space="0" w:color="auto"/>
              <w:left w:val="single" w:sz="4" w:space="0" w:color="auto"/>
              <w:bottom w:val="single" w:sz="4" w:space="0" w:color="auto"/>
              <w:right w:val="single" w:sz="4" w:space="0" w:color="auto"/>
            </w:tcBorders>
          </w:tcPr>
          <w:p w14:paraId="62FE6A38" w14:textId="77777777" w:rsidR="00066E88" w:rsidRDefault="00066E88" w:rsidP="00894C6B">
            <w:pPr>
              <w:rPr>
                <w:sz w:val="20"/>
                <w:szCs w:val="20"/>
              </w:rPr>
            </w:pPr>
            <w:r>
              <w:rPr>
                <w:sz w:val="20"/>
                <w:szCs w:val="20"/>
              </w:rPr>
              <w:lastRenderedPageBreak/>
              <w:t xml:space="preserve">There was deliberate identification and inclusion of women leaders across cultural groups – Moros, Christians and IPs. Women groups such as the RCBW, MILF Social Welfare Committee, </w:t>
            </w:r>
            <w:proofErr w:type="spellStart"/>
            <w:r>
              <w:rPr>
                <w:sz w:val="20"/>
                <w:szCs w:val="20"/>
              </w:rPr>
              <w:t>UNYPhil</w:t>
            </w:r>
            <w:proofErr w:type="spellEnd"/>
            <w:r>
              <w:rPr>
                <w:sz w:val="20"/>
                <w:szCs w:val="20"/>
              </w:rPr>
              <w:t xml:space="preserve">-Women, and the Bangsamoro Islamic Women Auxiliary Brigade were also engaged throughout the project implementation. </w:t>
            </w:r>
          </w:p>
          <w:p w14:paraId="553DCA99" w14:textId="77777777" w:rsidR="00066E88" w:rsidRDefault="00066E88" w:rsidP="00894C6B">
            <w:pPr>
              <w:rPr>
                <w:sz w:val="20"/>
                <w:szCs w:val="20"/>
              </w:rPr>
            </w:pPr>
          </w:p>
          <w:p w14:paraId="3E922AC5" w14:textId="77777777" w:rsidR="00066E88" w:rsidRPr="002A14A8" w:rsidRDefault="00066E88" w:rsidP="00894C6B">
            <w:pPr>
              <w:rPr>
                <w:sz w:val="20"/>
                <w:szCs w:val="20"/>
              </w:rPr>
            </w:pPr>
            <w:r>
              <w:rPr>
                <w:sz w:val="20"/>
                <w:szCs w:val="20"/>
              </w:rPr>
              <w:t>The project contribution is more on presence and participation. No explicit gender action plans were developed.</w:t>
            </w:r>
          </w:p>
        </w:tc>
        <w:tc>
          <w:tcPr>
            <w:tcW w:w="3544" w:type="dxa"/>
            <w:tcBorders>
              <w:top w:val="single" w:sz="4" w:space="0" w:color="auto"/>
              <w:left w:val="single" w:sz="4" w:space="0" w:color="auto"/>
              <w:bottom w:val="single" w:sz="4" w:space="0" w:color="auto"/>
              <w:right w:val="single" w:sz="4" w:space="0" w:color="auto"/>
            </w:tcBorders>
          </w:tcPr>
          <w:p w14:paraId="087FA395" w14:textId="77777777" w:rsidR="00066E88" w:rsidRPr="00DE4849" w:rsidRDefault="00066E88" w:rsidP="00894C6B">
            <w:pPr>
              <w:rPr>
                <w:sz w:val="20"/>
                <w:szCs w:val="20"/>
              </w:rPr>
            </w:pPr>
            <w:r w:rsidRPr="00DE4849">
              <w:rPr>
                <w:sz w:val="20"/>
                <w:szCs w:val="20"/>
              </w:rPr>
              <w:t xml:space="preserve">There is no </w:t>
            </w:r>
            <w:r>
              <w:rPr>
                <w:sz w:val="20"/>
                <w:szCs w:val="20"/>
              </w:rPr>
              <w:t xml:space="preserve">clear gender lens in its statement of key outputs and activities. This implies the normative approach to include women as participants can be expected. How far the women agenda can be integrated is not explicit. </w:t>
            </w:r>
          </w:p>
        </w:tc>
      </w:tr>
      <w:tr w:rsidR="00066E88" w14:paraId="6465B675" w14:textId="77777777" w:rsidTr="00A928D6">
        <w:tc>
          <w:tcPr>
            <w:tcW w:w="2406" w:type="dxa"/>
            <w:tcBorders>
              <w:top w:val="single" w:sz="4" w:space="0" w:color="auto"/>
              <w:left w:val="single" w:sz="4" w:space="0" w:color="auto"/>
              <w:bottom w:val="single" w:sz="4" w:space="0" w:color="auto"/>
              <w:right w:val="single" w:sz="4" w:space="0" w:color="auto"/>
            </w:tcBorders>
          </w:tcPr>
          <w:p w14:paraId="4BFE19B5" w14:textId="77777777" w:rsidR="00066E88" w:rsidRDefault="00066E88" w:rsidP="00894C6B">
            <w:pPr>
              <w:rPr>
                <w:b/>
                <w:sz w:val="20"/>
                <w:szCs w:val="20"/>
              </w:rPr>
            </w:pPr>
            <w:r>
              <w:rPr>
                <w:b/>
                <w:sz w:val="20"/>
                <w:szCs w:val="20"/>
              </w:rPr>
              <w:t xml:space="preserve">5.  Disability Inclusion </w:t>
            </w:r>
          </w:p>
        </w:tc>
        <w:tc>
          <w:tcPr>
            <w:tcW w:w="2976" w:type="dxa"/>
            <w:tcBorders>
              <w:top w:val="single" w:sz="4" w:space="0" w:color="auto"/>
              <w:left w:val="single" w:sz="4" w:space="0" w:color="auto"/>
              <w:bottom w:val="single" w:sz="4" w:space="0" w:color="auto"/>
              <w:right w:val="single" w:sz="4" w:space="0" w:color="auto"/>
            </w:tcBorders>
          </w:tcPr>
          <w:p w14:paraId="6E2D0EF7" w14:textId="77777777" w:rsidR="00066E88" w:rsidRDefault="00066E88" w:rsidP="00894C6B">
            <w:pPr>
              <w:rPr>
                <w:b/>
              </w:rPr>
            </w:pPr>
          </w:p>
        </w:tc>
        <w:tc>
          <w:tcPr>
            <w:tcW w:w="2835" w:type="dxa"/>
            <w:tcBorders>
              <w:top w:val="single" w:sz="4" w:space="0" w:color="auto"/>
              <w:left w:val="single" w:sz="4" w:space="0" w:color="auto"/>
              <w:bottom w:val="single" w:sz="4" w:space="0" w:color="auto"/>
              <w:right w:val="single" w:sz="4" w:space="0" w:color="auto"/>
            </w:tcBorders>
          </w:tcPr>
          <w:p w14:paraId="51A40E3E" w14:textId="77777777" w:rsidR="00066E88" w:rsidRDefault="00066E88" w:rsidP="00894C6B">
            <w:pPr>
              <w:rPr>
                <w:b/>
              </w:rPr>
            </w:pPr>
          </w:p>
        </w:tc>
        <w:tc>
          <w:tcPr>
            <w:tcW w:w="2977" w:type="dxa"/>
            <w:tcBorders>
              <w:top w:val="single" w:sz="4" w:space="0" w:color="auto"/>
              <w:left w:val="single" w:sz="4" w:space="0" w:color="auto"/>
              <w:bottom w:val="single" w:sz="4" w:space="0" w:color="auto"/>
              <w:right w:val="single" w:sz="4" w:space="0" w:color="auto"/>
            </w:tcBorders>
          </w:tcPr>
          <w:p w14:paraId="1DC34BC0" w14:textId="77777777" w:rsidR="00066E88" w:rsidRDefault="00066E88" w:rsidP="00894C6B">
            <w:pPr>
              <w:rPr>
                <w:b/>
              </w:rPr>
            </w:pPr>
          </w:p>
        </w:tc>
        <w:tc>
          <w:tcPr>
            <w:tcW w:w="3544" w:type="dxa"/>
            <w:tcBorders>
              <w:top w:val="single" w:sz="4" w:space="0" w:color="auto"/>
              <w:left w:val="single" w:sz="4" w:space="0" w:color="auto"/>
              <w:bottom w:val="single" w:sz="4" w:space="0" w:color="auto"/>
              <w:right w:val="single" w:sz="4" w:space="0" w:color="auto"/>
            </w:tcBorders>
          </w:tcPr>
          <w:p w14:paraId="683DB574" w14:textId="77777777" w:rsidR="00066E88" w:rsidRDefault="00066E88" w:rsidP="00894C6B">
            <w:pPr>
              <w:rPr>
                <w:b/>
              </w:rPr>
            </w:pPr>
          </w:p>
        </w:tc>
      </w:tr>
      <w:tr w:rsidR="00066E88" w14:paraId="0ADD2B69" w14:textId="77777777" w:rsidTr="00A928D6">
        <w:tc>
          <w:tcPr>
            <w:tcW w:w="2406" w:type="dxa"/>
            <w:tcBorders>
              <w:top w:val="single" w:sz="4" w:space="0" w:color="auto"/>
              <w:left w:val="single" w:sz="4" w:space="0" w:color="auto"/>
              <w:bottom w:val="single" w:sz="4" w:space="0" w:color="auto"/>
              <w:right w:val="single" w:sz="4" w:space="0" w:color="auto"/>
            </w:tcBorders>
          </w:tcPr>
          <w:p w14:paraId="2D158D3B" w14:textId="77777777" w:rsidR="00066E88" w:rsidRDefault="00066E88" w:rsidP="00894C6B">
            <w:pPr>
              <w:rPr>
                <w:b/>
                <w:sz w:val="20"/>
                <w:szCs w:val="20"/>
              </w:rPr>
            </w:pPr>
            <w:r>
              <w:rPr>
                <w:b/>
                <w:sz w:val="20"/>
                <w:szCs w:val="20"/>
              </w:rPr>
              <w:t>e. Is the investment actively involving people with disabilities?</w:t>
            </w:r>
          </w:p>
        </w:tc>
        <w:tc>
          <w:tcPr>
            <w:tcW w:w="2976" w:type="dxa"/>
            <w:tcBorders>
              <w:top w:val="single" w:sz="4" w:space="0" w:color="auto"/>
              <w:left w:val="single" w:sz="4" w:space="0" w:color="auto"/>
              <w:bottom w:val="single" w:sz="4" w:space="0" w:color="auto"/>
              <w:right w:val="single" w:sz="4" w:space="0" w:color="auto"/>
            </w:tcBorders>
          </w:tcPr>
          <w:p w14:paraId="2ED7EB66" w14:textId="77777777" w:rsidR="00066E88" w:rsidRPr="00E375DE" w:rsidRDefault="00066E88" w:rsidP="00894C6B">
            <w:pPr>
              <w:rPr>
                <w:bCs/>
                <w:sz w:val="20"/>
                <w:szCs w:val="20"/>
              </w:rPr>
            </w:pPr>
            <w:r>
              <w:rPr>
                <w:bCs/>
                <w:sz w:val="20"/>
                <w:szCs w:val="20"/>
              </w:rPr>
              <w:t>It involved former MILF combatants with disabilities, as victims of previous armed conflicts</w:t>
            </w:r>
          </w:p>
        </w:tc>
        <w:tc>
          <w:tcPr>
            <w:tcW w:w="2835" w:type="dxa"/>
            <w:tcBorders>
              <w:top w:val="single" w:sz="4" w:space="0" w:color="auto"/>
              <w:left w:val="single" w:sz="4" w:space="0" w:color="auto"/>
              <w:bottom w:val="single" w:sz="4" w:space="0" w:color="auto"/>
              <w:right w:val="single" w:sz="4" w:space="0" w:color="auto"/>
            </w:tcBorders>
          </w:tcPr>
          <w:p w14:paraId="2C6E6F2A" w14:textId="77777777" w:rsidR="00066E88" w:rsidRPr="00E375DE" w:rsidRDefault="00066E88" w:rsidP="00894C6B">
            <w:pPr>
              <w:rPr>
                <w:bCs/>
                <w:sz w:val="20"/>
                <w:szCs w:val="20"/>
              </w:rPr>
            </w:pPr>
            <w:r>
              <w:rPr>
                <w:bCs/>
                <w:sz w:val="20"/>
                <w:szCs w:val="20"/>
              </w:rPr>
              <w:t>No specific plan for this purpose</w:t>
            </w:r>
          </w:p>
        </w:tc>
        <w:tc>
          <w:tcPr>
            <w:tcW w:w="2977" w:type="dxa"/>
            <w:tcBorders>
              <w:top w:val="single" w:sz="4" w:space="0" w:color="auto"/>
              <w:left w:val="single" w:sz="4" w:space="0" w:color="auto"/>
              <w:bottom w:val="single" w:sz="4" w:space="0" w:color="auto"/>
              <w:right w:val="single" w:sz="4" w:space="0" w:color="auto"/>
            </w:tcBorders>
          </w:tcPr>
          <w:p w14:paraId="23AB6032" w14:textId="77777777" w:rsidR="00066E88" w:rsidRDefault="00066E88" w:rsidP="00894C6B">
            <w:pPr>
              <w:rPr>
                <w:bCs/>
                <w:sz w:val="20"/>
                <w:szCs w:val="20"/>
              </w:rPr>
            </w:pPr>
            <w:r>
              <w:rPr>
                <w:bCs/>
                <w:sz w:val="20"/>
                <w:szCs w:val="20"/>
              </w:rPr>
              <w:t>No specific plan for this purpose</w:t>
            </w:r>
          </w:p>
        </w:tc>
        <w:tc>
          <w:tcPr>
            <w:tcW w:w="3544" w:type="dxa"/>
            <w:tcBorders>
              <w:top w:val="single" w:sz="4" w:space="0" w:color="auto"/>
              <w:left w:val="single" w:sz="4" w:space="0" w:color="auto"/>
              <w:bottom w:val="single" w:sz="4" w:space="0" w:color="auto"/>
              <w:right w:val="single" w:sz="4" w:space="0" w:color="auto"/>
            </w:tcBorders>
          </w:tcPr>
          <w:p w14:paraId="00963203" w14:textId="77777777" w:rsidR="00066E88" w:rsidRDefault="00066E88" w:rsidP="00894C6B">
            <w:pPr>
              <w:rPr>
                <w:bCs/>
                <w:sz w:val="20"/>
                <w:szCs w:val="20"/>
              </w:rPr>
            </w:pPr>
            <w:r>
              <w:rPr>
                <w:bCs/>
                <w:sz w:val="20"/>
                <w:szCs w:val="20"/>
              </w:rPr>
              <w:t>No specific plan for this purpose</w:t>
            </w:r>
          </w:p>
        </w:tc>
      </w:tr>
      <w:tr w:rsidR="00066E88" w14:paraId="661AC244" w14:textId="77777777" w:rsidTr="00A928D6">
        <w:tc>
          <w:tcPr>
            <w:tcW w:w="2406" w:type="dxa"/>
            <w:tcBorders>
              <w:top w:val="single" w:sz="4" w:space="0" w:color="auto"/>
              <w:left w:val="single" w:sz="4" w:space="0" w:color="auto"/>
              <w:bottom w:val="single" w:sz="4" w:space="0" w:color="auto"/>
              <w:right w:val="single" w:sz="4" w:space="0" w:color="auto"/>
            </w:tcBorders>
          </w:tcPr>
          <w:p w14:paraId="61D716E6" w14:textId="77777777" w:rsidR="00066E88" w:rsidRDefault="00066E88" w:rsidP="00894C6B">
            <w:pPr>
              <w:rPr>
                <w:b/>
                <w:sz w:val="20"/>
                <w:szCs w:val="20"/>
              </w:rPr>
            </w:pPr>
            <w:r>
              <w:rPr>
                <w:b/>
                <w:sz w:val="20"/>
                <w:szCs w:val="20"/>
              </w:rPr>
              <w:t xml:space="preserve">e.1 How well does the investment actively involved people with disabilities and/or disabled peoples’ organizations in planning, </w:t>
            </w:r>
            <w:proofErr w:type="gramStart"/>
            <w:r>
              <w:rPr>
                <w:b/>
                <w:sz w:val="20"/>
                <w:szCs w:val="20"/>
              </w:rPr>
              <w:t>implementation,  monitoring</w:t>
            </w:r>
            <w:proofErr w:type="gramEnd"/>
            <w:r>
              <w:rPr>
                <w:b/>
                <w:sz w:val="20"/>
                <w:szCs w:val="20"/>
              </w:rPr>
              <w:t xml:space="preserve"> and evaluation?</w:t>
            </w:r>
          </w:p>
        </w:tc>
        <w:tc>
          <w:tcPr>
            <w:tcW w:w="2976" w:type="dxa"/>
            <w:tcBorders>
              <w:top w:val="single" w:sz="4" w:space="0" w:color="auto"/>
              <w:left w:val="single" w:sz="4" w:space="0" w:color="auto"/>
              <w:bottom w:val="single" w:sz="4" w:space="0" w:color="auto"/>
              <w:right w:val="single" w:sz="4" w:space="0" w:color="auto"/>
            </w:tcBorders>
          </w:tcPr>
          <w:p w14:paraId="13965D25" w14:textId="77777777" w:rsidR="00066E88" w:rsidRPr="00E375DE" w:rsidRDefault="00066E88" w:rsidP="00894C6B">
            <w:pPr>
              <w:rPr>
                <w:bCs/>
                <w:sz w:val="20"/>
                <w:szCs w:val="20"/>
              </w:rPr>
            </w:pPr>
            <w:r>
              <w:rPr>
                <w:bCs/>
                <w:sz w:val="20"/>
                <w:szCs w:val="20"/>
              </w:rPr>
              <w:t xml:space="preserve">Representatives from the BWAF and officers of MILF combatants were present in the identification and the decision on what projects to be implemented.  Psychosocial services were extended to selected previous combatants. </w:t>
            </w:r>
          </w:p>
        </w:tc>
        <w:tc>
          <w:tcPr>
            <w:tcW w:w="2835" w:type="dxa"/>
            <w:tcBorders>
              <w:top w:val="single" w:sz="4" w:space="0" w:color="auto"/>
              <w:left w:val="single" w:sz="4" w:space="0" w:color="auto"/>
              <w:bottom w:val="single" w:sz="4" w:space="0" w:color="auto"/>
              <w:right w:val="single" w:sz="4" w:space="0" w:color="auto"/>
            </w:tcBorders>
          </w:tcPr>
          <w:p w14:paraId="0A801FAC" w14:textId="77777777" w:rsidR="00066E88" w:rsidRPr="00E375DE" w:rsidRDefault="00066E88" w:rsidP="00894C6B">
            <w:pPr>
              <w:rPr>
                <w:bCs/>
                <w:sz w:val="20"/>
                <w:szCs w:val="20"/>
              </w:rPr>
            </w:pPr>
            <w:r>
              <w:rPr>
                <w:bCs/>
                <w:sz w:val="20"/>
                <w:szCs w:val="20"/>
              </w:rPr>
              <w:t>No deliberate plan for this purpose.</w:t>
            </w:r>
          </w:p>
        </w:tc>
        <w:tc>
          <w:tcPr>
            <w:tcW w:w="2977" w:type="dxa"/>
            <w:tcBorders>
              <w:top w:val="single" w:sz="4" w:space="0" w:color="auto"/>
              <w:left w:val="single" w:sz="4" w:space="0" w:color="auto"/>
              <w:bottom w:val="single" w:sz="4" w:space="0" w:color="auto"/>
              <w:right w:val="single" w:sz="4" w:space="0" w:color="auto"/>
            </w:tcBorders>
          </w:tcPr>
          <w:p w14:paraId="704BCB0B" w14:textId="77777777" w:rsidR="00066E88" w:rsidRDefault="00066E88" w:rsidP="00894C6B">
            <w:pPr>
              <w:rPr>
                <w:bCs/>
                <w:sz w:val="20"/>
                <w:szCs w:val="20"/>
              </w:rPr>
            </w:pPr>
            <w:r>
              <w:rPr>
                <w:bCs/>
                <w:sz w:val="20"/>
                <w:szCs w:val="20"/>
              </w:rPr>
              <w:t>No specific plan for this purpose</w:t>
            </w:r>
          </w:p>
        </w:tc>
        <w:tc>
          <w:tcPr>
            <w:tcW w:w="3544" w:type="dxa"/>
            <w:tcBorders>
              <w:top w:val="single" w:sz="4" w:space="0" w:color="auto"/>
              <w:left w:val="single" w:sz="4" w:space="0" w:color="auto"/>
              <w:bottom w:val="single" w:sz="4" w:space="0" w:color="auto"/>
              <w:right w:val="single" w:sz="4" w:space="0" w:color="auto"/>
            </w:tcBorders>
          </w:tcPr>
          <w:p w14:paraId="26B962BA" w14:textId="77777777" w:rsidR="00066E88" w:rsidRDefault="00066E88" w:rsidP="00894C6B">
            <w:pPr>
              <w:rPr>
                <w:bCs/>
                <w:sz w:val="20"/>
                <w:szCs w:val="20"/>
              </w:rPr>
            </w:pPr>
            <w:r>
              <w:rPr>
                <w:bCs/>
                <w:sz w:val="20"/>
                <w:szCs w:val="20"/>
              </w:rPr>
              <w:t>No specific plan for this purpose</w:t>
            </w:r>
          </w:p>
        </w:tc>
      </w:tr>
      <w:tr w:rsidR="00066E88" w14:paraId="569081F3" w14:textId="77777777" w:rsidTr="00A928D6">
        <w:tc>
          <w:tcPr>
            <w:tcW w:w="2406" w:type="dxa"/>
            <w:tcBorders>
              <w:top w:val="single" w:sz="4" w:space="0" w:color="auto"/>
              <w:left w:val="single" w:sz="4" w:space="0" w:color="auto"/>
              <w:bottom w:val="single" w:sz="4" w:space="0" w:color="auto"/>
              <w:right w:val="single" w:sz="4" w:space="0" w:color="auto"/>
            </w:tcBorders>
          </w:tcPr>
          <w:p w14:paraId="2B9B8AB0" w14:textId="77777777" w:rsidR="00066E88" w:rsidRDefault="00066E88" w:rsidP="00894C6B">
            <w:pPr>
              <w:rPr>
                <w:b/>
                <w:sz w:val="20"/>
                <w:szCs w:val="20"/>
              </w:rPr>
            </w:pPr>
            <w:r>
              <w:rPr>
                <w:b/>
                <w:sz w:val="20"/>
                <w:szCs w:val="20"/>
              </w:rPr>
              <w:t xml:space="preserve">e.2 How well does the investment identify and address barriers to inclusion and opportunities for participation for people </w:t>
            </w:r>
            <w:r>
              <w:rPr>
                <w:b/>
                <w:sz w:val="20"/>
                <w:szCs w:val="20"/>
              </w:rPr>
              <w:lastRenderedPageBreak/>
              <w:t>with disabilities to enable them to benefit equally from aid investment?</w:t>
            </w:r>
          </w:p>
        </w:tc>
        <w:tc>
          <w:tcPr>
            <w:tcW w:w="2976" w:type="dxa"/>
            <w:tcBorders>
              <w:top w:val="single" w:sz="4" w:space="0" w:color="auto"/>
              <w:left w:val="single" w:sz="4" w:space="0" w:color="auto"/>
              <w:bottom w:val="single" w:sz="4" w:space="0" w:color="auto"/>
              <w:right w:val="single" w:sz="4" w:space="0" w:color="auto"/>
            </w:tcBorders>
          </w:tcPr>
          <w:p w14:paraId="09244F91" w14:textId="77777777" w:rsidR="00066E88" w:rsidRPr="00E375DE" w:rsidRDefault="00066E88" w:rsidP="00894C6B">
            <w:pPr>
              <w:rPr>
                <w:bCs/>
                <w:sz w:val="20"/>
                <w:szCs w:val="20"/>
              </w:rPr>
            </w:pPr>
            <w:r>
              <w:rPr>
                <w:bCs/>
                <w:sz w:val="20"/>
                <w:szCs w:val="20"/>
              </w:rPr>
              <w:lastRenderedPageBreak/>
              <w:t xml:space="preserve">Not an integral component of the project and hence no deliberate plan to ensure that people with disabilities will equally benefit from the aid investment, although </w:t>
            </w:r>
            <w:r>
              <w:rPr>
                <w:bCs/>
                <w:sz w:val="20"/>
                <w:szCs w:val="20"/>
              </w:rPr>
              <w:lastRenderedPageBreak/>
              <w:t>some of them were selected as recipients of the assistance.</w:t>
            </w:r>
          </w:p>
        </w:tc>
        <w:tc>
          <w:tcPr>
            <w:tcW w:w="2835" w:type="dxa"/>
            <w:tcBorders>
              <w:top w:val="single" w:sz="4" w:space="0" w:color="auto"/>
              <w:left w:val="single" w:sz="4" w:space="0" w:color="auto"/>
              <w:bottom w:val="single" w:sz="4" w:space="0" w:color="auto"/>
              <w:right w:val="single" w:sz="4" w:space="0" w:color="auto"/>
            </w:tcBorders>
          </w:tcPr>
          <w:p w14:paraId="510D280B" w14:textId="77777777" w:rsidR="00066E88" w:rsidRPr="004E7D4C" w:rsidRDefault="00066E88" w:rsidP="00894C6B">
            <w:pPr>
              <w:rPr>
                <w:bCs/>
                <w:sz w:val="20"/>
                <w:szCs w:val="20"/>
              </w:rPr>
            </w:pPr>
            <w:r>
              <w:rPr>
                <w:bCs/>
                <w:sz w:val="20"/>
                <w:szCs w:val="20"/>
              </w:rPr>
              <w:lastRenderedPageBreak/>
              <w:t>No specific plan for this purpose.</w:t>
            </w:r>
          </w:p>
        </w:tc>
        <w:tc>
          <w:tcPr>
            <w:tcW w:w="2977" w:type="dxa"/>
            <w:tcBorders>
              <w:top w:val="single" w:sz="4" w:space="0" w:color="auto"/>
              <w:left w:val="single" w:sz="4" w:space="0" w:color="auto"/>
              <w:bottom w:val="single" w:sz="4" w:space="0" w:color="auto"/>
              <w:right w:val="single" w:sz="4" w:space="0" w:color="auto"/>
            </w:tcBorders>
          </w:tcPr>
          <w:p w14:paraId="00C61AF2" w14:textId="77777777" w:rsidR="00066E88" w:rsidRDefault="00066E88" w:rsidP="00894C6B">
            <w:pPr>
              <w:rPr>
                <w:bCs/>
                <w:sz w:val="20"/>
                <w:szCs w:val="20"/>
              </w:rPr>
            </w:pPr>
            <w:r>
              <w:rPr>
                <w:bCs/>
                <w:sz w:val="20"/>
                <w:szCs w:val="20"/>
              </w:rPr>
              <w:t>No specific plan for this purpose</w:t>
            </w:r>
          </w:p>
        </w:tc>
        <w:tc>
          <w:tcPr>
            <w:tcW w:w="3544" w:type="dxa"/>
            <w:tcBorders>
              <w:top w:val="single" w:sz="4" w:space="0" w:color="auto"/>
              <w:left w:val="single" w:sz="4" w:space="0" w:color="auto"/>
              <w:bottom w:val="single" w:sz="4" w:space="0" w:color="auto"/>
              <w:right w:val="single" w:sz="4" w:space="0" w:color="auto"/>
            </w:tcBorders>
          </w:tcPr>
          <w:p w14:paraId="4B046D70" w14:textId="77777777" w:rsidR="00066E88" w:rsidRDefault="00066E88" w:rsidP="00894C6B">
            <w:pPr>
              <w:rPr>
                <w:bCs/>
                <w:sz w:val="20"/>
                <w:szCs w:val="20"/>
              </w:rPr>
            </w:pPr>
            <w:r>
              <w:rPr>
                <w:bCs/>
                <w:sz w:val="20"/>
                <w:szCs w:val="20"/>
              </w:rPr>
              <w:t>No specific plan for this purpose</w:t>
            </w:r>
          </w:p>
        </w:tc>
      </w:tr>
    </w:tbl>
    <w:p w14:paraId="00D621B8" w14:textId="77777777" w:rsidR="00A65FC0" w:rsidRPr="00D058C1" w:rsidRDefault="00A65FC0" w:rsidP="00A65FC0">
      <w:pPr>
        <w:rPr>
          <w:rFonts w:ascii="Cambria" w:hAnsi="Cambria"/>
          <w:b/>
        </w:rPr>
      </w:pPr>
    </w:p>
    <w:p w14:paraId="7080A052" w14:textId="0DF7908D" w:rsidR="002200AB" w:rsidRPr="00D058C1" w:rsidRDefault="002200AB" w:rsidP="002200AB">
      <w:pPr>
        <w:pStyle w:val="Heading2"/>
        <w:rPr>
          <w:rFonts w:ascii="Cambria" w:hAnsi="Cambria"/>
          <w:b/>
        </w:rPr>
      </w:pPr>
    </w:p>
    <w:sectPr w:rsidR="002200AB" w:rsidRPr="00D058C1" w:rsidSect="001F45DA">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D72E" w14:textId="77777777" w:rsidR="001337CA" w:rsidRDefault="001337CA" w:rsidP="00D07C51">
      <w:r>
        <w:separator/>
      </w:r>
    </w:p>
  </w:endnote>
  <w:endnote w:type="continuationSeparator" w:id="0">
    <w:p w14:paraId="0E8516A4" w14:textId="77777777" w:rsidR="001337CA" w:rsidRDefault="001337CA" w:rsidP="00D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Avenir-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910D" w14:textId="2FB41B67" w:rsidR="001337CA" w:rsidRDefault="001337CA" w:rsidP="004972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27D">
      <w:rPr>
        <w:rStyle w:val="PageNumber"/>
        <w:noProof/>
      </w:rPr>
      <w:t>70</w:t>
    </w:r>
    <w:r>
      <w:rPr>
        <w:rStyle w:val="PageNumber"/>
      </w:rPr>
      <w:fldChar w:fldCharType="end"/>
    </w:r>
  </w:p>
  <w:p w14:paraId="3C432D8F" w14:textId="77777777" w:rsidR="001337CA" w:rsidRDefault="0013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1070" w14:textId="267EE29A" w:rsidR="001337CA" w:rsidRDefault="001337CA" w:rsidP="00CC0011">
    <w:pPr>
      <w:pStyle w:val="Footer"/>
      <w:jc w:val="center"/>
    </w:pPr>
    <w:r w:rsidRPr="00CC0011">
      <w:rPr>
        <w:rStyle w:val="PageNumber"/>
        <w:lang w:val="en-GB"/>
      </w:rPr>
      <w:t xml:space="preserve">Page </w:t>
    </w:r>
    <w:r w:rsidRPr="00CC0011">
      <w:rPr>
        <w:rStyle w:val="PageNumber"/>
        <w:lang w:val="en-GB"/>
      </w:rPr>
      <w:fldChar w:fldCharType="begin"/>
    </w:r>
    <w:r w:rsidRPr="00CC0011">
      <w:rPr>
        <w:rStyle w:val="PageNumber"/>
        <w:lang w:val="en-GB"/>
      </w:rPr>
      <w:instrText xml:space="preserve"> PAGE </w:instrText>
    </w:r>
    <w:r w:rsidRPr="00CC0011">
      <w:rPr>
        <w:rStyle w:val="PageNumber"/>
        <w:lang w:val="en-GB"/>
      </w:rPr>
      <w:fldChar w:fldCharType="separate"/>
    </w:r>
    <w:r w:rsidR="00B43F1A">
      <w:rPr>
        <w:rStyle w:val="PageNumber"/>
        <w:noProof/>
        <w:lang w:val="en-GB"/>
      </w:rPr>
      <w:t>20</w:t>
    </w:r>
    <w:r w:rsidRPr="00CC0011">
      <w:rPr>
        <w:rStyle w:val="PageNumber"/>
        <w:lang w:val="en-GB"/>
      </w:rPr>
      <w:fldChar w:fldCharType="end"/>
    </w:r>
    <w:r w:rsidRPr="00CC0011">
      <w:rPr>
        <w:rStyle w:val="PageNumber"/>
        <w:lang w:val="en-GB"/>
      </w:rPr>
      <w:t xml:space="preserve"> of </w:t>
    </w:r>
    <w:r w:rsidRPr="00CC0011">
      <w:rPr>
        <w:rStyle w:val="PageNumber"/>
        <w:lang w:val="en-GB"/>
      </w:rPr>
      <w:fldChar w:fldCharType="begin"/>
    </w:r>
    <w:r w:rsidRPr="00CC0011">
      <w:rPr>
        <w:rStyle w:val="PageNumber"/>
        <w:lang w:val="en-GB"/>
      </w:rPr>
      <w:instrText xml:space="preserve"> NUMPAGES </w:instrText>
    </w:r>
    <w:r w:rsidRPr="00CC0011">
      <w:rPr>
        <w:rStyle w:val="PageNumber"/>
        <w:lang w:val="en-GB"/>
      </w:rPr>
      <w:fldChar w:fldCharType="separate"/>
    </w:r>
    <w:r w:rsidR="00B43F1A">
      <w:rPr>
        <w:rStyle w:val="PageNumber"/>
        <w:noProof/>
        <w:lang w:val="en-GB"/>
      </w:rPr>
      <w:t>75</w:t>
    </w:r>
    <w:r w:rsidRPr="00CC0011">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004D" w14:textId="77777777" w:rsidR="001337CA" w:rsidRDefault="001337CA" w:rsidP="00D07C51">
      <w:r>
        <w:separator/>
      </w:r>
    </w:p>
  </w:footnote>
  <w:footnote w:type="continuationSeparator" w:id="0">
    <w:p w14:paraId="1383AECE" w14:textId="77777777" w:rsidR="001337CA" w:rsidRDefault="001337CA" w:rsidP="00D07C51">
      <w:r>
        <w:continuationSeparator/>
      </w:r>
    </w:p>
  </w:footnote>
  <w:footnote w:id="1">
    <w:p w14:paraId="201C5F08" w14:textId="19A69280" w:rsidR="001337CA" w:rsidRPr="00A928D6" w:rsidRDefault="001337CA">
      <w:pPr>
        <w:pStyle w:val="FootnoteText"/>
        <w:rPr>
          <w:rFonts w:ascii="Cambria" w:hAnsi="Cambria"/>
          <w:sz w:val="20"/>
          <w:szCs w:val="20"/>
          <w:lang w:val="en-US"/>
        </w:rPr>
      </w:pPr>
      <w:r w:rsidRPr="00A928D6">
        <w:rPr>
          <w:rStyle w:val="FootnoteReference"/>
          <w:rFonts w:ascii="Cambria" w:hAnsi="Cambria"/>
          <w:sz w:val="20"/>
          <w:szCs w:val="20"/>
        </w:rPr>
        <w:footnoteRef/>
      </w:r>
      <w:r w:rsidRPr="00A928D6">
        <w:rPr>
          <w:rFonts w:ascii="Cambria" w:hAnsi="Cambria"/>
          <w:sz w:val="20"/>
          <w:szCs w:val="20"/>
        </w:rPr>
        <w:t xml:space="preserve"> </w:t>
      </w:r>
      <w:r w:rsidRPr="00A928D6">
        <w:rPr>
          <w:rFonts w:ascii="Cambria" w:eastAsiaTheme="minorEastAsia" w:hAnsi="Cambria" w:cs="AppleSystemUIFont"/>
          <w:sz w:val="20"/>
          <w:szCs w:val="20"/>
          <w:lang w:val="en-GB" w:eastAsia="en-US"/>
        </w:rPr>
        <w:t>Negative peace refers to the mere absence of war or direct violence, while positive peace refers to broader challenges of structural integration and addressing root causes of conflict. Sustainable peacebulding requires both.</w:t>
      </w:r>
      <w:r w:rsidRPr="00A928D6">
        <w:rPr>
          <w:rFonts w:ascii="Cambria" w:hAnsi="Cambria"/>
          <w:sz w:val="20"/>
          <w:szCs w:val="20"/>
        </w:rPr>
        <w:t xml:space="preserve"> See </w:t>
      </w:r>
      <w:r w:rsidRPr="00A928D6">
        <w:rPr>
          <w:rFonts w:ascii="Cambria" w:eastAsiaTheme="minorEastAsia" w:hAnsi="Cambria" w:cs="AppleSystemUIFont"/>
          <w:sz w:val="20"/>
          <w:szCs w:val="20"/>
          <w:lang w:val="en-GB" w:eastAsia="en-US"/>
        </w:rPr>
        <w:t>Galtung, J. (1996</w:t>
      </w:r>
      <w:r w:rsidRPr="00A928D6">
        <w:rPr>
          <w:rFonts w:ascii="Cambria" w:eastAsiaTheme="minorEastAsia" w:hAnsi="Cambria" w:cs="AppleSystemUIFont"/>
          <w:i/>
          <w:iCs/>
          <w:sz w:val="20"/>
          <w:szCs w:val="20"/>
          <w:lang w:val="en-GB" w:eastAsia="en-US"/>
        </w:rPr>
        <w:t>). Peace by peaceful means: Peace and conflict, development and civilisation</w:t>
      </w:r>
      <w:r w:rsidRPr="00A928D6">
        <w:rPr>
          <w:rFonts w:ascii="Cambria" w:eastAsiaTheme="minorEastAsia" w:hAnsi="Cambria" w:cs="AppleSystemUIFont"/>
          <w:sz w:val="20"/>
          <w:szCs w:val="20"/>
          <w:lang w:val="en-GB" w:eastAsia="en-US"/>
        </w:rPr>
        <w:t>. Oslo: PRIO.</w:t>
      </w:r>
    </w:p>
  </w:footnote>
  <w:footnote w:id="2">
    <w:p w14:paraId="7A5FCFD5" w14:textId="45ECD5E7" w:rsidR="001337CA" w:rsidRPr="000C43D0" w:rsidRDefault="001337CA" w:rsidP="007B3EF6">
      <w:pPr>
        <w:pStyle w:val="FootnoteText"/>
        <w:rPr>
          <w:sz w:val="18"/>
          <w:szCs w:val="18"/>
        </w:rPr>
      </w:pPr>
      <w:r w:rsidRPr="004F0EF9">
        <w:rPr>
          <w:rStyle w:val="FootnoteReference"/>
          <w:sz w:val="18"/>
          <w:szCs w:val="18"/>
        </w:rPr>
        <w:footnoteRef/>
      </w:r>
      <w:r w:rsidRPr="004F0EF9">
        <w:rPr>
          <w:sz w:val="18"/>
          <w:szCs w:val="18"/>
        </w:rPr>
        <w:t>The team was composed of Fermin</w:t>
      </w:r>
      <w:r>
        <w:rPr>
          <w:sz w:val="18"/>
          <w:szCs w:val="18"/>
        </w:rPr>
        <w:t xml:space="preserve"> D.</w:t>
      </w:r>
      <w:r w:rsidRPr="004F0EF9">
        <w:rPr>
          <w:sz w:val="18"/>
          <w:szCs w:val="18"/>
        </w:rPr>
        <w:t xml:space="preserve"> Adriano (</w:t>
      </w:r>
      <w:r w:rsidRPr="007509DF">
        <w:rPr>
          <w:sz w:val="18"/>
          <w:szCs w:val="18"/>
        </w:rPr>
        <w:t xml:space="preserve">Team Leader), Maria Carmen </w:t>
      </w:r>
      <w:r w:rsidRPr="000C43D0">
        <w:rPr>
          <w:sz w:val="18"/>
          <w:szCs w:val="18"/>
        </w:rPr>
        <w:t>(Ica) Fernandez (</w:t>
      </w:r>
      <w:r w:rsidRPr="00F11FA7">
        <w:rPr>
          <w:rFonts w:asciiTheme="minorHAnsi" w:hAnsiTheme="minorHAnsi" w:cs="Arial"/>
          <w:sz w:val="18"/>
          <w:szCs w:val="18"/>
        </w:rPr>
        <w:t xml:space="preserve">Governance and conflict sensitivity </w:t>
      </w:r>
      <w:r w:rsidRPr="000C43D0">
        <w:rPr>
          <w:sz w:val="18"/>
          <w:szCs w:val="18"/>
        </w:rPr>
        <w:t>specialist), and Noor Saada (</w:t>
      </w:r>
      <w:r w:rsidRPr="00F11FA7">
        <w:rPr>
          <w:rFonts w:asciiTheme="minorHAnsi" w:hAnsiTheme="minorHAnsi" w:cs="Arial"/>
          <w:sz w:val="18"/>
          <w:szCs w:val="18"/>
        </w:rPr>
        <w:t xml:space="preserve">Bangsamoro Peace and Development </w:t>
      </w:r>
      <w:r w:rsidRPr="000C43D0">
        <w:rPr>
          <w:sz w:val="18"/>
          <w:szCs w:val="18"/>
        </w:rPr>
        <w:t xml:space="preserve">specialist). </w:t>
      </w:r>
    </w:p>
  </w:footnote>
  <w:footnote w:id="3">
    <w:p w14:paraId="51107850" w14:textId="204FB599" w:rsidR="001337CA" w:rsidRPr="00A928D6" w:rsidRDefault="001337CA">
      <w:pPr>
        <w:pStyle w:val="FootnoteText"/>
        <w:rPr>
          <w:sz w:val="18"/>
          <w:szCs w:val="18"/>
        </w:rPr>
      </w:pPr>
      <w:r w:rsidRPr="00A928D6">
        <w:rPr>
          <w:rStyle w:val="FootnoteReference"/>
          <w:sz w:val="18"/>
          <w:szCs w:val="18"/>
        </w:rPr>
        <w:footnoteRef/>
      </w:r>
      <w:r w:rsidRPr="00A928D6">
        <w:rPr>
          <w:sz w:val="18"/>
          <w:szCs w:val="18"/>
        </w:rPr>
        <w:t xml:space="preserve"> Documents provided to the review team were largely qualitative in nature, with the exception of sex-disaggregated data.    </w:t>
      </w:r>
    </w:p>
  </w:footnote>
  <w:footnote w:id="4">
    <w:p w14:paraId="07BF6036" w14:textId="4DE313B4" w:rsidR="001337CA" w:rsidRPr="00F11FA7" w:rsidRDefault="001337CA">
      <w:pPr>
        <w:pStyle w:val="FootnoteText"/>
        <w:rPr>
          <w:sz w:val="18"/>
          <w:szCs w:val="18"/>
          <w:lang w:val="en-US"/>
        </w:rPr>
      </w:pPr>
      <w:r w:rsidRPr="00F11FA7">
        <w:rPr>
          <w:rStyle w:val="FootnoteReference"/>
          <w:sz w:val="18"/>
          <w:szCs w:val="18"/>
        </w:rPr>
        <w:footnoteRef/>
      </w:r>
      <w:r w:rsidRPr="00F11FA7">
        <w:rPr>
          <w:sz w:val="18"/>
          <w:szCs w:val="18"/>
        </w:rPr>
        <w:t xml:space="preserve"> </w:t>
      </w:r>
      <w:r w:rsidRPr="00F11FA7">
        <w:rPr>
          <w:sz w:val="18"/>
          <w:szCs w:val="18"/>
          <w:lang w:val="en-US"/>
        </w:rPr>
        <w:t>Support for PAVE was previously provided by the US Embassy in the early stages of the program but ha</w:t>
      </w:r>
      <w:r>
        <w:rPr>
          <w:sz w:val="18"/>
          <w:szCs w:val="18"/>
          <w:lang w:val="en-US"/>
        </w:rPr>
        <w:t>d</w:t>
      </w:r>
      <w:r w:rsidRPr="00F11FA7">
        <w:rPr>
          <w:sz w:val="18"/>
          <w:szCs w:val="18"/>
          <w:lang w:val="en-US"/>
        </w:rPr>
        <w:t xml:space="preserve"> been discontinued. </w:t>
      </w:r>
    </w:p>
  </w:footnote>
  <w:footnote w:id="5">
    <w:p w14:paraId="144862B3" w14:textId="77777777" w:rsidR="001337CA" w:rsidRPr="00A928D6" w:rsidRDefault="001337CA" w:rsidP="00411842">
      <w:pPr>
        <w:jc w:val="both"/>
        <w:rPr>
          <w:rFonts w:ascii="Cambria" w:hAnsi="Cambria" w:cs="Avenir-Book"/>
          <w:sz w:val="18"/>
          <w:szCs w:val="18"/>
        </w:rPr>
      </w:pPr>
      <w:r w:rsidRPr="00A928D6">
        <w:rPr>
          <w:rStyle w:val="FootnoteReference"/>
          <w:rFonts w:ascii="Cambria" w:hAnsi="Cambria"/>
          <w:sz w:val="18"/>
          <w:szCs w:val="18"/>
        </w:rPr>
        <w:footnoteRef/>
      </w:r>
      <w:r w:rsidRPr="00A928D6">
        <w:rPr>
          <w:rFonts w:ascii="Cambria" w:hAnsi="Cambria"/>
          <w:sz w:val="18"/>
          <w:szCs w:val="18"/>
        </w:rPr>
        <w:t xml:space="preserve"> </w:t>
      </w:r>
      <w:r w:rsidRPr="00A928D6">
        <w:rPr>
          <w:rFonts w:ascii="Cambria" w:hAnsi="Cambria" w:cs="Avenir-Book"/>
          <w:sz w:val="18"/>
          <w:szCs w:val="18"/>
        </w:rPr>
        <w:t xml:space="preserve">.  In late 2019, BTA-Cabinet Bill No. 31 entitled "An Act appropriating funds for the operation of the Bangsamoro Autonomous Region in Muslim Mindanao (BARMM) from January 1 to December 31, 2020, and other purposes" covering a total of PHP65.3-billion was approved by the BTA with 48 “yes” votes, one “no” vote, and five abstentions. </w:t>
      </w:r>
    </w:p>
    <w:p w14:paraId="44A7D48E" w14:textId="02A438EC" w:rsidR="001337CA" w:rsidRPr="00A928D6" w:rsidRDefault="001337CA">
      <w:pPr>
        <w:pStyle w:val="FootnoteText"/>
        <w:rPr>
          <w:lang w:val="en-US"/>
        </w:rPr>
      </w:pPr>
    </w:p>
  </w:footnote>
  <w:footnote w:id="6">
    <w:p w14:paraId="69FEA1FA" w14:textId="0D75F4A5" w:rsidR="001337CA" w:rsidRPr="00D36C79" w:rsidRDefault="001337CA">
      <w:pPr>
        <w:pStyle w:val="FootnoteText"/>
        <w:rPr>
          <w:sz w:val="18"/>
          <w:szCs w:val="18"/>
        </w:rPr>
      </w:pPr>
      <w:r w:rsidRPr="00D36C79">
        <w:rPr>
          <w:rStyle w:val="FootnoteReference"/>
          <w:sz w:val="18"/>
          <w:szCs w:val="18"/>
        </w:rPr>
        <w:footnoteRef/>
      </w:r>
      <w:r>
        <w:rPr>
          <w:sz w:val="18"/>
          <w:szCs w:val="18"/>
        </w:rPr>
        <w:t xml:space="preserve"> Refer to Rood, Steven (2016).  “The Role of International Actors in Search for Peace in Mindanao”. In: Hutchcroft, Paul (ed.) Mindanao:  The Long Journey to Peace and Prosperity.  Manila: Anvil Press.   </w:t>
      </w:r>
    </w:p>
  </w:footnote>
  <w:footnote w:id="7">
    <w:p w14:paraId="167C22F7" w14:textId="77777777" w:rsidR="001337CA" w:rsidRPr="00EC5102" w:rsidRDefault="001337CA" w:rsidP="009C4F04">
      <w:pPr>
        <w:pStyle w:val="FootnoteText"/>
        <w:rPr>
          <w:sz w:val="18"/>
          <w:szCs w:val="18"/>
        </w:rPr>
      </w:pPr>
      <w:r w:rsidRPr="00EC5102">
        <w:rPr>
          <w:rStyle w:val="FootnoteReference"/>
          <w:sz w:val="18"/>
          <w:szCs w:val="18"/>
        </w:rPr>
        <w:footnoteRef/>
      </w:r>
      <w:r>
        <w:rPr>
          <w:sz w:val="18"/>
          <w:szCs w:val="18"/>
        </w:rPr>
        <w:t xml:space="preserve">However, the peace agreement did not include the decommissioning of MNLF combatants. </w:t>
      </w:r>
      <w:r w:rsidRPr="00EC5102">
        <w:rPr>
          <w:sz w:val="18"/>
          <w:szCs w:val="18"/>
        </w:rPr>
        <w:t xml:space="preserve"> </w:t>
      </w:r>
    </w:p>
  </w:footnote>
  <w:footnote w:id="8">
    <w:p w14:paraId="73FC7620" w14:textId="77777777" w:rsidR="001337CA" w:rsidRPr="00A928D6" w:rsidRDefault="001337CA" w:rsidP="00CE7263">
      <w:pPr>
        <w:pStyle w:val="FootnoteText"/>
        <w:rPr>
          <w:rFonts w:ascii="Cambria" w:hAnsi="Cambria"/>
          <w:sz w:val="20"/>
          <w:szCs w:val="20"/>
        </w:rPr>
      </w:pPr>
      <w:r w:rsidRPr="00A928D6">
        <w:rPr>
          <w:rStyle w:val="FootnoteReference"/>
          <w:rFonts w:ascii="Cambria" w:hAnsi="Cambria"/>
          <w:sz w:val="20"/>
          <w:szCs w:val="20"/>
        </w:rPr>
        <w:footnoteRef/>
      </w:r>
      <w:r w:rsidRPr="00A928D6">
        <w:rPr>
          <w:rFonts w:ascii="Cambria" w:hAnsi="Cambria"/>
          <w:sz w:val="20"/>
          <w:szCs w:val="20"/>
        </w:rPr>
        <w:t xml:space="preserve">WB was designated by OPAPP as the Administrator of the Bangsamoro Normalization Trust Fund (BNTF). </w:t>
      </w:r>
    </w:p>
  </w:footnote>
  <w:footnote w:id="9">
    <w:p w14:paraId="01BE969A" w14:textId="7E337060" w:rsidR="001337CA" w:rsidRPr="00A928D6" w:rsidRDefault="001337CA">
      <w:pPr>
        <w:pStyle w:val="FootnoteText"/>
        <w:rPr>
          <w:rFonts w:asciiTheme="minorHAnsi" w:hAnsiTheme="minorHAnsi" w:cs="Calibri"/>
          <w:sz w:val="20"/>
          <w:szCs w:val="20"/>
          <w:lang w:val="en-US"/>
        </w:rPr>
      </w:pPr>
      <w:r w:rsidRPr="00A928D6">
        <w:rPr>
          <w:rStyle w:val="FootnoteReference"/>
          <w:rFonts w:asciiTheme="minorHAnsi" w:hAnsiTheme="minorHAnsi" w:cs="Calibri"/>
          <w:sz w:val="20"/>
          <w:szCs w:val="20"/>
        </w:rPr>
        <w:footnoteRef/>
      </w:r>
      <w:r w:rsidRPr="00A928D6">
        <w:rPr>
          <w:rFonts w:asciiTheme="minorHAnsi" w:hAnsiTheme="minorHAnsi" w:cs="Calibri"/>
          <w:sz w:val="20"/>
          <w:szCs w:val="20"/>
        </w:rPr>
        <w:t xml:space="preserve"> Although there was a request to extend ECQ imposition in Lanao del Sur and Marawi City, this was rejected by the national IATF-EID.</w:t>
      </w:r>
    </w:p>
  </w:footnote>
  <w:footnote w:id="10">
    <w:p w14:paraId="49840468" w14:textId="36A88E13" w:rsidR="001337CA" w:rsidRPr="00A928D6" w:rsidRDefault="001337CA">
      <w:pPr>
        <w:pStyle w:val="FootnoteText"/>
        <w:rPr>
          <w:rFonts w:asciiTheme="minorHAnsi" w:hAnsiTheme="minorHAnsi"/>
          <w:sz w:val="20"/>
          <w:szCs w:val="20"/>
          <w:lang w:val="en-US"/>
        </w:rPr>
      </w:pPr>
      <w:r w:rsidRPr="00A928D6">
        <w:rPr>
          <w:rStyle w:val="FootnoteReference"/>
          <w:rFonts w:asciiTheme="minorHAnsi" w:hAnsiTheme="minorHAnsi"/>
          <w:sz w:val="20"/>
          <w:szCs w:val="20"/>
        </w:rPr>
        <w:footnoteRef/>
      </w:r>
      <w:r w:rsidRPr="00A928D6">
        <w:rPr>
          <w:rFonts w:asciiTheme="minorHAnsi" w:hAnsiTheme="minorHAnsi"/>
          <w:sz w:val="20"/>
          <w:szCs w:val="20"/>
        </w:rPr>
        <w:t xml:space="preserve"> </w:t>
      </w:r>
      <w:r w:rsidRPr="00A928D6">
        <w:rPr>
          <w:rFonts w:asciiTheme="minorHAnsi" w:hAnsiTheme="minorHAnsi"/>
          <w:sz w:val="20"/>
          <w:szCs w:val="20"/>
          <w:lang w:val="en-US"/>
        </w:rPr>
        <w:t>CRMC received just over PHP 14 million from the BARMM government for upgrading of laboratory capacity for COVID-19 testing.</w:t>
      </w:r>
    </w:p>
  </w:footnote>
  <w:footnote w:id="11">
    <w:p w14:paraId="7FE74E66" w14:textId="77777777" w:rsidR="001337CA" w:rsidRPr="00DE4674" w:rsidRDefault="001337CA" w:rsidP="00CE3A9D">
      <w:pPr>
        <w:contextualSpacing/>
        <w:rPr>
          <w:sz w:val="18"/>
          <w:szCs w:val="18"/>
        </w:rPr>
      </w:pPr>
      <w:r w:rsidRPr="00CE3A9D">
        <w:rPr>
          <w:rStyle w:val="FootnoteReference"/>
          <w:sz w:val="18"/>
          <w:szCs w:val="18"/>
        </w:rPr>
        <w:footnoteRef/>
      </w:r>
      <w:r w:rsidRPr="00CE3A9D">
        <w:rPr>
          <w:sz w:val="18"/>
          <w:szCs w:val="18"/>
        </w:rPr>
        <w:t xml:space="preserve"> </w:t>
      </w:r>
      <w:r w:rsidRPr="00DE4674">
        <w:rPr>
          <w:rFonts w:ascii="Calibri" w:hAnsi="Calibri" w:cs="Calibri"/>
          <w:position w:val="8"/>
          <w:sz w:val="18"/>
          <w:szCs w:val="18"/>
        </w:rPr>
        <w:t xml:space="preserve"> </w:t>
      </w:r>
      <w:r w:rsidRPr="00DE4674">
        <w:rPr>
          <w:rFonts w:ascii="Calibri" w:hAnsi="Calibri" w:cs="Calibri"/>
          <w:sz w:val="18"/>
          <w:szCs w:val="18"/>
        </w:rPr>
        <w:t>“</w:t>
      </w:r>
      <w:r w:rsidRPr="00DE4674">
        <w:rPr>
          <w:rFonts w:ascii="Calibri" w:hAnsi="Calibri" w:cs="Calibri"/>
          <w:i/>
          <w:iCs/>
          <w:sz w:val="18"/>
          <w:szCs w:val="18"/>
        </w:rPr>
        <w:t xml:space="preserve">Normalization is the process whereby communities can achieve their desired quality of life, which includes the pursuit of sustainable livelihood and political participation within a deliberative society” </w:t>
      </w:r>
      <w:r w:rsidRPr="00DE4674">
        <w:rPr>
          <w:rFonts w:ascii="Calibri" w:hAnsi="Calibri" w:cs="Calibri"/>
          <w:sz w:val="18"/>
          <w:szCs w:val="18"/>
        </w:rPr>
        <w:t>(Annex on Normalization, 2014)</w:t>
      </w:r>
      <w:r w:rsidRPr="00DE4674">
        <w:rPr>
          <w:rFonts w:ascii="Calibri" w:hAnsi="Calibri" w:cs="Calibri"/>
          <w:i/>
          <w:iCs/>
          <w:sz w:val="18"/>
          <w:szCs w:val="18"/>
        </w:rPr>
        <w:t xml:space="preserve">. </w:t>
      </w:r>
      <w:r w:rsidRPr="00DE4674">
        <w:rPr>
          <w:rFonts w:ascii="Calibri" w:hAnsi="Calibri" w:cs="Calibri"/>
          <w:sz w:val="18"/>
          <w:szCs w:val="18"/>
        </w:rPr>
        <w:t xml:space="preserve">Executive Order No. 79 was issued on 24 April 2019 to implement the Annex on Normalization. </w:t>
      </w:r>
    </w:p>
    <w:p w14:paraId="761C4475" w14:textId="549554E9" w:rsidR="001337CA" w:rsidRDefault="001337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1614C"/>
    <w:multiLevelType w:val="hybridMultilevel"/>
    <w:tmpl w:val="B2E8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25C9D"/>
    <w:multiLevelType w:val="multilevel"/>
    <w:tmpl w:val="6F580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1228FB"/>
    <w:multiLevelType w:val="hybridMultilevel"/>
    <w:tmpl w:val="C1A2D7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5D5E5E"/>
    <w:multiLevelType w:val="multilevel"/>
    <w:tmpl w:val="5CE8A71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15:restartNumberingAfterBreak="0">
    <w:nsid w:val="0A2A2A3E"/>
    <w:multiLevelType w:val="hybridMultilevel"/>
    <w:tmpl w:val="73DE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CB1C14"/>
    <w:multiLevelType w:val="hybridMultilevel"/>
    <w:tmpl w:val="89B8D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686915"/>
    <w:multiLevelType w:val="hybridMultilevel"/>
    <w:tmpl w:val="68309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2D6DBE"/>
    <w:multiLevelType w:val="hybridMultilevel"/>
    <w:tmpl w:val="9EE2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747035"/>
    <w:multiLevelType w:val="hybridMultilevel"/>
    <w:tmpl w:val="C130C09C"/>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0B47F07"/>
    <w:multiLevelType w:val="multilevel"/>
    <w:tmpl w:val="262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475C96"/>
    <w:multiLevelType w:val="hybridMultilevel"/>
    <w:tmpl w:val="44920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0C2A2D"/>
    <w:multiLevelType w:val="multilevel"/>
    <w:tmpl w:val="7F30F1F6"/>
    <w:lvl w:ilvl="0">
      <w:start w:val="1"/>
      <w:numFmt w:val="lowerLetter"/>
      <w:lvlText w:val="%1)"/>
      <w:lvlJc w:val="left"/>
      <w:pPr>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1A5B4DFC"/>
    <w:multiLevelType w:val="hybridMultilevel"/>
    <w:tmpl w:val="68309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A43A47"/>
    <w:multiLevelType w:val="hybridMultilevel"/>
    <w:tmpl w:val="0844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A54BE6"/>
    <w:multiLevelType w:val="hybridMultilevel"/>
    <w:tmpl w:val="05B2BDAC"/>
    <w:lvl w:ilvl="0" w:tplc="BDE4472E">
      <w:numFmt w:val="bullet"/>
      <w:lvlText w:val=""/>
      <w:lvlJc w:val="left"/>
      <w:pPr>
        <w:ind w:left="720" w:hanging="360"/>
      </w:pPr>
      <w:rPr>
        <w:rFonts w:ascii="Symbol" w:eastAsia="Times New Roman"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117F84"/>
    <w:multiLevelType w:val="hybridMultilevel"/>
    <w:tmpl w:val="74DA423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C5B74A6"/>
    <w:multiLevelType w:val="hybridMultilevel"/>
    <w:tmpl w:val="83A25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C95137"/>
    <w:multiLevelType w:val="hybridMultilevel"/>
    <w:tmpl w:val="5E82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F829D6"/>
    <w:multiLevelType w:val="multilevel"/>
    <w:tmpl w:val="6AB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7125E"/>
    <w:multiLevelType w:val="multilevel"/>
    <w:tmpl w:val="BCB2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E7785E"/>
    <w:multiLevelType w:val="multilevel"/>
    <w:tmpl w:val="1248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4A4F1B"/>
    <w:multiLevelType w:val="hybridMultilevel"/>
    <w:tmpl w:val="BFCECC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260266BF"/>
    <w:multiLevelType w:val="multilevel"/>
    <w:tmpl w:val="EE20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2F1EB9"/>
    <w:multiLevelType w:val="multilevel"/>
    <w:tmpl w:val="A080D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7A5427"/>
    <w:multiLevelType w:val="multilevel"/>
    <w:tmpl w:val="6C14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54779D"/>
    <w:multiLevelType w:val="hybridMultilevel"/>
    <w:tmpl w:val="79088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8032EBC"/>
    <w:multiLevelType w:val="hybridMultilevel"/>
    <w:tmpl w:val="2A6E3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284D4620"/>
    <w:multiLevelType w:val="hybridMultilevel"/>
    <w:tmpl w:val="F446D8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B494F89"/>
    <w:multiLevelType w:val="multilevel"/>
    <w:tmpl w:val="19C2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76BAC"/>
    <w:multiLevelType w:val="multilevel"/>
    <w:tmpl w:val="CD6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C11628"/>
    <w:multiLevelType w:val="multilevel"/>
    <w:tmpl w:val="480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AB470B"/>
    <w:multiLevelType w:val="hybridMultilevel"/>
    <w:tmpl w:val="6A50169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2DC633D5"/>
    <w:multiLevelType w:val="multilevel"/>
    <w:tmpl w:val="389065F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15:restartNumberingAfterBreak="0">
    <w:nsid w:val="2EAD6BE9"/>
    <w:multiLevelType w:val="hybridMultilevel"/>
    <w:tmpl w:val="E4F0622C"/>
    <w:lvl w:ilvl="0" w:tplc="1D5224F2">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0101306"/>
    <w:multiLevelType w:val="hybridMultilevel"/>
    <w:tmpl w:val="39D06B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8ACF5D6">
      <w:start w:val="5"/>
      <w:numFmt w:val="upperRoman"/>
      <w:lvlText w:val="(%3)"/>
      <w:lvlJc w:val="left"/>
      <w:pPr>
        <w:ind w:left="2700" w:hanging="720"/>
      </w:pPr>
      <w:rPr>
        <w:rFonts w:eastAsiaTheme="majorEastAsia" w:cstheme="majorBidi" w:hint="default"/>
        <w:i w:val="0"/>
        <w:color w:val="365F91" w:themeColor="accent1" w:themeShade="BF"/>
      </w:rPr>
    </w:lvl>
    <w:lvl w:ilvl="3" w:tplc="EDAEF082">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1524D33"/>
    <w:multiLevelType w:val="hybridMultilevel"/>
    <w:tmpl w:val="5C30F34A"/>
    <w:lvl w:ilvl="0" w:tplc="754A1C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1542E3E"/>
    <w:multiLevelType w:val="multilevel"/>
    <w:tmpl w:val="60F868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E14117"/>
    <w:multiLevelType w:val="multilevel"/>
    <w:tmpl w:val="A080DC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5B1029"/>
    <w:multiLevelType w:val="multilevel"/>
    <w:tmpl w:val="4E78B2A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A00B43"/>
    <w:multiLevelType w:val="multilevel"/>
    <w:tmpl w:val="6FE6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7C077A"/>
    <w:multiLevelType w:val="multilevel"/>
    <w:tmpl w:val="E6D8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4867DA"/>
    <w:multiLevelType w:val="hybridMultilevel"/>
    <w:tmpl w:val="72988FB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88E56C3"/>
    <w:multiLevelType w:val="multilevel"/>
    <w:tmpl w:val="5F78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AD7338"/>
    <w:multiLevelType w:val="hybridMultilevel"/>
    <w:tmpl w:val="06FC2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D219D0"/>
    <w:multiLevelType w:val="multilevel"/>
    <w:tmpl w:val="FF44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75088E"/>
    <w:multiLevelType w:val="multilevel"/>
    <w:tmpl w:val="A35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972155"/>
    <w:multiLevelType w:val="hybridMultilevel"/>
    <w:tmpl w:val="87D0B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9AF3223"/>
    <w:multiLevelType w:val="hybridMultilevel"/>
    <w:tmpl w:val="EBACB89E"/>
    <w:lvl w:ilvl="0" w:tplc="A20E77AE">
      <w:start w:val="1"/>
      <w:numFmt w:val="decimal"/>
      <w:lvlText w:val="%1."/>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ACB459D"/>
    <w:multiLevelType w:val="hybridMultilevel"/>
    <w:tmpl w:val="9A4A98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ADC3702"/>
    <w:multiLevelType w:val="hybridMultilevel"/>
    <w:tmpl w:val="A808D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ADD7FBC"/>
    <w:multiLevelType w:val="multilevel"/>
    <w:tmpl w:val="38EE671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B032873"/>
    <w:multiLevelType w:val="hybridMultilevel"/>
    <w:tmpl w:val="1004C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8922B2"/>
    <w:multiLevelType w:val="hybridMultilevel"/>
    <w:tmpl w:val="741023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6" w15:restartNumberingAfterBreak="0">
    <w:nsid w:val="3E5578F8"/>
    <w:multiLevelType w:val="multilevel"/>
    <w:tmpl w:val="1D2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D81855"/>
    <w:multiLevelType w:val="multilevel"/>
    <w:tmpl w:val="7B14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F513639"/>
    <w:multiLevelType w:val="hybridMultilevel"/>
    <w:tmpl w:val="33FE26B8"/>
    <w:lvl w:ilvl="0" w:tplc="7C3211E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DF19D3"/>
    <w:multiLevelType w:val="multilevel"/>
    <w:tmpl w:val="C5E0C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FF6069"/>
    <w:multiLevelType w:val="hybridMultilevel"/>
    <w:tmpl w:val="EE2CA336"/>
    <w:lvl w:ilvl="0" w:tplc="9E940736">
      <w:start w:val="1"/>
      <w:numFmt w:val="lowerLetter"/>
      <w:lvlText w:val="%1)"/>
      <w:lvlJc w:val="left"/>
      <w:pPr>
        <w:ind w:left="1070" w:hanging="360"/>
      </w:pPr>
      <w:rPr>
        <w:rFonts w:hint="default"/>
      </w:rPr>
    </w:lvl>
    <w:lvl w:ilvl="1" w:tplc="34090019">
      <w:start w:val="1"/>
      <w:numFmt w:val="lowerLetter"/>
      <w:lvlText w:val="%2."/>
      <w:lvlJc w:val="left"/>
      <w:pPr>
        <w:ind w:left="1790" w:hanging="360"/>
      </w:pPr>
    </w:lvl>
    <w:lvl w:ilvl="2" w:tplc="3409001B" w:tentative="1">
      <w:start w:val="1"/>
      <w:numFmt w:val="lowerRoman"/>
      <w:lvlText w:val="%3."/>
      <w:lvlJc w:val="right"/>
      <w:pPr>
        <w:ind w:left="2510" w:hanging="180"/>
      </w:pPr>
    </w:lvl>
    <w:lvl w:ilvl="3" w:tplc="3409000F" w:tentative="1">
      <w:start w:val="1"/>
      <w:numFmt w:val="decimal"/>
      <w:lvlText w:val="%4."/>
      <w:lvlJc w:val="left"/>
      <w:pPr>
        <w:ind w:left="3230" w:hanging="360"/>
      </w:pPr>
    </w:lvl>
    <w:lvl w:ilvl="4" w:tplc="34090019" w:tentative="1">
      <w:start w:val="1"/>
      <w:numFmt w:val="lowerLetter"/>
      <w:lvlText w:val="%5."/>
      <w:lvlJc w:val="left"/>
      <w:pPr>
        <w:ind w:left="3950" w:hanging="360"/>
      </w:pPr>
    </w:lvl>
    <w:lvl w:ilvl="5" w:tplc="3409001B" w:tentative="1">
      <w:start w:val="1"/>
      <w:numFmt w:val="lowerRoman"/>
      <w:lvlText w:val="%6."/>
      <w:lvlJc w:val="right"/>
      <w:pPr>
        <w:ind w:left="4670" w:hanging="180"/>
      </w:pPr>
    </w:lvl>
    <w:lvl w:ilvl="6" w:tplc="3409000F" w:tentative="1">
      <w:start w:val="1"/>
      <w:numFmt w:val="decimal"/>
      <w:lvlText w:val="%7."/>
      <w:lvlJc w:val="left"/>
      <w:pPr>
        <w:ind w:left="5390" w:hanging="360"/>
      </w:pPr>
    </w:lvl>
    <w:lvl w:ilvl="7" w:tplc="34090019" w:tentative="1">
      <w:start w:val="1"/>
      <w:numFmt w:val="lowerLetter"/>
      <w:lvlText w:val="%8."/>
      <w:lvlJc w:val="left"/>
      <w:pPr>
        <w:ind w:left="6110" w:hanging="360"/>
      </w:pPr>
    </w:lvl>
    <w:lvl w:ilvl="8" w:tplc="3409001B" w:tentative="1">
      <w:start w:val="1"/>
      <w:numFmt w:val="lowerRoman"/>
      <w:lvlText w:val="%9."/>
      <w:lvlJc w:val="right"/>
      <w:pPr>
        <w:ind w:left="6830" w:hanging="180"/>
      </w:pPr>
    </w:lvl>
  </w:abstractNum>
  <w:abstractNum w:abstractNumId="61" w15:restartNumberingAfterBreak="0">
    <w:nsid w:val="409A15E7"/>
    <w:multiLevelType w:val="hybridMultilevel"/>
    <w:tmpl w:val="F5B0EB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40C57AF6"/>
    <w:multiLevelType w:val="hybridMultilevel"/>
    <w:tmpl w:val="1B2A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B910E4"/>
    <w:multiLevelType w:val="hybridMultilevel"/>
    <w:tmpl w:val="CAA6FB1C"/>
    <w:lvl w:ilvl="0" w:tplc="17789A6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087578"/>
    <w:multiLevelType w:val="hybridMultilevel"/>
    <w:tmpl w:val="DF5A15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801060D"/>
    <w:multiLevelType w:val="multilevel"/>
    <w:tmpl w:val="B25E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8A58BC"/>
    <w:multiLevelType w:val="multilevel"/>
    <w:tmpl w:val="B45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DE6FD7"/>
    <w:multiLevelType w:val="hybridMultilevel"/>
    <w:tmpl w:val="EBACB89E"/>
    <w:lvl w:ilvl="0" w:tplc="A20E77AE">
      <w:start w:val="1"/>
      <w:numFmt w:val="decimal"/>
      <w:lvlText w:val="%1."/>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B733F6A"/>
    <w:multiLevelType w:val="multilevel"/>
    <w:tmpl w:val="4E78B2A8"/>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EA7F75"/>
    <w:multiLevelType w:val="multilevel"/>
    <w:tmpl w:val="0942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993AE5"/>
    <w:multiLevelType w:val="hybridMultilevel"/>
    <w:tmpl w:val="F970E3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060AF6"/>
    <w:multiLevelType w:val="hybridMultilevel"/>
    <w:tmpl w:val="6CF8E31A"/>
    <w:lvl w:ilvl="0" w:tplc="154ECD76">
      <w:start w:val="1"/>
      <w:numFmt w:val="decimal"/>
      <w:lvlText w:val="%1."/>
      <w:lvlJc w:val="left"/>
      <w:pPr>
        <w:ind w:left="360" w:hanging="360"/>
      </w:pPr>
      <w:rPr>
        <w:rFonts w:asciiTheme="minorHAnsi" w:hAnsiTheme="minorHAnsi"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1322480"/>
    <w:multiLevelType w:val="hybridMultilevel"/>
    <w:tmpl w:val="EA4CE652"/>
    <w:lvl w:ilvl="0" w:tplc="E4EAA3F8">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A008F9"/>
    <w:multiLevelType w:val="multilevel"/>
    <w:tmpl w:val="B31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7D21B4"/>
    <w:multiLevelType w:val="hybridMultilevel"/>
    <w:tmpl w:val="BD3E64D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96E107C"/>
    <w:multiLevelType w:val="hybridMultilevel"/>
    <w:tmpl w:val="CF46305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5A8C69A3"/>
    <w:multiLevelType w:val="multilevel"/>
    <w:tmpl w:val="E082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24138F"/>
    <w:multiLevelType w:val="hybridMultilevel"/>
    <w:tmpl w:val="F33E559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19A0CC9"/>
    <w:multiLevelType w:val="multilevel"/>
    <w:tmpl w:val="3DB49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62744E"/>
    <w:multiLevelType w:val="multilevel"/>
    <w:tmpl w:val="523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C66FE9"/>
    <w:multiLevelType w:val="hybridMultilevel"/>
    <w:tmpl w:val="C076111A"/>
    <w:lvl w:ilvl="0" w:tplc="BDE4472E">
      <w:numFmt w:val="bullet"/>
      <w:lvlText w:val=""/>
      <w:lvlJc w:val="left"/>
      <w:pPr>
        <w:ind w:left="720" w:hanging="360"/>
      </w:pPr>
      <w:rPr>
        <w:rFonts w:ascii="Symbol" w:eastAsia="Times New Roman"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05783A"/>
    <w:multiLevelType w:val="hybridMultilevel"/>
    <w:tmpl w:val="38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71E344F"/>
    <w:multiLevelType w:val="hybridMultilevel"/>
    <w:tmpl w:val="339404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8461D44"/>
    <w:multiLevelType w:val="hybridMultilevel"/>
    <w:tmpl w:val="3D58BB46"/>
    <w:lvl w:ilvl="0" w:tplc="FFFFFFFF">
      <w:start w:val="1"/>
      <w:numFmt w:val="decimal"/>
      <w:lvlText w:val="%1."/>
      <w:lvlJc w:val="left"/>
      <w:pPr>
        <w:ind w:left="360" w:hanging="360"/>
      </w:pPr>
      <w:rPr>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4" w15:restartNumberingAfterBreak="0">
    <w:nsid w:val="69250C08"/>
    <w:multiLevelType w:val="multilevel"/>
    <w:tmpl w:val="78B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1C483F"/>
    <w:multiLevelType w:val="hybridMultilevel"/>
    <w:tmpl w:val="86CA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C4022A3"/>
    <w:multiLevelType w:val="hybridMultilevel"/>
    <w:tmpl w:val="144C22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7" w15:restartNumberingAfterBreak="0">
    <w:nsid w:val="6DE94DAA"/>
    <w:multiLevelType w:val="hybridMultilevel"/>
    <w:tmpl w:val="38E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0327AB"/>
    <w:multiLevelType w:val="hybridMultilevel"/>
    <w:tmpl w:val="2C205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F4D1C62"/>
    <w:multiLevelType w:val="hybridMultilevel"/>
    <w:tmpl w:val="7CE83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0484A36"/>
    <w:multiLevelType w:val="multilevel"/>
    <w:tmpl w:val="775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05003D9"/>
    <w:multiLevelType w:val="hybridMultilevel"/>
    <w:tmpl w:val="883253C4"/>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71DB32BD"/>
    <w:multiLevelType w:val="multilevel"/>
    <w:tmpl w:val="97D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C94D30"/>
    <w:multiLevelType w:val="multilevel"/>
    <w:tmpl w:val="027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220165"/>
    <w:multiLevelType w:val="hybridMultilevel"/>
    <w:tmpl w:val="EBACB89E"/>
    <w:lvl w:ilvl="0" w:tplc="A20E77AE">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E4B02"/>
    <w:multiLevelType w:val="multilevel"/>
    <w:tmpl w:val="8FDA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A8213F"/>
    <w:multiLevelType w:val="hybridMultilevel"/>
    <w:tmpl w:val="4A06376C"/>
    <w:lvl w:ilvl="0" w:tplc="0330A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9B970E6"/>
    <w:multiLevelType w:val="hybridMultilevel"/>
    <w:tmpl w:val="FF0401D4"/>
    <w:lvl w:ilvl="0" w:tplc="BDE4472E">
      <w:numFmt w:val="bullet"/>
      <w:lvlText w:val=""/>
      <w:lvlJc w:val="left"/>
      <w:pPr>
        <w:ind w:left="720" w:hanging="360"/>
      </w:pPr>
      <w:rPr>
        <w:rFonts w:ascii="Symbol" w:eastAsia="Times New Roman"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E5716FA"/>
    <w:multiLevelType w:val="hybridMultilevel"/>
    <w:tmpl w:val="07767550"/>
    <w:lvl w:ilvl="0" w:tplc="C9682894">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F110967"/>
    <w:multiLevelType w:val="multilevel"/>
    <w:tmpl w:val="60F868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FBF1FCE"/>
    <w:multiLevelType w:val="hybridMultilevel"/>
    <w:tmpl w:val="308E2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FEF500E"/>
    <w:multiLevelType w:val="multilevel"/>
    <w:tmpl w:val="B956C55E"/>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3"/>
  </w:num>
  <w:num w:numId="2">
    <w:abstractNumId w:val="96"/>
  </w:num>
  <w:num w:numId="3">
    <w:abstractNumId w:val="62"/>
  </w:num>
  <w:num w:numId="4">
    <w:abstractNumId w:val="0"/>
  </w:num>
  <w:num w:numId="5">
    <w:abstractNumId w:val="35"/>
  </w:num>
  <w:num w:numId="6">
    <w:abstractNumId w:val="6"/>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16"/>
  </w:num>
  <w:num w:numId="10">
    <w:abstractNumId w:val="64"/>
  </w:num>
  <w:num w:numId="11">
    <w:abstractNumId w:val="61"/>
  </w:num>
  <w:num w:numId="12">
    <w:abstractNumId w:val="82"/>
  </w:num>
  <w:num w:numId="13">
    <w:abstractNumId w:val="54"/>
  </w:num>
  <w:num w:numId="14">
    <w:abstractNumId w:val="5"/>
  </w:num>
  <w:num w:numId="15">
    <w:abstractNumId w:val="74"/>
  </w:num>
  <w:num w:numId="16">
    <w:abstractNumId w:val="13"/>
  </w:num>
  <w:num w:numId="17">
    <w:abstractNumId w:val="81"/>
  </w:num>
  <w:num w:numId="18">
    <w:abstractNumId w:val="10"/>
  </w:num>
  <w:num w:numId="19">
    <w:abstractNumId w:val="98"/>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55"/>
  </w:num>
  <w:num w:numId="23">
    <w:abstractNumId w:val="7"/>
  </w:num>
  <w:num w:numId="24">
    <w:abstractNumId w:val="19"/>
  </w:num>
  <w:num w:numId="25">
    <w:abstractNumId w:val="100"/>
  </w:num>
  <w:num w:numId="26">
    <w:abstractNumId w:val="28"/>
  </w:num>
  <w:num w:numId="27">
    <w:abstractNumId w:val="15"/>
  </w:num>
  <w:num w:numId="28">
    <w:abstractNumId w:val="8"/>
  </w:num>
  <w:num w:numId="29">
    <w:abstractNumId w:val="49"/>
  </w:num>
  <w:num w:numId="30">
    <w:abstractNumId w:val="9"/>
  </w:num>
  <w:num w:numId="31">
    <w:abstractNumId w:val="89"/>
  </w:num>
  <w:num w:numId="32">
    <w:abstractNumId w:val="86"/>
  </w:num>
  <w:num w:numId="33">
    <w:abstractNumId w:val="60"/>
  </w:num>
  <w:num w:numId="34">
    <w:abstractNumId w:val="72"/>
  </w:num>
  <w:num w:numId="35">
    <w:abstractNumId w:val="3"/>
  </w:num>
  <w:num w:numId="36">
    <w:abstractNumId w:val="97"/>
  </w:num>
  <w:num w:numId="37">
    <w:abstractNumId w:val="32"/>
  </w:num>
  <w:num w:numId="38">
    <w:abstractNumId w:val="25"/>
  </w:num>
  <w:num w:numId="39">
    <w:abstractNumId w:val="22"/>
  </w:num>
  <w:num w:numId="40">
    <w:abstractNumId w:val="69"/>
  </w:num>
  <w:num w:numId="41">
    <w:abstractNumId w:val="31"/>
  </w:num>
  <w:num w:numId="42">
    <w:abstractNumId w:val="79"/>
  </w:num>
  <w:num w:numId="43">
    <w:abstractNumId w:val="93"/>
  </w:num>
  <w:num w:numId="44">
    <w:abstractNumId w:val="48"/>
  </w:num>
  <w:num w:numId="45">
    <w:abstractNumId w:val="73"/>
  </w:num>
  <w:num w:numId="46">
    <w:abstractNumId w:val="33"/>
  </w:num>
  <w:num w:numId="47">
    <w:abstractNumId w:val="92"/>
  </w:num>
  <w:num w:numId="48">
    <w:abstractNumId w:val="17"/>
  </w:num>
  <w:num w:numId="49">
    <w:abstractNumId w:val="80"/>
  </w:num>
  <w:num w:numId="50">
    <w:abstractNumId w:val="87"/>
  </w:num>
  <w:num w:numId="51">
    <w:abstractNumId w:val="56"/>
  </w:num>
  <w:num w:numId="52">
    <w:abstractNumId w:val="65"/>
  </w:num>
  <w:num w:numId="53">
    <w:abstractNumId w:val="59"/>
  </w:num>
  <w:num w:numId="54">
    <w:abstractNumId w:val="27"/>
  </w:num>
  <w:num w:numId="55">
    <w:abstractNumId w:val="30"/>
  </w:num>
  <w:num w:numId="56">
    <w:abstractNumId w:val="53"/>
  </w:num>
  <w:num w:numId="57">
    <w:abstractNumId w:val="41"/>
  </w:num>
  <w:num w:numId="58">
    <w:abstractNumId w:val="47"/>
  </w:num>
  <w:num w:numId="59">
    <w:abstractNumId w:val="43"/>
  </w:num>
  <w:num w:numId="60">
    <w:abstractNumId w:val="76"/>
  </w:num>
  <w:num w:numId="61">
    <w:abstractNumId w:val="68"/>
  </w:num>
  <w:num w:numId="62">
    <w:abstractNumId w:val="90"/>
  </w:num>
  <w:num w:numId="63">
    <w:abstractNumId w:val="39"/>
  </w:num>
  <w:num w:numId="64">
    <w:abstractNumId w:val="42"/>
  </w:num>
  <w:num w:numId="65">
    <w:abstractNumId w:val="78"/>
  </w:num>
  <w:num w:numId="66">
    <w:abstractNumId w:val="4"/>
  </w:num>
  <w:num w:numId="67">
    <w:abstractNumId w:val="40"/>
  </w:num>
  <w:num w:numId="68">
    <w:abstractNumId w:val="45"/>
  </w:num>
  <w:num w:numId="69">
    <w:abstractNumId w:val="99"/>
  </w:num>
  <w:num w:numId="70">
    <w:abstractNumId w:val="77"/>
  </w:num>
  <w:num w:numId="71">
    <w:abstractNumId w:val="11"/>
  </w:num>
  <w:num w:numId="72">
    <w:abstractNumId w:val="91"/>
  </w:num>
  <w:num w:numId="73">
    <w:abstractNumId w:val="14"/>
  </w:num>
  <w:num w:numId="74">
    <w:abstractNumId w:val="101"/>
  </w:num>
  <w:num w:numId="75">
    <w:abstractNumId w:val="18"/>
  </w:num>
  <w:num w:numId="76">
    <w:abstractNumId w:val="58"/>
  </w:num>
  <w:num w:numId="77">
    <w:abstractNumId w:val="71"/>
  </w:num>
  <w:num w:numId="78">
    <w:abstractNumId w:val="20"/>
  </w:num>
  <w:num w:numId="79">
    <w:abstractNumId w:val="38"/>
  </w:num>
  <w:num w:numId="80">
    <w:abstractNumId w:val="70"/>
  </w:num>
  <w:num w:numId="81">
    <w:abstractNumId w:val="94"/>
  </w:num>
  <w:num w:numId="82">
    <w:abstractNumId w:val="12"/>
  </w:num>
  <w:num w:numId="83">
    <w:abstractNumId w:val="44"/>
  </w:num>
  <w:num w:numId="84">
    <w:abstractNumId w:val="95"/>
  </w:num>
  <w:num w:numId="85">
    <w:abstractNumId w:val="21"/>
  </w:num>
  <w:num w:numId="86">
    <w:abstractNumId w:val="84"/>
  </w:num>
  <w:num w:numId="87">
    <w:abstractNumId w:val="57"/>
  </w:num>
  <w:num w:numId="88">
    <w:abstractNumId w:val="26"/>
  </w:num>
  <w:num w:numId="89">
    <w:abstractNumId w:val="66"/>
  </w:num>
  <w:num w:numId="90">
    <w:abstractNumId w:val="67"/>
  </w:num>
  <w:num w:numId="91">
    <w:abstractNumId w:val="23"/>
  </w:num>
  <w:num w:numId="92">
    <w:abstractNumId w:val="50"/>
  </w:num>
  <w:num w:numId="93">
    <w:abstractNumId w:val="37"/>
  </w:num>
  <w:num w:numId="94">
    <w:abstractNumId w:val="85"/>
  </w:num>
  <w:num w:numId="95">
    <w:abstractNumId w:val="46"/>
  </w:num>
  <w:num w:numId="96">
    <w:abstractNumId w:val="88"/>
  </w:num>
  <w:num w:numId="97">
    <w:abstractNumId w:val="36"/>
  </w:num>
  <w:num w:numId="98">
    <w:abstractNumId w:val="1"/>
  </w:num>
  <w:num w:numId="99">
    <w:abstractNumId w:val="2"/>
  </w:num>
  <w:num w:numId="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3"/>
  </w:num>
  <w:num w:numId="102">
    <w:abstractNumId w:val="24"/>
  </w:num>
  <w:num w:numId="103">
    <w:abstractNumId w:val="7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51"/>
    <w:rsid w:val="00000DEE"/>
    <w:rsid w:val="000027FC"/>
    <w:rsid w:val="00010525"/>
    <w:rsid w:val="0001058B"/>
    <w:rsid w:val="000128E8"/>
    <w:rsid w:val="0001587B"/>
    <w:rsid w:val="000162BB"/>
    <w:rsid w:val="00016CD5"/>
    <w:rsid w:val="00017FEC"/>
    <w:rsid w:val="00020080"/>
    <w:rsid w:val="00021489"/>
    <w:rsid w:val="0002234D"/>
    <w:rsid w:val="00023133"/>
    <w:rsid w:val="000249AB"/>
    <w:rsid w:val="00024EC3"/>
    <w:rsid w:val="00024F19"/>
    <w:rsid w:val="00024FED"/>
    <w:rsid w:val="00026C62"/>
    <w:rsid w:val="0003045B"/>
    <w:rsid w:val="00030F92"/>
    <w:rsid w:val="00031B26"/>
    <w:rsid w:val="000327DA"/>
    <w:rsid w:val="00034367"/>
    <w:rsid w:val="00040569"/>
    <w:rsid w:val="00044F69"/>
    <w:rsid w:val="00047413"/>
    <w:rsid w:val="00047BA2"/>
    <w:rsid w:val="00047D40"/>
    <w:rsid w:val="00050D0F"/>
    <w:rsid w:val="00050FF7"/>
    <w:rsid w:val="00052E40"/>
    <w:rsid w:val="000548E6"/>
    <w:rsid w:val="000553BA"/>
    <w:rsid w:val="000609F1"/>
    <w:rsid w:val="00061123"/>
    <w:rsid w:val="00062620"/>
    <w:rsid w:val="00063327"/>
    <w:rsid w:val="00064DF7"/>
    <w:rsid w:val="00066E88"/>
    <w:rsid w:val="00073DD7"/>
    <w:rsid w:val="000751F6"/>
    <w:rsid w:val="000803B2"/>
    <w:rsid w:val="000824CB"/>
    <w:rsid w:val="00082555"/>
    <w:rsid w:val="00083B7E"/>
    <w:rsid w:val="00084876"/>
    <w:rsid w:val="00085D29"/>
    <w:rsid w:val="00095F8A"/>
    <w:rsid w:val="000962AD"/>
    <w:rsid w:val="000A0754"/>
    <w:rsid w:val="000A205D"/>
    <w:rsid w:val="000A2B8A"/>
    <w:rsid w:val="000A3DC0"/>
    <w:rsid w:val="000A5236"/>
    <w:rsid w:val="000A6B5E"/>
    <w:rsid w:val="000B3D05"/>
    <w:rsid w:val="000B7790"/>
    <w:rsid w:val="000C1A80"/>
    <w:rsid w:val="000C210A"/>
    <w:rsid w:val="000C43D0"/>
    <w:rsid w:val="000C45C6"/>
    <w:rsid w:val="000C50FB"/>
    <w:rsid w:val="000D1A88"/>
    <w:rsid w:val="000D3EB0"/>
    <w:rsid w:val="000D4E48"/>
    <w:rsid w:val="000D5CE5"/>
    <w:rsid w:val="000D73C7"/>
    <w:rsid w:val="000E13F8"/>
    <w:rsid w:val="000E3D17"/>
    <w:rsid w:val="000E5DED"/>
    <w:rsid w:val="000E6BD3"/>
    <w:rsid w:val="000F0F32"/>
    <w:rsid w:val="000F43D2"/>
    <w:rsid w:val="000F4C0F"/>
    <w:rsid w:val="000F4CD9"/>
    <w:rsid w:val="000F5409"/>
    <w:rsid w:val="000F64F3"/>
    <w:rsid w:val="001050E6"/>
    <w:rsid w:val="00106314"/>
    <w:rsid w:val="001071CA"/>
    <w:rsid w:val="0011022D"/>
    <w:rsid w:val="0011232A"/>
    <w:rsid w:val="001168EE"/>
    <w:rsid w:val="0011702A"/>
    <w:rsid w:val="00117291"/>
    <w:rsid w:val="001225BA"/>
    <w:rsid w:val="00124052"/>
    <w:rsid w:val="00127C76"/>
    <w:rsid w:val="0013079C"/>
    <w:rsid w:val="00131570"/>
    <w:rsid w:val="001324EB"/>
    <w:rsid w:val="001337CA"/>
    <w:rsid w:val="0013479A"/>
    <w:rsid w:val="00137BCF"/>
    <w:rsid w:val="00141641"/>
    <w:rsid w:val="00142311"/>
    <w:rsid w:val="001433FB"/>
    <w:rsid w:val="00143FCF"/>
    <w:rsid w:val="00144801"/>
    <w:rsid w:val="00147647"/>
    <w:rsid w:val="001567B6"/>
    <w:rsid w:val="00156A28"/>
    <w:rsid w:val="00157C72"/>
    <w:rsid w:val="00157D8F"/>
    <w:rsid w:val="00160248"/>
    <w:rsid w:val="00161BF0"/>
    <w:rsid w:val="00162321"/>
    <w:rsid w:val="00165520"/>
    <w:rsid w:val="001665F7"/>
    <w:rsid w:val="00167C51"/>
    <w:rsid w:val="00171E63"/>
    <w:rsid w:val="00172572"/>
    <w:rsid w:val="001726F9"/>
    <w:rsid w:val="00173306"/>
    <w:rsid w:val="00177BD8"/>
    <w:rsid w:val="0018295F"/>
    <w:rsid w:val="00182D7A"/>
    <w:rsid w:val="00183F51"/>
    <w:rsid w:val="00190371"/>
    <w:rsid w:val="00191EA1"/>
    <w:rsid w:val="00192BAA"/>
    <w:rsid w:val="00193062"/>
    <w:rsid w:val="00193830"/>
    <w:rsid w:val="001968EC"/>
    <w:rsid w:val="00196B8D"/>
    <w:rsid w:val="00196C85"/>
    <w:rsid w:val="001A07AC"/>
    <w:rsid w:val="001A0F6B"/>
    <w:rsid w:val="001A14A4"/>
    <w:rsid w:val="001A1B13"/>
    <w:rsid w:val="001A574B"/>
    <w:rsid w:val="001A5C2E"/>
    <w:rsid w:val="001A6E1D"/>
    <w:rsid w:val="001B4273"/>
    <w:rsid w:val="001B7406"/>
    <w:rsid w:val="001B78A4"/>
    <w:rsid w:val="001C4F83"/>
    <w:rsid w:val="001C74B8"/>
    <w:rsid w:val="001C750E"/>
    <w:rsid w:val="001C7B82"/>
    <w:rsid w:val="001D1EB2"/>
    <w:rsid w:val="001D230B"/>
    <w:rsid w:val="001D3768"/>
    <w:rsid w:val="001D37D1"/>
    <w:rsid w:val="001D50A7"/>
    <w:rsid w:val="001D68BD"/>
    <w:rsid w:val="001D6F24"/>
    <w:rsid w:val="001E046D"/>
    <w:rsid w:val="001E0B75"/>
    <w:rsid w:val="001E182F"/>
    <w:rsid w:val="001E405C"/>
    <w:rsid w:val="001F03B7"/>
    <w:rsid w:val="001F45DA"/>
    <w:rsid w:val="001F4AB8"/>
    <w:rsid w:val="001F57F5"/>
    <w:rsid w:val="001F5F77"/>
    <w:rsid w:val="001F6828"/>
    <w:rsid w:val="001F6E09"/>
    <w:rsid w:val="001F6E71"/>
    <w:rsid w:val="001F71E9"/>
    <w:rsid w:val="00202605"/>
    <w:rsid w:val="00202AA9"/>
    <w:rsid w:val="00203848"/>
    <w:rsid w:val="002051FA"/>
    <w:rsid w:val="00206437"/>
    <w:rsid w:val="00213371"/>
    <w:rsid w:val="00213528"/>
    <w:rsid w:val="002175AA"/>
    <w:rsid w:val="002200AB"/>
    <w:rsid w:val="00221646"/>
    <w:rsid w:val="00222E44"/>
    <w:rsid w:val="00231F5B"/>
    <w:rsid w:val="00235117"/>
    <w:rsid w:val="00236520"/>
    <w:rsid w:val="002375F7"/>
    <w:rsid w:val="002376D9"/>
    <w:rsid w:val="00237865"/>
    <w:rsid w:val="00240937"/>
    <w:rsid w:val="00241C57"/>
    <w:rsid w:val="00241FF8"/>
    <w:rsid w:val="002444F8"/>
    <w:rsid w:val="002505DA"/>
    <w:rsid w:val="0025086F"/>
    <w:rsid w:val="00251857"/>
    <w:rsid w:val="00254997"/>
    <w:rsid w:val="00254DA3"/>
    <w:rsid w:val="002565C4"/>
    <w:rsid w:val="00264F0D"/>
    <w:rsid w:val="00264FAE"/>
    <w:rsid w:val="00265DD8"/>
    <w:rsid w:val="002664DF"/>
    <w:rsid w:val="00267068"/>
    <w:rsid w:val="002679BE"/>
    <w:rsid w:val="00267D8E"/>
    <w:rsid w:val="002703E7"/>
    <w:rsid w:val="00270ECC"/>
    <w:rsid w:val="00272A93"/>
    <w:rsid w:val="00280782"/>
    <w:rsid w:val="002829D2"/>
    <w:rsid w:val="00282BCD"/>
    <w:rsid w:val="00283B40"/>
    <w:rsid w:val="00285837"/>
    <w:rsid w:val="00286CAF"/>
    <w:rsid w:val="00290B58"/>
    <w:rsid w:val="002938C4"/>
    <w:rsid w:val="0029439C"/>
    <w:rsid w:val="00294A4D"/>
    <w:rsid w:val="00294C7D"/>
    <w:rsid w:val="00295FF1"/>
    <w:rsid w:val="002967BC"/>
    <w:rsid w:val="002A039B"/>
    <w:rsid w:val="002A26DF"/>
    <w:rsid w:val="002A375E"/>
    <w:rsid w:val="002A3B20"/>
    <w:rsid w:val="002A3E25"/>
    <w:rsid w:val="002A42E7"/>
    <w:rsid w:val="002A46E3"/>
    <w:rsid w:val="002A4EAA"/>
    <w:rsid w:val="002A6261"/>
    <w:rsid w:val="002A74D9"/>
    <w:rsid w:val="002B2CB2"/>
    <w:rsid w:val="002B2E5C"/>
    <w:rsid w:val="002B46FD"/>
    <w:rsid w:val="002B6966"/>
    <w:rsid w:val="002B6EBD"/>
    <w:rsid w:val="002B7F20"/>
    <w:rsid w:val="002B7FAF"/>
    <w:rsid w:val="002C032D"/>
    <w:rsid w:val="002C2AF5"/>
    <w:rsid w:val="002C50C0"/>
    <w:rsid w:val="002C5297"/>
    <w:rsid w:val="002C698A"/>
    <w:rsid w:val="002C6DAF"/>
    <w:rsid w:val="002D0A31"/>
    <w:rsid w:val="002D33AB"/>
    <w:rsid w:val="002D43E9"/>
    <w:rsid w:val="002D44A5"/>
    <w:rsid w:val="002D5516"/>
    <w:rsid w:val="002D709E"/>
    <w:rsid w:val="002E37F5"/>
    <w:rsid w:val="002E5EB9"/>
    <w:rsid w:val="002E6DF0"/>
    <w:rsid w:val="002F173D"/>
    <w:rsid w:val="002F1EA1"/>
    <w:rsid w:val="002F2FD3"/>
    <w:rsid w:val="002F7F3E"/>
    <w:rsid w:val="00300E20"/>
    <w:rsid w:val="00305046"/>
    <w:rsid w:val="00305B86"/>
    <w:rsid w:val="003068C7"/>
    <w:rsid w:val="00324144"/>
    <w:rsid w:val="0032755F"/>
    <w:rsid w:val="0033076D"/>
    <w:rsid w:val="003324AF"/>
    <w:rsid w:val="00332AD4"/>
    <w:rsid w:val="003401D2"/>
    <w:rsid w:val="00341844"/>
    <w:rsid w:val="0034263B"/>
    <w:rsid w:val="0034383C"/>
    <w:rsid w:val="00343EC3"/>
    <w:rsid w:val="00344394"/>
    <w:rsid w:val="00345F33"/>
    <w:rsid w:val="0035066C"/>
    <w:rsid w:val="0035180B"/>
    <w:rsid w:val="003543BC"/>
    <w:rsid w:val="00354C03"/>
    <w:rsid w:val="003559FB"/>
    <w:rsid w:val="00355F3F"/>
    <w:rsid w:val="0035720E"/>
    <w:rsid w:val="003601F8"/>
    <w:rsid w:val="003619F6"/>
    <w:rsid w:val="00361DBE"/>
    <w:rsid w:val="003645E5"/>
    <w:rsid w:val="003714E0"/>
    <w:rsid w:val="00375C3E"/>
    <w:rsid w:val="00375CC4"/>
    <w:rsid w:val="00375DF3"/>
    <w:rsid w:val="0037659D"/>
    <w:rsid w:val="00383F07"/>
    <w:rsid w:val="0038476F"/>
    <w:rsid w:val="00384D70"/>
    <w:rsid w:val="00385FD6"/>
    <w:rsid w:val="00387B19"/>
    <w:rsid w:val="00387EED"/>
    <w:rsid w:val="0039011B"/>
    <w:rsid w:val="00395D24"/>
    <w:rsid w:val="00395EB7"/>
    <w:rsid w:val="003A000C"/>
    <w:rsid w:val="003A24EA"/>
    <w:rsid w:val="003A6AF1"/>
    <w:rsid w:val="003A799D"/>
    <w:rsid w:val="003B157C"/>
    <w:rsid w:val="003B2677"/>
    <w:rsid w:val="003B3395"/>
    <w:rsid w:val="003B3767"/>
    <w:rsid w:val="003B4C60"/>
    <w:rsid w:val="003C001B"/>
    <w:rsid w:val="003C0379"/>
    <w:rsid w:val="003C3003"/>
    <w:rsid w:val="003C4566"/>
    <w:rsid w:val="003C53F6"/>
    <w:rsid w:val="003C5B86"/>
    <w:rsid w:val="003C6F16"/>
    <w:rsid w:val="003D05A0"/>
    <w:rsid w:val="003D2761"/>
    <w:rsid w:val="003D5646"/>
    <w:rsid w:val="003D697A"/>
    <w:rsid w:val="003D727D"/>
    <w:rsid w:val="003E1F92"/>
    <w:rsid w:val="003E2172"/>
    <w:rsid w:val="003E54C7"/>
    <w:rsid w:val="003E6250"/>
    <w:rsid w:val="003E62D0"/>
    <w:rsid w:val="003E67A9"/>
    <w:rsid w:val="003E6D23"/>
    <w:rsid w:val="003E73AF"/>
    <w:rsid w:val="003F1256"/>
    <w:rsid w:val="003F1F01"/>
    <w:rsid w:val="003F551B"/>
    <w:rsid w:val="003F62C9"/>
    <w:rsid w:val="003F63D1"/>
    <w:rsid w:val="003F669C"/>
    <w:rsid w:val="004004C8"/>
    <w:rsid w:val="00401753"/>
    <w:rsid w:val="0040244D"/>
    <w:rsid w:val="0040268C"/>
    <w:rsid w:val="00404319"/>
    <w:rsid w:val="00405069"/>
    <w:rsid w:val="004061F3"/>
    <w:rsid w:val="0041127E"/>
    <w:rsid w:val="00411842"/>
    <w:rsid w:val="0041526E"/>
    <w:rsid w:val="00415F96"/>
    <w:rsid w:val="0041682C"/>
    <w:rsid w:val="00416A12"/>
    <w:rsid w:val="00423700"/>
    <w:rsid w:val="004249EF"/>
    <w:rsid w:val="00426AE7"/>
    <w:rsid w:val="00430349"/>
    <w:rsid w:val="00432577"/>
    <w:rsid w:val="00432BA5"/>
    <w:rsid w:val="00436445"/>
    <w:rsid w:val="00436D76"/>
    <w:rsid w:val="00437324"/>
    <w:rsid w:val="0044069B"/>
    <w:rsid w:val="00441481"/>
    <w:rsid w:val="00442211"/>
    <w:rsid w:val="0044642F"/>
    <w:rsid w:val="0044670F"/>
    <w:rsid w:val="004469A1"/>
    <w:rsid w:val="004473C7"/>
    <w:rsid w:val="00447918"/>
    <w:rsid w:val="00447937"/>
    <w:rsid w:val="0045147B"/>
    <w:rsid w:val="00451919"/>
    <w:rsid w:val="004519A8"/>
    <w:rsid w:val="00451E44"/>
    <w:rsid w:val="004520D3"/>
    <w:rsid w:val="0045594B"/>
    <w:rsid w:val="004620B2"/>
    <w:rsid w:val="00464AEA"/>
    <w:rsid w:val="004712B9"/>
    <w:rsid w:val="00472E91"/>
    <w:rsid w:val="00480A75"/>
    <w:rsid w:val="00481804"/>
    <w:rsid w:val="00482FB2"/>
    <w:rsid w:val="00483F4B"/>
    <w:rsid w:val="00485336"/>
    <w:rsid w:val="00490155"/>
    <w:rsid w:val="004916A1"/>
    <w:rsid w:val="00491EDE"/>
    <w:rsid w:val="00496C99"/>
    <w:rsid w:val="0049700F"/>
    <w:rsid w:val="0049728C"/>
    <w:rsid w:val="004A0444"/>
    <w:rsid w:val="004A30CD"/>
    <w:rsid w:val="004A35C2"/>
    <w:rsid w:val="004A3777"/>
    <w:rsid w:val="004A3799"/>
    <w:rsid w:val="004A5329"/>
    <w:rsid w:val="004A5538"/>
    <w:rsid w:val="004A6192"/>
    <w:rsid w:val="004B0782"/>
    <w:rsid w:val="004B46B7"/>
    <w:rsid w:val="004B5A75"/>
    <w:rsid w:val="004C2A51"/>
    <w:rsid w:val="004C2C62"/>
    <w:rsid w:val="004C348F"/>
    <w:rsid w:val="004C55AC"/>
    <w:rsid w:val="004C5633"/>
    <w:rsid w:val="004D1994"/>
    <w:rsid w:val="004D624D"/>
    <w:rsid w:val="004D6CC4"/>
    <w:rsid w:val="004D6E6B"/>
    <w:rsid w:val="004D7555"/>
    <w:rsid w:val="004E109E"/>
    <w:rsid w:val="004E11C3"/>
    <w:rsid w:val="004E493F"/>
    <w:rsid w:val="004E4E6F"/>
    <w:rsid w:val="004E4E9A"/>
    <w:rsid w:val="004F09B7"/>
    <w:rsid w:val="004F0EF9"/>
    <w:rsid w:val="004F1806"/>
    <w:rsid w:val="00504CAF"/>
    <w:rsid w:val="0050586F"/>
    <w:rsid w:val="00506B53"/>
    <w:rsid w:val="00506C1C"/>
    <w:rsid w:val="0051709C"/>
    <w:rsid w:val="005202B5"/>
    <w:rsid w:val="00524D73"/>
    <w:rsid w:val="0052519C"/>
    <w:rsid w:val="00534285"/>
    <w:rsid w:val="00535B7E"/>
    <w:rsid w:val="00536546"/>
    <w:rsid w:val="005402CD"/>
    <w:rsid w:val="00543105"/>
    <w:rsid w:val="0054431C"/>
    <w:rsid w:val="00546276"/>
    <w:rsid w:val="00547DCC"/>
    <w:rsid w:val="00547FA1"/>
    <w:rsid w:val="0055029B"/>
    <w:rsid w:val="00550DD1"/>
    <w:rsid w:val="00552A56"/>
    <w:rsid w:val="005558BC"/>
    <w:rsid w:val="00555A8F"/>
    <w:rsid w:val="005569E5"/>
    <w:rsid w:val="005609CE"/>
    <w:rsid w:val="00563A8C"/>
    <w:rsid w:val="00563C3C"/>
    <w:rsid w:val="00563FAD"/>
    <w:rsid w:val="00564051"/>
    <w:rsid w:val="00571A9B"/>
    <w:rsid w:val="005755F4"/>
    <w:rsid w:val="005762D5"/>
    <w:rsid w:val="005835D3"/>
    <w:rsid w:val="00584D1B"/>
    <w:rsid w:val="0058524B"/>
    <w:rsid w:val="00585773"/>
    <w:rsid w:val="00585D39"/>
    <w:rsid w:val="0059325D"/>
    <w:rsid w:val="00594015"/>
    <w:rsid w:val="005957D3"/>
    <w:rsid w:val="00595DE5"/>
    <w:rsid w:val="00596E38"/>
    <w:rsid w:val="005A013A"/>
    <w:rsid w:val="005A200D"/>
    <w:rsid w:val="005A29F1"/>
    <w:rsid w:val="005A2CB9"/>
    <w:rsid w:val="005A3320"/>
    <w:rsid w:val="005A34DF"/>
    <w:rsid w:val="005A5A88"/>
    <w:rsid w:val="005A5ABC"/>
    <w:rsid w:val="005A60CB"/>
    <w:rsid w:val="005A6D18"/>
    <w:rsid w:val="005A78CD"/>
    <w:rsid w:val="005B4119"/>
    <w:rsid w:val="005B4406"/>
    <w:rsid w:val="005B6F14"/>
    <w:rsid w:val="005C00E6"/>
    <w:rsid w:val="005C0B36"/>
    <w:rsid w:val="005C7FF3"/>
    <w:rsid w:val="005D0AE5"/>
    <w:rsid w:val="005D21BE"/>
    <w:rsid w:val="005D2339"/>
    <w:rsid w:val="005D26BC"/>
    <w:rsid w:val="005D2B25"/>
    <w:rsid w:val="005D41C6"/>
    <w:rsid w:val="005D631E"/>
    <w:rsid w:val="005D6E48"/>
    <w:rsid w:val="005E14D3"/>
    <w:rsid w:val="005E1FAF"/>
    <w:rsid w:val="005E42E6"/>
    <w:rsid w:val="005E43E8"/>
    <w:rsid w:val="005E6B37"/>
    <w:rsid w:val="005E6B8B"/>
    <w:rsid w:val="005E7A12"/>
    <w:rsid w:val="005F22B5"/>
    <w:rsid w:val="005F59B6"/>
    <w:rsid w:val="005F6D40"/>
    <w:rsid w:val="005F79DC"/>
    <w:rsid w:val="0060091C"/>
    <w:rsid w:val="0060264A"/>
    <w:rsid w:val="0061019C"/>
    <w:rsid w:val="0061426F"/>
    <w:rsid w:val="00615EC1"/>
    <w:rsid w:val="006202D5"/>
    <w:rsid w:val="0062221C"/>
    <w:rsid w:val="00623125"/>
    <w:rsid w:val="00623DB1"/>
    <w:rsid w:val="00623DE2"/>
    <w:rsid w:val="006254B8"/>
    <w:rsid w:val="00631172"/>
    <w:rsid w:val="00631576"/>
    <w:rsid w:val="0063473A"/>
    <w:rsid w:val="00636236"/>
    <w:rsid w:val="00640224"/>
    <w:rsid w:val="00641563"/>
    <w:rsid w:val="00644CF2"/>
    <w:rsid w:val="006467A5"/>
    <w:rsid w:val="006511B1"/>
    <w:rsid w:val="00651CD7"/>
    <w:rsid w:val="006531F6"/>
    <w:rsid w:val="00653669"/>
    <w:rsid w:val="00653755"/>
    <w:rsid w:val="00654904"/>
    <w:rsid w:val="00654AA1"/>
    <w:rsid w:val="00654B64"/>
    <w:rsid w:val="006556B1"/>
    <w:rsid w:val="006556D3"/>
    <w:rsid w:val="00655C7A"/>
    <w:rsid w:val="00662797"/>
    <w:rsid w:val="00663490"/>
    <w:rsid w:val="00670275"/>
    <w:rsid w:val="006706B0"/>
    <w:rsid w:val="00671587"/>
    <w:rsid w:val="00672E74"/>
    <w:rsid w:val="00674051"/>
    <w:rsid w:val="0067582C"/>
    <w:rsid w:val="00676C30"/>
    <w:rsid w:val="0068024D"/>
    <w:rsid w:val="0068063B"/>
    <w:rsid w:val="00680CA0"/>
    <w:rsid w:val="006811DE"/>
    <w:rsid w:val="006853B1"/>
    <w:rsid w:val="00685C9F"/>
    <w:rsid w:val="0069044F"/>
    <w:rsid w:val="00691FDC"/>
    <w:rsid w:val="00692A01"/>
    <w:rsid w:val="00696844"/>
    <w:rsid w:val="00696BA0"/>
    <w:rsid w:val="006974B7"/>
    <w:rsid w:val="006A0441"/>
    <w:rsid w:val="006A1F96"/>
    <w:rsid w:val="006A5C3E"/>
    <w:rsid w:val="006A685F"/>
    <w:rsid w:val="006B1CA1"/>
    <w:rsid w:val="006B71A8"/>
    <w:rsid w:val="006C12C3"/>
    <w:rsid w:val="006C1D13"/>
    <w:rsid w:val="006C41FE"/>
    <w:rsid w:val="006C74D2"/>
    <w:rsid w:val="006D0F7A"/>
    <w:rsid w:val="006D1E17"/>
    <w:rsid w:val="006D5A62"/>
    <w:rsid w:val="006D75C1"/>
    <w:rsid w:val="006D7951"/>
    <w:rsid w:val="006E2DBB"/>
    <w:rsid w:val="006E49CD"/>
    <w:rsid w:val="006E56E1"/>
    <w:rsid w:val="006E684D"/>
    <w:rsid w:val="006E7649"/>
    <w:rsid w:val="006F099A"/>
    <w:rsid w:val="006F4326"/>
    <w:rsid w:val="00704390"/>
    <w:rsid w:val="00717B5B"/>
    <w:rsid w:val="0072441F"/>
    <w:rsid w:val="007262D5"/>
    <w:rsid w:val="007328BF"/>
    <w:rsid w:val="00733107"/>
    <w:rsid w:val="00734554"/>
    <w:rsid w:val="00740E9D"/>
    <w:rsid w:val="00741640"/>
    <w:rsid w:val="00743305"/>
    <w:rsid w:val="00745C9A"/>
    <w:rsid w:val="00746404"/>
    <w:rsid w:val="007509DF"/>
    <w:rsid w:val="00751824"/>
    <w:rsid w:val="00751F3D"/>
    <w:rsid w:val="0075410D"/>
    <w:rsid w:val="00754C04"/>
    <w:rsid w:val="00754FFA"/>
    <w:rsid w:val="00757563"/>
    <w:rsid w:val="00760F90"/>
    <w:rsid w:val="00764D60"/>
    <w:rsid w:val="00770537"/>
    <w:rsid w:val="00770CDC"/>
    <w:rsid w:val="007768EF"/>
    <w:rsid w:val="00780245"/>
    <w:rsid w:val="00780C7C"/>
    <w:rsid w:val="00780D25"/>
    <w:rsid w:val="00781602"/>
    <w:rsid w:val="00782EB1"/>
    <w:rsid w:val="00783AB3"/>
    <w:rsid w:val="007854DC"/>
    <w:rsid w:val="007936F7"/>
    <w:rsid w:val="00793998"/>
    <w:rsid w:val="00793EB1"/>
    <w:rsid w:val="007960E3"/>
    <w:rsid w:val="00796346"/>
    <w:rsid w:val="00796719"/>
    <w:rsid w:val="007A0FC9"/>
    <w:rsid w:val="007A203E"/>
    <w:rsid w:val="007A209F"/>
    <w:rsid w:val="007A43E6"/>
    <w:rsid w:val="007A68C6"/>
    <w:rsid w:val="007A74D0"/>
    <w:rsid w:val="007B1A58"/>
    <w:rsid w:val="007B2973"/>
    <w:rsid w:val="007B3EF6"/>
    <w:rsid w:val="007B479F"/>
    <w:rsid w:val="007B48C9"/>
    <w:rsid w:val="007B4BD3"/>
    <w:rsid w:val="007B5AFD"/>
    <w:rsid w:val="007C1E88"/>
    <w:rsid w:val="007C55DA"/>
    <w:rsid w:val="007C6157"/>
    <w:rsid w:val="007C6F66"/>
    <w:rsid w:val="007D01D9"/>
    <w:rsid w:val="007D1A92"/>
    <w:rsid w:val="007D1FF9"/>
    <w:rsid w:val="007D2B6D"/>
    <w:rsid w:val="007D2BD7"/>
    <w:rsid w:val="007D361C"/>
    <w:rsid w:val="007D7B96"/>
    <w:rsid w:val="007D7F30"/>
    <w:rsid w:val="007E0089"/>
    <w:rsid w:val="007E15CB"/>
    <w:rsid w:val="007E25B1"/>
    <w:rsid w:val="007E386E"/>
    <w:rsid w:val="007E42D4"/>
    <w:rsid w:val="007E5194"/>
    <w:rsid w:val="007E64B0"/>
    <w:rsid w:val="007F1A82"/>
    <w:rsid w:val="007F2648"/>
    <w:rsid w:val="007F3AF4"/>
    <w:rsid w:val="007F40F2"/>
    <w:rsid w:val="007F51D4"/>
    <w:rsid w:val="007F615A"/>
    <w:rsid w:val="007F6610"/>
    <w:rsid w:val="007F7887"/>
    <w:rsid w:val="00802659"/>
    <w:rsid w:val="0080487C"/>
    <w:rsid w:val="008067FF"/>
    <w:rsid w:val="00815A47"/>
    <w:rsid w:val="00815B03"/>
    <w:rsid w:val="00817085"/>
    <w:rsid w:val="008265AE"/>
    <w:rsid w:val="008274E7"/>
    <w:rsid w:val="00831F69"/>
    <w:rsid w:val="00833C76"/>
    <w:rsid w:val="0083557C"/>
    <w:rsid w:val="008358AB"/>
    <w:rsid w:val="00837806"/>
    <w:rsid w:val="00837EB6"/>
    <w:rsid w:val="00842065"/>
    <w:rsid w:val="00843715"/>
    <w:rsid w:val="00846680"/>
    <w:rsid w:val="00847A8B"/>
    <w:rsid w:val="00852ABD"/>
    <w:rsid w:val="008530DD"/>
    <w:rsid w:val="00853BAA"/>
    <w:rsid w:val="0085406A"/>
    <w:rsid w:val="008557BF"/>
    <w:rsid w:val="0086080B"/>
    <w:rsid w:val="00861CC2"/>
    <w:rsid w:val="008632FA"/>
    <w:rsid w:val="00866D37"/>
    <w:rsid w:val="00867220"/>
    <w:rsid w:val="00867E8E"/>
    <w:rsid w:val="00874498"/>
    <w:rsid w:val="00874CF0"/>
    <w:rsid w:val="00875209"/>
    <w:rsid w:val="0087532B"/>
    <w:rsid w:val="00876E3F"/>
    <w:rsid w:val="008774ED"/>
    <w:rsid w:val="0088193A"/>
    <w:rsid w:val="00881F83"/>
    <w:rsid w:val="008824C3"/>
    <w:rsid w:val="00884B0F"/>
    <w:rsid w:val="0089188C"/>
    <w:rsid w:val="00891DD2"/>
    <w:rsid w:val="00893403"/>
    <w:rsid w:val="00894C6B"/>
    <w:rsid w:val="0089537C"/>
    <w:rsid w:val="00896D3B"/>
    <w:rsid w:val="008A15E5"/>
    <w:rsid w:val="008A165E"/>
    <w:rsid w:val="008B01B0"/>
    <w:rsid w:val="008B082B"/>
    <w:rsid w:val="008B1DDE"/>
    <w:rsid w:val="008B1EAF"/>
    <w:rsid w:val="008B6910"/>
    <w:rsid w:val="008C00F6"/>
    <w:rsid w:val="008C12CA"/>
    <w:rsid w:val="008C1EEE"/>
    <w:rsid w:val="008C501C"/>
    <w:rsid w:val="008C5388"/>
    <w:rsid w:val="008C7A8E"/>
    <w:rsid w:val="008C7B76"/>
    <w:rsid w:val="008D0115"/>
    <w:rsid w:val="008D0876"/>
    <w:rsid w:val="008D1142"/>
    <w:rsid w:val="008D2DEB"/>
    <w:rsid w:val="008D2F70"/>
    <w:rsid w:val="008D3331"/>
    <w:rsid w:val="008D49F9"/>
    <w:rsid w:val="008D515D"/>
    <w:rsid w:val="008E035A"/>
    <w:rsid w:val="008E1705"/>
    <w:rsid w:val="008E3D8A"/>
    <w:rsid w:val="008E637B"/>
    <w:rsid w:val="008E7989"/>
    <w:rsid w:val="008F09A9"/>
    <w:rsid w:val="008F718F"/>
    <w:rsid w:val="009012CB"/>
    <w:rsid w:val="009039A9"/>
    <w:rsid w:val="009070F5"/>
    <w:rsid w:val="009112C5"/>
    <w:rsid w:val="00913F4A"/>
    <w:rsid w:val="0091462A"/>
    <w:rsid w:val="00914741"/>
    <w:rsid w:val="00914C1C"/>
    <w:rsid w:val="00915BC3"/>
    <w:rsid w:val="00916314"/>
    <w:rsid w:val="009177E5"/>
    <w:rsid w:val="009178B7"/>
    <w:rsid w:val="009208E1"/>
    <w:rsid w:val="0092419C"/>
    <w:rsid w:val="00925A7B"/>
    <w:rsid w:val="009261AA"/>
    <w:rsid w:val="00937943"/>
    <w:rsid w:val="00937F36"/>
    <w:rsid w:val="00942855"/>
    <w:rsid w:val="00942925"/>
    <w:rsid w:val="00945BF9"/>
    <w:rsid w:val="00945CF2"/>
    <w:rsid w:val="00946F8E"/>
    <w:rsid w:val="0094777C"/>
    <w:rsid w:val="00951DAD"/>
    <w:rsid w:val="00952156"/>
    <w:rsid w:val="00952BE7"/>
    <w:rsid w:val="0095326E"/>
    <w:rsid w:val="009600C9"/>
    <w:rsid w:val="009618DE"/>
    <w:rsid w:val="00961C57"/>
    <w:rsid w:val="0096466D"/>
    <w:rsid w:val="00966B06"/>
    <w:rsid w:val="00970E18"/>
    <w:rsid w:val="0097195A"/>
    <w:rsid w:val="00975E7A"/>
    <w:rsid w:val="009766B8"/>
    <w:rsid w:val="00984C5A"/>
    <w:rsid w:val="00986AA4"/>
    <w:rsid w:val="009919D4"/>
    <w:rsid w:val="00993A9B"/>
    <w:rsid w:val="00994B4F"/>
    <w:rsid w:val="00994F23"/>
    <w:rsid w:val="00997E01"/>
    <w:rsid w:val="009A0015"/>
    <w:rsid w:val="009A1DF0"/>
    <w:rsid w:val="009A3408"/>
    <w:rsid w:val="009A3805"/>
    <w:rsid w:val="009A412C"/>
    <w:rsid w:val="009B0A83"/>
    <w:rsid w:val="009B19FC"/>
    <w:rsid w:val="009B2186"/>
    <w:rsid w:val="009B521E"/>
    <w:rsid w:val="009B57BA"/>
    <w:rsid w:val="009B5944"/>
    <w:rsid w:val="009B77E0"/>
    <w:rsid w:val="009C2DFB"/>
    <w:rsid w:val="009C3A9A"/>
    <w:rsid w:val="009C3D69"/>
    <w:rsid w:val="009C4F04"/>
    <w:rsid w:val="009C789A"/>
    <w:rsid w:val="009D0DCB"/>
    <w:rsid w:val="009D4679"/>
    <w:rsid w:val="009D6D63"/>
    <w:rsid w:val="009E0A54"/>
    <w:rsid w:val="009E11AD"/>
    <w:rsid w:val="009E1D63"/>
    <w:rsid w:val="009E260D"/>
    <w:rsid w:val="009E374B"/>
    <w:rsid w:val="009E5140"/>
    <w:rsid w:val="009E5928"/>
    <w:rsid w:val="009E5E4A"/>
    <w:rsid w:val="009E6134"/>
    <w:rsid w:val="009F26AF"/>
    <w:rsid w:val="009F4214"/>
    <w:rsid w:val="009F552A"/>
    <w:rsid w:val="00A01270"/>
    <w:rsid w:val="00A0217D"/>
    <w:rsid w:val="00A1092C"/>
    <w:rsid w:val="00A11D37"/>
    <w:rsid w:val="00A12435"/>
    <w:rsid w:val="00A12660"/>
    <w:rsid w:val="00A1299E"/>
    <w:rsid w:val="00A141DB"/>
    <w:rsid w:val="00A16340"/>
    <w:rsid w:val="00A16CCB"/>
    <w:rsid w:val="00A17056"/>
    <w:rsid w:val="00A17EC4"/>
    <w:rsid w:val="00A20960"/>
    <w:rsid w:val="00A21CFF"/>
    <w:rsid w:val="00A23440"/>
    <w:rsid w:val="00A23EC0"/>
    <w:rsid w:val="00A258F4"/>
    <w:rsid w:val="00A26A45"/>
    <w:rsid w:val="00A330F0"/>
    <w:rsid w:val="00A33B8B"/>
    <w:rsid w:val="00A3424A"/>
    <w:rsid w:val="00A34EBB"/>
    <w:rsid w:val="00A36378"/>
    <w:rsid w:val="00A363AD"/>
    <w:rsid w:val="00A36AEC"/>
    <w:rsid w:val="00A373D9"/>
    <w:rsid w:val="00A378E7"/>
    <w:rsid w:val="00A37DA3"/>
    <w:rsid w:val="00A41267"/>
    <w:rsid w:val="00A41AB4"/>
    <w:rsid w:val="00A429CC"/>
    <w:rsid w:val="00A44E85"/>
    <w:rsid w:val="00A46154"/>
    <w:rsid w:val="00A5687B"/>
    <w:rsid w:val="00A65FC0"/>
    <w:rsid w:val="00A6616C"/>
    <w:rsid w:val="00A66679"/>
    <w:rsid w:val="00A6763D"/>
    <w:rsid w:val="00A70467"/>
    <w:rsid w:val="00A708B2"/>
    <w:rsid w:val="00A72AED"/>
    <w:rsid w:val="00A74A64"/>
    <w:rsid w:val="00A7543F"/>
    <w:rsid w:val="00A81D5D"/>
    <w:rsid w:val="00A849F4"/>
    <w:rsid w:val="00A85059"/>
    <w:rsid w:val="00A8638C"/>
    <w:rsid w:val="00A90713"/>
    <w:rsid w:val="00A90F0D"/>
    <w:rsid w:val="00A91752"/>
    <w:rsid w:val="00A928D6"/>
    <w:rsid w:val="00A93580"/>
    <w:rsid w:val="00AA2F09"/>
    <w:rsid w:val="00AA2F17"/>
    <w:rsid w:val="00AA782F"/>
    <w:rsid w:val="00AB209A"/>
    <w:rsid w:val="00AB4367"/>
    <w:rsid w:val="00AB521F"/>
    <w:rsid w:val="00AB6A08"/>
    <w:rsid w:val="00AB6BA5"/>
    <w:rsid w:val="00AB76B3"/>
    <w:rsid w:val="00AB7B5D"/>
    <w:rsid w:val="00AB7B66"/>
    <w:rsid w:val="00AC0B4A"/>
    <w:rsid w:val="00AC19B7"/>
    <w:rsid w:val="00AC1C8A"/>
    <w:rsid w:val="00AC1CB1"/>
    <w:rsid w:val="00AC3ADE"/>
    <w:rsid w:val="00AC7B7E"/>
    <w:rsid w:val="00AC7D21"/>
    <w:rsid w:val="00AD02E0"/>
    <w:rsid w:val="00AD1EC4"/>
    <w:rsid w:val="00AD2A9D"/>
    <w:rsid w:val="00AD3978"/>
    <w:rsid w:val="00AD4B57"/>
    <w:rsid w:val="00AD64A6"/>
    <w:rsid w:val="00AD69F6"/>
    <w:rsid w:val="00AD780D"/>
    <w:rsid w:val="00AD7CD9"/>
    <w:rsid w:val="00AE0B1E"/>
    <w:rsid w:val="00AE3D91"/>
    <w:rsid w:val="00AE451A"/>
    <w:rsid w:val="00AE784B"/>
    <w:rsid w:val="00AF0869"/>
    <w:rsid w:val="00AF0AB0"/>
    <w:rsid w:val="00AF0D4C"/>
    <w:rsid w:val="00AF1410"/>
    <w:rsid w:val="00AF1A06"/>
    <w:rsid w:val="00AF3E8B"/>
    <w:rsid w:val="00AF769B"/>
    <w:rsid w:val="00B006B1"/>
    <w:rsid w:val="00B00DD2"/>
    <w:rsid w:val="00B00E7A"/>
    <w:rsid w:val="00B05582"/>
    <w:rsid w:val="00B0686B"/>
    <w:rsid w:val="00B10D1D"/>
    <w:rsid w:val="00B11A45"/>
    <w:rsid w:val="00B125D6"/>
    <w:rsid w:val="00B13417"/>
    <w:rsid w:val="00B13509"/>
    <w:rsid w:val="00B13DF7"/>
    <w:rsid w:val="00B15CDF"/>
    <w:rsid w:val="00B16AA0"/>
    <w:rsid w:val="00B16C08"/>
    <w:rsid w:val="00B1745A"/>
    <w:rsid w:val="00B22209"/>
    <w:rsid w:val="00B27EF2"/>
    <w:rsid w:val="00B3216F"/>
    <w:rsid w:val="00B33ACD"/>
    <w:rsid w:val="00B3625A"/>
    <w:rsid w:val="00B37E7E"/>
    <w:rsid w:val="00B40C86"/>
    <w:rsid w:val="00B43F1A"/>
    <w:rsid w:val="00B46993"/>
    <w:rsid w:val="00B46B65"/>
    <w:rsid w:val="00B546E1"/>
    <w:rsid w:val="00B55BD3"/>
    <w:rsid w:val="00B5639B"/>
    <w:rsid w:val="00B568BF"/>
    <w:rsid w:val="00B62C00"/>
    <w:rsid w:val="00B63095"/>
    <w:rsid w:val="00B64CF8"/>
    <w:rsid w:val="00B66C75"/>
    <w:rsid w:val="00B67A5A"/>
    <w:rsid w:val="00B72493"/>
    <w:rsid w:val="00B74572"/>
    <w:rsid w:val="00B74A72"/>
    <w:rsid w:val="00B76650"/>
    <w:rsid w:val="00B77286"/>
    <w:rsid w:val="00B82E14"/>
    <w:rsid w:val="00B830F6"/>
    <w:rsid w:val="00B83ABA"/>
    <w:rsid w:val="00B86350"/>
    <w:rsid w:val="00B86BEA"/>
    <w:rsid w:val="00B90122"/>
    <w:rsid w:val="00B902F2"/>
    <w:rsid w:val="00B90978"/>
    <w:rsid w:val="00B90F6A"/>
    <w:rsid w:val="00B95FE0"/>
    <w:rsid w:val="00B97853"/>
    <w:rsid w:val="00BA0DB0"/>
    <w:rsid w:val="00BA0FE5"/>
    <w:rsid w:val="00BA1FD7"/>
    <w:rsid w:val="00BA2F39"/>
    <w:rsid w:val="00BA304D"/>
    <w:rsid w:val="00BA3F2C"/>
    <w:rsid w:val="00BA5DD9"/>
    <w:rsid w:val="00BA653A"/>
    <w:rsid w:val="00BA6B45"/>
    <w:rsid w:val="00BA7575"/>
    <w:rsid w:val="00BA7E03"/>
    <w:rsid w:val="00BB2C6F"/>
    <w:rsid w:val="00BB3E02"/>
    <w:rsid w:val="00BB494D"/>
    <w:rsid w:val="00BB5EAC"/>
    <w:rsid w:val="00BC2328"/>
    <w:rsid w:val="00BC2BDA"/>
    <w:rsid w:val="00BC322B"/>
    <w:rsid w:val="00BC3F97"/>
    <w:rsid w:val="00BC4071"/>
    <w:rsid w:val="00BC4B40"/>
    <w:rsid w:val="00BC5895"/>
    <w:rsid w:val="00BC5A9D"/>
    <w:rsid w:val="00BC790C"/>
    <w:rsid w:val="00BD1056"/>
    <w:rsid w:val="00BD4056"/>
    <w:rsid w:val="00BD7D8E"/>
    <w:rsid w:val="00BE0C2D"/>
    <w:rsid w:val="00BE1366"/>
    <w:rsid w:val="00BE1615"/>
    <w:rsid w:val="00BE17AB"/>
    <w:rsid w:val="00BE183B"/>
    <w:rsid w:val="00BE227E"/>
    <w:rsid w:val="00BE25E1"/>
    <w:rsid w:val="00BE3FE9"/>
    <w:rsid w:val="00BE46D7"/>
    <w:rsid w:val="00BF0617"/>
    <w:rsid w:val="00BF1F8E"/>
    <w:rsid w:val="00BF4DBE"/>
    <w:rsid w:val="00BF62B3"/>
    <w:rsid w:val="00C03ED4"/>
    <w:rsid w:val="00C122AD"/>
    <w:rsid w:val="00C12CE0"/>
    <w:rsid w:val="00C16A6B"/>
    <w:rsid w:val="00C16E56"/>
    <w:rsid w:val="00C17D1C"/>
    <w:rsid w:val="00C213DE"/>
    <w:rsid w:val="00C2198A"/>
    <w:rsid w:val="00C229BA"/>
    <w:rsid w:val="00C238DD"/>
    <w:rsid w:val="00C312F0"/>
    <w:rsid w:val="00C32C9E"/>
    <w:rsid w:val="00C32DF4"/>
    <w:rsid w:val="00C33AE3"/>
    <w:rsid w:val="00C356D6"/>
    <w:rsid w:val="00C36539"/>
    <w:rsid w:val="00C4257C"/>
    <w:rsid w:val="00C45E6D"/>
    <w:rsid w:val="00C46FCB"/>
    <w:rsid w:val="00C519E2"/>
    <w:rsid w:val="00C552BA"/>
    <w:rsid w:val="00C55579"/>
    <w:rsid w:val="00C5582C"/>
    <w:rsid w:val="00C56F75"/>
    <w:rsid w:val="00C60DED"/>
    <w:rsid w:val="00C61E3F"/>
    <w:rsid w:val="00C636CB"/>
    <w:rsid w:val="00C63EB6"/>
    <w:rsid w:val="00C641FE"/>
    <w:rsid w:val="00C657BF"/>
    <w:rsid w:val="00C6736F"/>
    <w:rsid w:val="00C71425"/>
    <w:rsid w:val="00C72611"/>
    <w:rsid w:val="00C73101"/>
    <w:rsid w:val="00C732C3"/>
    <w:rsid w:val="00C77B70"/>
    <w:rsid w:val="00C83C04"/>
    <w:rsid w:val="00C93D1D"/>
    <w:rsid w:val="00C95034"/>
    <w:rsid w:val="00CA6043"/>
    <w:rsid w:val="00CA6E44"/>
    <w:rsid w:val="00CB0E12"/>
    <w:rsid w:val="00CB1664"/>
    <w:rsid w:val="00CB18C7"/>
    <w:rsid w:val="00CB4033"/>
    <w:rsid w:val="00CB7A14"/>
    <w:rsid w:val="00CC0011"/>
    <w:rsid w:val="00CC22D4"/>
    <w:rsid w:val="00CC2A08"/>
    <w:rsid w:val="00CC5D61"/>
    <w:rsid w:val="00CC60DA"/>
    <w:rsid w:val="00CD1077"/>
    <w:rsid w:val="00CD2A7C"/>
    <w:rsid w:val="00CE0450"/>
    <w:rsid w:val="00CE2BE0"/>
    <w:rsid w:val="00CE3A9D"/>
    <w:rsid w:val="00CE4B84"/>
    <w:rsid w:val="00CE5329"/>
    <w:rsid w:val="00CE5922"/>
    <w:rsid w:val="00CE7263"/>
    <w:rsid w:val="00CF0D06"/>
    <w:rsid w:val="00CF0E7C"/>
    <w:rsid w:val="00CF1A90"/>
    <w:rsid w:val="00CF2F44"/>
    <w:rsid w:val="00CF3CCD"/>
    <w:rsid w:val="00CF5B57"/>
    <w:rsid w:val="00D014C4"/>
    <w:rsid w:val="00D01B37"/>
    <w:rsid w:val="00D03F3A"/>
    <w:rsid w:val="00D04289"/>
    <w:rsid w:val="00D05348"/>
    <w:rsid w:val="00D058C1"/>
    <w:rsid w:val="00D07A94"/>
    <w:rsid w:val="00D07C51"/>
    <w:rsid w:val="00D100CE"/>
    <w:rsid w:val="00D10C1B"/>
    <w:rsid w:val="00D10E3B"/>
    <w:rsid w:val="00D117DB"/>
    <w:rsid w:val="00D12C68"/>
    <w:rsid w:val="00D13221"/>
    <w:rsid w:val="00D142C0"/>
    <w:rsid w:val="00D22A3E"/>
    <w:rsid w:val="00D2302C"/>
    <w:rsid w:val="00D23900"/>
    <w:rsid w:val="00D2646D"/>
    <w:rsid w:val="00D266F7"/>
    <w:rsid w:val="00D35E6B"/>
    <w:rsid w:val="00D3602F"/>
    <w:rsid w:val="00D36C79"/>
    <w:rsid w:val="00D3756D"/>
    <w:rsid w:val="00D40864"/>
    <w:rsid w:val="00D40FBE"/>
    <w:rsid w:val="00D42593"/>
    <w:rsid w:val="00D4329F"/>
    <w:rsid w:val="00D448F8"/>
    <w:rsid w:val="00D44DEE"/>
    <w:rsid w:val="00D45352"/>
    <w:rsid w:val="00D473AA"/>
    <w:rsid w:val="00D5220D"/>
    <w:rsid w:val="00D52557"/>
    <w:rsid w:val="00D53857"/>
    <w:rsid w:val="00D5671F"/>
    <w:rsid w:val="00D56B8D"/>
    <w:rsid w:val="00D62899"/>
    <w:rsid w:val="00D64C23"/>
    <w:rsid w:val="00D64D9B"/>
    <w:rsid w:val="00D65EC9"/>
    <w:rsid w:val="00D67470"/>
    <w:rsid w:val="00D72E4A"/>
    <w:rsid w:val="00D774F7"/>
    <w:rsid w:val="00D7773A"/>
    <w:rsid w:val="00D82035"/>
    <w:rsid w:val="00D820E2"/>
    <w:rsid w:val="00D826BC"/>
    <w:rsid w:val="00D86E2F"/>
    <w:rsid w:val="00D90795"/>
    <w:rsid w:val="00D92273"/>
    <w:rsid w:val="00D93928"/>
    <w:rsid w:val="00D93BDF"/>
    <w:rsid w:val="00D93CDD"/>
    <w:rsid w:val="00D9454A"/>
    <w:rsid w:val="00D96A44"/>
    <w:rsid w:val="00DA1600"/>
    <w:rsid w:val="00DA23E0"/>
    <w:rsid w:val="00DA243A"/>
    <w:rsid w:val="00DA44E4"/>
    <w:rsid w:val="00DA5E8F"/>
    <w:rsid w:val="00DB1264"/>
    <w:rsid w:val="00DB126C"/>
    <w:rsid w:val="00DB1B5C"/>
    <w:rsid w:val="00DB1BB1"/>
    <w:rsid w:val="00DB33FA"/>
    <w:rsid w:val="00DB392C"/>
    <w:rsid w:val="00DB4078"/>
    <w:rsid w:val="00DB5ECD"/>
    <w:rsid w:val="00DB7675"/>
    <w:rsid w:val="00DC074F"/>
    <w:rsid w:val="00DC0FF7"/>
    <w:rsid w:val="00DC1412"/>
    <w:rsid w:val="00DC3D79"/>
    <w:rsid w:val="00DC3F0C"/>
    <w:rsid w:val="00DC5637"/>
    <w:rsid w:val="00DD0004"/>
    <w:rsid w:val="00DD474D"/>
    <w:rsid w:val="00DD4BBB"/>
    <w:rsid w:val="00DD64E3"/>
    <w:rsid w:val="00DD7665"/>
    <w:rsid w:val="00DE2734"/>
    <w:rsid w:val="00DE2803"/>
    <w:rsid w:val="00DE44F8"/>
    <w:rsid w:val="00DE4674"/>
    <w:rsid w:val="00DE4D5D"/>
    <w:rsid w:val="00DE5432"/>
    <w:rsid w:val="00DE6BF5"/>
    <w:rsid w:val="00DE6DC3"/>
    <w:rsid w:val="00DE7626"/>
    <w:rsid w:val="00DF1E1E"/>
    <w:rsid w:val="00DF2646"/>
    <w:rsid w:val="00DF3A84"/>
    <w:rsid w:val="00DF40F7"/>
    <w:rsid w:val="00DF5E7E"/>
    <w:rsid w:val="00DF7F25"/>
    <w:rsid w:val="00E02953"/>
    <w:rsid w:val="00E0446E"/>
    <w:rsid w:val="00E0576C"/>
    <w:rsid w:val="00E075B4"/>
    <w:rsid w:val="00E12176"/>
    <w:rsid w:val="00E12C0B"/>
    <w:rsid w:val="00E16359"/>
    <w:rsid w:val="00E1670E"/>
    <w:rsid w:val="00E2093A"/>
    <w:rsid w:val="00E20F53"/>
    <w:rsid w:val="00E2123B"/>
    <w:rsid w:val="00E21714"/>
    <w:rsid w:val="00E23FDB"/>
    <w:rsid w:val="00E247C7"/>
    <w:rsid w:val="00E25988"/>
    <w:rsid w:val="00E25B47"/>
    <w:rsid w:val="00E2605A"/>
    <w:rsid w:val="00E26A77"/>
    <w:rsid w:val="00E26CD3"/>
    <w:rsid w:val="00E26F71"/>
    <w:rsid w:val="00E30466"/>
    <w:rsid w:val="00E32A50"/>
    <w:rsid w:val="00E35CC7"/>
    <w:rsid w:val="00E36623"/>
    <w:rsid w:val="00E37784"/>
    <w:rsid w:val="00E37FA8"/>
    <w:rsid w:val="00E4193B"/>
    <w:rsid w:val="00E43A36"/>
    <w:rsid w:val="00E4514E"/>
    <w:rsid w:val="00E5012C"/>
    <w:rsid w:val="00E51BC2"/>
    <w:rsid w:val="00E51BF0"/>
    <w:rsid w:val="00E52196"/>
    <w:rsid w:val="00E53350"/>
    <w:rsid w:val="00E53E85"/>
    <w:rsid w:val="00E5728C"/>
    <w:rsid w:val="00E61CBF"/>
    <w:rsid w:val="00E62CD9"/>
    <w:rsid w:val="00E63BA7"/>
    <w:rsid w:val="00E705CA"/>
    <w:rsid w:val="00E71C5C"/>
    <w:rsid w:val="00E7281E"/>
    <w:rsid w:val="00E72FF8"/>
    <w:rsid w:val="00E738F9"/>
    <w:rsid w:val="00E75B8E"/>
    <w:rsid w:val="00E87785"/>
    <w:rsid w:val="00E9203E"/>
    <w:rsid w:val="00E937DA"/>
    <w:rsid w:val="00E94BB1"/>
    <w:rsid w:val="00E9542B"/>
    <w:rsid w:val="00E95CC2"/>
    <w:rsid w:val="00EA1631"/>
    <w:rsid w:val="00EA3276"/>
    <w:rsid w:val="00EA3524"/>
    <w:rsid w:val="00EA3C1B"/>
    <w:rsid w:val="00EA4963"/>
    <w:rsid w:val="00EA7EDE"/>
    <w:rsid w:val="00EB0D49"/>
    <w:rsid w:val="00EB1DA2"/>
    <w:rsid w:val="00EB5AC7"/>
    <w:rsid w:val="00EB6249"/>
    <w:rsid w:val="00EB7530"/>
    <w:rsid w:val="00EC2474"/>
    <w:rsid w:val="00EC429B"/>
    <w:rsid w:val="00EC5102"/>
    <w:rsid w:val="00ED0221"/>
    <w:rsid w:val="00ED0488"/>
    <w:rsid w:val="00ED0762"/>
    <w:rsid w:val="00ED5821"/>
    <w:rsid w:val="00EE0D10"/>
    <w:rsid w:val="00EE21B8"/>
    <w:rsid w:val="00EE5638"/>
    <w:rsid w:val="00EF0679"/>
    <w:rsid w:val="00EF1621"/>
    <w:rsid w:val="00EF1DD5"/>
    <w:rsid w:val="00EF1DE0"/>
    <w:rsid w:val="00EF4F01"/>
    <w:rsid w:val="00EF7A91"/>
    <w:rsid w:val="00F03302"/>
    <w:rsid w:val="00F037C6"/>
    <w:rsid w:val="00F04533"/>
    <w:rsid w:val="00F1040E"/>
    <w:rsid w:val="00F105A7"/>
    <w:rsid w:val="00F11A42"/>
    <w:rsid w:val="00F11FA7"/>
    <w:rsid w:val="00F16A00"/>
    <w:rsid w:val="00F16D58"/>
    <w:rsid w:val="00F1734F"/>
    <w:rsid w:val="00F20926"/>
    <w:rsid w:val="00F20BC3"/>
    <w:rsid w:val="00F20E3F"/>
    <w:rsid w:val="00F27876"/>
    <w:rsid w:val="00F31D77"/>
    <w:rsid w:val="00F32891"/>
    <w:rsid w:val="00F346C3"/>
    <w:rsid w:val="00F34DFB"/>
    <w:rsid w:val="00F3500C"/>
    <w:rsid w:val="00F401F3"/>
    <w:rsid w:val="00F416E1"/>
    <w:rsid w:val="00F4366B"/>
    <w:rsid w:val="00F43FDB"/>
    <w:rsid w:val="00F509FB"/>
    <w:rsid w:val="00F53AEC"/>
    <w:rsid w:val="00F559F9"/>
    <w:rsid w:val="00F56AD4"/>
    <w:rsid w:val="00F6078C"/>
    <w:rsid w:val="00F64F82"/>
    <w:rsid w:val="00F70248"/>
    <w:rsid w:val="00F756BB"/>
    <w:rsid w:val="00F801B6"/>
    <w:rsid w:val="00F81078"/>
    <w:rsid w:val="00F813A2"/>
    <w:rsid w:val="00F831DD"/>
    <w:rsid w:val="00F86A23"/>
    <w:rsid w:val="00F905B6"/>
    <w:rsid w:val="00F911BA"/>
    <w:rsid w:val="00F92401"/>
    <w:rsid w:val="00F93B6E"/>
    <w:rsid w:val="00F9479C"/>
    <w:rsid w:val="00FA12CA"/>
    <w:rsid w:val="00FA1E70"/>
    <w:rsid w:val="00FA2C81"/>
    <w:rsid w:val="00FA5540"/>
    <w:rsid w:val="00FA5B46"/>
    <w:rsid w:val="00FA6737"/>
    <w:rsid w:val="00FA77E1"/>
    <w:rsid w:val="00FB11D8"/>
    <w:rsid w:val="00FB462D"/>
    <w:rsid w:val="00FB4AB9"/>
    <w:rsid w:val="00FB600D"/>
    <w:rsid w:val="00FB7377"/>
    <w:rsid w:val="00FC18B3"/>
    <w:rsid w:val="00FC2286"/>
    <w:rsid w:val="00FC2A93"/>
    <w:rsid w:val="00FC4BDE"/>
    <w:rsid w:val="00FC4F04"/>
    <w:rsid w:val="00FC5BE9"/>
    <w:rsid w:val="00FC6298"/>
    <w:rsid w:val="00FC67BC"/>
    <w:rsid w:val="00FC6DDC"/>
    <w:rsid w:val="00FC7B18"/>
    <w:rsid w:val="00FD08CB"/>
    <w:rsid w:val="00FD23E7"/>
    <w:rsid w:val="00FD34FC"/>
    <w:rsid w:val="00FD3566"/>
    <w:rsid w:val="00FD39A8"/>
    <w:rsid w:val="00FD3B8C"/>
    <w:rsid w:val="00FD479F"/>
    <w:rsid w:val="00FD5AE9"/>
    <w:rsid w:val="00FD61A8"/>
    <w:rsid w:val="00FE13DF"/>
    <w:rsid w:val="00FE23F1"/>
    <w:rsid w:val="00FE26A8"/>
    <w:rsid w:val="00FE2977"/>
    <w:rsid w:val="00FE3C48"/>
    <w:rsid w:val="00FE4EFB"/>
    <w:rsid w:val="00FE7709"/>
    <w:rsid w:val="00FF1AC4"/>
    <w:rsid w:val="00FF1D6E"/>
    <w:rsid w:val="00FF55FA"/>
    <w:rsid w:val="00FF5E6E"/>
    <w:rsid w:val="00FF6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DF5D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56"/>
    <w:rPr>
      <w:rFonts w:ascii="Times New Roman" w:eastAsia="Times New Roman" w:hAnsi="Times New Roman" w:cs="Times New Roman"/>
      <w:lang w:val="en-PH" w:eastAsia="en-GB"/>
    </w:rPr>
  </w:style>
  <w:style w:type="paragraph" w:styleId="Heading1">
    <w:name w:val="heading 1"/>
    <w:basedOn w:val="Normal"/>
    <w:next w:val="Normal"/>
    <w:link w:val="Heading1Char"/>
    <w:uiPriority w:val="9"/>
    <w:qFormat/>
    <w:rsid w:val="001930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30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29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出段落"/>
    <w:basedOn w:val="Normal"/>
    <w:link w:val="ListParagraphChar"/>
    <w:uiPriority w:val="34"/>
    <w:qFormat/>
    <w:rsid w:val="00D07C51"/>
    <w:pPr>
      <w:ind w:left="720"/>
      <w:contextualSpacing/>
    </w:pPr>
  </w:style>
  <w:style w:type="paragraph" w:styleId="FootnoteText">
    <w:name w:val="footnote text"/>
    <w:basedOn w:val="Normal"/>
    <w:link w:val="FootnoteTextChar"/>
    <w:uiPriority w:val="99"/>
    <w:unhideWhenUsed/>
    <w:rsid w:val="00D07C51"/>
  </w:style>
  <w:style w:type="character" w:customStyle="1" w:styleId="FootnoteTextChar">
    <w:name w:val="Footnote Text Char"/>
    <w:basedOn w:val="DefaultParagraphFont"/>
    <w:link w:val="FootnoteText"/>
    <w:uiPriority w:val="99"/>
    <w:rsid w:val="00D07C51"/>
  </w:style>
  <w:style w:type="character" w:styleId="FootnoteReference">
    <w:name w:val="footnote reference"/>
    <w:basedOn w:val="DefaultParagraphFont"/>
    <w:uiPriority w:val="99"/>
    <w:unhideWhenUsed/>
    <w:rsid w:val="00D07C51"/>
    <w:rPr>
      <w:vertAlign w:val="superscript"/>
    </w:rPr>
  </w:style>
  <w:style w:type="paragraph" w:styleId="Footer">
    <w:name w:val="footer"/>
    <w:basedOn w:val="Normal"/>
    <w:link w:val="FooterChar"/>
    <w:uiPriority w:val="99"/>
    <w:unhideWhenUsed/>
    <w:rsid w:val="0049728C"/>
    <w:pPr>
      <w:tabs>
        <w:tab w:val="center" w:pos="4320"/>
        <w:tab w:val="right" w:pos="8640"/>
      </w:tabs>
    </w:pPr>
  </w:style>
  <w:style w:type="character" w:customStyle="1" w:styleId="FooterChar">
    <w:name w:val="Footer Char"/>
    <w:basedOn w:val="DefaultParagraphFont"/>
    <w:link w:val="Footer"/>
    <w:uiPriority w:val="99"/>
    <w:rsid w:val="0049728C"/>
  </w:style>
  <w:style w:type="character" w:styleId="PageNumber">
    <w:name w:val="page number"/>
    <w:basedOn w:val="DefaultParagraphFont"/>
    <w:uiPriority w:val="99"/>
    <w:semiHidden/>
    <w:unhideWhenUsed/>
    <w:rsid w:val="0049728C"/>
  </w:style>
  <w:style w:type="character" w:styleId="CommentReference">
    <w:name w:val="annotation reference"/>
    <w:basedOn w:val="DefaultParagraphFont"/>
    <w:uiPriority w:val="99"/>
    <w:semiHidden/>
    <w:unhideWhenUsed/>
    <w:rsid w:val="004061F3"/>
    <w:rPr>
      <w:sz w:val="18"/>
      <w:szCs w:val="18"/>
    </w:rPr>
  </w:style>
  <w:style w:type="paragraph" w:styleId="CommentText">
    <w:name w:val="annotation text"/>
    <w:basedOn w:val="Normal"/>
    <w:link w:val="CommentTextChar"/>
    <w:uiPriority w:val="99"/>
    <w:semiHidden/>
    <w:unhideWhenUsed/>
    <w:rsid w:val="004061F3"/>
  </w:style>
  <w:style w:type="character" w:customStyle="1" w:styleId="CommentTextChar">
    <w:name w:val="Comment Text Char"/>
    <w:basedOn w:val="DefaultParagraphFont"/>
    <w:link w:val="CommentText"/>
    <w:uiPriority w:val="99"/>
    <w:semiHidden/>
    <w:rsid w:val="004061F3"/>
  </w:style>
  <w:style w:type="paragraph" w:styleId="CommentSubject">
    <w:name w:val="annotation subject"/>
    <w:basedOn w:val="CommentText"/>
    <w:next w:val="CommentText"/>
    <w:link w:val="CommentSubjectChar"/>
    <w:uiPriority w:val="99"/>
    <w:semiHidden/>
    <w:unhideWhenUsed/>
    <w:rsid w:val="004061F3"/>
    <w:rPr>
      <w:b/>
      <w:bCs/>
      <w:sz w:val="20"/>
      <w:szCs w:val="20"/>
    </w:rPr>
  </w:style>
  <w:style w:type="character" w:customStyle="1" w:styleId="CommentSubjectChar">
    <w:name w:val="Comment Subject Char"/>
    <w:basedOn w:val="CommentTextChar"/>
    <w:link w:val="CommentSubject"/>
    <w:uiPriority w:val="99"/>
    <w:semiHidden/>
    <w:rsid w:val="004061F3"/>
    <w:rPr>
      <w:b/>
      <w:bCs/>
      <w:sz w:val="20"/>
      <w:szCs w:val="20"/>
    </w:rPr>
  </w:style>
  <w:style w:type="paragraph" w:styleId="BalloonText">
    <w:name w:val="Balloon Text"/>
    <w:basedOn w:val="Normal"/>
    <w:link w:val="BalloonTextChar"/>
    <w:uiPriority w:val="99"/>
    <w:semiHidden/>
    <w:unhideWhenUsed/>
    <w:rsid w:val="004061F3"/>
    <w:rPr>
      <w:sz w:val="18"/>
      <w:szCs w:val="18"/>
    </w:rPr>
  </w:style>
  <w:style w:type="character" w:customStyle="1" w:styleId="BalloonTextChar">
    <w:name w:val="Balloon Text Char"/>
    <w:basedOn w:val="DefaultParagraphFont"/>
    <w:link w:val="BalloonText"/>
    <w:uiPriority w:val="99"/>
    <w:semiHidden/>
    <w:rsid w:val="004061F3"/>
    <w:rPr>
      <w:rFonts w:ascii="Times New Roman" w:hAnsi="Times New Roman" w:cs="Times New Roman"/>
      <w:sz w:val="18"/>
      <w:szCs w:val="18"/>
    </w:rPr>
  </w:style>
  <w:style w:type="paragraph" w:styleId="Revision">
    <w:name w:val="Revision"/>
    <w:hidden/>
    <w:uiPriority w:val="99"/>
    <w:semiHidden/>
    <w:rsid w:val="00DC074F"/>
  </w:style>
  <w:style w:type="paragraph" w:styleId="EndnoteText">
    <w:name w:val="endnote text"/>
    <w:basedOn w:val="Normal"/>
    <w:link w:val="EndnoteTextChar"/>
    <w:semiHidden/>
    <w:unhideWhenUsed/>
    <w:rsid w:val="00916314"/>
    <w:rPr>
      <w:sz w:val="20"/>
      <w:szCs w:val="20"/>
      <w:lang w:val="en-AU"/>
    </w:rPr>
  </w:style>
  <w:style w:type="character" w:customStyle="1" w:styleId="EndnoteTextChar">
    <w:name w:val="Endnote Text Char"/>
    <w:basedOn w:val="DefaultParagraphFont"/>
    <w:link w:val="EndnoteText"/>
    <w:semiHidden/>
    <w:rsid w:val="00916314"/>
    <w:rPr>
      <w:rFonts w:ascii="Times New Roman" w:eastAsia="Times New Roman" w:hAnsi="Times New Roman" w:cs="Times New Roman"/>
      <w:sz w:val="20"/>
      <w:szCs w:val="20"/>
      <w:lang w:val="en-AU"/>
    </w:rPr>
  </w:style>
  <w:style w:type="character" w:styleId="EndnoteReference">
    <w:name w:val="endnote reference"/>
    <w:basedOn w:val="DefaultParagraphFont"/>
    <w:semiHidden/>
    <w:unhideWhenUsed/>
    <w:rsid w:val="00916314"/>
    <w:rPr>
      <w:vertAlign w:val="superscript"/>
    </w:rPr>
  </w:style>
  <w:style w:type="paragraph" w:styleId="Header">
    <w:name w:val="header"/>
    <w:basedOn w:val="Normal"/>
    <w:link w:val="HeaderChar"/>
    <w:uiPriority w:val="99"/>
    <w:unhideWhenUsed/>
    <w:rsid w:val="007B3EF6"/>
    <w:pPr>
      <w:tabs>
        <w:tab w:val="center" w:pos="4513"/>
        <w:tab w:val="right" w:pos="9026"/>
      </w:tabs>
    </w:pPr>
  </w:style>
  <w:style w:type="character" w:customStyle="1" w:styleId="HeaderChar">
    <w:name w:val="Header Char"/>
    <w:basedOn w:val="DefaultParagraphFont"/>
    <w:link w:val="Header"/>
    <w:uiPriority w:val="99"/>
    <w:rsid w:val="007B3EF6"/>
  </w:style>
  <w:style w:type="table" w:styleId="TableGrid">
    <w:name w:val="Table Grid"/>
    <w:basedOn w:val="TableNormal"/>
    <w:uiPriority w:val="59"/>
    <w:rsid w:val="007F615A"/>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29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974B7"/>
    <w:pPr>
      <w:spacing w:before="100" w:beforeAutospacing="1" w:after="100" w:afterAutospacing="1"/>
    </w:pPr>
  </w:style>
  <w:style w:type="character" w:customStyle="1" w:styleId="Heading1Char">
    <w:name w:val="Heading 1 Char"/>
    <w:basedOn w:val="DefaultParagraphFont"/>
    <w:link w:val="Heading1"/>
    <w:uiPriority w:val="9"/>
    <w:rsid w:val="001930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306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193062"/>
    <w:pPr>
      <w:spacing w:after="200"/>
    </w:pPr>
    <w:rPr>
      <w:i/>
      <w:iCs/>
      <w:color w:val="1F497D" w:themeColor="text2"/>
      <w:sz w:val="18"/>
      <w:szCs w:val="18"/>
    </w:rPr>
  </w:style>
  <w:style w:type="paragraph" w:styleId="TOC1">
    <w:name w:val="toc 1"/>
    <w:basedOn w:val="Normal"/>
    <w:next w:val="Normal"/>
    <w:autoRedefine/>
    <w:uiPriority w:val="39"/>
    <w:unhideWhenUsed/>
    <w:rsid w:val="00DB392C"/>
    <w:pPr>
      <w:tabs>
        <w:tab w:val="left" w:pos="720"/>
        <w:tab w:val="right" w:leader="dot" w:pos="8630"/>
      </w:tabs>
      <w:spacing w:before="120" w:after="120"/>
    </w:pPr>
    <w:rPr>
      <w:b/>
      <w:bCs/>
      <w:caps/>
      <w:sz w:val="20"/>
    </w:rPr>
  </w:style>
  <w:style w:type="paragraph" w:styleId="TOC2">
    <w:name w:val="toc 2"/>
    <w:basedOn w:val="Normal"/>
    <w:next w:val="Normal"/>
    <w:autoRedefine/>
    <w:uiPriority w:val="39"/>
    <w:unhideWhenUsed/>
    <w:rsid w:val="00D82035"/>
    <w:pPr>
      <w:ind w:left="240"/>
    </w:pPr>
    <w:rPr>
      <w:smallCaps/>
      <w:sz w:val="20"/>
    </w:rPr>
  </w:style>
  <w:style w:type="paragraph" w:styleId="TOC3">
    <w:name w:val="toc 3"/>
    <w:basedOn w:val="Normal"/>
    <w:next w:val="Normal"/>
    <w:autoRedefine/>
    <w:uiPriority w:val="39"/>
    <w:unhideWhenUsed/>
    <w:rsid w:val="00193062"/>
    <w:pPr>
      <w:ind w:left="480"/>
    </w:pPr>
    <w:rPr>
      <w:i/>
      <w:iCs/>
      <w:sz w:val="20"/>
    </w:rPr>
  </w:style>
  <w:style w:type="paragraph" w:styleId="TOC4">
    <w:name w:val="toc 4"/>
    <w:basedOn w:val="Normal"/>
    <w:next w:val="Normal"/>
    <w:autoRedefine/>
    <w:uiPriority w:val="39"/>
    <w:unhideWhenUsed/>
    <w:rsid w:val="00193062"/>
    <w:pPr>
      <w:ind w:left="720"/>
    </w:pPr>
    <w:rPr>
      <w:sz w:val="18"/>
      <w:szCs w:val="21"/>
    </w:rPr>
  </w:style>
  <w:style w:type="paragraph" w:styleId="TOC5">
    <w:name w:val="toc 5"/>
    <w:basedOn w:val="Normal"/>
    <w:next w:val="Normal"/>
    <w:autoRedefine/>
    <w:uiPriority w:val="39"/>
    <w:unhideWhenUsed/>
    <w:rsid w:val="00193062"/>
    <w:pPr>
      <w:ind w:left="960"/>
    </w:pPr>
    <w:rPr>
      <w:sz w:val="18"/>
      <w:szCs w:val="21"/>
    </w:rPr>
  </w:style>
  <w:style w:type="paragraph" w:styleId="TOC6">
    <w:name w:val="toc 6"/>
    <w:basedOn w:val="Normal"/>
    <w:next w:val="Normal"/>
    <w:autoRedefine/>
    <w:uiPriority w:val="39"/>
    <w:unhideWhenUsed/>
    <w:rsid w:val="00193062"/>
    <w:pPr>
      <w:ind w:left="1200"/>
    </w:pPr>
    <w:rPr>
      <w:sz w:val="18"/>
      <w:szCs w:val="21"/>
    </w:rPr>
  </w:style>
  <w:style w:type="paragraph" w:styleId="TOC7">
    <w:name w:val="toc 7"/>
    <w:basedOn w:val="Normal"/>
    <w:next w:val="Normal"/>
    <w:autoRedefine/>
    <w:uiPriority w:val="39"/>
    <w:unhideWhenUsed/>
    <w:rsid w:val="00193062"/>
    <w:pPr>
      <w:ind w:left="1440"/>
    </w:pPr>
    <w:rPr>
      <w:sz w:val="18"/>
      <w:szCs w:val="21"/>
    </w:rPr>
  </w:style>
  <w:style w:type="paragraph" w:styleId="TOC8">
    <w:name w:val="toc 8"/>
    <w:basedOn w:val="Normal"/>
    <w:next w:val="Normal"/>
    <w:autoRedefine/>
    <w:uiPriority w:val="39"/>
    <w:unhideWhenUsed/>
    <w:rsid w:val="00193062"/>
    <w:pPr>
      <w:ind w:left="1680"/>
    </w:pPr>
    <w:rPr>
      <w:sz w:val="18"/>
      <w:szCs w:val="21"/>
    </w:rPr>
  </w:style>
  <w:style w:type="paragraph" w:styleId="TOC9">
    <w:name w:val="toc 9"/>
    <w:basedOn w:val="Normal"/>
    <w:next w:val="Normal"/>
    <w:autoRedefine/>
    <w:uiPriority w:val="39"/>
    <w:unhideWhenUsed/>
    <w:rsid w:val="00193062"/>
    <w:pPr>
      <w:ind w:left="1920"/>
    </w:pPr>
    <w:rPr>
      <w:sz w:val="18"/>
      <w:szCs w:val="21"/>
    </w:rPr>
  </w:style>
  <w:style w:type="character" w:styleId="Hyperlink">
    <w:name w:val="Hyperlink"/>
    <w:basedOn w:val="DefaultParagraphFont"/>
    <w:uiPriority w:val="99"/>
    <w:unhideWhenUsed/>
    <w:rsid w:val="00193062"/>
    <w:rPr>
      <w:color w:val="0000FF" w:themeColor="hyperlink"/>
      <w:u w:val="single"/>
    </w:rPr>
  </w:style>
  <w:style w:type="character" w:customStyle="1" w:styleId="normaltextrun">
    <w:name w:val="normaltextrun"/>
    <w:basedOn w:val="DefaultParagraphFont"/>
    <w:rsid w:val="00451E44"/>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locked/>
    <w:rsid w:val="00F756BB"/>
  </w:style>
  <w:style w:type="character" w:styleId="FollowedHyperlink">
    <w:name w:val="FollowedHyperlink"/>
    <w:basedOn w:val="DefaultParagraphFont"/>
    <w:uiPriority w:val="99"/>
    <w:semiHidden/>
    <w:unhideWhenUsed/>
    <w:rsid w:val="00213528"/>
    <w:rPr>
      <w:color w:val="954F72"/>
      <w:u w:val="single"/>
    </w:rPr>
  </w:style>
  <w:style w:type="paragraph" w:customStyle="1" w:styleId="msonormal0">
    <w:name w:val="msonormal"/>
    <w:basedOn w:val="Normal"/>
    <w:rsid w:val="00213528"/>
    <w:pPr>
      <w:spacing w:before="100" w:beforeAutospacing="1" w:after="100" w:afterAutospacing="1"/>
    </w:pPr>
  </w:style>
  <w:style w:type="paragraph" w:customStyle="1" w:styleId="xl64">
    <w:name w:val="xl64"/>
    <w:basedOn w:val="Normal"/>
    <w:rsid w:val="00213528"/>
    <w:pPr>
      <w:spacing w:before="100" w:beforeAutospacing="1" w:after="100" w:afterAutospacing="1"/>
    </w:pPr>
    <w:rPr>
      <w:sz w:val="22"/>
      <w:szCs w:val="22"/>
    </w:rPr>
  </w:style>
  <w:style w:type="paragraph" w:customStyle="1" w:styleId="xl65">
    <w:name w:val="xl65"/>
    <w:basedOn w:val="Normal"/>
    <w:rsid w:val="00213528"/>
    <w:pPr>
      <w:shd w:val="clear" w:color="000000" w:fill="FFFF00"/>
      <w:spacing w:before="100" w:beforeAutospacing="1" w:after="100" w:afterAutospacing="1"/>
    </w:pPr>
    <w:rPr>
      <w:color w:val="FF0000"/>
      <w:sz w:val="22"/>
      <w:szCs w:val="22"/>
    </w:rPr>
  </w:style>
  <w:style w:type="paragraph" w:customStyle="1" w:styleId="xl66">
    <w:name w:val="xl66"/>
    <w:basedOn w:val="Normal"/>
    <w:rsid w:val="0021352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7">
    <w:name w:val="xl67"/>
    <w:basedOn w:val="Normal"/>
    <w:rsid w:val="00213528"/>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rsid w:val="002135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69">
    <w:name w:val="xl69"/>
    <w:basedOn w:val="Normal"/>
    <w:rsid w:val="002135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70">
    <w:name w:val="xl70"/>
    <w:basedOn w:val="Normal"/>
    <w:rsid w:val="0021352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71">
    <w:name w:val="xl71"/>
    <w:basedOn w:val="Normal"/>
    <w:rsid w:val="002135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2"/>
      <w:szCs w:val="22"/>
    </w:rPr>
  </w:style>
  <w:style w:type="paragraph" w:customStyle="1" w:styleId="xl72">
    <w:name w:val="xl72"/>
    <w:basedOn w:val="Normal"/>
    <w:rsid w:val="002135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venir Book" w:hAnsi="Avenir Book"/>
      <w:color w:val="FF0000"/>
      <w:sz w:val="22"/>
      <w:szCs w:val="22"/>
    </w:rPr>
  </w:style>
  <w:style w:type="paragraph" w:styleId="Subtitle">
    <w:name w:val="Subtitle"/>
    <w:basedOn w:val="Normal"/>
    <w:next w:val="Normal"/>
    <w:link w:val="SubtitleChar"/>
    <w:uiPriority w:val="11"/>
    <w:qFormat/>
    <w:rsid w:val="002B46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B46FD"/>
    <w:rPr>
      <w:rFonts w:ascii="Times New Roman" w:hAnsi="Times New Roman" w:cs="Times New Roman"/>
      <w:color w:val="5A5A5A" w:themeColor="text1" w:themeTint="A5"/>
      <w:spacing w:val="15"/>
      <w:sz w:val="22"/>
      <w:szCs w:val="22"/>
      <w:lang w:val="en-P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309">
      <w:bodyDiv w:val="1"/>
      <w:marLeft w:val="0"/>
      <w:marRight w:val="0"/>
      <w:marTop w:val="0"/>
      <w:marBottom w:val="0"/>
      <w:divBdr>
        <w:top w:val="none" w:sz="0" w:space="0" w:color="auto"/>
        <w:left w:val="none" w:sz="0" w:space="0" w:color="auto"/>
        <w:bottom w:val="none" w:sz="0" w:space="0" w:color="auto"/>
        <w:right w:val="none" w:sz="0" w:space="0" w:color="auto"/>
      </w:divBdr>
      <w:divsChild>
        <w:div w:id="854610167">
          <w:marLeft w:val="0"/>
          <w:marRight w:val="0"/>
          <w:marTop w:val="0"/>
          <w:marBottom w:val="0"/>
          <w:divBdr>
            <w:top w:val="none" w:sz="0" w:space="0" w:color="auto"/>
            <w:left w:val="none" w:sz="0" w:space="0" w:color="auto"/>
            <w:bottom w:val="none" w:sz="0" w:space="0" w:color="auto"/>
            <w:right w:val="none" w:sz="0" w:space="0" w:color="auto"/>
          </w:divBdr>
          <w:divsChild>
            <w:div w:id="660279027">
              <w:marLeft w:val="0"/>
              <w:marRight w:val="0"/>
              <w:marTop w:val="0"/>
              <w:marBottom w:val="0"/>
              <w:divBdr>
                <w:top w:val="none" w:sz="0" w:space="0" w:color="auto"/>
                <w:left w:val="none" w:sz="0" w:space="0" w:color="auto"/>
                <w:bottom w:val="none" w:sz="0" w:space="0" w:color="auto"/>
                <w:right w:val="none" w:sz="0" w:space="0" w:color="auto"/>
              </w:divBdr>
              <w:divsChild>
                <w:div w:id="1588612789">
                  <w:marLeft w:val="0"/>
                  <w:marRight w:val="0"/>
                  <w:marTop w:val="0"/>
                  <w:marBottom w:val="0"/>
                  <w:divBdr>
                    <w:top w:val="none" w:sz="0" w:space="0" w:color="auto"/>
                    <w:left w:val="none" w:sz="0" w:space="0" w:color="auto"/>
                    <w:bottom w:val="none" w:sz="0" w:space="0" w:color="auto"/>
                    <w:right w:val="none" w:sz="0" w:space="0" w:color="auto"/>
                  </w:divBdr>
                </w:div>
              </w:divsChild>
            </w:div>
            <w:div w:id="138962899">
              <w:marLeft w:val="0"/>
              <w:marRight w:val="0"/>
              <w:marTop w:val="0"/>
              <w:marBottom w:val="0"/>
              <w:divBdr>
                <w:top w:val="none" w:sz="0" w:space="0" w:color="auto"/>
                <w:left w:val="none" w:sz="0" w:space="0" w:color="auto"/>
                <w:bottom w:val="none" w:sz="0" w:space="0" w:color="auto"/>
                <w:right w:val="none" w:sz="0" w:space="0" w:color="auto"/>
              </w:divBdr>
              <w:divsChild>
                <w:div w:id="2103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1206">
          <w:marLeft w:val="0"/>
          <w:marRight w:val="0"/>
          <w:marTop w:val="0"/>
          <w:marBottom w:val="0"/>
          <w:divBdr>
            <w:top w:val="none" w:sz="0" w:space="0" w:color="auto"/>
            <w:left w:val="none" w:sz="0" w:space="0" w:color="auto"/>
            <w:bottom w:val="none" w:sz="0" w:space="0" w:color="auto"/>
            <w:right w:val="none" w:sz="0" w:space="0" w:color="auto"/>
          </w:divBdr>
          <w:divsChild>
            <w:div w:id="1939365107">
              <w:marLeft w:val="0"/>
              <w:marRight w:val="0"/>
              <w:marTop w:val="0"/>
              <w:marBottom w:val="0"/>
              <w:divBdr>
                <w:top w:val="none" w:sz="0" w:space="0" w:color="auto"/>
                <w:left w:val="none" w:sz="0" w:space="0" w:color="auto"/>
                <w:bottom w:val="none" w:sz="0" w:space="0" w:color="auto"/>
                <w:right w:val="none" w:sz="0" w:space="0" w:color="auto"/>
              </w:divBdr>
              <w:divsChild>
                <w:div w:id="14124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5454">
      <w:bodyDiv w:val="1"/>
      <w:marLeft w:val="0"/>
      <w:marRight w:val="0"/>
      <w:marTop w:val="0"/>
      <w:marBottom w:val="0"/>
      <w:divBdr>
        <w:top w:val="none" w:sz="0" w:space="0" w:color="auto"/>
        <w:left w:val="none" w:sz="0" w:space="0" w:color="auto"/>
        <w:bottom w:val="none" w:sz="0" w:space="0" w:color="auto"/>
        <w:right w:val="none" w:sz="0" w:space="0" w:color="auto"/>
      </w:divBdr>
      <w:divsChild>
        <w:div w:id="1327124639">
          <w:marLeft w:val="0"/>
          <w:marRight w:val="0"/>
          <w:marTop w:val="0"/>
          <w:marBottom w:val="0"/>
          <w:divBdr>
            <w:top w:val="none" w:sz="0" w:space="0" w:color="auto"/>
            <w:left w:val="none" w:sz="0" w:space="0" w:color="auto"/>
            <w:bottom w:val="none" w:sz="0" w:space="0" w:color="auto"/>
            <w:right w:val="none" w:sz="0" w:space="0" w:color="auto"/>
          </w:divBdr>
          <w:divsChild>
            <w:div w:id="1431047641">
              <w:marLeft w:val="0"/>
              <w:marRight w:val="0"/>
              <w:marTop w:val="0"/>
              <w:marBottom w:val="0"/>
              <w:divBdr>
                <w:top w:val="none" w:sz="0" w:space="0" w:color="auto"/>
                <w:left w:val="none" w:sz="0" w:space="0" w:color="auto"/>
                <w:bottom w:val="none" w:sz="0" w:space="0" w:color="auto"/>
                <w:right w:val="none" w:sz="0" w:space="0" w:color="auto"/>
              </w:divBdr>
              <w:divsChild>
                <w:div w:id="964190801">
                  <w:marLeft w:val="0"/>
                  <w:marRight w:val="0"/>
                  <w:marTop w:val="0"/>
                  <w:marBottom w:val="0"/>
                  <w:divBdr>
                    <w:top w:val="none" w:sz="0" w:space="0" w:color="auto"/>
                    <w:left w:val="none" w:sz="0" w:space="0" w:color="auto"/>
                    <w:bottom w:val="none" w:sz="0" w:space="0" w:color="auto"/>
                    <w:right w:val="none" w:sz="0" w:space="0" w:color="auto"/>
                  </w:divBdr>
                  <w:divsChild>
                    <w:div w:id="1902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sChild>
        <w:div w:id="645479442">
          <w:marLeft w:val="0"/>
          <w:marRight w:val="0"/>
          <w:marTop w:val="0"/>
          <w:marBottom w:val="0"/>
          <w:divBdr>
            <w:top w:val="none" w:sz="0" w:space="0" w:color="auto"/>
            <w:left w:val="none" w:sz="0" w:space="0" w:color="auto"/>
            <w:bottom w:val="none" w:sz="0" w:space="0" w:color="auto"/>
            <w:right w:val="none" w:sz="0" w:space="0" w:color="auto"/>
          </w:divBdr>
          <w:divsChild>
            <w:div w:id="265037534">
              <w:marLeft w:val="0"/>
              <w:marRight w:val="0"/>
              <w:marTop w:val="0"/>
              <w:marBottom w:val="0"/>
              <w:divBdr>
                <w:top w:val="none" w:sz="0" w:space="0" w:color="auto"/>
                <w:left w:val="none" w:sz="0" w:space="0" w:color="auto"/>
                <w:bottom w:val="none" w:sz="0" w:space="0" w:color="auto"/>
                <w:right w:val="none" w:sz="0" w:space="0" w:color="auto"/>
              </w:divBdr>
              <w:divsChild>
                <w:div w:id="897516932">
                  <w:marLeft w:val="0"/>
                  <w:marRight w:val="0"/>
                  <w:marTop w:val="0"/>
                  <w:marBottom w:val="0"/>
                  <w:divBdr>
                    <w:top w:val="none" w:sz="0" w:space="0" w:color="auto"/>
                    <w:left w:val="none" w:sz="0" w:space="0" w:color="auto"/>
                    <w:bottom w:val="none" w:sz="0" w:space="0" w:color="auto"/>
                    <w:right w:val="none" w:sz="0" w:space="0" w:color="auto"/>
                  </w:divBdr>
                  <w:divsChild>
                    <w:div w:id="19925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8354">
      <w:bodyDiv w:val="1"/>
      <w:marLeft w:val="0"/>
      <w:marRight w:val="0"/>
      <w:marTop w:val="0"/>
      <w:marBottom w:val="0"/>
      <w:divBdr>
        <w:top w:val="none" w:sz="0" w:space="0" w:color="auto"/>
        <w:left w:val="none" w:sz="0" w:space="0" w:color="auto"/>
        <w:bottom w:val="none" w:sz="0" w:space="0" w:color="auto"/>
        <w:right w:val="none" w:sz="0" w:space="0" w:color="auto"/>
      </w:divBdr>
      <w:divsChild>
        <w:div w:id="1540849423">
          <w:marLeft w:val="0"/>
          <w:marRight w:val="0"/>
          <w:marTop w:val="0"/>
          <w:marBottom w:val="0"/>
          <w:divBdr>
            <w:top w:val="none" w:sz="0" w:space="0" w:color="auto"/>
            <w:left w:val="none" w:sz="0" w:space="0" w:color="auto"/>
            <w:bottom w:val="none" w:sz="0" w:space="0" w:color="auto"/>
            <w:right w:val="none" w:sz="0" w:space="0" w:color="auto"/>
          </w:divBdr>
          <w:divsChild>
            <w:div w:id="1953513732">
              <w:marLeft w:val="0"/>
              <w:marRight w:val="0"/>
              <w:marTop w:val="0"/>
              <w:marBottom w:val="0"/>
              <w:divBdr>
                <w:top w:val="none" w:sz="0" w:space="0" w:color="auto"/>
                <w:left w:val="none" w:sz="0" w:space="0" w:color="auto"/>
                <w:bottom w:val="none" w:sz="0" w:space="0" w:color="auto"/>
                <w:right w:val="none" w:sz="0" w:space="0" w:color="auto"/>
              </w:divBdr>
              <w:divsChild>
                <w:div w:id="10445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78602">
      <w:bodyDiv w:val="1"/>
      <w:marLeft w:val="0"/>
      <w:marRight w:val="0"/>
      <w:marTop w:val="0"/>
      <w:marBottom w:val="0"/>
      <w:divBdr>
        <w:top w:val="none" w:sz="0" w:space="0" w:color="auto"/>
        <w:left w:val="none" w:sz="0" w:space="0" w:color="auto"/>
        <w:bottom w:val="none" w:sz="0" w:space="0" w:color="auto"/>
        <w:right w:val="none" w:sz="0" w:space="0" w:color="auto"/>
      </w:divBdr>
      <w:divsChild>
        <w:div w:id="11997722">
          <w:marLeft w:val="0"/>
          <w:marRight w:val="0"/>
          <w:marTop w:val="0"/>
          <w:marBottom w:val="0"/>
          <w:divBdr>
            <w:top w:val="none" w:sz="0" w:space="0" w:color="auto"/>
            <w:left w:val="none" w:sz="0" w:space="0" w:color="auto"/>
            <w:bottom w:val="none" w:sz="0" w:space="0" w:color="auto"/>
            <w:right w:val="none" w:sz="0" w:space="0" w:color="auto"/>
          </w:divBdr>
          <w:divsChild>
            <w:div w:id="1005133332">
              <w:marLeft w:val="0"/>
              <w:marRight w:val="0"/>
              <w:marTop w:val="0"/>
              <w:marBottom w:val="0"/>
              <w:divBdr>
                <w:top w:val="none" w:sz="0" w:space="0" w:color="auto"/>
                <w:left w:val="none" w:sz="0" w:space="0" w:color="auto"/>
                <w:bottom w:val="none" w:sz="0" w:space="0" w:color="auto"/>
                <w:right w:val="none" w:sz="0" w:space="0" w:color="auto"/>
              </w:divBdr>
              <w:divsChild>
                <w:div w:id="1695960811">
                  <w:marLeft w:val="0"/>
                  <w:marRight w:val="0"/>
                  <w:marTop w:val="0"/>
                  <w:marBottom w:val="0"/>
                  <w:divBdr>
                    <w:top w:val="none" w:sz="0" w:space="0" w:color="auto"/>
                    <w:left w:val="none" w:sz="0" w:space="0" w:color="auto"/>
                    <w:bottom w:val="none" w:sz="0" w:space="0" w:color="auto"/>
                    <w:right w:val="none" w:sz="0" w:space="0" w:color="auto"/>
                  </w:divBdr>
                  <w:divsChild>
                    <w:div w:id="20333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2407">
      <w:bodyDiv w:val="1"/>
      <w:marLeft w:val="0"/>
      <w:marRight w:val="0"/>
      <w:marTop w:val="0"/>
      <w:marBottom w:val="0"/>
      <w:divBdr>
        <w:top w:val="none" w:sz="0" w:space="0" w:color="auto"/>
        <w:left w:val="none" w:sz="0" w:space="0" w:color="auto"/>
        <w:bottom w:val="none" w:sz="0" w:space="0" w:color="auto"/>
        <w:right w:val="none" w:sz="0" w:space="0" w:color="auto"/>
      </w:divBdr>
    </w:div>
    <w:div w:id="274295886">
      <w:bodyDiv w:val="1"/>
      <w:marLeft w:val="0"/>
      <w:marRight w:val="0"/>
      <w:marTop w:val="0"/>
      <w:marBottom w:val="0"/>
      <w:divBdr>
        <w:top w:val="none" w:sz="0" w:space="0" w:color="auto"/>
        <w:left w:val="none" w:sz="0" w:space="0" w:color="auto"/>
        <w:bottom w:val="none" w:sz="0" w:space="0" w:color="auto"/>
        <w:right w:val="none" w:sz="0" w:space="0" w:color="auto"/>
      </w:divBdr>
    </w:div>
    <w:div w:id="324944263">
      <w:bodyDiv w:val="1"/>
      <w:marLeft w:val="0"/>
      <w:marRight w:val="0"/>
      <w:marTop w:val="0"/>
      <w:marBottom w:val="0"/>
      <w:divBdr>
        <w:top w:val="none" w:sz="0" w:space="0" w:color="auto"/>
        <w:left w:val="none" w:sz="0" w:space="0" w:color="auto"/>
        <w:bottom w:val="none" w:sz="0" w:space="0" w:color="auto"/>
        <w:right w:val="none" w:sz="0" w:space="0" w:color="auto"/>
      </w:divBdr>
    </w:div>
    <w:div w:id="337149770">
      <w:bodyDiv w:val="1"/>
      <w:marLeft w:val="0"/>
      <w:marRight w:val="0"/>
      <w:marTop w:val="0"/>
      <w:marBottom w:val="0"/>
      <w:divBdr>
        <w:top w:val="none" w:sz="0" w:space="0" w:color="auto"/>
        <w:left w:val="none" w:sz="0" w:space="0" w:color="auto"/>
        <w:bottom w:val="none" w:sz="0" w:space="0" w:color="auto"/>
        <w:right w:val="none" w:sz="0" w:space="0" w:color="auto"/>
      </w:divBdr>
      <w:divsChild>
        <w:div w:id="880171895">
          <w:marLeft w:val="0"/>
          <w:marRight w:val="0"/>
          <w:marTop w:val="0"/>
          <w:marBottom w:val="0"/>
          <w:divBdr>
            <w:top w:val="none" w:sz="0" w:space="0" w:color="auto"/>
            <w:left w:val="none" w:sz="0" w:space="0" w:color="auto"/>
            <w:bottom w:val="none" w:sz="0" w:space="0" w:color="auto"/>
            <w:right w:val="none" w:sz="0" w:space="0" w:color="auto"/>
          </w:divBdr>
          <w:divsChild>
            <w:div w:id="1945453767">
              <w:marLeft w:val="0"/>
              <w:marRight w:val="0"/>
              <w:marTop w:val="0"/>
              <w:marBottom w:val="0"/>
              <w:divBdr>
                <w:top w:val="none" w:sz="0" w:space="0" w:color="auto"/>
                <w:left w:val="none" w:sz="0" w:space="0" w:color="auto"/>
                <w:bottom w:val="none" w:sz="0" w:space="0" w:color="auto"/>
                <w:right w:val="none" w:sz="0" w:space="0" w:color="auto"/>
              </w:divBdr>
              <w:divsChild>
                <w:div w:id="293565221">
                  <w:marLeft w:val="0"/>
                  <w:marRight w:val="0"/>
                  <w:marTop w:val="0"/>
                  <w:marBottom w:val="0"/>
                  <w:divBdr>
                    <w:top w:val="none" w:sz="0" w:space="0" w:color="auto"/>
                    <w:left w:val="none" w:sz="0" w:space="0" w:color="auto"/>
                    <w:bottom w:val="none" w:sz="0" w:space="0" w:color="auto"/>
                    <w:right w:val="none" w:sz="0" w:space="0" w:color="auto"/>
                  </w:divBdr>
                  <w:divsChild>
                    <w:div w:id="10945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101741">
      <w:bodyDiv w:val="1"/>
      <w:marLeft w:val="0"/>
      <w:marRight w:val="0"/>
      <w:marTop w:val="0"/>
      <w:marBottom w:val="0"/>
      <w:divBdr>
        <w:top w:val="none" w:sz="0" w:space="0" w:color="auto"/>
        <w:left w:val="none" w:sz="0" w:space="0" w:color="auto"/>
        <w:bottom w:val="none" w:sz="0" w:space="0" w:color="auto"/>
        <w:right w:val="none" w:sz="0" w:space="0" w:color="auto"/>
      </w:divBdr>
      <w:divsChild>
        <w:div w:id="814375740">
          <w:marLeft w:val="0"/>
          <w:marRight w:val="0"/>
          <w:marTop w:val="0"/>
          <w:marBottom w:val="0"/>
          <w:divBdr>
            <w:top w:val="none" w:sz="0" w:space="0" w:color="auto"/>
            <w:left w:val="none" w:sz="0" w:space="0" w:color="auto"/>
            <w:bottom w:val="none" w:sz="0" w:space="0" w:color="auto"/>
            <w:right w:val="none" w:sz="0" w:space="0" w:color="auto"/>
          </w:divBdr>
          <w:divsChild>
            <w:div w:id="1336764962">
              <w:marLeft w:val="0"/>
              <w:marRight w:val="0"/>
              <w:marTop w:val="0"/>
              <w:marBottom w:val="0"/>
              <w:divBdr>
                <w:top w:val="none" w:sz="0" w:space="0" w:color="auto"/>
                <w:left w:val="none" w:sz="0" w:space="0" w:color="auto"/>
                <w:bottom w:val="none" w:sz="0" w:space="0" w:color="auto"/>
                <w:right w:val="none" w:sz="0" w:space="0" w:color="auto"/>
              </w:divBdr>
              <w:divsChild>
                <w:div w:id="9855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3469">
      <w:bodyDiv w:val="1"/>
      <w:marLeft w:val="0"/>
      <w:marRight w:val="0"/>
      <w:marTop w:val="0"/>
      <w:marBottom w:val="0"/>
      <w:divBdr>
        <w:top w:val="none" w:sz="0" w:space="0" w:color="auto"/>
        <w:left w:val="none" w:sz="0" w:space="0" w:color="auto"/>
        <w:bottom w:val="none" w:sz="0" w:space="0" w:color="auto"/>
        <w:right w:val="none" w:sz="0" w:space="0" w:color="auto"/>
      </w:divBdr>
    </w:div>
    <w:div w:id="547106271">
      <w:bodyDiv w:val="1"/>
      <w:marLeft w:val="0"/>
      <w:marRight w:val="0"/>
      <w:marTop w:val="0"/>
      <w:marBottom w:val="0"/>
      <w:divBdr>
        <w:top w:val="none" w:sz="0" w:space="0" w:color="auto"/>
        <w:left w:val="none" w:sz="0" w:space="0" w:color="auto"/>
        <w:bottom w:val="none" w:sz="0" w:space="0" w:color="auto"/>
        <w:right w:val="none" w:sz="0" w:space="0" w:color="auto"/>
      </w:divBdr>
      <w:divsChild>
        <w:div w:id="1120222567">
          <w:marLeft w:val="0"/>
          <w:marRight w:val="0"/>
          <w:marTop w:val="0"/>
          <w:marBottom w:val="0"/>
          <w:divBdr>
            <w:top w:val="none" w:sz="0" w:space="0" w:color="auto"/>
            <w:left w:val="none" w:sz="0" w:space="0" w:color="auto"/>
            <w:bottom w:val="none" w:sz="0" w:space="0" w:color="auto"/>
            <w:right w:val="none" w:sz="0" w:space="0" w:color="auto"/>
          </w:divBdr>
          <w:divsChild>
            <w:div w:id="1511605465">
              <w:marLeft w:val="0"/>
              <w:marRight w:val="0"/>
              <w:marTop w:val="0"/>
              <w:marBottom w:val="0"/>
              <w:divBdr>
                <w:top w:val="none" w:sz="0" w:space="0" w:color="auto"/>
                <w:left w:val="none" w:sz="0" w:space="0" w:color="auto"/>
                <w:bottom w:val="none" w:sz="0" w:space="0" w:color="auto"/>
                <w:right w:val="none" w:sz="0" w:space="0" w:color="auto"/>
              </w:divBdr>
              <w:divsChild>
                <w:div w:id="10166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36072">
      <w:bodyDiv w:val="1"/>
      <w:marLeft w:val="0"/>
      <w:marRight w:val="0"/>
      <w:marTop w:val="0"/>
      <w:marBottom w:val="0"/>
      <w:divBdr>
        <w:top w:val="none" w:sz="0" w:space="0" w:color="auto"/>
        <w:left w:val="none" w:sz="0" w:space="0" w:color="auto"/>
        <w:bottom w:val="none" w:sz="0" w:space="0" w:color="auto"/>
        <w:right w:val="none" w:sz="0" w:space="0" w:color="auto"/>
      </w:divBdr>
      <w:divsChild>
        <w:div w:id="327488511">
          <w:marLeft w:val="0"/>
          <w:marRight w:val="0"/>
          <w:marTop w:val="0"/>
          <w:marBottom w:val="0"/>
          <w:divBdr>
            <w:top w:val="none" w:sz="0" w:space="0" w:color="auto"/>
            <w:left w:val="none" w:sz="0" w:space="0" w:color="auto"/>
            <w:bottom w:val="none" w:sz="0" w:space="0" w:color="auto"/>
            <w:right w:val="none" w:sz="0" w:space="0" w:color="auto"/>
          </w:divBdr>
          <w:divsChild>
            <w:div w:id="1839297998">
              <w:marLeft w:val="0"/>
              <w:marRight w:val="0"/>
              <w:marTop w:val="0"/>
              <w:marBottom w:val="0"/>
              <w:divBdr>
                <w:top w:val="none" w:sz="0" w:space="0" w:color="auto"/>
                <w:left w:val="none" w:sz="0" w:space="0" w:color="auto"/>
                <w:bottom w:val="none" w:sz="0" w:space="0" w:color="auto"/>
                <w:right w:val="none" w:sz="0" w:space="0" w:color="auto"/>
              </w:divBdr>
              <w:divsChild>
                <w:div w:id="13041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82876">
      <w:bodyDiv w:val="1"/>
      <w:marLeft w:val="0"/>
      <w:marRight w:val="0"/>
      <w:marTop w:val="0"/>
      <w:marBottom w:val="0"/>
      <w:divBdr>
        <w:top w:val="none" w:sz="0" w:space="0" w:color="auto"/>
        <w:left w:val="none" w:sz="0" w:space="0" w:color="auto"/>
        <w:bottom w:val="none" w:sz="0" w:space="0" w:color="auto"/>
        <w:right w:val="none" w:sz="0" w:space="0" w:color="auto"/>
      </w:divBdr>
      <w:divsChild>
        <w:div w:id="423847324">
          <w:marLeft w:val="0"/>
          <w:marRight w:val="0"/>
          <w:marTop w:val="0"/>
          <w:marBottom w:val="0"/>
          <w:divBdr>
            <w:top w:val="none" w:sz="0" w:space="0" w:color="auto"/>
            <w:left w:val="none" w:sz="0" w:space="0" w:color="auto"/>
            <w:bottom w:val="none" w:sz="0" w:space="0" w:color="auto"/>
            <w:right w:val="none" w:sz="0" w:space="0" w:color="auto"/>
          </w:divBdr>
          <w:divsChild>
            <w:div w:id="1631983807">
              <w:marLeft w:val="0"/>
              <w:marRight w:val="0"/>
              <w:marTop w:val="0"/>
              <w:marBottom w:val="0"/>
              <w:divBdr>
                <w:top w:val="none" w:sz="0" w:space="0" w:color="auto"/>
                <w:left w:val="none" w:sz="0" w:space="0" w:color="auto"/>
                <w:bottom w:val="none" w:sz="0" w:space="0" w:color="auto"/>
                <w:right w:val="none" w:sz="0" w:space="0" w:color="auto"/>
              </w:divBdr>
              <w:divsChild>
                <w:div w:id="1561361963">
                  <w:marLeft w:val="0"/>
                  <w:marRight w:val="0"/>
                  <w:marTop w:val="0"/>
                  <w:marBottom w:val="0"/>
                  <w:divBdr>
                    <w:top w:val="none" w:sz="0" w:space="0" w:color="auto"/>
                    <w:left w:val="none" w:sz="0" w:space="0" w:color="auto"/>
                    <w:bottom w:val="none" w:sz="0" w:space="0" w:color="auto"/>
                    <w:right w:val="none" w:sz="0" w:space="0" w:color="auto"/>
                  </w:divBdr>
                </w:div>
              </w:divsChild>
            </w:div>
            <w:div w:id="2076849483">
              <w:marLeft w:val="0"/>
              <w:marRight w:val="0"/>
              <w:marTop w:val="0"/>
              <w:marBottom w:val="0"/>
              <w:divBdr>
                <w:top w:val="none" w:sz="0" w:space="0" w:color="auto"/>
                <w:left w:val="none" w:sz="0" w:space="0" w:color="auto"/>
                <w:bottom w:val="none" w:sz="0" w:space="0" w:color="auto"/>
                <w:right w:val="none" w:sz="0" w:space="0" w:color="auto"/>
              </w:divBdr>
              <w:divsChild>
                <w:div w:id="1227691520">
                  <w:marLeft w:val="0"/>
                  <w:marRight w:val="0"/>
                  <w:marTop w:val="0"/>
                  <w:marBottom w:val="0"/>
                  <w:divBdr>
                    <w:top w:val="none" w:sz="0" w:space="0" w:color="auto"/>
                    <w:left w:val="none" w:sz="0" w:space="0" w:color="auto"/>
                    <w:bottom w:val="none" w:sz="0" w:space="0" w:color="auto"/>
                    <w:right w:val="none" w:sz="0" w:space="0" w:color="auto"/>
                  </w:divBdr>
                </w:div>
              </w:divsChild>
            </w:div>
            <w:div w:id="2138375946">
              <w:marLeft w:val="0"/>
              <w:marRight w:val="0"/>
              <w:marTop w:val="0"/>
              <w:marBottom w:val="0"/>
              <w:divBdr>
                <w:top w:val="none" w:sz="0" w:space="0" w:color="auto"/>
                <w:left w:val="none" w:sz="0" w:space="0" w:color="auto"/>
                <w:bottom w:val="none" w:sz="0" w:space="0" w:color="auto"/>
                <w:right w:val="none" w:sz="0" w:space="0" w:color="auto"/>
              </w:divBdr>
              <w:divsChild>
                <w:div w:id="202713928">
                  <w:marLeft w:val="0"/>
                  <w:marRight w:val="0"/>
                  <w:marTop w:val="0"/>
                  <w:marBottom w:val="0"/>
                  <w:divBdr>
                    <w:top w:val="none" w:sz="0" w:space="0" w:color="auto"/>
                    <w:left w:val="none" w:sz="0" w:space="0" w:color="auto"/>
                    <w:bottom w:val="none" w:sz="0" w:space="0" w:color="auto"/>
                    <w:right w:val="none" w:sz="0" w:space="0" w:color="auto"/>
                  </w:divBdr>
                </w:div>
              </w:divsChild>
            </w:div>
            <w:div w:id="1188561369">
              <w:marLeft w:val="0"/>
              <w:marRight w:val="0"/>
              <w:marTop w:val="0"/>
              <w:marBottom w:val="0"/>
              <w:divBdr>
                <w:top w:val="none" w:sz="0" w:space="0" w:color="auto"/>
                <w:left w:val="none" w:sz="0" w:space="0" w:color="auto"/>
                <w:bottom w:val="none" w:sz="0" w:space="0" w:color="auto"/>
                <w:right w:val="none" w:sz="0" w:space="0" w:color="auto"/>
              </w:divBdr>
              <w:divsChild>
                <w:div w:id="2016180594">
                  <w:marLeft w:val="0"/>
                  <w:marRight w:val="0"/>
                  <w:marTop w:val="0"/>
                  <w:marBottom w:val="0"/>
                  <w:divBdr>
                    <w:top w:val="none" w:sz="0" w:space="0" w:color="auto"/>
                    <w:left w:val="none" w:sz="0" w:space="0" w:color="auto"/>
                    <w:bottom w:val="none" w:sz="0" w:space="0" w:color="auto"/>
                    <w:right w:val="none" w:sz="0" w:space="0" w:color="auto"/>
                  </w:divBdr>
                </w:div>
              </w:divsChild>
            </w:div>
            <w:div w:id="1123815509">
              <w:marLeft w:val="0"/>
              <w:marRight w:val="0"/>
              <w:marTop w:val="0"/>
              <w:marBottom w:val="0"/>
              <w:divBdr>
                <w:top w:val="none" w:sz="0" w:space="0" w:color="auto"/>
                <w:left w:val="none" w:sz="0" w:space="0" w:color="auto"/>
                <w:bottom w:val="none" w:sz="0" w:space="0" w:color="auto"/>
                <w:right w:val="none" w:sz="0" w:space="0" w:color="auto"/>
              </w:divBdr>
              <w:divsChild>
                <w:div w:id="1586262866">
                  <w:marLeft w:val="0"/>
                  <w:marRight w:val="0"/>
                  <w:marTop w:val="0"/>
                  <w:marBottom w:val="0"/>
                  <w:divBdr>
                    <w:top w:val="none" w:sz="0" w:space="0" w:color="auto"/>
                    <w:left w:val="none" w:sz="0" w:space="0" w:color="auto"/>
                    <w:bottom w:val="none" w:sz="0" w:space="0" w:color="auto"/>
                    <w:right w:val="none" w:sz="0" w:space="0" w:color="auto"/>
                  </w:divBdr>
                </w:div>
              </w:divsChild>
            </w:div>
            <w:div w:id="1258635682">
              <w:marLeft w:val="0"/>
              <w:marRight w:val="0"/>
              <w:marTop w:val="0"/>
              <w:marBottom w:val="0"/>
              <w:divBdr>
                <w:top w:val="none" w:sz="0" w:space="0" w:color="auto"/>
                <w:left w:val="none" w:sz="0" w:space="0" w:color="auto"/>
                <w:bottom w:val="none" w:sz="0" w:space="0" w:color="auto"/>
                <w:right w:val="none" w:sz="0" w:space="0" w:color="auto"/>
              </w:divBdr>
              <w:divsChild>
                <w:div w:id="11889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94146">
      <w:bodyDiv w:val="1"/>
      <w:marLeft w:val="0"/>
      <w:marRight w:val="0"/>
      <w:marTop w:val="0"/>
      <w:marBottom w:val="0"/>
      <w:divBdr>
        <w:top w:val="none" w:sz="0" w:space="0" w:color="auto"/>
        <w:left w:val="none" w:sz="0" w:space="0" w:color="auto"/>
        <w:bottom w:val="none" w:sz="0" w:space="0" w:color="auto"/>
        <w:right w:val="none" w:sz="0" w:space="0" w:color="auto"/>
      </w:divBdr>
    </w:div>
    <w:div w:id="742482614">
      <w:bodyDiv w:val="1"/>
      <w:marLeft w:val="0"/>
      <w:marRight w:val="0"/>
      <w:marTop w:val="0"/>
      <w:marBottom w:val="0"/>
      <w:divBdr>
        <w:top w:val="none" w:sz="0" w:space="0" w:color="auto"/>
        <w:left w:val="none" w:sz="0" w:space="0" w:color="auto"/>
        <w:bottom w:val="none" w:sz="0" w:space="0" w:color="auto"/>
        <w:right w:val="none" w:sz="0" w:space="0" w:color="auto"/>
      </w:divBdr>
    </w:div>
    <w:div w:id="799612742">
      <w:bodyDiv w:val="1"/>
      <w:marLeft w:val="0"/>
      <w:marRight w:val="0"/>
      <w:marTop w:val="0"/>
      <w:marBottom w:val="0"/>
      <w:divBdr>
        <w:top w:val="none" w:sz="0" w:space="0" w:color="auto"/>
        <w:left w:val="none" w:sz="0" w:space="0" w:color="auto"/>
        <w:bottom w:val="none" w:sz="0" w:space="0" w:color="auto"/>
        <w:right w:val="none" w:sz="0" w:space="0" w:color="auto"/>
      </w:divBdr>
      <w:divsChild>
        <w:div w:id="825710022">
          <w:marLeft w:val="0"/>
          <w:marRight w:val="0"/>
          <w:marTop w:val="0"/>
          <w:marBottom w:val="0"/>
          <w:divBdr>
            <w:top w:val="none" w:sz="0" w:space="0" w:color="auto"/>
            <w:left w:val="none" w:sz="0" w:space="0" w:color="auto"/>
            <w:bottom w:val="none" w:sz="0" w:space="0" w:color="auto"/>
            <w:right w:val="none" w:sz="0" w:space="0" w:color="auto"/>
          </w:divBdr>
          <w:divsChild>
            <w:div w:id="2051877555">
              <w:marLeft w:val="0"/>
              <w:marRight w:val="0"/>
              <w:marTop w:val="0"/>
              <w:marBottom w:val="0"/>
              <w:divBdr>
                <w:top w:val="none" w:sz="0" w:space="0" w:color="auto"/>
                <w:left w:val="none" w:sz="0" w:space="0" w:color="auto"/>
                <w:bottom w:val="none" w:sz="0" w:space="0" w:color="auto"/>
                <w:right w:val="none" w:sz="0" w:space="0" w:color="auto"/>
              </w:divBdr>
              <w:divsChild>
                <w:div w:id="2332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043">
      <w:bodyDiv w:val="1"/>
      <w:marLeft w:val="0"/>
      <w:marRight w:val="0"/>
      <w:marTop w:val="0"/>
      <w:marBottom w:val="0"/>
      <w:divBdr>
        <w:top w:val="none" w:sz="0" w:space="0" w:color="auto"/>
        <w:left w:val="none" w:sz="0" w:space="0" w:color="auto"/>
        <w:bottom w:val="none" w:sz="0" w:space="0" w:color="auto"/>
        <w:right w:val="none" w:sz="0" w:space="0" w:color="auto"/>
      </w:divBdr>
      <w:divsChild>
        <w:div w:id="1257404536">
          <w:marLeft w:val="0"/>
          <w:marRight w:val="0"/>
          <w:marTop w:val="0"/>
          <w:marBottom w:val="0"/>
          <w:divBdr>
            <w:top w:val="none" w:sz="0" w:space="0" w:color="auto"/>
            <w:left w:val="none" w:sz="0" w:space="0" w:color="auto"/>
            <w:bottom w:val="none" w:sz="0" w:space="0" w:color="auto"/>
            <w:right w:val="none" w:sz="0" w:space="0" w:color="auto"/>
          </w:divBdr>
          <w:divsChild>
            <w:div w:id="2065130645">
              <w:marLeft w:val="0"/>
              <w:marRight w:val="0"/>
              <w:marTop w:val="0"/>
              <w:marBottom w:val="0"/>
              <w:divBdr>
                <w:top w:val="none" w:sz="0" w:space="0" w:color="auto"/>
                <w:left w:val="none" w:sz="0" w:space="0" w:color="auto"/>
                <w:bottom w:val="none" w:sz="0" w:space="0" w:color="auto"/>
                <w:right w:val="none" w:sz="0" w:space="0" w:color="auto"/>
              </w:divBdr>
              <w:divsChild>
                <w:div w:id="1541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8025">
      <w:bodyDiv w:val="1"/>
      <w:marLeft w:val="0"/>
      <w:marRight w:val="0"/>
      <w:marTop w:val="0"/>
      <w:marBottom w:val="0"/>
      <w:divBdr>
        <w:top w:val="none" w:sz="0" w:space="0" w:color="auto"/>
        <w:left w:val="none" w:sz="0" w:space="0" w:color="auto"/>
        <w:bottom w:val="none" w:sz="0" w:space="0" w:color="auto"/>
        <w:right w:val="none" w:sz="0" w:space="0" w:color="auto"/>
      </w:divBdr>
      <w:divsChild>
        <w:div w:id="452137449">
          <w:marLeft w:val="0"/>
          <w:marRight w:val="0"/>
          <w:marTop w:val="0"/>
          <w:marBottom w:val="0"/>
          <w:divBdr>
            <w:top w:val="none" w:sz="0" w:space="0" w:color="auto"/>
            <w:left w:val="none" w:sz="0" w:space="0" w:color="auto"/>
            <w:bottom w:val="none" w:sz="0" w:space="0" w:color="auto"/>
            <w:right w:val="none" w:sz="0" w:space="0" w:color="auto"/>
          </w:divBdr>
          <w:divsChild>
            <w:div w:id="906186518">
              <w:marLeft w:val="0"/>
              <w:marRight w:val="0"/>
              <w:marTop w:val="0"/>
              <w:marBottom w:val="0"/>
              <w:divBdr>
                <w:top w:val="none" w:sz="0" w:space="0" w:color="auto"/>
                <w:left w:val="none" w:sz="0" w:space="0" w:color="auto"/>
                <w:bottom w:val="none" w:sz="0" w:space="0" w:color="auto"/>
                <w:right w:val="none" w:sz="0" w:space="0" w:color="auto"/>
              </w:divBdr>
              <w:divsChild>
                <w:div w:id="1534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96061">
      <w:bodyDiv w:val="1"/>
      <w:marLeft w:val="0"/>
      <w:marRight w:val="0"/>
      <w:marTop w:val="0"/>
      <w:marBottom w:val="0"/>
      <w:divBdr>
        <w:top w:val="none" w:sz="0" w:space="0" w:color="auto"/>
        <w:left w:val="none" w:sz="0" w:space="0" w:color="auto"/>
        <w:bottom w:val="none" w:sz="0" w:space="0" w:color="auto"/>
        <w:right w:val="none" w:sz="0" w:space="0" w:color="auto"/>
      </w:divBdr>
      <w:divsChild>
        <w:div w:id="1286471945">
          <w:marLeft w:val="0"/>
          <w:marRight w:val="0"/>
          <w:marTop w:val="0"/>
          <w:marBottom w:val="0"/>
          <w:divBdr>
            <w:top w:val="none" w:sz="0" w:space="0" w:color="auto"/>
            <w:left w:val="none" w:sz="0" w:space="0" w:color="auto"/>
            <w:bottom w:val="none" w:sz="0" w:space="0" w:color="auto"/>
            <w:right w:val="none" w:sz="0" w:space="0" w:color="auto"/>
          </w:divBdr>
          <w:divsChild>
            <w:div w:id="1887596924">
              <w:marLeft w:val="0"/>
              <w:marRight w:val="0"/>
              <w:marTop w:val="0"/>
              <w:marBottom w:val="0"/>
              <w:divBdr>
                <w:top w:val="none" w:sz="0" w:space="0" w:color="auto"/>
                <w:left w:val="none" w:sz="0" w:space="0" w:color="auto"/>
                <w:bottom w:val="none" w:sz="0" w:space="0" w:color="auto"/>
                <w:right w:val="none" w:sz="0" w:space="0" w:color="auto"/>
              </w:divBdr>
              <w:divsChild>
                <w:div w:id="14277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6858">
      <w:bodyDiv w:val="1"/>
      <w:marLeft w:val="0"/>
      <w:marRight w:val="0"/>
      <w:marTop w:val="0"/>
      <w:marBottom w:val="0"/>
      <w:divBdr>
        <w:top w:val="none" w:sz="0" w:space="0" w:color="auto"/>
        <w:left w:val="none" w:sz="0" w:space="0" w:color="auto"/>
        <w:bottom w:val="none" w:sz="0" w:space="0" w:color="auto"/>
        <w:right w:val="none" w:sz="0" w:space="0" w:color="auto"/>
      </w:divBdr>
      <w:divsChild>
        <w:div w:id="1376857026">
          <w:marLeft w:val="0"/>
          <w:marRight w:val="0"/>
          <w:marTop w:val="0"/>
          <w:marBottom w:val="0"/>
          <w:divBdr>
            <w:top w:val="none" w:sz="0" w:space="0" w:color="auto"/>
            <w:left w:val="none" w:sz="0" w:space="0" w:color="auto"/>
            <w:bottom w:val="none" w:sz="0" w:space="0" w:color="auto"/>
            <w:right w:val="none" w:sz="0" w:space="0" w:color="auto"/>
          </w:divBdr>
          <w:divsChild>
            <w:div w:id="481703758">
              <w:marLeft w:val="0"/>
              <w:marRight w:val="0"/>
              <w:marTop w:val="0"/>
              <w:marBottom w:val="0"/>
              <w:divBdr>
                <w:top w:val="none" w:sz="0" w:space="0" w:color="auto"/>
                <w:left w:val="none" w:sz="0" w:space="0" w:color="auto"/>
                <w:bottom w:val="none" w:sz="0" w:space="0" w:color="auto"/>
                <w:right w:val="none" w:sz="0" w:space="0" w:color="auto"/>
              </w:divBdr>
              <w:divsChild>
                <w:div w:id="7389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9889">
      <w:bodyDiv w:val="1"/>
      <w:marLeft w:val="0"/>
      <w:marRight w:val="0"/>
      <w:marTop w:val="0"/>
      <w:marBottom w:val="0"/>
      <w:divBdr>
        <w:top w:val="none" w:sz="0" w:space="0" w:color="auto"/>
        <w:left w:val="none" w:sz="0" w:space="0" w:color="auto"/>
        <w:bottom w:val="none" w:sz="0" w:space="0" w:color="auto"/>
        <w:right w:val="none" w:sz="0" w:space="0" w:color="auto"/>
      </w:divBdr>
    </w:div>
    <w:div w:id="1094086681">
      <w:bodyDiv w:val="1"/>
      <w:marLeft w:val="0"/>
      <w:marRight w:val="0"/>
      <w:marTop w:val="0"/>
      <w:marBottom w:val="0"/>
      <w:divBdr>
        <w:top w:val="none" w:sz="0" w:space="0" w:color="auto"/>
        <w:left w:val="none" w:sz="0" w:space="0" w:color="auto"/>
        <w:bottom w:val="none" w:sz="0" w:space="0" w:color="auto"/>
        <w:right w:val="none" w:sz="0" w:space="0" w:color="auto"/>
      </w:divBdr>
    </w:div>
    <w:div w:id="1098018133">
      <w:bodyDiv w:val="1"/>
      <w:marLeft w:val="0"/>
      <w:marRight w:val="0"/>
      <w:marTop w:val="0"/>
      <w:marBottom w:val="0"/>
      <w:divBdr>
        <w:top w:val="none" w:sz="0" w:space="0" w:color="auto"/>
        <w:left w:val="none" w:sz="0" w:space="0" w:color="auto"/>
        <w:bottom w:val="none" w:sz="0" w:space="0" w:color="auto"/>
        <w:right w:val="none" w:sz="0" w:space="0" w:color="auto"/>
      </w:divBdr>
      <w:divsChild>
        <w:div w:id="282271040">
          <w:marLeft w:val="0"/>
          <w:marRight w:val="0"/>
          <w:marTop w:val="0"/>
          <w:marBottom w:val="0"/>
          <w:divBdr>
            <w:top w:val="none" w:sz="0" w:space="0" w:color="auto"/>
            <w:left w:val="none" w:sz="0" w:space="0" w:color="auto"/>
            <w:bottom w:val="none" w:sz="0" w:space="0" w:color="auto"/>
            <w:right w:val="none" w:sz="0" w:space="0" w:color="auto"/>
          </w:divBdr>
          <w:divsChild>
            <w:div w:id="1456682822">
              <w:marLeft w:val="0"/>
              <w:marRight w:val="0"/>
              <w:marTop w:val="0"/>
              <w:marBottom w:val="0"/>
              <w:divBdr>
                <w:top w:val="none" w:sz="0" w:space="0" w:color="auto"/>
                <w:left w:val="none" w:sz="0" w:space="0" w:color="auto"/>
                <w:bottom w:val="none" w:sz="0" w:space="0" w:color="auto"/>
                <w:right w:val="none" w:sz="0" w:space="0" w:color="auto"/>
              </w:divBdr>
              <w:divsChild>
                <w:div w:id="21304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893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07">
          <w:marLeft w:val="0"/>
          <w:marRight w:val="0"/>
          <w:marTop w:val="0"/>
          <w:marBottom w:val="0"/>
          <w:divBdr>
            <w:top w:val="none" w:sz="0" w:space="0" w:color="auto"/>
            <w:left w:val="none" w:sz="0" w:space="0" w:color="auto"/>
            <w:bottom w:val="none" w:sz="0" w:space="0" w:color="auto"/>
            <w:right w:val="none" w:sz="0" w:space="0" w:color="auto"/>
          </w:divBdr>
          <w:divsChild>
            <w:div w:id="2005434253">
              <w:marLeft w:val="0"/>
              <w:marRight w:val="0"/>
              <w:marTop w:val="0"/>
              <w:marBottom w:val="0"/>
              <w:divBdr>
                <w:top w:val="none" w:sz="0" w:space="0" w:color="auto"/>
                <w:left w:val="none" w:sz="0" w:space="0" w:color="auto"/>
                <w:bottom w:val="none" w:sz="0" w:space="0" w:color="auto"/>
                <w:right w:val="none" w:sz="0" w:space="0" w:color="auto"/>
              </w:divBdr>
              <w:divsChild>
                <w:div w:id="761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2139">
      <w:bodyDiv w:val="1"/>
      <w:marLeft w:val="0"/>
      <w:marRight w:val="0"/>
      <w:marTop w:val="0"/>
      <w:marBottom w:val="0"/>
      <w:divBdr>
        <w:top w:val="none" w:sz="0" w:space="0" w:color="auto"/>
        <w:left w:val="none" w:sz="0" w:space="0" w:color="auto"/>
        <w:bottom w:val="none" w:sz="0" w:space="0" w:color="auto"/>
        <w:right w:val="none" w:sz="0" w:space="0" w:color="auto"/>
      </w:divBdr>
      <w:divsChild>
        <w:div w:id="1031346813">
          <w:marLeft w:val="0"/>
          <w:marRight w:val="0"/>
          <w:marTop w:val="0"/>
          <w:marBottom w:val="0"/>
          <w:divBdr>
            <w:top w:val="none" w:sz="0" w:space="0" w:color="auto"/>
            <w:left w:val="none" w:sz="0" w:space="0" w:color="auto"/>
            <w:bottom w:val="none" w:sz="0" w:space="0" w:color="auto"/>
            <w:right w:val="none" w:sz="0" w:space="0" w:color="auto"/>
          </w:divBdr>
          <w:divsChild>
            <w:div w:id="414132365">
              <w:marLeft w:val="0"/>
              <w:marRight w:val="0"/>
              <w:marTop w:val="0"/>
              <w:marBottom w:val="0"/>
              <w:divBdr>
                <w:top w:val="none" w:sz="0" w:space="0" w:color="auto"/>
                <w:left w:val="none" w:sz="0" w:space="0" w:color="auto"/>
                <w:bottom w:val="none" w:sz="0" w:space="0" w:color="auto"/>
                <w:right w:val="none" w:sz="0" w:space="0" w:color="auto"/>
              </w:divBdr>
              <w:divsChild>
                <w:div w:id="245498330">
                  <w:marLeft w:val="0"/>
                  <w:marRight w:val="0"/>
                  <w:marTop w:val="0"/>
                  <w:marBottom w:val="0"/>
                  <w:divBdr>
                    <w:top w:val="none" w:sz="0" w:space="0" w:color="auto"/>
                    <w:left w:val="none" w:sz="0" w:space="0" w:color="auto"/>
                    <w:bottom w:val="none" w:sz="0" w:space="0" w:color="auto"/>
                    <w:right w:val="none" w:sz="0" w:space="0" w:color="auto"/>
                  </w:divBdr>
                  <w:divsChild>
                    <w:div w:id="114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567627">
      <w:bodyDiv w:val="1"/>
      <w:marLeft w:val="0"/>
      <w:marRight w:val="0"/>
      <w:marTop w:val="0"/>
      <w:marBottom w:val="0"/>
      <w:divBdr>
        <w:top w:val="none" w:sz="0" w:space="0" w:color="auto"/>
        <w:left w:val="none" w:sz="0" w:space="0" w:color="auto"/>
        <w:bottom w:val="none" w:sz="0" w:space="0" w:color="auto"/>
        <w:right w:val="none" w:sz="0" w:space="0" w:color="auto"/>
      </w:divBdr>
    </w:div>
    <w:div w:id="1223058781">
      <w:bodyDiv w:val="1"/>
      <w:marLeft w:val="0"/>
      <w:marRight w:val="0"/>
      <w:marTop w:val="0"/>
      <w:marBottom w:val="0"/>
      <w:divBdr>
        <w:top w:val="none" w:sz="0" w:space="0" w:color="auto"/>
        <w:left w:val="none" w:sz="0" w:space="0" w:color="auto"/>
        <w:bottom w:val="none" w:sz="0" w:space="0" w:color="auto"/>
        <w:right w:val="none" w:sz="0" w:space="0" w:color="auto"/>
      </w:divBdr>
      <w:divsChild>
        <w:div w:id="1953316413">
          <w:marLeft w:val="0"/>
          <w:marRight w:val="0"/>
          <w:marTop w:val="0"/>
          <w:marBottom w:val="0"/>
          <w:divBdr>
            <w:top w:val="none" w:sz="0" w:space="0" w:color="auto"/>
            <w:left w:val="none" w:sz="0" w:space="0" w:color="auto"/>
            <w:bottom w:val="none" w:sz="0" w:space="0" w:color="auto"/>
            <w:right w:val="none" w:sz="0" w:space="0" w:color="auto"/>
          </w:divBdr>
          <w:divsChild>
            <w:div w:id="122815248">
              <w:marLeft w:val="0"/>
              <w:marRight w:val="0"/>
              <w:marTop w:val="0"/>
              <w:marBottom w:val="0"/>
              <w:divBdr>
                <w:top w:val="none" w:sz="0" w:space="0" w:color="auto"/>
                <w:left w:val="none" w:sz="0" w:space="0" w:color="auto"/>
                <w:bottom w:val="none" w:sz="0" w:space="0" w:color="auto"/>
                <w:right w:val="none" w:sz="0" w:space="0" w:color="auto"/>
              </w:divBdr>
              <w:divsChild>
                <w:div w:id="10573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7323">
      <w:bodyDiv w:val="1"/>
      <w:marLeft w:val="0"/>
      <w:marRight w:val="0"/>
      <w:marTop w:val="0"/>
      <w:marBottom w:val="0"/>
      <w:divBdr>
        <w:top w:val="none" w:sz="0" w:space="0" w:color="auto"/>
        <w:left w:val="none" w:sz="0" w:space="0" w:color="auto"/>
        <w:bottom w:val="none" w:sz="0" w:space="0" w:color="auto"/>
        <w:right w:val="none" w:sz="0" w:space="0" w:color="auto"/>
      </w:divBdr>
      <w:divsChild>
        <w:div w:id="658197227">
          <w:marLeft w:val="0"/>
          <w:marRight w:val="0"/>
          <w:marTop w:val="0"/>
          <w:marBottom w:val="0"/>
          <w:divBdr>
            <w:top w:val="none" w:sz="0" w:space="0" w:color="auto"/>
            <w:left w:val="none" w:sz="0" w:space="0" w:color="auto"/>
            <w:bottom w:val="none" w:sz="0" w:space="0" w:color="auto"/>
            <w:right w:val="none" w:sz="0" w:space="0" w:color="auto"/>
          </w:divBdr>
          <w:divsChild>
            <w:div w:id="1986203910">
              <w:marLeft w:val="0"/>
              <w:marRight w:val="0"/>
              <w:marTop w:val="0"/>
              <w:marBottom w:val="0"/>
              <w:divBdr>
                <w:top w:val="none" w:sz="0" w:space="0" w:color="auto"/>
                <w:left w:val="none" w:sz="0" w:space="0" w:color="auto"/>
                <w:bottom w:val="none" w:sz="0" w:space="0" w:color="auto"/>
                <w:right w:val="none" w:sz="0" w:space="0" w:color="auto"/>
              </w:divBdr>
              <w:divsChild>
                <w:div w:id="1213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769">
      <w:bodyDiv w:val="1"/>
      <w:marLeft w:val="0"/>
      <w:marRight w:val="0"/>
      <w:marTop w:val="0"/>
      <w:marBottom w:val="0"/>
      <w:divBdr>
        <w:top w:val="none" w:sz="0" w:space="0" w:color="auto"/>
        <w:left w:val="none" w:sz="0" w:space="0" w:color="auto"/>
        <w:bottom w:val="none" w:sz="0" w:space="0" w:color="auto"/>
        <w:right w:val="none" w:sz="0" w:space="0" w:color="auto"/>
      </w:divBdr>
      <w:divsChild>
        <w:div w:id="218177180">
          <w:marLeft w:val="0"/>
          <w:marRight w:val="0"/>
          <w:marTop w:val="0"/>
          <w:marBottom w:val="0"/>
          <w:divBdr>
            <w:top w:val="none" w:sz="0" w:space="0" w:color="auto"/>
            <w:left w:val="none" w:sz="0" w:space="0" w:color="auto"/>
            <w:bottom w:val="none" w:sz="0" w:space="0" w:color="auto"/>
            <w:right w:val="none" w:sz="0" w:space="0" w:color="auto"/>
          </w:divBdr>
          <w:divsChild>
            <w:div w:id="369845686">
              <w:marLeft w:val="0"/>
              <w:marRight w:val="0"/>
              <w:marTop w:val="0"/>
              <w:marBottom w:val="0"/>
              <w:divBdr>
                <w:top w:val="none" w:sz="0" w:space="0" w:color="auto"/>
                <w:left w:val="none" w:sz="0" w:space="0" w:color="auto"/>
                <w:bottom w:val="none" w:sz="0" w:space="0" w:color="auto"/>
                <w:right w:val="none" w:sz="0" w:space="0" w:color="auto"/>
              </w:divBdr>
              <w:divsChild>
                <w:div w:id="2951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8638">
      <w:bodyDiv w:val="1"/>
      <w:marLeft w:val="0"/>
      <w:marRight w:val="0"/>
      <w:marTop w:val="0"/>
      <w:marBottom w:val="0"/>
      <w:divBdr>
        <w:top w:val="none" w:sz="0" w:space="0" w:color="auto"/>
        <w:left w:val="none" w:sz="0" w:space="0" w:color="auto"/>
        <w:bottom w:val="none" w:sz="0" w:space="0" w:color="auto"/>
        <w:right w:val="none" w:sz="0" w:space="0" w:color="auto"/>
      </w:divBdr>
      <w:divsChild>
        <w:div w:id="1877235186">
          <w:marLeft w:val="0"/>
          <w:marRight w:val="0"/>
          <w:marTop w:val="0"/>
          <w:marBottom w:val="0"/>
          <w:divBdr>
            <w:top w:val="none" w:sz="0" w:space="0" w:color="auto"/>
            <w:left w:val="none" w:sz="0" w:space="0" w:color="auto"/>
            <w:bottom w:val="none" w:sz="0" w:space="0" w:color="auto"/>
            <w:right w:val="none" w:sz="0" w:space="0" w:color="auto"/>
          </w:divBdr>
          <w:divsChild>
            <w:div w:id="1949191039">
              <w:marLeft w:val="0"/>
              <w:marRight w:val="0"/>
              <w:marTop w:val="0"/>
              <w:marBottom w:val="0"/>
              <w:divBdr>
                <w:top w:val="none" w:sz="0" w:space="0" w:color="auto"/>
                <w:left w:val="none" w:sz="0" w:space="0" w:color="auto"/>
                <w:bottom w:val="none" w:sz="0" w:space="0" w:color="auto"/>
                <w:right w:val="none" w:sz="0" w:space="0" w:color="auto"/>
              </w:divBdr>
              <w:divsChild>
                <w:div w:id="424542574">
                  <w:marLeft w:val="0"/>
                  <w:marRight w:val="0"/>
                  <w:marTop w:val="0"/>
                  <w:marBottom w:val="0"/>
                  <w:divBdr>
                    <w:top w:val="none" w:sz="0" w:space="0" w:color="auto"/>
                    <w:left w:val="none" w:sz="0" w:space="0" w:color="auto"/>
                    <w:bottom w:val="none" w:sz="0" w:space="0" w:color="auto"/>
                    <w:right w:val="none" w:sz="0" w:space="0" w:color="auto"/>
                  </w:divBdr>
                  <w:divsChild>
                    <w:div w:id="7253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7658">
      <w:bodyDiv w:val="1"/>
      <w:marLeft w:val="0"/>
      <w:marRight w:val="0"/>
      <w:marTop w:val="0"/>
      <w:marBottom w:val="0"/>
      <w:divBdr>
        <w:top w:val="none" w:sz="0" w:space="0" w:color="auto"/>
        <w:left w:val="none" w:sz="0" w:space="0" w:color="auto"/>
        <w:bottom w:val="none" w:sz="0" w:space="0" w:color="auto"/>
        <w:right w:val="none" w:sz="0" w:space="0" w:color="auto"/>
      </w:divBdr>
      <w:divsChild>
        <w:div w:id="894858420">
          <w:marLeft w:val="0"/>
          <w:marRight w:val="0"/>
          <w:marTop w:val="0"/>
          <w:marBottom w:val="0"/>
          <w:divBdr>
            <w:top w:val="none" w:sz="0" w:space="0" w:color="auto"/>
            <w:left w:val="none" w:sz="0" w:space="0" w:color="auto"/>
            <w:bottom w:val="none" w:sz="0" w:space="0" w:color="auto"/>
            <w:right w:val="none" w:sz="0" w:space="0" w:color="auto"/>
          </w:divBdr>
          <w:divsChild>
            <w:div w:id="1454598713">
              <w:marLeft w:val="0"/>
              <w:marRight w:val="0"/>
              <w:marTop w:val="0"/>
              <w:marBottom w:val="0"/>
              <w:divBdr>
                <w:top w:val="none" w:sz="0" w:space="0" w:color="auto"/>
                <w:left w:val="none" w:sz="0" w:space="0" w:color="auto"/>
                <w:bottom w:val="none" w:sz="0" w:space="0" w:color="auto"/>
                <w:right w:val="none" w:sz="0" w:space="0" w:color="auto"/>
              </w:divBdr>
              <w:divsChild>
                <w:div w:id="1469470124">
                  <w:marLeft w:val="0"/>
                  <w:marRight w:val="0"/>
                  <w:marTop w:val="0"/>
                  <w:marBottom w:val="0"/>
                  <w:divBdr>
                    <w:top w:val="none" w:sz="0" w:space="0" w:color="auto"/>
                    <w:left w:val="none" w:sz="0" w:space="0" w:color="auto"/>
                    <w:bottom w:val="none" w:sz="0" w:space="0" w:color="auto"/>
                    <w:right w:val="none" w:sz="0" w:space="0" w:color="auto"/>
                  </w:divBdr>
                  <w:divsChild>
                    <w:div w:id="11325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62440770">
      <w:bodyDiv w:val="1"/>
      <w:marLeft w:val="0"/>
      <w:marRight w:val="0"/>
      <w:marTop w:val="0"/>
      <w:marBottom w:val="0"/>
      <w:divBdr>
        <w:top w:val="none" w:sz="0" w:space="0" w:color="auto"/>
        <w:left w:val="none" w:sz="0" w:space="0" w:color="auto"/>
        <w:bottom w:val="none" w:sz="0" w:space="0" w:color="auto"/>
        <w:right w:val="none" w:sz="0" w:space="0" w:color="auto"/>
      </w:divBdr>
    </w:div>
    <w:div w:id="1390109157">
      <w:bodyDiv w:val="1"/>
      <w:marLeft w:val="0"/>
      <w:marRight w:val="0"/>
      <w:marTop w:val="0"/>
      <w:marBottom w:val="0"/>
      <w:divBdr>
        <w:top w:val="none" w:sz="0" w:space="0" w:color="auto"/>
        <w:left w:val="none" w:sz="0" w:space="0" w:color="auto"/>
        <w:bottom w:val="none" w:sz="0" w:space="0" w:color="auto"/>
        <w:right w:val="none" w:sz="0" w:space="0" w:color="auto"/>
      </w:divBdr>
      <w:divsChild>
        <w:div w:id="1642156707">
          <w:marLeft w:val="0"/>
          <w:marRight w:val="0"/>
          <w:marTop w:val="0"/>
          <w:marBottom w:val="0"/>
          <w:divBdr>
            <w:top w:val="none" w:sz="0" w:space="0" w:color="auto"/>
            <w:left w:val="none" w:sz="0" w:space="0" w:color="auto"/>
            <w:bottom w:val="none" w:sz="0" w:space="0" w:color="auto"/>
            <w:right w:val="none" w:sz="0" w:space="0" w:color="auto"/>
          </w:divBdr>
          <w:divsChild>
            <w:div w:id="778334459">
              <w:marLeft w:val="0"/>
              <w:marRight w:val="0"/>
              <w:marTop w:val="0"/>
              <w:marBottom w:val="0"/>
              <w:divBdr>
                <w:top w:val="none" w:sz="0" w:space="0" w:color="auto"/>
                <w:left w:val="none" w:sz="0" w:space="0" w:color="auto"/>
                <w:bottom w:val="none" w:sz="0" w:space="0" w:color="auto"/>
                <w:right w:val="none" w:sz="0" w:space="0" w:color="auto"/>
              </w:divBdr>
              <w:divsChild>
                <w:div w:id="489055330">
                  <w:marLeft w:val="0"/>
                  <w:marRight w:val="0"/>
                  <w:marTop w:val="0"/>
                  <w:marBottom w:val="0"/>
                  <w:divBdr>
                    <w:top w:val="none" w:sz="0" w:space="0" w:color="auto"/>
                    <w:left w:val="none" w:sz="0" w:space="0" w:color="auto"/>
                    <w:bottom w:val="none" w:sz="0" w:space="0" w:color="auto"/>
                    <w:right w:val="none" w:sz="0" w:space="0" w:color="auto"/>
                  </w:divBdr>
                </w:div>
              </w:divsChild>
            </w:div>
            <w:div w:id="950088940">
              <w:marLeft w:val="0"/>
              <w:marRight w:val="0"/>
              <w:marTop w:val="0"/>
              <w:marBottom w:val="0"/>
              <w:divBdr>
                <w:top w:val="none" w:sz="0" w:space="0" w:color="auto"/>
                <w:left w:val="none" w:sz="0" w:space="0" w:color="auto"/>
                <w:bottom w:val="none" w:sz="0" w:space="0" w:color="auto"/>
                <w:right w:val="none" w:sz="0" w:space="0" w:color="auto"/>
              </w:divBdr>
              <w:divsChild>
                <w:div w:id="2135442882">
                  <w:marLeft w:val="0"/>
                  <w:marRight w:val="0"/>
                  <w:marTop w:val="0"/>
                  <w:marBottom w:val="0"/>
                  <w:divBdr>
                    <w:top w:val="none" w:sz="0" w:space="0" w:color="auto"/>
                    <w:left w:val="none" w:sz="0" w:space="0" w:color="auto"/>
                    <w:bottom w:val="none" w:sz="0" w:space="0" w:color="auto"/>
                    <w:right w:val="none" w:sz="0" w:space="0" w:color="auto"/>
                  </w:divBdr>
                </w:div>
              </w:divsChild>
            </w:div>
            <w:div w:id="1702245874">
              <w:marLeft w:val="0"/>
              <w:marRight w:val="0"/>
              <w:marTop w:val="0"/>
              <w:marBottom w:val="0"/>
              <w:divBdr>
                <w:top w:val="none" w:sz="0" w:space="0" w:color="auto"/>
                <w:left w:val="none" w:sz="0" w:space="0" w:color="auto"/>
                <w:bottom w:val="none" w:sz="0" w:space="0" w:color="auto"/>
                <w:right w:val="none" w:sz="0" w:space="0" w:color="auto"/>
              </w:divBdr>
              <w:divsChild>
                <w:div w:id="544372787">
                  <w:marLeft w:val="0"/>
                  <w:marRight w:val="0"/>
                  <w:marTop w:val="0"/>
                  <w:marBottom w:val="0"/>
                  <w:divBdr>
                    <w:top w:val="none" w:sz="0" w:space="0" w:color="auto"/>
                    <w:left w:val="none" w:sz="0" w:space="0" w:color="auto"/>
                    <w:bottom w:val="none" w:sz="0" w:space="0" w:color="auto"/>
                    <w:right w:val="none" w:sz="0" w:space="0" w:color="auto"/>
                  </w:divBdr>
                </w:div>
              </w:divsChild>
            </w:div>
            <w:div w:id="1190098233">
              <w:marLeft w:val="0"/>
              <w:marRight w:val="0"/>
              <w:marTop w:val="0"/>
              <w:marBottom w:val="0"/>
              <w:divBdr>
                <w:top w:val="none" w:sz="0" w:space="0" w:color="auto"/>
                <w:left w:val="none" w:sz="0" w:space="0" w:color="auto"/>
                <w:bottom w:val="none" w:sz="0" w:space="0" w:color="auto"/>
                <w:right w:val="none" w:sz="0" w:space="0" w:color="auto"/>
              </w:divBdr>
              <w:divsChild>
                <w:div w:id="19162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3789">
      <w:bodyDiv w:val="1"/>
      <w:marLeft w:val="0"/>
      <w:marRight w:val="0"/>
      <w:marTop w:val="0"/>
      <w:marBottom w:val="0"/>
      <w:divBdr>
        <w:top w:val="none" w:sz="0" w:space="0" w:color="auto"/>
        <w:left w:val="none" w:sz="0" w:space="0" w:color="auto"/>
        <w:bottom w:val="none" w:sz="0" w:space="0" w:color="auto"/>
        <w:right w:val="none" w:sz="0" w:space="0" w:color="auto"/>
      </w:divBdr>
      <w:divsChild>
        <w:div w:id="702826723">
          <w:marLeft w:val="0"/>
          <w:marRight w:val="0"/>
          <w:marTop w:val="0"/>
          <w:marBottom w:val="0"/>
          <w:divBdr>
            <w:top w:val="none" w:sz="0" w:space="0" w:color="auto"/>
            <w:left w:val="none" w:sz="0" w:space="0" w:color="auto"/>
            <w:bottom w:val="none" w:sz="0" w:space="0" w:color="auto"/>
            <w:right w:val="none" w:sz="0" w:space="0" w:color="auto"/>
          </w:divBdr>
          <w:divsChild>
            <w:div w:id="1333411455">
              <w:marLeft w:val="0"/>
              <w:marRight w:val="0"/>
              <w:marTop w:val="0"/>
              <w:marBottom w:val="0"/>
              <w:divBdr>
                <w:top w:val="none" w:sz="0" w:space="0" w:color="auto"/>
                <w:left w:val="none" w:sz="0" w:space="0" w:color="auto"/>
                <w:bottom w:val="none" w:sz="0" w:space="0" w:color="auto"/>
                <w:right w:val="none" w:sz="0" w:space="0" w:color="auto"/>
              </w:divBdr>
              <w:divsChild>
                <w:div w:id="2056153214">
                  <w:marLeft w:val="0"/>
                  <w:marRight w:val="0"/>
                  <w:marTop w:val="0"/>
                  <w:marBottom w:val="0"/>
                  <w:divBdr>
                    <w:top w:val="none" w:sz="0" w:space="0" w:color="auto"/>
                    <w:left w:val="none" w:sz="0" w:space="0" w:color="auto"/>
                    <w:bottom w:val="none" w:sz="0" w:space="0" w:color="auto"/>
                    <w:right w:val="none" w:sz="0" w:space="0" w:color="auto"/>
                  </w:divBdr>
                  <w:divsChild>
                    <w:div w:id="662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859485">
      <w:bodyDiv w:val="1"/>
      <w:marLeft w:val="0"/>
      <w:marRight w:val="0"/>
      <w:marTop w:val="0"/>
      <w:marBottom w:val="0"/>
      <w:divBdr>
        <w:top w:val="none" w:sz="0" w:space="0" w:color="auto"/>
        <w:left w:val="none" w:sz="0" w:space="0" w:color="auto"/>
        <w:bottom w:val="none" w:sz="0" w:space="0" w:color="auto"/>
        <w:right w:val="none" w:sz="0" w:space="0" w:color="auto"/>
      </w:divBdr>
      <w:divsChild>
        <w:div w:id="610934655">
          <w:marLeft w:val="0"/>
          <w:marRight w:val="0"/>
          <w:marTop w:val="0"/>
          <w:marBottom w:val="0"/>
          <w:divBdr>
            <w:top w:val="none" w:sz="0" w:space="0" w:color="auto"/>
            <w:left w:val="none" w:sz="0" w:space="0" w:color="auto"/>
            <w:bottom w:val="none" w:sz="0" w:space="0" w:color="auto"/>
            <w:right w:val="none" w:sz="0" w:space="0" w:color="auto"/>
          </w:divBdr>
          <w:divsChild>
            <w:div w:id="1522476569">
              <w:marLeft w:val="0"/>
              <w:marRight w:val="0"/>
              <w:marTop w:val="0"/>
              <w:marBottom w:val="0"/>
              <w:divBdr>
                <w:top w:val="none" w:sz="0" w:space="0" w:color="auto"/>
                <w:left w:val="none" w:sz="0" w:space="0" w:color="auto"/>
                <w:bottom w:val="none" w:sz="0" w:space="0" w:color="auto"/>
                <w:right w:val="none" w:sz="0" w:space="0" w:color="auto"/>
              </w:divBdr>
              <w:divsChild>
                <w:div w:id="4792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7533">
      <w:bodyDiv w:val="1"/>
      <w:marLeft w:val="0"/>
      <w:marRight w:val="0"/>
      <w:marTop w:val="0"/>
      <w:marBottom w:val="0"/>
      <w:divBdr>
        <w:top w:val="none" w:sz="0" w:space="0" w:color="auto"/>
        <w:left w:val="none" w:sz="0" w:space="0" w:color="auto"/>
        <w:bottom w:val="none" w:sz="0" w:space="0" w:color="auto"/>
        <w:right w:val="none" w:sz="0" w:space="0" w:color="auto"/>
      </w:divBdr>
    </w:div>
    <w:div w:id="1650206409">
      <w:bodyDiv w:val="1"/>
      <w:marLeft w:val="0"/>
      <w:marRight w:val="0"/>
      <w:marTop w:val="0"/>
      <w:marBottom w:val="0"/>
      <w:divBdr>
        <w:top w:val="none" w:sz="0" w:space="0" w:color="auto"/>
        <w:left w:val="none" w:sz="0" w:space="0" w:color="auto"/>
        <w:bottom w:val="none" w:sz="0" w:space="0" w:color="auto"/>
        <w:right w:val="none" w:sz="0" w:space="0" w:color="auto"/>
      </w:divBdr>
      <w:divsChild>
        <w:div w:id="1140726498">
          <w:marLeft w:val="0"/>
          <w:marRight w:val="0"/>
          <w:marTop w:val="0"/>
          <w:marBottom w:val="0"/>
          <w:divBdr>
            <w:top w:val="none" w:sz="0" w:space="0" w:color="auto"/>
            <w:left w:val="none" w:sz="0" w:space="0" w:color="auto"/>
            <w:bottom w:val="none" w:sz="0" w:space="0" w:color="auto"/>
            <w:right w:val="none" w:sz="0" w:space="0" w:color="auto"/>
          </w:divBdr>
          <w:divsChild>
            <w:div w:id="395787766">
              <w:marLeft w:val="0"/>
              <w:marRight w:val="0"/>
              <w:marTop w:val="0"/>
              <w:marBottom w:val="0"/>
              <w:divBdr>
                <w:top w:val="none" w:sz="0" w:space="0" w:color="auto"/>
                <w:left w:val="none" w:sz="0" w:space="0" w:color="auto"/>
                <w:bottom w:val="none" w:sz="0" w:space="0" w:color="auto"/>
                <w:right w:val="none" w:sz="0" w:space="0" w:color="auto"/>
              </w:divBdr>
              <w:divsChild>
                <w:div w:id="1190679442">
                  <w:marLeft w:val="0"/>
                  <w:marRight w:val="0"/>
                  <w:marTop w:val="0"/>
                  <w:marBottom w:val="0"/>
                  <w:divBdr>
                    <w:top w:val="none" w:sz="0" w:space="0" w:color="auto"/>
                    <w:left w:val="none" w:sz="0" w:space="0" w:color="auto"/>
                    <w:bottom w:val="none" w:sz="0" w:space="0" w:color="auto"/>
                    <w:right w:val="none" w:sz="0" w:space="0" w:color="auto"/>
                  </w:divBdr>
                </w:div>
              </w:divsChild>
            </w:div>
            <w:div w:id="666979435">
              <w:marLeft w:val="0"/>
              <w:marRight w:val="0"/>
              <w:marTop w:val="0"/>
              <w:marBottom w:val="0"/>
              <w:divBdr>
                <w:top w:val="none" w:sz="0" w:space="0" w:color="auto"/>
                <w:left w:val="none" w:sz="0" w:space="0" w:color="auto"/>
                <w:bottom w:val="none" w:sz="0" w:space="0" w:color="auto"/>
                <w:right w:val="none" w:sz="0" w:space="0" w:color="auto"/>
              </w:divBdr>
              <w:divsChild>
                <w:div w:id="3585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130">
      <w:bodyDiv w:val="1"/>
      <w:marLeft w:val="0"/>
      <w:marRight w:val="0"/>
      <w:marTop w:val="0"/>
      <w:marBottom w:val="0"/>
      <w:divBdr>
        <w:top w:val="none" w:sz="0" w:space="0" w:color="auto"/>
        <w:left w:val="none" w:sz="0" w:space="0" w:color="auto"/>
        <w:bottom w:val="none" w:sz="0" w:space="0" w:color="auto"/>
        <w:right w:val="none" w:sz="0" w:space="0" w:color="auto"/>
      </w:divBdr>
      <w:divsChild>
        <w:div w:id="376930005">
          <w:marLeft w:val="0"/>
          <w:marRight w:val="0"/>
          <w:marTop w:val="0"/>
          <w:marBottom w:val="0"/>
          <w:divBdr>
            <w:top w:val="none" w:sz="0" w:space="0" w:color="auto"/>
            <w:left w:val="none" w:sz="0" w:space="0" w:color="auto"/>
            <w:bottom w:val="none" w:sz="0" w:space="0" w:color="auto"/>
            <w:right w:val="none" w:sz="0" w:space="0" w:color="auto"/>
          </w:divBdr>
          <w:divsChild>
            <w:div w:id="738288084">
              <w:marLeft w:val="0"/>
              <w:marRight w:val="0"/>
              <w:marTop w:val="0"/>
              <w:marBottom w:val="0"/>
              <w:divBdr>
                <w:top w:val="none" w:sz="0" w:space="0" w:color="auto"/>
                <w:left w:val="none" w:sz="0" w:space="0" w:color="auto"/>
                <w:bottom w:val="none" w:sz="0" w:space="0" w:color="auto"/>
                <w:right w:val="none" w:sz="0" w:space="0" w:color="auto"/>
              </w:divBdr>
              <w:divsChild>
                <w:div w:id="15122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147">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sChild>
        <w:div w:id="279605395">
          <w:marLeft w:val="0"/>
          <w:marRight w:val="0"/>
          <w:marTop w:val="0"/>
          <w:marBottom w:val="0"/>
          <w:divBdr>
            <w:top w:val="none" w:sz="0" w:space="0" w:color="auto"/>
            <w:left w:val="none" w:sz="0" w:space="0" w:color="auto"/>
            <w:bottom w:val="none" w:sz="0" w:space="0" w:color="auto"/>
            <w:right w:val="none" w:sz="0" w:space="0" w:color="auto"/>
          </w:divBdr>
          <w:divsChild>
            <w:div w:id="893932443">
              <w:marLeft w:val="0"/>
              <w:marRight w:val="0"/>
              <w:marTop w:val="0"/>
              <w:marBottom w:val="0"/>
              <w:divBdr>
                <w:top w:val="none" w:sz="0" w:space="0" w:color="auto"/>
                <w:left w:val="none" w:sz="0" w:space="0" w:color="auto"/>
                <w:bottom w:val="none" w:sz="0" w:space="0" w:color="auto"/>
                <w:right w:val="none" w:sz="0" w:space="0" w:color="auto"/>
              </w:divBdr>
              <w:divsChild>
                <w:div w:id="17540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2324">
      <w:bodyDiv w:val="1"/>
      <w:marLeft w:val="0"/>
      <w:marRight w:val="0"/>
      <w:marTop w:val="0"/>
      <w:marBottom w:val="0"/>
      <w:divBdr>
        <w:top w:val="none" w:sz="0" w:space="0" w:color="auto"/>
        <w:left w:val="none" w:sz="0" w:space="0" w:color="auto"/>
        <w:bottom w:val="none" w:sz="0" w:space="0" w:color="auto"/>
        <w:right w:val="none" w:sz="0" w:space="0" w:color="auto"/>
      </w:divBdr>
      <w:divsChild>
        <w:div w:id="1537962692">
          <w:marLeft w:val="0"/>
          <w:marRight w:val="0"/>
          <w:marTop w:val="0"/>
          <w:marBottom w:val="0"/>
          <w:divBdr>
            <w:top w:val="none" w:sz="0" w:space="0" w:color="auto"/>
            <w:left w:val="none" w:sz="0" w:space="0" w:color="auto"/>
            <w:bottom w:val="none" w:sz="0" w:space="0" w:color="auto"/>
            <w:right w:val="none" w:sz="0" w:space="0" w:color="auto"/>
          </w:divBdr>
          <w:divsChild>
            <w:div w:id="1526793592">
              <w:marLeft w:val="0"/>
              <w:marRight w:val="0"/>
              <w:marTop w:val="0"/>
              <w:marBottom w:val="0"/>
              <w:divBdr>
                <w:top w:val="none" w:sz="0" w:space="0" w:color="auto"/>
                <w:left w:val="none" w:sz="0" w:space="0" w:color="auto"/>
                <w:bottom w:val="none" w:sz="0" w:space="0" w:color="auto"/>
                <w:right w:val="none" w:sz="0" w:space="0" w:color="auto"/>
              </w:divBdr>
              <w:divsChild>
                <w:div w:id="5052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4076">
      <w:bodyDiv w:val="1"/>
      <w:marLeft w:val="0"/>
      <w:marRight w:val="0"/>
      <w:marTop w:val="0"/>
      <w:marBottom w:val="0"/>
      <w:divBdr>
        <w:top w:val="none" w:sz="0" w:space="0" w:color="auto"/>
        <w:left w:val="none" w:sz="0" w:space="0" w:color="auto"/>
        <w:bottom w:val="none" w:sz="0" w:space="0" w:color="auto"/>
        <w:right w:val="none" w:sz="0" w:space="0" w:color="auto"/>
      </w:divBdr>
    </w:div>
    <w:div w:id="207173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file:///\\var\folders\b2\_lnnpdjn0_7f2c8qzjrp35gr0000gn\T\com.microsoft.Word\WebArchiveCopyPasteTempFiles\page6image12352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var\folders\b2\_lnnpdjn0_7f2c8qzjrp35gr0000gn\T\com.microsoft.Word\WebArchiveCopyPasteTempFiles\page6image123467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file:///\\var\folders\b2\_lnnpdjn0_7f2c8qzjrp35gr0000gn\T\com.microsoft.Word\WebArchiveCopyPasteTempFiles\page6image1232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7C2D77-2195-42FC-B39D-9726836B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28343</Words>
  <Characters>161557</Characters>
  <Application>Microsoft Office Word</Application>
  <DocSecurity>0</DocSecurity>
  <Lines>1346</Lines>
  <Paragraphs>379</Paragraphs>
  <ScaleCrop>false</ScaleCrop>
  <Company/>
  <LinksUpToDate>false</LinksUpToDate>
  <CharactersWithSpaces>189521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review of Australia’s support for peacebuilding in conflict-affected Mindanao 2020</dc:title>
  <dc:creator/>
  <cp:lastModifiedBy/>
  <cp:revision>1</cp:revision>
  <dcterms:created xsi:type="dcterms:W3CDTF">2020-12-04T00:42:00Z</dcterms:created>
  <dcterms:modified xsi:type="dcterms:W3CDTF">2020-12-04T00:42:00Z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855cdc3d-d56e-4792-b127-16b944e08f78</vt:lpwstr>
  </property>
  <property fmtid="{D5CDD505-2E9C-101B-9397-08002B2CF9AE}" pid="3" name="SEC">
    <vt:lpwstr>OFFICIAL</vt:lpwstr>
  </property>
</Properties>
</file>