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AA9C4" w14:textId="77777777" w:rsidR="009C5213" w:rsidRPr="00C02346" w:rsidRDefault="00E4381E" w:rsidP="005043E7">
      <w:pPr>
        <w:pStyle w:val="DocName"/>
        <w:pBdr>
          <w:top w:val="single" w:sz="4" w:space="12" w:color="FF9900"/>
          <w:bottom w:val="single" w:sz="4" w:space="5" w:color="FF9900"/>
        </w:pBdr>
        <w:shd w:val="clear" w:color="auto" w:fill="FFFFCC"/>
        <w:contextualSpacing/>
        <w:rPr>
          <w:rFonts w:ascii="Calibri" w:hAnsi="Calibri" w:cs="Calibri"/>
          <w:color w:val="000000"/>
          <w:sz w:val="24"/>
          <w:lang w:eastAsia="en-AU"/>
        </w:rPr>
      </w:pPr>
      <w:bookmarkStart w:id="0" w:name="_GoBack"/>
      <w:bookmarkEnd w:id="0"/>
      <w:r w:rsidRPr="00C02346">
        <w:rPr>
          <w:rFonts w:ascii="Calibri" w:hAnsi="Calibri" w:cs="Calibri"/>
          <w:color w:val="000000"/>
          <w:sz w:val="24"/>
          <w:lang w:eastAsia="en-AU"/>
        </w:rPr>
        <w:t>Independent Evaluation</w:t>
      </w:r>
      <w:r w:rsidR="008476B1" w:rsidRPr="00C02346">
        <w:rPr>
          <w:rFonts w:ascii="Calibri" w:hAnsi="Calibri" w:cs="Calibri"/>
          <w:color w:val="000000"/>
          <w:sz w:val="24"/>
          <w:lang w:eastAsia="en-AU"/>
        </w:rPr>
        <w:t>:</w:t>
      </w:r>
      <w:r w:rsidR="009C5213" w:rsidRPr="00C02346">
        <w:rPr>
          <w:rFonts w:ascii="Calibri" w:hAnsi="Calibri" w:cs="Calibri"/>
          <w:color w:val="000000"/>
          <w:sz w:val="24"/>
          <w:lang w:eastAsia="en-AU"/>
        </w:rPr>
        <w:t xml:space="preserve"> </w:t>
      </w:r>
      <w:r w:rsidR="00B429C9">
        <w:rPr>
          <w:rFonts w:ascii="Calibri" w:hAnsi="Calibri" w:cs="Calibri"/>
          <w:color w:val="000000"/>
          <w:sz w:val="24"/>
          <w:lang w:eastAsia="en-AU"/>
        </w:rPr>
        <w:t>Peacebuilding in Conflict-Affected Mindanao</w:t>
      </w:r>
    </w:p>
    <w:p w14:paraId="371FBABE" w14:textId="77777777" w:rsidR="009C5213" w:rsidRPr="00C02346" w:rsidRDefault="009C5213" w:rsidP="005043E7">
      <w:pPr>
        <w:pStyle w:val="DocName"/>
        <w:pBdr>
          <w:top w:val="single" w:sz="4" w:space="12" w:color="FF9900"/>
          <w:bottom w:val="single" w:sz="4" w:space="5" w:color="FF9900"/>
        </w:pBdr>
        <w:shd w:val="clear" w:color="auto" w:fill="FFFFCC"/>
        <w:contextualSpacing/>
        <w:rPr>
          <w:rFonts w:ascii="Calibri" w:hAnsi="Calibri" w:cs="Calibri"/>
          <w:color w:val="000000"/>
          <w:sz w:val="24"/>
          <w:lang w:eastAsia="en-AU"/>
        </w:rPr>
      </w:pPr>
      <w:r w:rsidRPr="00C02346">
        <w:rPr>
          <w:rFonts w:ascii="Calibri" w:hAnsi="Calibri" w:cs="Calibri"/>
          <w:color w:val="000000"/>
          <w:sz w:val="24"/>
          <w:lang w:eastAsia="en-AU"/>
        </w:rPr>
        <w:t>MANAGEMENT RESPONSE</w:t>
      </w:r>
    </w:p>
    <w:p w14:paraId="574BCC23" w14:textId="77777777" w:rsidR="009C5213" w:rsidRPr="00C02346" w:rsidRDefault="00C67CEC" w:rsidP="0020133E">
      <w:pPr>
        <w:pStyle w:val="Heading2"/>
        <w:spacing w:before="120" w:after="120"/>
        <w:contextualSpacing/>
        <w:rPr>
          <w:rFonts w:ascii="Calibri" w:hAnsi="Calibri" w:cs="Calibri"/>
          <w:szCs w:val="24"/>
        </w:rPr>
      </w:pPr>
      <w:r w:rsidRPr="00C02346">
        <w:rPr>
          <w:rFonts w:ascii="Calibri" w:hAnsi="Calibri" w:cs="Calibri"/>
          <w:szCs w:val="24"/>
        </w:rPr>
        <w:t>Investment</w:t>
      </w:r>
      <w:r w:rsidR="009C5213" w:rsidRPr="00C02346">
        <w:rPr>
          <w:rFonts w:ascii="Calibri" w:hAnsi="Calibri" w:cs="Calibri"/>
          <w:szCs w:val="24"/>
        </w:rPr>
        <w:t xml:space="preserve"> Summary</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97"/>
        <w:gridCol w:w="7201"/>
      </w:tblGrid>
      <w:tr w:rsidR="00505C3A" w:rsidRPr="003F43AB" w14:paraId="2529725B" w14:textId="77777777" w:rsidTr="0020133E">
        <w:trPr>
          <w:cantSplit/>
          <w:trHeight w:val="449"/>
          <w:tblHeader/>
        </w:trPr>
        <w:tc>
          <w:tcPr>
            <w:tcW w:w="2297" w:type="dxa"/>
            <w:shd w:val="clear" w:color="auto" w:fill="E0E0E0"/>
          </w:tcPr>
          <w:p w14:paraId="11E32EA3" w14:textId="77777777" w:rsidR="009C5213" w:rsidRPr="003F43AB" w:rsidRDefault="009C5213" w:rsidP="0020133E">
            <w:pPr>
              <w:pStyle w:val="Table-normal-text"/>
              <w:spacing w:after="60"/>
              <w:contextualSpacing/>
              <w:rPr>
                <w:rFonts w:asciiTheme="minorHAnsi" w:hAnsiTheme="minorHAnsi" w:cstheme="minorHAnsi"/>
                <w:b/>
                <w:sz w:val="24"/>
              </w:rPr>
            </w:pPr>
            <w:r w:rsidRPr="003F43AB">
              <w:rPr>
                <w:rFonts w:asciiTheme="minorHAnsi" w:hAnsiTheme="minorHAnsi" w:cstheme="minorHAnsi"/>
                <w:b/>
                <w:sz w:val="24"/>
              </w:rPr>
              <w:t>In</w:t>
            </w:r>
            <w:r w:rsidR="00C67CEC" w:rsidRPr="003F43AB">
              <w:rPr>
                <w:rFonts w:asciiTheme="minorHAnsi" w:hAnsiTheme="minorHAnsi" w:cstheme="minorHAnsi"/>
                <w:b/>
                <w:sz w:val="24"/>
              </w:rPr>
              <w:t>vestment</w:t>
            </w:r>
            <w:r w:rsidRPr="003F43AB">
              <w:rPr>
                <w:rFonts w:asciiTheme="minorHAnsi" w:hAnsiTheme="minorHAnsi" w:cstheme="minorHAnsi"/>
                <w:b/>
                <w:sz w:val="24"/>
              </w:rPr>
              <w:t xml:space="preserve"> Name</w:t>
            </w:r>
          </w:p>
        </w:tc>
        <w:tc>
          <w:tcPr>
            <w:tcW w:w="7201" w:type="dxa"/>
            <w:shd w:val="clear" w:color="auto" w:fill="E0E0E0"/>
          </w:tcPr>
          <w:p w14:paraId="5380E779" w14:textId="77777777" w:rsidR="00E4381E" w:rsidRPr="003F43AB" w:rsidRDefault="00B56C8B" w:rsidP="00E4381E">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Peacebuilding in Conflict-Affected Mindanao</w:t>
            </w:r>
          </w:p>
          <w:p w14:paraId="133CF902" w14:textId="77777777" w:rsidR="009C5213" w:rsidRPr="003F43AB" w:rsidRDefault="009C5213" w:rsidP="00E4381E">
            <w:pPr>
              <w:pStyle w:val="Table-normal-text"/>
              <w:spacing w:after="60"/>
              <w:contextualSpacing/>
              <w:rPr>
                <w:rFonts w:asciiTheme="minorHAnsi" w:hAnsiTheme="minorHAnsi" w:cstheme="minorHAnsi"/>
                <w:sz w:val="24"/>
              </w:rPr>
            </w:pPr>
          </w:p>
        </w:tc>
      </w:tr>
      <w:tr w:rsidR="009C5213" w:rsidRPr="003F43AB" w14:paraId="00153DEA" w14:textId="77777777" w:rsidTr="0020133E">
        <w:trPr>
          <w:cantSplit/>
          <w:trHeight w:val="295"/>
        </w:trPr>
        <w:tc>
          <w:tcPr>
            <w:tcW w:w="2297" w:type="dxa"/>
            <w:shd w:val="clear" w:color="auto" w:fill="auto"/>
          </w:tcPr>
          <w:p w14:paraId="4214E27A" w14:textId="77777777" w:rsidR="009C5213" w:rsidRPr="003F43AB" w:rsidRDefault="009C5213" w:rsidP="0020133E">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 xml:space="preserve">AidWorks </w:t>
            </w:r>
            <w:r w:rsidR="00C67CEC" w:rsidRPr="003F43AB">
              <w:rPr>
                <w:rFonts w:asciiTheme="minorHAnsi" w:hAnsiTheme="minorHAnsi" w:cstheme="minorHAnsi"/>
                <w:sz w:val="24"/>
              </w:rPr>
              <w:t xml:space="preserve">reference </w:t>
            </w:r>
          </w:p>
        </w:tc>
        <w:tc>
          <w:tcPr>
            <w:tcW w:w="7201" w:type="dxa"/>
            <w:shd w:val="clear" w:color="auto" w:fill="auto"/>
          </w:tcPr>
          <w:p w14:paraId="36413EDC" w14:textId="77777777" w:rsidR="009C5213" w:rsidRPr="003F43AB" w:rsidRDefault="00C67CEC" w:rsidP="00B429C9">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 xml:space="preserve">Investment </w:t>
            </w:r>
            <w:r w:rsidR="00B429C9" w:rsidRPr="003F43AB">
              <w:rPr>
                <w:rFonts w:asciiTheme="minorHAnsi" w:hAnsiTheme="minorHAnsi" w:cstheme="minorHAnsi"/>
                <w:sz w:val="24"/>
              </w:rPr>
              <w:t>INL343</w:t>
            </w:r>
          </w:p>
        </w:tc>
      </w:tr>
      <w:tr w:rsidR="00057125" w:rsidRPr="003F43AB" w14:paraId="0B094218" w14:textId="77777777" w:rsidTr="00143F5A">
        <w:trPr>
          <w:cantSplit/>
          <w:trHeight w:val="266"/>
        </w:trPr>
        <w:tc>
          <w:tcPr>
            <w:tcW w:w="2297" w:type="dxa"/>
            <w:shd w:val="clear" w:color="auto" w:fill="auto"/>
          </w:tcPr>
          <w:p w14:paraId="49F4F221" w14:textId="77777777" w:rsidR="00057125" w:rsidRPr="003F43AB" w:rsidRDefault="00057125" w:rsidP="00057125">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Original dates:</w:t>
            </w:r>
          </w:p>
        </w:tc>
        <w:tc>
          <w:tcPr>
            <w:tcW w:w="7201" w:type="dxa"/>
            <w:shd w:val="clear" w:color="auto" w:fill="auto"/>
          </w:tcPr>
          <w:p w14:paraId="54F9B7B3" w14:textId="77777777" w:rsidR="00057125" w:rsidRPr="003F43AB" w:rsidRDefault="00057125" w:rsidP="006A4A69">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 xml:space="preserve">1 </w:t>
            </w:r>
            <w:r w:rsidR="006A4A69" w:rsidRPr="003F43AB">
              <w:rPr>
                <w:rFonts w:asciiTheme="minorHAnsi" w:hAnsiTheme="minorHAnsi" w:cstheme="minorHAnsi"/>
                <w:sz w:val="24"/>
              </w:rPr>
              <w:t>April 2014 to 30 June 2022</w:t>
            </w:r>
            <w:r w:rsidR="00E4381E" w:rsidRPr="003F43AB">
              <w:rPr>
                <w:rFonts w:asciiTheme="minorHAnsi" w:hAnsiTheme="minorHAnsi" w:cstheme="minorHAnsi"/>
                <w:sz w:val="24"/>
              </w:rPr>
              <w:t xml:space="preserve"> </w:t>
            </w:r>
          </w:p>
        </w:tc>
      </w:tr>
      <w:tr w:rsidR="00057125" w:rsidRPr="003F43AB" w14:paraId="7AD019FA" w14:textId="77777777" w:rsidTr="00143F5A">
        <w:trPr>
          <w:cantSplit/>
          <w:trHeight w:val="266"/>
        </w:trPr>
        <w:tc>
          <w:tcPr>
            <w:tcW w:w="2297" w:type="dxa"/>
            <w:shd w:val="clear" w:color="auto" w:fill="auto"/>
          </w:tcPr>
          <w:p w14:paraId="7D39540E" w14:textId="77777777" w:rsidR="00057125" w:rsidRPr="003F43AB" w:rsidRDefault="00057125" w:rsidP="0020133E">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Amended dates:</w:t>
            </w:r>
          </w:p>
        </w:tc>
        <w:tc>
          <w:tcPr>
            <w:tcW w:w="7201" w:type="dxa"/>
            <w:shd w:val="clear" w:color="auto" w:fill="auto"/>
          </w:tcPr>
          <w:p w14:paraId="1B5A85EA" w14:textId="77777777" w:rsidR="00057125" w:rsidRPr="003F43AB" w:rsidRDefault="006A4A69" w:rsidP="00E4381E">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 xml:space="preserve">1 April 2014 to 30 June 2023 </w:t>
            </w:r>
          </w:p>
        </w:tc>
      </w:tr>
      <w:tr w:rsidR="005043E7" w:rsidRPr="003F43AB" w14:paraId="149A0ADB" w14:textId="77777777" w:rsidTr="0020133E">
        <w:trPr>
          <w:cantSplit/>
          <w:trHeight w:val="295"/>
        </w:trPr>
        <w:tc>
          <w:tcPr>
            <w:tcW w:w="2297" w:type="dxa"/>
            <w:shd w:val="clear" w:color="auto" w:fill="auto"/>
          </w:tcPr>
          <w:p w14:paraId="1C817FF6" w14:textId="77777777" w:rsidR="005043E7" w:rsidRPr="003F43AB" w:rsidRDefault="00057125" w:rsidP="0020133E">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Original</w:t>
            </w:r>
            <w:r w:rsidR="005043E7" w:rsidRPr="003F43AB">
              <w:rPr>
                <w:rFonts w:asciiTheme="minorHAnsi" w:hAnsiTheme="minorHAnsi" w:cstheme="minorHAnsi"/>
                <w:sz w:val="24"/>
              </w:rPr>
              <w:t xml:space="preserve"> value:</w:t>
            </w:r>
          </w:p>
        </w:tc>
        <w:tc>
          <w:tcPr>
            <w:tcW w:w="7201" w:type="dxa"/>
            <w:shd w:val="clear" w:color="auto" w:fill="auto"/>
          </w:tcPr>
          <w:p w14:paraId="2F16C8D3" w14:textId="77777777" w:rsidR="005043E7" w:rsidRPr="003F43AB" w:rsidRDefault="006A4A69" w:rsidP="00B24DCC">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Total estimated value: $91,218,457.90</w:t>
            </w:r>
          </w:p>
          <w:p w14:paraId="182312EF" w14:textId="77777777" w:rsidR="006A4A69" w:rsidRPr="003F43AB" w:rsidRDefault="006A4A69" w:rsidP="00B24DCC">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Total activity values: $82,838,137</w:t>
            </w:r>
          </w:p>
        </w:tc>
      </w:tr>
      <w:tr w:rsidR="009C5213" w:rsidRPr="003F43AB" w14:paraId="661C41DA" w14:textId="77777777" w:rsidTr="0020133E">
        <w:trPr>
          <w:cantSplit/>
          <w:trHeight w:val="339"/>
        </w:trPr>
        <w:tc>
          <w:tcPr>
            <w:tcW w:w="2297" w:type="dxa"/>
            <w:shd w:val="clear" w:color="auto" w:fill="auto"/>
          </w:tcPr>
          <w:p w14:paraId="749F3797" w14:textId="77777777" w:rsidR="009C5213" w:rsidRPr="003F43AB" w:rsidRDefault="00A91E23" w:rsidP="0020133E">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Implementing partner</w:t>
            </w:r>
            <w:r w:rsidR="00505C3A" w:rsidRPr="003F43AB">
              <w:rPr>
                <w:rFonts w:asciiTheme="minorHAnsi" w:hAnsiTheme="minorHAnsi" w:cstheme="minorHAnsi"/>
                <w:sz w:val="24"/>
              </w:rPr>
              <w:t>:</w:t>
            </w:r>
          </w:p>
        </w:tc>
        <w:tc>
          <w:tcPr>
            <w:tcW w:w="7201" w:type="dxa"/>
            <w:shd w:val="clear" w:color="auto" w:fill="auto"/>
          </w:tcPr>
          <w:p w14:paraId="1B24995D" w14:textId="5605BE3D" w:rsidR="009C5213" w:rsidRPr="003F43AB" w:rsidRDefault="006A4A69" w:rsidP="003F43AB">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 xml:space="preserve">World Bank, UNDP, GCERF, The Asia Foundation, International Alert, The Centre for Humanitarian Dialogue, Oxfam, The Institute for Autonomy and Governance, </w:t>
            </w:r>
            <w:proofErr w:type="spellStart"/>
            <w:r w:rsidRPr="003F43AB">
              <w:rPr>
                <w:rFonts w:asciiTheme="minorHAnsi" w:hAnsiTheme="minorHAnsi" w:cstheme="minorHAnsi"/>
                <w:sz w:val="24"/>
              </w:rPr>
              <w:t>Balay</w:t>
            </w:r>
            <w:proofErr w:type="spellEnd"/>
            <w:r w:rsidRPr="003F43AB">
              <w:rPr>
                <w:rFonts w:asciiTheme="minorHAnsi" w:hAnsiTheme="minorHAnsi" w:cstheme="minorHAnsi"/>
                <w:sz w:val="24"/>
              </w:rPr>
              <w:t xml:space="preserve"> </w:t>
            </w:r>
            <w:proofErr w:type="spellStart"/>
            <w:r w:rsidRPr="003F43AB">
              <w:rPr>
                <w:rFonts w:asciiTheme="minorHAnsi" w:hAnsiTheme="minorHAnsi" w:cstheme="minorHAnsi"/>
                <w:sz w:val="24"/>
              </w:rPr>
              <w:t>Mindanaw</w:t>
            </w:r>
            <w:proofErr w:type="spellEnd"/>
            <w:r w:rsidRPr="003F43AB">
              <w:rPr>
                <w:rFonts w:asciiTheme="minorHAnsi" w:hAnsiTheme="minorHAnsi" w:cstheme="minorHAnsi"/>
                <w:sz w:val="24"/>
              </w:rPr>
              <w:t>, Ayala Foundation, International Crisis Group</w:t>
            </w:r>
          </w:p>
        </w:tc>
      </w:tr>
      <w:tr w:rsidR="009C5213" w:rsidRPr="003F43AB" w14:paraId="0A0FC6DE" w14:textId="77777777" w:rsidTr="0020133E">
        <w:trPr>
          <w:cantSplit/>
          <w:trHeight w:val="295"/>
        </w:trPr>
        <w:tc>
          <w:tcPr>
            <w:tcW w:w="2297" w:type="dxa"/>
            <w:shd w:val="clear" w:color="auto" w:fill="auto"/>
          </w:tcPr>
          <w:p w14:paraId="65172375" w14:textId="77777777" w:rsidR="009C5213" w:rsidRPr="003F43AB" w:rsidRDefault="009C5213" w:rsidP="0020133E">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Country/Region</w:t>
            </w:r>
            <w:r w:rsidR="00505C3A" w:rsidRPr="003F43AB">
              <w:rPr>
                <w:rFonts w:asciiTheme="minorHAnsi" w:hAnsiTheme="minorHAnsi" w:cstheme="minorHAnsi"/>
                <w:sz w:val="24"/>
              </w:rPr>
              <w:t>:</w:t>
            </w:r>
          </w:p>
        </w:tc>
        <w:tc>
          <w:tcPr>
            <w:tcW w:w="7201" w:type="dxa"/>
            <w:shd w:val="clear" w:color="auto" w:fill="auto"/>
          </w:tcPr>
          <w:p w14:paraId="43B8227C" w14:textId="77777777" w:rsidR="009C5213" w:rsidRPr="003F43AB" w:rsidRDefault="006A4A69" w:rsidP="0020133E">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Philippines</w:t>
            </w:r>
          </w:p>
        </w:tc>
      </w:tr>
      <w:tr w:rsidR="009C5213" w:rsidRPr="003F43AB" w14:paraId="3B7A0A8F" w14:textId="77777777" w:rsidTr="0020133E">
        <w:trPr>
          <w:cantSplit/>
          <w:trHeight w:val="295"/>
        </w:trPr>
        <w:tc>
          <w:tcPr>
            <w:tcW w:w="2297" w:type="dxa"/>
            <w:shd w:val="clear" w:color="auto" w:fill="auto"/>
          </w:tcPr>
          <w:p w14:paraId="1A4CE1A2" w14:textId="77777777" w:rsidR="009C5213" w:rsidRPr="003F43AB" w:rsidRDefault="009C5213" w:rsidP="0020133E">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Primary sector</w:t>
            </w:r>
            <w:r w:rsidR="00505C3A" w:rsidRPr="003F43AB">
              <w:rPr>
                <w:rFonts w:asciiTheme="minorHAnsi" w:hAnsiTheme="minorHAnsi" w:cstheme="minorHAnsi"/>
                <w:sz w:val="24"/>
              </w:rPr>
              <w:t>:</w:t>
            </w:r>
          </w:p>
        </w:tc>
        <w:tc>
          <w:tcPr>
            <w:tcW w:w="7201" w:type="dxa"/>
            <w:shd w:val="clear" w:color="auto" w:fill="auto"/>
          </w:tcPr>
          <w:p w14:paraId="1278B30F" w14:textId="77777777" w:rsidR="009C5213" w:rsidRPr="003F43AB" w:rsidRDefault="006A4A69" w:rsidP="0020133E">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Peace and Stability</w:t>
            </w:r>
          </w:p>
        </w:tc>
      </w:tr>
      <w:tr w:rsidR="009C5213" w:rsidRPr="003F43AB" w14:paraId="354256A2" w14:textId="77777777" w:rsidTr="0020133E">
        <w:trPr>
          <w:cantSplit/>
          <w:trHeight w:val="307"/>
        </w:trPr>
        <w:tc>
          <w:tcPr>
            <w:tcW w:w="2297" w:type="dxa"/>
            <w:shd w:val="clear" w:color="auto" w:fill="auto"/>
          </w:tcPr>
          <w:p w14:paraId="53F3EE0F" w14:textId="77777777" w:rsidR="009C5213" w:rsidRPr="003F43AB" w:rsidRDefault="009C5213" w:rsidP="00EB038C">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 xml:space="preserve">Initiative </w:t>
            </w:r>
            <w:r w:rsidR="00EB038C" w:rsidRPr="003F43AB">
              <w:rPr>
                <w:rFonts w:asciiTheme="minorHAnsi" w:hAnsiTheme="minorHAnsi" w:cstheme="minorHAnsi"/>
                <w:sz w:val="24"/>
              </w:rPr>
              <w:t>end of program outcomes</w:t>
            </w:r>
            <w:r w:rsidR="00505C3A" w:rsidRPr="003F43AB">
              <w:rPr>
                <w:rFonts w:asciiTheme="minorHAnsi" w:hAnsiTheme="minorHAnsi" w:cstheme="minorHAnsi"/>
                <w:sz w:val="24"/>
              </w:rPr>
              <w:t>:</w:t>
            </w:r>
          </w:p>
        </w:tc>
        <w:tc>
          <w:tcPr>
            <w:tcW w:w="7201" w:type="dxa"/>
            <w:shd w:val="clear" w:color="auto" w:fill="auto"/>
          </w:tcPr>
          <w:p w14:paraId="4154D23E" w14:textId="3A2748F3" w:rsidR="006A4A69" w:rsidRPr="003F43AB" w:rsidRDefault="006A4A69" w:rsidP="006A4A69">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 xml:space="preserve">1. Increased capacity of the government agencies in </w:t>
            </w:r>
            <w:r w:rsidR="007B16CE" w:rsidRPr="003F43AB">
              <w:rPr>
                <w:rFonts w:asciiTheme="minorHAnsi" w:hAnsiTheme="minorHAnsi" w:cstheme="minorHAnsi"/>
                <w:sz w:val="24"/>
              </w:rPr>
              <w:t>environmentally fragile</w:t>
            </w:r>
            <w:r w:rsidRPr="003F43AB">
              <w:rPr>
                <w:rFonts w:asciiTheme="minorHAnsi" w:hAnsiTheme="minorHAnsi" w:cstheme="minorHAnsi"/>
                <w:sz w:val="24"/>
              </w:rPr>
              <w:t xml:space="preserve"> and/or conflict-affected areas to</w:t>
            </w:r>
            <w:r w:rsidR="00832938">
              <w:rPr>
                <w:rFonts w:asciiTheme="minorHAnsi" w:hAnsiTheme="minorHAnsi" w:cstheme="minorHAnsi"/>
                <w:sz w:val="24"/>
              </w:rPr>
              <w:t xml:space="preserve"> </w:t>
            </w:r>
            <w:r w:rsidRPr="003F43AB">
              <w:rPr>
                <w:rFonts w:asciiTheme="minorHAnsi" w:hAnsiTheme="minorHAnsi" w:cstheme="minorHAnsi"/>
                <w:sz w:val="24"/>
              </w:rPr>
              <w:t>effectively deliver conflict-sensitive services, including humanitarian assistance</w:t>
            </w:r>
          </w:p>
          <w:p w14:paraId="6E12781A" w14:textId="77777777" w:rsidR="006A4A69" w:rsidRPr="003F43AB" w:rsidRDefault="006A4A69" w:rsidP="006A4A69">
            <w:pPr>
              <w:pStyle w:val="Table-normal-text"/>
              <w:spacing w:after="60"/>
              <w:contextualSpacing/>
              <w:rPr>
                <w:rFonts w:asciiTheme="minorHAnsi" w:hAnsiTheme="minorHAnsi" w:cstheme="minorHAnsi"/>
                <w:sz w:val="24"/>
              </w:rPr>
            </w:pPr>
          </w:p>
          <w:p w14:paraId="559666A5" w14:textId="77777777" w:rsidR="006A4A69" w:rsidRPr="003F43AB" w:rsidRDefault="006A4A69" w:rsidP="006A4A69">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2a. Developed or improved local, non-government mechanisms for conflict resolution at the community level</w:t>
            </w:r>
          </w:p>
          <w:p w14:paraId="05ECA2AF" w14:textId="77777777" w:rsidR="006A4A69" w:rsidRPr="003F43AB" w:rsidRDefault="006A4A69" w:rsidP="006A4A69">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2b. Increased capacity of community leadership to address factors contributing to violent extremism</w:t>
            </w:r>
          </w:p>
          <w:p w14:paraId="6229C5C6" w14:textId="77777777" w:rsidR="006A4A69" w:rsidRPr="003F43AB" w:rsidRDefault="006A4A69" w:rsidP="006A4A69">
            <w:pPr>
              <w:pStyle w:val="Table-normal-text"/>
              <w:spacing w:after="60"/>
              <w:contextualSpacing/>
              <w:rPr>
                <w:rFonts w:asciiTheme="minorHAnsi" w:hAnsiTheme="minorHAnsi" w:cstheme="minorHAnsi"/>
                <w:sz w:val="24"/>
              </w:rPr>
            </w:pPr>
          </w:p>
          <w:p w14:paraId="77953197" w14:textId="77777777" w:rsidR="006A4A69" w:rsidRPr="003F43AB" w:rsidRDefault="006A4A69" w:rsidP="006A4A69">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3. Combatants surrender weapons in accordance with the peace agreement and camps are progressively transformed into viable communities</w:t>
            </w:r>
          </w:p>
          <w:p w14:paraId="319C66F1" w14:textId="77777777" w:rsidR="006A4A69" w:rsidRPr="003F43AB" w:rsidRDefault="006A4A69" w:rsidP="006A4A69">
            <w:pPr>
              <w:pStyle w:val="Table-normal-text"/>
              <w:spacing w:after="60"/>
              <w:contextualSpacing/>
              <w:rPr>
                <w:rFonts w:asciiTheme="minorHAnsi" w:hAnsiTheme="minorHAnsi" w:cstheme="minorHAnsi"/>
                <w:sz w:val="24"/>
              </w:rPr>
            </w:pPr>
          </w:p>
          <w:p w14:paraId="5825F368" w14:textId="77777777" w:rsidR="006A4A69" w:rsidRPr="003F43AB" w:rsidRDefault="006A4A69" w:rsidP="006A4A69">
            <w:pPr>
              <w:pStyle w:val="Table-normal-text"/>
              <w:spacing w:after="60"/>
              <w:contextualSpacing/>
              <w:rPr>
                <w:rFonts w:asciiTheme="minorHAnsi" w:hAnsiTheme="minorHAnsi" w:cstheme="minorHAnsi"/>
                <w:sz w:val="24"/>
              </w:rPr>
            </w:pPr>
            <w:r w:rsidRPr="003F43AB">
              <w:rPr>
                <w:rFonts w:asciiTheme="minorHAnsi" w:hAnsiTheme="minorHAnsi" w:cstheme="minorHAnsi"/>
                <w:sz w:val="24"/>
              </w:rPr>
              <w:t>4. Inclusive institutions to improve governance in the Bangsamoro are established and/or strengthened</w:t>
            </w:r>
          </w:p>
          <w:p w14:paraId="42F7BE0A" w14:textId="77777777" w:rsidR="00E01732" w:rsidRPr="003F43AB" w:rsidRDefault="00E01732" w:rsidP="006A4A69">
            <w:pPr>
              <w:pStyle w:val="ListParagraph"/>
              <w:spacing w:before="60" w:after="60" w:line="276" w:lineRule="auto"/>
              <w:ind w:left="360"/>
              <w:rPr>
                <w:rFonts w:asciiTheme="minorHAnsi" w:hAnsiTheme="minorHAnsi" w:cstheme="minorHAnsi"/>
              </w:rPr>
            </w:pPr>
          </w:p>
        </w:tc>
      </w:tr>
    </w:tbl>
    <w:p w14:paraId="4D0245E4" w14:textId="77777777" w:rsidR="0020133E" w:rsidRPr="003F43AB" w:rsidRDefault="005F3340" w:rsidP="0020133E">
      <w:pPr>
        <w:pStyle w:val="Heading2"/>
        <w:spacing w:before="120" w:after="120"/>
        <w:contextualSpacing/>
        <w:rPr>
          <w:rFonts w:asciiTheme="minorHAnsi" w:hAnsiTheme="minorHAnsi" w:cstheme="minorHAnsi"/>
          <w:szCs w:val="24"/>
        </w:rPr>
      </w:pPr>
      <w:r w:rsidRPr="003F43AB">
        <w:rPr>
          <w:rFonts w:asciiTheme="minorHAnsi" w:hAnsiTheme="minorHAnsi" w:cstheme="minorHAnsi"/>
          <w:szCs w:val="24"/>
        </w:rPr>
        <w:t>Review</w:t>
      </w:r>
      <w:r w:rsidR="009C5213" w:rsidRPr="003F43AB">
        <w:rPr>
          <w:rFonts w:asciiTheme="minorHAnsi" w:hAnsiTheme="minorHAnsi" w:cstheme="minorHAnsi"/>
          <w:szCs w:val="24"/>
        </w:rPr>
        <w:t xml:space="preserve"> Summary</w:t>
      </w:r>
    </w:p>
    <w:p w14:paraId="6B4008C7" w14:textId="3335C945" w:rsidR="00130CCA" w:rsidRPr="003F43AB" w:rsidRDefault="005F3340" w:rsidP="00B24DCC">
      <w:pPr>
        <w:pStyle w:val="Table-normal-text"/>
        <w:spacing w:before="0"/>
        <w:contextualSpacing/>
        <w:rPr>
          <w:rFonts w:asciiTheme="minorHAnsi" w:hAnsiTheme="minorHAnsi" w:cstheme="minorHAnsi"/>
          <w:bCs/>
          <w:sz w:val="24"/>
        </w:rPr>
      </w:pPr>
      <w:r w:rsidRPr="003F43AB">
        <w:rPr>
          <w:rFonts w:asciiTheme="minorHAnsi" w:hAnsiTheme="minorHAnsi" w:cstheme="minorHAnsi"/>
          <w:sz w:val="24"/>
        </w:rPr>
        <w:t xml:space="preserve">The </w:t>
      </w:r>
      <w:r w:rsidR="00B24DCC" w:rsidRPr="003F43AB">
        <w:rPr>
          <w:rFonts w:asciiTheme="minorHAnsi" w:hAnsiTheme="minorHAnsi" w:cstheme="minorHAnsi"/>
          <w:sz w:val="24"/>
        </w:rPr>
        <w:t xml:space="preserve">purpose </w:t>
      </w:r>
      <w:r w:rsidRPr="003F43AB">
        <w:rPr>
          <w:rFonts w:asciiTheme="minorHAnsi" w:hAnsiTheme="minorHAnsi" w:cstheme="minorHAnsi"/>
          <w:sz w:val="24"/>
        </w:rPr>
        <w:t xml:space="preserve">of the </w:t>
      </w:r>
      <w:r w:rsidR="00B24DCC" w:rsidRPr="003F43AB">
        <w:rPr>
          <w:rFonts w:asciiTheme="minorHAnsi" w:hAnsiTheme="minorHAnsi" w:cstheme="minorHAnsi"/>
          <w:sz w:val="24"/>
        </w:rPr>
        <w:t xml:space="preserve">independent </w:t>
      </w:r>
      <w:r w:rsidR="007B7BF1" w:rsidRPr="003F43AB">
        <w:rPr>
          <w:rFonts w:asciiTheme="minorHAnsi" w:hAnsiTheme="minorHAnsi" w:cstheme="minorHAnsi"/>
          <w:sz w:val="24"/>
        </w:rPr>
        <w:t xml:space="preserve">strategic review was to assess the effectiveness of </w:t>
      </w:r>
      <w:r w:rsidR="00A21DE1" w:rsidRPr="003F43AB">
        <w:rPr>
          <w:rFonts w:asciiTheme="minorHAnsi" w:hAnsiTheme="minorHAnsi" w:cstheme="minorHAnsi"/>
          <w:sz w:val="24"/>
        </w:rPr>
        <w:t>Australia’s</w:t>
      </w:r>
      <w:r w:rsidR="007B7BF1" w:rsidRPr="003F43AB">
        <w:rPr>
          <w:rFonts w:asciiTheme="minorHAnsi" w:hAnsiTheme="minorHAnsi" w:cstheme="minorHAnsi"/>
          <w:sz w:val="24"/>
        </w:rPr>
        <w:t xml:space="preserve"> support for peace in Muslim Mindanao under the Peacebuilding in Conflict-Affected Mindanao investment, and its ongoing appropriateness in the political context.</w:t>
      </w:r>
      <w:r w:rsidR="00B24DCC" w:rsidRPr="003F43AB">
        <w:rPr>
          <w:rFonts w:asciiTheme="minorHAnsi" w:hAnsiTheme="minorHAnsi" w:cstheme="minorHAnsi"/>
          <w:bCs/>
          <w:sz w:val="24"/>
        </w:rPr>
        <w:t xml:space="preserve"> The evaluation </w:t>
      </w:r>
      <w:r w:rsidR="007B7BF1" w:rsidRPr="003F43AB">
        <w:rPr>
          <w:rFonts w:asciiTheme="minorHAnsi" w:hAnsiTheme="minorHAnsi" w:cstheme="minorHAnsi"/>
          <w:bCs/>
          <w:sz w:val="24"/>
        </w:rPr>
        <w:t>was</w:t>
      </w:r>
      <w:r w:rsidR="00B24DCC" w:rsidRPr="003F43AB">
        <w:rPr>
          <w:rFonts w:asciiTheme="minorHAnsi" w:hAnsiTheme="minorHAnsi" w:cstheme="minorHAnsi"/>
          <w:bCs/>
          <w:sz w:val="24"/>
        </w:rPr>
        <w:t xml:space="preserve"> also </w:t>
      </w:r>
      <w:r w:rsidR="007B7BF1" w:rsidRPr="003F43AB">
        <w:rPr>
          <w:rFonts w:asciiTheme="minorHAnsi" w:hAnsiTheme="minorHAnsi" w:cstheme="minorHAnsi"/>
          <w:bCs/>
          <w:sz w:val="24"/>
        </w:rPr>
        <w:t xml:space="preserve">to </w:t>
      </w:r>
      <w:r w:rsidR="00B24DCC" w:rsidRPr="003F43AB">
        <w:rPr>
          <w:rFonts w:asciiTheme="minorHAnsi" w:hAnsiTheme="minorHAnsi" w:cstheme="minorHAnsi"/>
          <w:bCs/>
          <w:sz w:val="24"/>
        </w:rPr>
        <w:t>in</w:t>
      </w:r>
      <w:r w:rsidR="007B7BF1" w:rsidRPr="003F43AB">
        <w:rPr>
          <w:rFonts w:asciiTheme="minorHAnsi" w:hAnsiTheme="minorHAnsi" w:cstheme="minorHAnsi"/>
          <w:bCs/>
          <w:sz w:val="24"/>
        </w:rPr>
        <w:t>form decisions about how future</w:t>
      </w:r>
      <w:r w:rsidR="00B24DCC" w:rsidRPr="003F43AB">
        <w:rPr>
          <w:rFonts w:asciiTheme="minorHAnsi" w:hAnsiTheme="minorHAnsi" w:cstheme="minorHAnsi"/>
          <w:bCs/>
          <w:sz w:val="24"/>
        </w:rPr>
        <w:t xml:space="preserve"> support is </w:t>
      </w:r>
      <w:r w:rsidR="007B7BF1" w:rsidRPr="003F43AB">
        <w:rPr>
          <w:rFonts w:asciiTheme="minorHAnsi" w:hAnsiTheme="minorHAnsi" w:cstheme="minorHAnsi"/>
          <w:bCs/>
          <w:sz w:val="24"/>
        </w:rPr>
        <w:t xml:space="preserve">programmed and delivered. </w:t>
      </w:r>
      <w:r w:rsidR="00BA4A9D" w:rsidRPr="003F43AB">
        <w:rPr>
          <w:rFonts w:asciiTheme="minorHAnsi" w:hAnsiTheme="minorHAnsi" w:cstheme="minorHAnsi"/>
          <w:bCs/>
          <w:sz w:val="24"/>
        </w:rPr>
        <w:t xml:space="preserve">The review covered the different programs and projects from July 2017 to December 2019. </w:t>
      </w:r>
    </w:p>
    <w:p w14:paraId="129DA90A" w14:textId="77777777" w:rsidR="00EB038C" w:rsidRPr="003F43AB" w:rsidRDefault="00EB038C" w:rsidP="00B24DCC">
      <w:pPr>
        <w:pStyle w:val="Table-normal-text"/>
        <w:spacing w:before="0"/>
        <w:contextualSpacing/>
        <w:rPr>
          <w:rFonts w:asciiTheme="minorHAnsi" w:hAnsiTheme="minorHAnsi" w:cstheme="minorHAnsi"/>
          <w:bCs/>
          <w:sz w:val="24"/>
        </w:rPr>
      </w:pPr>
    </w:p>
    <w:p w14:paraId="582D0AAF" w14:textId="77777777" w:rsidR="003F43AB" w:rsidRDefault="003F43AB">
      <w:pPr>
        <w:rPr>
          <w:rFonts w:asciiTheme="minorHAnsi" w:hAnsiTheme="minorHAnsi" w:cstheme="minorHAnsi"/>
          <w:b/>
        </w:rPr>
      </w:pPr>
      <w:r>
        <w:rPr>
          <w:rFonts w:asciiTheme="minorHAnsi" w:hAnsiTheme="minorHAnsi" w:cstheme="minorHAnsi"/>
          <w:b/>
        </w:rPr>
        <w:br w:type="page"/>
      </w:r>
    </w:p>
    <w:p w14:paraId="456AAA17" w14:textId="39F07108" w:rsidR="009C5213" w:rsidRPr="003F43AB" w:rsidRDefault="009C5213" w:rsidP="005043E7">
      <w:pPr>
        <w:contextualSpacing/>
        <w:rPr>
          <w:rFonts w:asciiTheme="minorHAnsi" w:hAnsiTheme="minorHAnsi" w:cstheme="minorHAnsi"/>
          <w:b/>
        </w:rPr>
      </w:pPr>
      <w:r w:rsidRPr="003F43AB">
        <w:rPr>
          <w:rFonts w:asciiTheme="minorHAnsi" w:hAnsiTheme="minorHAnsi" w:cstheme="minorHAnsi"/>
          <w:b/>
        </w:rPr>
        <w:lastRenderedPageBreak/>
        <w:t xml:space="preserve">Review Team: </w:t>
      </w:r>
    </w:p>
    <w:p w14:paraId="280C1CCF" w14:textId="77777777" w:rsidR="00CA52D1" w:rsidRPr="009A0B49" w:rsidRDefault="00CA52D1" w:rsidP="005043E7">
      <w:pPr>
        <w:contextualSpacing/>
        <w:rPr>
          <w:rFonts w:asciiTheme="minorHAnsi" w:hAnsiTheme="minorHAnsi" w:cstheme="minorHAnsi"/>
        </w:rPr>
      </w:pPr>
      <w:r w:rsidRPr="009A0B49">
        <w:rPr>
          <w:rFonts w:asciiTheme="minorHAnsi" w:hAnsiTheme="minorHAnsi" w:cstheme="minorHAnsi"/>
        </w:rPr>
        <w:t>The Strategic Review itself was conducted by a Philippines-based team of independent consultants:</w:t>
      </w:r>
    </w:p>
    <w:p w14:paraId="73B9EC9D" w14:textId="77777777" w:rsidR="005F3340" w:rsidRPr="003F43AB" w:rsidRDefault="00CA52D1" w:rsidP="005043E7">
      <w:pPr>
        <w:pStyle w:val="Table-normal-text"/>
        <w:numPr>
          <w:ilvl w:val="0"/>
          <w:numId w:val="23"/>
        </w:numPr>
        <w:spacing w:before="0"/>
        <w:contextualSpacing/>
        <w:rPr>
          <w:rFonts w:asciiTheme="minorHAnsi" w:hAnsiTheme="minorHAnsi" w:cstheme="minorHAnsi"/>
          <w:sz w:val="24"/>
        </w:rPr>
      </w:pPr>
      <w:r w:rsidRPr="003F43AB">
        <w:rPr>
          <w:rFonts w:asciiTheme="minorHAnsi" w:hAnsiTheme="minorHAnsi" w:cstheme="minorHAnsi"/>
          <w:sz w:val="24"/>
        </w:rPr>
        <w:t>Fermin Adriano</w:t>
      </w:r>
      <w:r w:rsidR="00E4381E" w:rsidRPr="003F43AB">
        <w:rPr>
          <w:rFonts w:asciiTheme="minorHAnsi" w:hAnsiTheme="minorHAnsi" w:cstheme="minorHAnsi"/>
          <w:sz w:val="24"/>
        </w:rPr>
        <w:t xml:space="preserve"> </w:t>
      </w:r>
      <w:r w:rsidR="005F3340" w:rsidRPr="003F43AB">
        <w:rPr>
          <w:rFonts w:asciiTheme="minorHAnsi" w:hAnsiTheme="minorHAnsi" w:cstheme="minorHAnsi"/>
          <w:sz w:val="24"/>
        </w:rPr>
        <w:t>(review team leader)</w:t>
      </w:r>
    </w:p>
    <w:p w14:paraId="3EB744D0" w14:textId="77777777" w:rsidR="005F3340" w:rsidRPr="003F43AB" w:rsidRDefault="00CA52D1" w:rsidP="005043E7">
      <w:pPr>
        <w:pStyle w:val="Table-normal-text"/>
        <w:numPr>
          <w:ilvl w:val="0"/>
          <w:numId w:val="23"/>
        </w:numPr>
        <w:spacing w:before="0"/>
        <w:contextualSpacing/>
        <w:rPr>
          <w:rFonts w:asciiTheme="minorHAnsi" w:hAnsiTheme="minorHAnsi" w:cstheme="minorHAnsi"/>
          <w:sz w:val="24"/>
        </w:rPr>
      </w:pPr>
      <w:r w:rsidRPr="003F43AB">
        <w:rPr>
          <w:rFonts w:asciiTheme="minorHAnsi" w:hAnsiTheme="minorHAnsi" w:cstheme="minorHAnsi"/>
          <w:sz w:val="24"/>
        </w:rPr>
        <w:t>Maria Carmen “Ica” Fernandez</w:t>
      </w:r>
      <w:r w:rsidR="005F3340" w:rsidRPr="003F43AB">
        <w:rPr>
          <w:rFonts w:asciiTheme="minorHAnsi" w:hAnsiTheme="minorHAnsi" w:cstheme="minorHAnsi"/>
          <w:sz w:val="24"/>
        </w:rPr>
        <w:t xml:space="preserve"> (</w:t>
      </w:r>
      <w:r w:rsidRPr="003F43AB">
        <w:rPr>
          <w:rFonts w:asciiTheme="minorHAnsi" w:hAnsiTheme="minorHAnsi" w:cstheme="minorHAnsi"/>
          <w:sz w:val="24"/>
        </w:rPr>
        <w:t>governance conflict sensitivity specialist</w:t>
      </w:r>
      <w:r w:rsidR="005F3340" w:rsidRPr="003F43AB">
        <w:rPr>
          <w:rFonts w:asciiTheme="minorHAnsi" w:hAnsiTheme="minorHAnsi" w:cstheme="minorHAnsi"/>
          <w:sz w:val="24"/>
        </w:rPr>
        <w:t>)</w:t>
      </w:r>
    </w:p>
    <w:p w14:paraId="17D7AA1E" w14:textId="77777777" w:rsidR="005F3340" w:rsidRPr="003F43AB" w:rsidRDefault="00CA52D1" w:rsidP="005043E7">
      <w:pPr>
        <w:pStyle w:val="Table-normal-text"/>
        <w:numPr>
          <w:ilvl w:val="0"/>
          <w:numId w:val="23"/>
        </w:numPr>
        <w:spacing w:before="0"/>
        <w:contextualSpacing/>
        <w:rPr>
          <w:rFonts w:asciiTheme="minorHAnsi" w:hAnsiTheme="minorHAnsi" w:cstheme="minorHAnsi"/>
          <w:sz w:val="24"/>
        </w:rPr>
      </w:pPr>
      <w:r w:rsidRPr="003F43AB">
        <w:rPr>
          <w:rFonts w:asciiTheme="minorHAnsi" w:hAnsiTheme="minorHAnsi" w:cstheme="minorHAnsi"/>
          <w:sz w:val="24"/>
        </w:rPr>
        <w:t>Noor Saada</w:t>
      </w:r>
      <w:r w:rsidR="00E4381E" w:rsidRPr="003F43AB">
        <w:rPr>
          <w:rFonts w:asciiTheme="minorHAnsi" w:hAnsiTheme="minorHAnsi" w:cstheme="minorHAnsi"/>
          <w:sz w:val="24"/>
        </w:rPr>
        <w:t xml:space="preserve"> </w:t>
      </w:r>
      <w:r w:rsidR="005F3340" w:rsidRPr="003F43AB">
        <w:rPr>
          <w:rFonts w:asciiTheme="minorHAnsi" w:hAnsiTheme="minorHAnsi" w:cstheme="minorHAnsi"/>
          <w:sz w:val="24"/>
        </w:rPr>
        <w:t>(</w:t>
      </w:r>
      <w:r w:rsidRPr="003F43AB">
        <w:rPr>
          <w:rFonts w:asciiTheme="minorHAnsi" w:hAnsiTheme="minorHAnsi" w:cstheme="minorHAnsi"/>
          <w:sz w:val="24"/>
        </w:rPr>
        <w:t>Bangsamoro peace and development specialist</w:t>
      </w:r>
      <w:r w:rsidR="005F3340" w:rsidRPr="003F43AB">
        <w:rPr>
          <w:rFonts w:asciiTheme="minorHAnsi" w:hAnsiTheme="minorHAnsi" w:cstheme="minorHAnsi"/>
          <w:sz w:val="24"/>
        </w:rPr>
        <w:t>)</w:t>
      </w:r>
    </w:p>
    <w:p w14:paraId="5EE5EAE3" w14:textId="4B2F82A1" w:rsidR="00BA4A9D" w:rsidRPr="003F43AB" w:rsidRDefault="00BA4A9D" w:rsidP="009A0B49">
      <w:pPr>
        <w:pStyle w:val="Table-normal-text"/>
        <w:spacing w:before="0"/>
        <w:ind w:left="720"/>
        <w:contextualSpacing/>
        <w:rPr>
          <w:rFonts w:asciiTheme="minorHAnsi" w:hAnsiTheme="minorHAnsi" w:cstheme="minorHAnsi"/>
          <w:sz w:val="24"/>
        </w:rPr>
      </w:pPr>
    </w:p>
    <w:p w14:paraId="47A61079" w14:textId="77777777" w:rsidR="000F6048" w:rsidRPr="003F43AB" w:rsidRDefault="000F6048" w:rsidP="000F6048">
      <w:pPr>
        <w:pStyle w:val="Table-normal-text"/>
        <w:spacing w:before="0"/>
        <w:contextualSpacing/>
        <w:rPr>
          <w:rFonts w:asciiTheme="minorHAnsi" w:hAnsiTheme="minorHAnsi" w:cstheme="minorHAnsi"/>
          <w:sz w:val="24"/>
        </w:rPr>
      </w:pPr>
    </w:p>
    <w:p w14:paraId="71AD0189" w14:textId="13104C03" w:rsidR="00962137" w:rsidRDefault="00130CCA" w:rsidP="005043E7">
      <w:pPr>
        <w:pStyle w:val="Table-normal-text"/>
        <w:spacing w:before="0"/>
        <w:contextualSpacing/>
        <w:rPr>
          <w:rFonts w:asciiTheme="minorHAnsi" w:hAnsiTheme="minorHAnsi" w:cstheme="minorHAnsi"/>
          <w:sz w:val="24"/>
        </w:rPr>
      </w:pPr>
      <w:r w:rsidRPr="003F43AB">
        <w:rPr>
          <w:rFonts w:asciiTheme="minorHAnsi" w:hAnsiTheme="minorHAnsi" w:cstheme="minorHAnsi"/>
          <w:sz w:val="24"/>
        </w:rPr>
        <w:t xml:space="preserve">The </w:t>
      </w:r>
      <w:r w:rsidR="00B24DCC" w:rsidRPr="003F43AB">
        <w:rPr>
          <w:rFonts w:asciiTheme="minorHAnsi" w:hAnsiTheme="minorHAnsi" w:cstheme="minorHAnsi"/>
          <w:sz w:val="24"/>
        </w:rPr>
        <w:t xml:space="preserve">evaluation </w:t>
      </w:r>
      <w:r w:rsidR="005F3340" w:rsidRPr="003F43AB">
        <w:rPr>
          <w:rFonts w:asciiTheme="minorHAnsi" w:hAnsiTheme="minorHAnsi" w:cstheme="minorHAnsi"/>
          <w:sz w:val="24"/>
        </w:rPr>
        <w:t xml:space="preserve">took place </w:t>
      </w:r>
      <w:r w:rsidR="00B24DCC" w:rsidRPr="003F43AB">
        <w:rPr>
          <w:rFonts w:asciiTheme="minorHAnsi" w:hAnsiTheme="minorHAnsi" w:cstheme="minorHAnsi"/>
          <w:sz w:val="24"/>
        </w:rPr>
        <w:t xml:space="preserve">between </w:t>
      </w:r>
      <w:r w:rsidR="00CA52D1" w:rsidRPr="003F43AB">
        <w:rPr>
          <w:rFonts w:asciiTheme="minorHAnsi" w:hAnsiTheme="minorHAnsi" w:cstheme="minorHAnsi"/>
          <w:sz w:val="24"/>
        </w:rPr>
        <w:t>January and May 2020, with consultations in Manila, Cotabato City, Iligan City,</w:t>
      </w:r>
      <w:r w:rsidR="007014D0">
        <w:rPr>
          <w:rFonts w:asciiTheme="minorHAnsi" w:hAnsiTheme="minorHAnsi" w:cstheme="minorHAnsi"/>
          <w:sz w:val="24"/>
        </w:rPr>
        <w:t xml:space="preserve"> Cagayan de Oro</w:t>
      </w:r>
      <w:r w:rsidR="00CA52D1" w:rsidRPr="003F43AB">
        <w:rPr>
          <w:rFonts w:asciiTheme="minorHAnsi" w:hAnsiTheme="minorHAnsi" w:cstheme="minorHAnsi"/>
          <w:sz w:val="24"/>
        </w:rPr>
        <w:t xml:space="preserve"> and Zamboanga City.</w:t>
      </w:r>
      <w:r w:rsidR="005F3340" w:rsidRPr="003F43AB">
        <w:rPr>
          <w:rFonts w:asciiTheme="minorHAnsi" w:hAnsiTheme="minorHAnsi" w:cstheme="minorHAnsi"/>
          <w:sz w:val="24"/>
        </w:rPr>
        <w:t xml:space="preserve"> </w:t>
      </w:r>
    </w:p>
    <w:p w14:paraId="4426C3EC" w14:textId="77777777" w:rsidR="00962137" w:rsidRDefault="00962137" w:rsidP="005043E7">
      <w:pPr>
        <w:pStyle w:val="Table-normal-text"/>
        <w:spacing w:before="0"/>
        <w:contextualSpacing/>
        <w:rPr>
          <w:rFonts w:asciiTheme="minorHAnsi" w:hAnsiTheme="minorHAnsi" w:cstheme="minorHAnsi"/>
          <w:sz w:val="24"/>
        </w:rPr>
      </w:pPr>
    </w:p>
    <w:p w14:paraId="48D2C80D" w14:textId="6AFFE5EC" w:rsidR="0020133E" w:rsidRPr="003F43AB" w:rsidRDefault="00CA52D1" w:rsidP="005043E7">
      <w:pPr>
        <w:pStyle w:val="Table-normal-text"/>
        <w:spacing w:before="0"/>
        <w:contextualSpacing/>
        <w:rPr>
          <w:rFonts w:asciiTheme="minorHAnsi" w:hAnsiTheme="minorHAnsi" w:cstheme="minorHAnsi"/>
          <w:sz w:val="24"/>
        </w:rPr>
      </w:pPr>
      <w:r w:rsidRPr="003F43AB">
        <w:rPr>
          <w:rFonts w:asciiTheme="minorHAnsi" w:hAnsiTheme="minorHAnsi" w:cstheme="minorHAnsi"/>
          <w:sz w:val="24"/>
        </w:rPr>
        <w:t xml:space="preserve">An additional Peer Review and Conflict Analysis was conducted by another independent consultant, Ian Wadley, during the </w:t>
      </w:r>
      <w:r w:rsidR="003754C1" w:rsidRPr="003F43AB">
        <w:rPr>
          <w:rFonts w:asciiTheme="minorHAnsi" w:hAnsiTheme="minorHAnsi" w:cstheme="minorHAnsi"/>
          <w:sz w:val="24"/>
        </w:rPr>
        <w:t>broader review process.</w:t>
      </w:r>
      <w:r w:rsidRPr="003F43AB">
        <w:rPr>
          <w:rFonts w:asciiTheme="minorHAnsi" w:hAnsiTheme="minorHAnsi" w:cstheme="minorHAnsi"/>
          <w:sz w:val="24"/>
        </w:rPr>
        <w:t xml:space="preserve"> </w:t>
      </w:r>
      <w:r w:rsidR="003F43AB" w:rsidRPr="003F43AB">
        <w:rPr>
          <w:rFonts w:asciiTheme="minorHAnsi" w:hAnsiTheme="minorHAnsi" w:cstheme="minorHAnsi"/>
          <w:sz w:val="24"/>
        </w:rPr>
        <w:t xml:space="preserve">Bernie Pearce, from DFAT’s Fragility and Conflict Branch, also worked to ensure alignment with DFAT review requirements. </w:t>
      </w:r>
    </w:p>
    <w:p w14:paraId="5951693F" w14:textId="77777777" w:rsidR="003754C1" w:rsidRPr="003F43AB" w:rsidRDefault="003754C1" w:rsidP="005043E7">
      <w:pPr>
        <w:pStyle w:val="Table-normal-text"/>
        <w:spacing w:before="0"/>
        <w:contextualSpacing/>
        <w:rPr>
          <w:rFonts w:asciiTheme="minorHAnsi" w:hAnsiTheme="minorHAnsi" w:cstheme="minorHAnsi"/>
          <w:sz w:val="24"/>
        </w:rPr>
      </w:pPr>
    </w:p>
    <w:p w14:paraId="233F7D84" w14:textId="77777777" w:rsidR="009C5213" w:rsidRPr="003F43AB" w:rsidRDefault="009C5213" w:rsidP="000F6048">
      <w:pPr>
        <w:rPr>
          <w:rFonts w:asciiTheme="minorHAnsi" w:hAnsiTheme="minorHAnsi" w:cstheme="minorHAnsi"/>
          <w:b/>
        </w:rPr>
      </w:pPr>
      <w:r w:rsidRPr="003F43AB">
        <w:rPr>
          <w:rFonts w:asciiTheme="minorHAnsi" w:hAnsiTheme="minorHAnsi" w:cstheme="minorHAnsi"/>
          <w:b/>
        </w:rPr>
        <w:t>Key messages</w:t>
      </w:r>
      <w:r w:rsidR="00896AE4" w:rsidRPr="003F43AB">
        <w:rPr>
          <w:rFonts w:asciiTheme="minorHAnsi" w:hAnsiTheme="minorHAnsi" w:cstheme="minorHAnsi"/>
          <w:b/>
        </w:rPr>
        <w:t>:</w:t>
      </w:r>
    </w:p>
    <w:p w14:paraId="55BEEC72" w14:textId="7ECCD2FD" w:rsidR="00847CF5" w:rsidRPr="003F43AB" w:rsidRDefault="00962137" w:rsidP="005043E7">
      <w:pPr>
        <w:pStyle w:val="Table-normal-text"/>
        <w:numPr>
          <w:ilvl w:val="0"/>
          <w:numId w:val="26"/>
        </w:numPr>
        <w:spacing w:before="0"/>
        <w:contextualSpacing/>
        <w:rPr>
          <w:rFonts w:asciiTheme="minorHAnsi" w:hAnsiTheme="minorHAnsi" w:cstheme="minorHAnsi"/>
          <w:sz w:val="24"/>
        </w:rPr>
      </w:pPr>
      <w:r>
        <w:rPr>
          <w:rFonts w:asciiTheme="minorHAnsi" w:hAnsiTheme="minorHAnsi" w:cstheme="minorHAnsi"/>
          <w:sz w:val="24"/>
        </w:rPr>
        <w:t>Overall, t</w:t>
      </w:r>
      <w:r w:rsidR="00CC01A1" w:rsidRPr="003F43AB">
        <w:rPr>
          <w:rFonts w:asciiTheme="minorHAnsi" w:hAnsiTheme="minorHAnsi" w:cstheme="minorHAnsi"/>
          <w:sz w:val="24"/>
        </w:rPr>
        <w:t xml:space="preserve">he investment has been effective in achieving its objectives while adjusting to the changing context in the Bangsamoro over the past three years, particularly with passage of the Bangsamoro Organic Law, the establishment of the Bangsamoro Autonomous Region in </w:t>
      </w:r>
      <w:r w:rsidR="00CA4224" w:rsidRPr="003F43AB">
        <w:rPr>
          <w:rFonts w:asciiTheme="minorHAnsi" w:hAnsiTheme="minorHAnsi" w:cstheme="minorHAnsi"/>
          <w:sz w:val="24"/>
        </w:rPr>
        <w:t>Muslim</w:t>
      </w:r>
      <w:r w:rsidR="00CC01A1" w:rsidRPr="003F43AB">
        <w:rPr>
          <w:rFonts w:asciiTheme="minorHAnsi" w:hAnsiTheme="minorHAnsi" w:cstheme="minorHAnsi"/>
          <w:sz w:val="24"/>
        </w:rPr>
        <w:t xml:space="preserve"> Mindanao, and the siege of </w:t>
      </w:r>
      <w:r>
        <w:rPr>
          <w:rFonts w:asciiTheme="minorHAnsi" w:hAnsiTheme="minorHAnsi" w:cstheme="minorHAnsi"/>
          <w:sz w:val="24"/>
        </w:rPr>
        <w:t xml:space="preserve">the city of </w:t>
      </w:r>
      <w:r w:rsidR="00CC01A1" w:rsidRPr="003F43AB">
        <w:rPr>
          <w:rFonts w:asciiTheme="minorHAnsi" w:hAnsiTheme="minorHAnsi" w:cstheme="minorHAnsi"/>
          <w:sz w:val="24"/>
        </w:rPr>
        <w:t>Marawi.</w:t>
      </w:r>
    </w:p>
    <w:p w14:paraId="1881B3CC" w14:textId="12C72D72" w:rsidR="00CC01A1" w:rsidRPr="003F43AB" w:rsidRDefault="00CA4224" w:rsidP="005043E7">
      <w:pPr>
        <w:pStyle w:val="Table-normal-text"/>
        <w:numPr>
          <w:ilvl w:val="0"/>
          <w:numId w:val="26"/>
        </w:numPr>
        <w:spacing w:before="0"/>
        <w:contextualSpacing/>
        <w:rPr>
          <w:rFonts w:asciiTheme="minorHAnsi" w:hAnsiTheme="minorHAnsi" w:cstheme="minorHAnsi"/>
          <w:sz w:val="24"/>
        </w:rPr>
      </w:pPr>
      <w:r w:rsidRPr="003F43AB">
        <w:rPr>
          <w:rFonts w:asciiTheme="minorHAnsi" w:hAnsiTheme="minorHAnsi" w:cstheme="minorHAnsi"/>
          <w:sz w:val="24"/>
        </w:rPr>
        <w:t xml:space="preserve">DFAT’s flexibility, particularly in the face of an evolving dynamic, was highly praised by NGO and multilateral partners; </w:t>
      </w:r>
      <w:r w:rsidR="00962137">
        <w:rPr>
          <w:rFonts w:asciiTheme="minorHAnsi" w:hAnsiTheme="minorHAnsi" w:cstheme="minorHAnsi"/>
          <w:sz w:val="24"/>
        </w:rPr>
        <w:t xml:space="preserve">however, </w:t>
      </w:r>
      <w:r w:rsidRPr="003F43AB">
        <w:rPr>
          <w:rFonts w:asciiTheme="minorHAnsi" w:hAnsiTheme="minorHAnsi" w:cstheme="minorHAnsi"/>
          <w:sz w:val="24"/>
        </w:rPr>
        <w:t>greater coordination across donors is needed, along with more alignment with other DFAT work.</w:t>
      </w:r>
    </w:p>
    <w:p w14:paraId="42DB5F8B" w14:textId="77777777" w:rsidR="00CA4224" w:rsidRPr="003F43AB" w:rsidRDefault="00CA4224" w:rsidP="005043E7">
      <w:pPr>
        <w:pStyle w:val="Table-normal-text"/>
        <w:numPr>
          <w:ilvl w:val="0"/>
          <w:numId w:val="26"/>
        </w:numPr>
        <w:spacing w:before="0"/>
        <w:contextualSpacing/>
        <w:rPr>
          <w:rFonts w:asciiTheme="minorHAnsi" w:hAnsiTheme="minorHAnsi" w:cstheme="minorHAnsi"/>
          <w:sz w:val="24"/>
        </w:rPr>
      </w:pPr>
      <w:r w:rsidRPr="003F43AB">
        <w:rPr>
          <w:rFonts w:asciiTheme="minorHAnsi" w:hAnsiTheme="minorHAnsi" w:cstheme="minorHAnsi"/>
          <w:sz w:val="24"/>
        </w:rPr>
        <w:t>Greater engagement on gender, disability, and vulnerable sectors is needed to ensure the peace process is successful and inclusive.</w:t>
      </w:r>
    </w:p>
    <w:p w14:paraId="74ED2771" w14:textId="77777777" w:rsidR="0020133E" w:rsidRPr="003F43AB" w:rsidRDefault="0020133E" w:rsidP="0020133E">
      <w:pPr>
        <w:pStyle w:val="Table-normal-text"/>
        <w:spacing w:before="0"/>
        <w:contextualSpacing/>
        <w:rPr>
          <w:rFonts w:asciiTheme="minorHAnsi" w:hAnsiTheme="minorHAnsi" w:cstheme="minorHAnsi"/>
          <w:sz w:val="24"/>
        </w:rPr>
      </w:pPr>
    </w:p>
    <w:p w14:paraId="490F12FC" w14:textId="77777777" w:rsidR="00746DE9" w:rsidRPr="003F43AB" w:rsidRDefault="00354933" w:rsidP="0020133E">
      <w:pPr>
        <w:pStyle w:val="Heading2"/>
        <w:spacing w:before="120" w:after="120"/>
        <w:contextualSpacing/>
        <w:rPr>
          <w:rFonts w:asciiTheme="minorHAnsi" w:hAnsiTheme="minorHAnsi" w:cstheme="minorHAnsi"/>
          <w:szCs w:val="24"/>
        </w:rPr>
      </w:pPr>
      <w:r w:rsidRPr="003F43AB">
        <w:rPr>
          <w:rFonts w:asciiTheme="minorHAnsi" w:hAnsiTheme="minorHAnsi" w:cstheme="minorHAnsi"/>
          <w:szCs w:val="24"/>
        </w:rPr>
        <w:t>Overall r</w:t>
      </w:r>
      <w:r w:rsidR="009C5213" w:rsidRPr="003F43AB">
        <w:rPr>
          <w:rFonts w:asciiTheme="minorHAnsi" w:hAnsiTheme="minorHAnsi" w:cstheme="minorHAnsi"/>
          <w:szCs w:val="24"/>
        </w:rPr>
        <w:t xml:space="preserve">esponse to the </w:t>
      </w:r>
      <w:r w:rsidRPr="003F43AB">
        <w:rPr>
          <w:rFonts w:asciiTheme="minorHAnsi" w:hAnsiTheme="minorHAnsi" w:cstheme="minorHAnsi"/>
          <w:szCs w:val="24"/>
        </w:rPr>
        <w:t>evaluation</w:t>
      </w:r>
    </w:p>
    <w:p w14:paraId="62582DFA" w14:textId="77777777" w:rsidR="00C02346" w:rsidRPr="003F43AB" w:rsidRDefault="00746DE9" w:rsidP="003F06E6">
      <w:pPr>
        <w:pStyle w:val="Table-normal-text"/>
        <w:spacing w:before="0"/>
        <w:contextualSpacing/>
        <w:rPr>
          <w:rFonts w:asciiTheme="minorHAnsi" w:hAnsiTheme="minorHAnsi" w:cstheme="minorHAnsi"/>
          <w:sz w:val="24"/>
        </w:rPr>
        <w:sectPr w:rsidR="00C02346" w:rsidRPr="003F43AB" w:rsidSect="00131E1E">
          <w:headerReference w:type="default" r:id="rId8"/>
          <w:footerReference w:type="default" r:id="rId9"/>
          <w:pgSz w:w="11906" w:h="16838"/>
          <w:pgMar w:top="1135" w:right="1274" w:bottom="851" w:left="1134" w:header="284" w:footer="302" w:gutter="0"/>
          <w:cols w:space="708"/>
          <w:docGrid w:linePitch="360"/>
        </w:sectPr>
      </w:pPr>
      <w:r w:rsidRPr="003F43AB">
        <w:rPr>
          <w:rFonts w:asciiTheme="minorHAnsi" w:hAnsiTheme="minorHAnsi" w:cstheme="minorHAnsi"/>
          <w:sz w:val="24"/>
        </w:rPr>
        <w:t>DFAT we</w:t>
      </w:r>
      <w:r w:rsidR="001B139E" w:rsidRPr="003F43AB">
        <w:rPr>
          <w:rFonts w:asciiTheme="minorHAnsi" w:hAnsiTheme="minorHAnsi" w:cstheme="minorHAnsi"/>
          <w:sz w:val="24"/>
        </w:rPr>
        <w:t xml:space="preserve">lcomes the </w:t>
      </w:r>
      <w:r w:rsidR="00FA268D" w:rsidRPr="003F43AB">
        <w:rPr>
          <w:rFonts w:asciiTheme="minorHAnsi" w:hAnsiTheme="minorHAnsi" w:cstheme="minorHAnsi"/>
          <w:sz w:val="24"/>
        </w:rPr>
        <w:t xml:space="preserve">evaluation </w:t>
      </w:r>
      <w:r w:rsidR="001B139E" w:rsidRPr="003F43AB">
        <w:rPr>
          <w:rFonts w:asciiTheme="minorHAnsi" w:hAnsiTheme="minorHAnsi" w:cstheme="minorHAnsi"/>
          <w:sz w:val="24"/>
        </w:rPr>
        <w:t xml:space="preserve">findings </w:t>
      </w:r>
      <w:r w:rsidRPr="003F43AB">
        <w:rPr>
          <w:rFonts w:asciiTheme="minorHAnsi" w:hAnsiTheme="minorHAnsi" w:cstheme="minorHAnsi"/>
          <w:sz w:val="24"/>
        </w:rPr>
        <w:t xml:space="preserve">and acknowledges </w:t>
      </w:r>
      <w:r w:rsidR="00363A28" w:rsidRPr="003F43AB">
        <w:rPr>
          <w:rFonts w:asciiTheme="minorHAnsi" w:hAnsiTheme="minorHAnsi" w:cstheme="minorHAnsi"/>
          <w:sz w:val="24"/>
        </w:rPr>
        <w:t xml:space="preserve">the </w:t>
      </w:r>
      <w:r w:rsidR="00E3725B" w:rsidRPr="003F43AB">
        <w:rPr>
          <w:rFonts w:asciiTheme="minorHAnsi" w:hAnsiTheme="minorHAnsi" w:cstheme="minorHAnsi"/>
          <w:sz w:val="24"/>
        </w:rPr>
        <w:t>recommendations</w:t>
      </w:r>
      <w:r w:rsidR="00CA4224" w:rsidRPr="003F43AB">
        <w:rPr>
          <w:rFonts w:asciiTheme="minorHAnsi" w:hAnsiTheme="minorHAnsi" w:cstheme="minorHAnsi"/>
          <w:sz w:val="24"/>
        </w:rPr>
        <w:t xml:space="preserve">, several of which have already been implemented. </w:t>
      </w:r>
      <w:r w:rsidRPr="003F43AB">
        <w:rPr>
          <w:rFonts w:asciiTheme="minorHAnsi" w:hAnsiTheme="minorHAnsi" w:cstheme="minorHAnsi"/>
          <w:sz w:val="24"/>
        </w:rPr>
        <w:t xml:space="preserve">DFAT will </w:t>
      </w:r>
      <w:r w:rsidR="00E3725B" w:rsidRPr="003F43AB">
        <w:rPr>
          <w:rFonts w:asciiTheme="minorHAnsi" w:hAnsiTheme="minorHAnsi" w:cstheme="minorHAnsi"/>
          <w:sz w:val="24"/>
        </w:rPr>
        <w:t xml:space="preserve">consider the key </w:t>
      </w:r>
      <w:r w:rsidR="00363A28" w:rsidRPr="003F43AB">
        <w:rPr>
          <w:rFonts w:asciiTheme="minorHAnsi" w:hAnsiTheme="minorHAnsi" w:cstheme="minorHAnsi"/>
          <w:sz w:val="24"/>
        </w:rPr>
        <w:t xml:space="preserve">lessons </w:t>
      </w:r>
      <w:r w:rsidR="003F06E6" w:rsidRPr="003F43AB">
        <w:rPr>
          <w:rFonts w:asciiTheme="minorHAnsi" w:hAnsiTheme="minorHAnsi" w:cstheme="minorHAnsi"/>
          <w:sz w:val="24"/>
        </w:rPr>
        <w:t>learned</w:t>
      </w:r>
      <w:r w:rsidR="00E3725B" w:rsidRPr="003F43AB">
        <w:rPr>
          <w:rFonts w:asciiTheme="minorHAnsi" w:hAnsiTheme="minorHAnsi" w:cstheme="minorHAnsi"/>
          <w:sz w:val="24"/>
        </w:rPr>
        <w:t xml:space="preserve"> </w:t>
      </w:r>
      <w:r w:rsidR="00096F76" w:rsidRPr="003F43AB">
        <w:rPr>
          <w:rFonts w:asciiTheme="minorHAnsi" w:hAnsiTheme="minorHAnsi" w:cstheme="minorHAnsi"/>
          <w:sz w:val="24"/>
        </w:rPr>
        <w:t xml:space="preserve">in </w:t>
      </w:r>
      <w:r w:rsidR="00CA4224" w:rsidRPr="003F43AB">
        <w:rPr>
          <w:rFonts w:asciiTheme="minorHAnsi" w:hAnsiTheme="minorHAnsi" w:cstheme="minorHAnsi"/>
          <w:sz w:val="24"/>
        </w:rPr>
        <w:t>future programming</w:t>
      </w:r>
      <w:r w:rsidR="001B139E" w:rsidRPr="003F43AB">
        <w:rPr>
          <w:rFonts w:asciiTheme="minorHAnsi" w:hAnsiTheme="minorHAnsi" w:cstheme="minorHAnsi"/>
          <w:sz w:val="24"/>
        </w:rPr>
        <w:t>.</w:t>
      </w:r>
      <w:r w:rsidR="003F06E6" w:rsidRPr="003F43AB">
        <w:rPr>
          <w:rFonts w:asciiTheme="minorHAnsi" w:hAnsiTheme="minorHAnsi" w:cstheme="minorHAnsi"/>
          <w:sz w:val="24"/>
        </w:rPr>
        <w:t xml:space="preserve"> More detailed responses to each recommendation are included in the table below: </w:t>
      </w:r>
    </w:p>
    <w:p w14:paraId="6BE8C741" w14:textId="77777777" w:rsidR="007F69E6" w:rsidRPr="00C02346" w:rsidRDefault="007F69E6" w:rsidP="007F69E6">
      <w:pPr>
        <w:pStyle w:val="Heading2"/>
        <w:spacing w:before="120" w:after="120"/>
        <w:contextualSpacing/>
        <w:rPr>
          <w:rFonts w:ascii="Calibri" w:hAnsi="Calibri" w:cs="Calibri"/>
          <w:szCs w:val="24"/>
        </w:rPr>
      </w:pPr>
      <w:r w:rsidRPr="00C02346">
        <w:rPr>
          <w:rFonts w:ascii="Calibri" w:hAnsi="Calibri" w:cs="Calibri"/>
          <w:szCs w:val="24"/>
        </w:rPr>
        <w:lastRenderedPageBreak/>
        <w:t>Response to recommendations</w:t>
      </w:r>
    </w:p>
    <w:tbl>
      <w:tblPr>
        <w:tblStyle w:val="ODETable"/>
        <w:tblW w:w="496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31"/>
        <w:gridCol w:w="5105"/>
        <w:gridCol w:w="3402"/>
      </w:tblGrid>
      <w:tr w:rsidR="003754C1" w:rsidRPr="00C02346" w14:paraId="5F9C8950" w14:textId="77777777" w:rsidTr="003754C1">
        <w:trPr>
          <w:cnfStyle w:val="100000000000" w:firstRow="1" w:lastRow="0" w:firstColumn="0" w:lastColumn="0" w:oddVBand="0" w:evenVBand="0" w:oddHBand="0" w:evenHBand="0" w:firstRowFirstColumn="0" w:firstRowLastColumn="0" w:lastRowFirstColumn="0" w:lastRowLastColumn="0"/>
          <w:tblHeader/>
        </w:trPr>
        <w:tc>
          <w:tcPr>
            <w:tcW w:w="2114" w:type="pct"/>
            <w:shd w:val="clear" w:color="auto" w:fill="D9D9D9" w:themeFill="background1" w:themeFillShade="D9"/>
          </w:tcPr>
          <w:p w14:paraId="5C30F6FB" w14:textId="77777777" w:rsidR="003754C1" w:rsidRPr="00C02346" w:rsidRDefault="003754C1" w:rsidP="00477164">
            <w:pPr>
              <w:pStyle w:val="Heading3"/>
              <w:spacing w:before="0"/>
              <w:outlineLvl w:val="2"/>
              <w:rPr>
                <w:rFonts w:ascii="Calibri" w:hAnsi="Calibri" w:cs="Calibri"/>
                <w:color w:val="auto"/>
                <w:szCs w:val="20"/>
              </w:rPr>
            </w:pPr>
            <w:r w:rsidRPr="00C02346">
              <w:rPr>
                <w:rStyle w:val="IntenseReference"/>
                <w:rFonts w:ascii="Calibri" w:hAnsi="Calibri" w:cs="Calibri"/>
                <w:color w:val="auto"/>
              </w:rPr>
              <w:t>Recommendation</w:t>
            </w:r>
          </w:p>
        </w:tc>
        <w:tc>
          <w:tcPr>
            <w:tcW w:w="1732" w:type="pct"/>
            <w:shd w:val="clear" w:color="auto" w:fill="D9D9D9" w:themeFill="background1" w:themeFillShade="D9"/>
          </w:tcPr>
          <w:p w14:paraId="5D7FEA73" w14:textId="77777777" w:rsidR="003754C1" w:rsidRPr="00C02346" w:rsidRDefault="003754C1" w:rsidP="00E70085">
            <w:pPr>
              <w:pStyle w:val="Heading3"/>
              <w:spacing w:before="0"/>
              <w:outlineLvl w:val="2"/>
              <w:rPr>
                <w:rStyle w:val="IntenseReference"/>
                <w:rFonts w:ascii="Calibri" w:hAnsi="Calibri" w:cs="Calibri"/>
                <w:color w:val="auto"/>
              </w:rPr>
            </w:pPr>
            <w:r>
              <w:rPr>
                <w:rStyle w:val="IntenseReference"/>
                <w:rFonts w:ascii="Calibri" w:hAnsi="Calibri" w:cs="Calibri"/>
                <w:color w:val="auto"/>
              </w:rPr>
              <w:t>Response (Agree/Partially Agree/Disagree)</w:t>
            </w:r>
            <w:r w:rsidRPr="00C02346">
              <w:rPr>
                <w:rStyle w:val="IntenseReference"/>
                <w:rFonts w:ascii="Calibri" w:hAnsi="Calibri" w:cs="Calibri"/>
                <w:color w:val="auto"/>
              </w:rPr>
              <w:t xml:space="preserve"> </w:t>
            </w:r>
          </w:p>
        </w:tc>
        <w:tc>
          <w:tcPr>
            <w:tcW w:w="1154" w:type="pct"/>
            <w:shd w:val="clear" w:color="auto" w:fill="D9D9D9" w:themeFill="background1" w:themeFillShade="D9"/>
          </w:tcPr>
          <w:p w14:paraId="0F5233DE" w14:textId="77777777" w:rsidR="003754C1" w:rsidRPr="00C02346" w:rsidRDefault="003754C1" w:rsidP="00477164">
            <w:pPr>
              <w:pStyle w:val="Heading3"/>
              <w:spacing w:before="0"/>
              <w:outlineLvl w:val="2"/>
              <w:rPr>
                <w:rStyle w:val="IntenseReference"/>
                <w:rFonts w:ascii="Calibri" w:hAnsi="Calibri" w:cs="Calibri"/>
                <w:color w:val="auto"/>
              </w:rPr>
            </w:pPr>
            <w:r>
              <w:rPr>
                <w:rStyle w:val="IntenseReference"/>
                <w:rFonts w:ascii="Calibri" w:hAnsi="Calibri" w:cs="Calibri"/>
                <w:color w:val="auto"/>
              </w:rPr>
              <w:t>Action plan/Timeframe</w:t>
            </w:r>
          </w:p>
        </w:tc>
      </w:tr>
      <w:tr w:rsidR="003754C1" w:rsidRPr="003F43AB" w14:paraId="7B9BC276" w14:textId="77777777" w:rsidTr="003754C1">
        <w:tc>
          <w:tcPr>
            <w:tcW w:w="2114" w:type="pct"/>
            <w:shd w:val="clear" w:color="auto" w:fill="FFFFFF" w:themeFill="background1"/>
          </w:tcPr>
          <w:p w14:paraId="628F8CAA" w14:textId="77777777" w:rsidR="004C0FD9" w:rsidRDefault="003754C1" w:rsidP="00792042">
            <w:pPr>
              <w:autoSpaceDE w:val="0"/>
              <w:autoSpaceDN w:val="0"/>
              <w:adjustRightInd w:val="0"/>
              <w:spacing w:after="60"/>
              <w:rPr>
                <w:rFonts w:asciiTheme="minorHAnsi" w:hAnsiTheme="minorHAnsi" w:cstheme="minorHAnsi"/>
                <w:b/>
                <w:i/>
                <w:sz w:val="22"/>
                <w:szCs w:val="22"/>
              </w:rPr>
            </w:pPr>
            <w:r w:rsidRPr="003F43AB">
              <w:rPr>
                <w:rFonts w:asciiTheme="minorHAnsi" w:hAnsiTheme="minorHAnsi" w:cstheme="minorHAnsi"/>
                <w:i/>
                <w:sz w:val="22"/>
                <w:szCs w:val="22"/>
                <w:u w:val="single"/>
              </w:rPr>
              <w:t>Recommendation 1</w:t>
            </w:r>
            <w:r w:rsidR="00D3695C">
              <w:rPr>
                <w:rFonts w:asciiTheme="minorHAnsi" w:hAnsiTheme="minorHAnsi" w:cstheme="minorHAnsi"/>
                <w:i/>
                <w:sz w:val="22"/>
                <w:szCs w:val="22"/>
              </w:rPr>
              <w:t xml:space="preserve"> (Paragraph 33)</w:t>
            </w:r>
            <w:r w:rsidR="00482ED4">
              <w:rPr>
                <w:rFonts w:asciiTheme="minorHAnsi" w:hAnsiTheme="minorHAnsi" w:cstheme="minorHAnsi"/>
                <w:i/>
                <w:sz w:val="22"/>
                <w:szCs w:val="22"/>
              </w:rPr>
              <w:t>:</w:t>
            </w:r>
            <w:r w:rsidRPr="009A0B49">
              <w:rPr>
                <w:rFonts w:asciiTheme="minorHAnsi" w:hAnsiTheme="minorHAnsi" w:cstheme="minorHAnsi"/>
                <w:b/>
                <w:i/>
                <w:sz w:val="22"/>
                <w:szCs w:val="22"/>
              </w:rPr>
              <w:t xml:space="preserve"> Strengthen coordination among APP partners, WB, UNDP and their sub-grantees, and across the Australian Mindanao program </w:t>
            </w:r>
          </w:p>
          <w:p w14:paraId="134CAEB6" w14:textId="3814372A" w:rsidR="003754C1" w:rsidRPr="003F43AB" w:rsidRDefault="003754C1" w:rsidP="00792042">
            <w:pPr>
              <w:autoSpaceDE w:val="0"/>
              <w:autoSpaceDN w:val="0"/>
              <w:adjustRightInd w:val="0"/>
              <w:spacing w:after="60"/>
              <w:rPr>
                <w:rFonts w:asciiTheme="minorHAnsi" w:hAnsiTheme="minorHAnsi" w:cstheme="minorHAnsi"/>
                <w:color w:val="000000"/>
                <w:sz w:val="22"/>
                <w:szCs w:val="22"/>
              </w:rPr>
            </w:pPr>
            <w:r w:rsidRPr="004C0FD9">
              <w:rPr>
                <w:rFonts w:asciiTheme="minorHAnsi" w:hAnsiTheme="minorHAnsi" w:cstheme="minorHAnsi"/>
                <w:iCs/>
                <w:sz w:val="22"/>
                <w:szCs w:val="22"/>
              </w:rPr>
              <w:t xml:space="preserve">Overlaps in the activities among APP partners, the WB and UNDP have been noted as a result of them addressing the same challenges of the peace process and operating within a limited geographical area.  While this can be partially attributed to the fact that </w:t>
            </w:r>
            <w:proofErr w:type="gramStart"/>
            <w:r w:rsidRPr="004C0FD9">
              <w:rPr>
                <w:rFonts w:asciiTheme="minorHAnsi" w:hAnsiTheme="minorHAnsi" w:cstheme="minorHAnsi"/>
                <w:iCs/>
                <w:sz w:val="22"/>
                <w:szCs w:val="22"/>
              </w:rPr>
              <w:t>a number of</w:t>
            </w:r>
            <w:proofErr w:type="gramEnd"/>
            <w:r w:rsidRPr="004C0FD9">
              <w:rPr>
                <w:rFonts w:asciiTheme="minorHAnsi" w:hAnsiTheme="minorHAnsi" w:cstheme="minorHAnsi"/>
                <w:iCs/>
                <w:sz w:val="22"/>
                <w:szCs w:val="22"/>
              </w:rPr>
              <w:t xml:space="preserve"> projects are jointly implemented or informed by shared studies, coordination can be further enhanced by regular quarterly meetings with APP and </w:t>
            </w:r>
            <w:r w:rsidR="00792042" w:rsidRPr="004C0FD9">
              <w:rPr>
                <w:rFonts w:asciiTheme="minorHAnsi" w:hAnsiTheme="minorHAnsi" w:cstheme="minorHAnsi"/>
                <w:iCs/>
                <w:sz w:val="22"/>
                <w:szCs w:val="22"/>
              </w:rPr>
              <w:t>flexible peace and stability fund (FPSF)</w:t>
            </w:r>
            <w:r w:rsidRPr="004C0FD9">
              <w:rPr>
                <w:rFonts w:asciiTheme="minorHAnsi" w:hAnsiTheme="minorHAnsi" w:cstheme="minorHAnsi"/>
                <w:iCs/>
                <w:sz w:val="22"/>
                <w:szCs w:val="22"/>
              </w:rPr>
              <w:t xml:space="preserve"> partners, WB, and UNDP. Continuing support to APP and FPSF partners based on their relative comparative strength in the peace process (e.g., IA on conflict monitoring, IAG on constructive and critical analysis of regional issues, CHD in Sulu, TAF on engagement with a wide range of stakeholders, Oxfam on gender equality,  </w:t>
            </w:r>
            <w:proofErr w:type="spellStart"/>
            <w:r w:rsidRPr="004C0FD9">
              <w:rPr>
                <w:rFonts w:asciiTheme="minorHAnsi" w:hAnsiTheme="minorHAnsi" w:cstheme="minorHAnsi"/>
                <w:iCs/>
                <w:sz w:val="22"/>
                <w:szCs w:val="22"/>
              </w:rPr>
              <w:t>Balay</w:t>
            </w:r>
            <w:proofErr w:type="spellEnd"/>
            <w:r w:rsidRPr="004C0FD9">
              <w:rPr>
                <w:rFonts w:asciiTheme="minorHAnsi" w:hAnsiTheme="minorHAnsi" w:cstheme="minorHAnsi"/>
                <w:iCs/>
                <w:sz w:val="22"/>
                <w:szCs w:val="22"/>
              </w:rPr>
              <w:t xml:space="preserve"> </w:t>
            </w:r>
            <w:proofErr w:type="spellStart"/>
            <w:r w:rsidRPr="004C0FD9">
              <w:rPr>
                <w:rFonts w:asciiTheme="minorHAnsi" w:hAnsiTheme="minorHAnsi" w:cstheme="minorHAnsi"/>
                <w:iCs/>
                <w:sz w:val="22"/>
                <w:szCs w:val="22"/>
              </w:rPr>
              <w:t>Mindanaw</w:t>
            </w:r>
            <w:proofErr w:type="spellEnd"/>
            <w:r w:rsidRPr="004C0FD9">
              <w:rPr>
                <w:rFonts w:asciiTheme="minorHAnsi" w:hAnsiTheme="minorHAnsi" w:cstheme="minorHAnsi"/>
                <w:iCs/>
                <w:sz w:val="22"/>
                <w:szCs w:val="22"/>
              </w:rPr>
              <w:t xml:space="preserve"> on P/CVE activities, and PBSP on private sector engagement).  The WB and UNDP can complement the efforts of the APP and FPSF partners by being able to match international insights and experiences of similarly situated countries in other parts of the world with local expertise</w:t>
            </w:r>
            <w:r w:rsidR="00CA4224" w:rsidRPr="004C0FD9">
              <w:rPr>
                <w:rFonts w:asciiTheme="minorHAnsi" w:hAnsiTheme="minorHAnsi" w:cstheme="minorHAnsi"/>
                <w:iCs/>
                <w:sz w:val="22"/>
                <w:szCs w:val="22"/>
              </w:rPr>
              <w:t>.</w:t>
            </w:r>
          </w:p>
        </w:tc>
        <w:tc>
          <w:tcPr>
            <w:tcW w:w="1732" w:type="pct"/>
            <w:shd w:val="clear" w:color="auto" w:fill="FFFFFF" w:themeFill="background1"/>
          </w:tcPr>
          <w:p w14:paraId="1876A8B4" w14:textId="1DC105AF" w:rsidR="000B160F" w:rsidRDefault="00792042" w:rsidP="00792042">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t xml:space="preserve">Partially </w:t>
            </w:r>
            <w:r w:rsidR="003754C1" w:rsidRPr="003F43AB">
              <w:rPr>
                <w:rFonts w:asciiTheme="minorHAnsi" w:hAnsiTheme="minorHAnsi" w:cstheme="minorHAnsi"/>
                <w:b/>
                <w:sz w:val="22"/>
                <w:szCs w:val="22"/>
              </w:rPr>
              <w:t>Agree</w:t>
            </w:r>
            <w:r w:rsidR="003754C1" w:rsidRPr="003F43AB">
              <w:rPr>
                <w:rFonts w:asciiTheme="minorHAnsi" w:hAnsiTheme="minorHAnsi" w:cstheme="minorHAnsi"/>
                <w:sz w:val="22"/>
                <w:szCs w:val="22"/>
              </w:rPr>
              <w:t xml:space="preserve">: </w:t>
            </w:r>
            <w:r w:rsidRPr="003F43AB">
              <w:rPr>
                <w:rFonts w:asciiTheme="minorHAnsi" w:hAnsiTheme="minorHAnsi" w:cstheme="minorHAnsi"/>
                <w:sz w:val="22"/>
                <w:szCs w:val="22"/>
              </w:rPr>
              <w:t xml:space="preserve">While </w:t>
            </w:r>
            <w:r w:rsidR="002D504C">
              <w:rPr>
                <w:rFonts w:asciiTheme="minorHAnsi" w:hAnsiTheme="minorHAnsi" w:cstheme="minorHAnsi"/>
                <w:sz w:val="22"/>
                <w:szCs w:val="22"/>
              </w:rPr>
              <w:t>DFAT</w:t>
            </w:r>
            <w:r w:rsidR="00962137" w:rsidRPr="003F43AB">
              <w:rPr>
                <w:rFonts w:asciiTheme="minorHAnsi" w:hAnsiTheme="minorHAnsi" w:cstheme="minorHAnsi"/>
                <w:sz w:val="22"/>
                <w:szCs w:val="22"/>
              </w:rPr>
              <w:t xml:space="preserve"> </w:t>
            </w:r>
            <w:r w:rsidRPr="003F43AB">
              <w:rPr>
                <w:rFonts w:asciiTheme="minorHAnsi" w:hAnsiTheme="minorHAnsi" w:cstheme="minorHAnsi"/>
                <w:sz w:val="22"/>
                <w:szCs w:val="22"/>
              </w:rPr>
              <w:t xml:space="preserve">has continually strived to ensure regular communication and coordination between partners, we recognise that this can always be improved upon. </w:t>
            </w:r>
          </w:p>
          <w:p w14:paraId="7FD73E20" w14:textId="57DE078C" w:rsidR="00792042" w:rsidRPr="003F43AB" w:rsidRDefault="00792042" w:rsidP="00792042">
            <w:pPr>
              <w:pStyle w:val="BodyText"/>
              <w:spacing w:after="60"/>
              <w:rPr>
                <w:rFonts w:asciiTheme="minorHAnsi" w:hAnsiTheme="minorHAnsi" w:cstheme="minorHAnsi"/>
                <w:sz w:val="22"/>
                <w:szCs w:val="22"/>
              </w:rPr>
            </w:pPr>
            <w:r w:rsidRPr="003F43AB">
              <w:rPr>
                <w:rFonts w:asciiTheme="minorHAnsi" w:hAnsiTheme="minorHAnsi" w:cstheme="minorHAnsi"/>
                <w:sz w:val="22"/>
                <w:szCs w:val="22"/>
              </w:rPr>
              <w:t xml:space="preserve">APP members are in frequent contact: formal DFAT-organised channels (namely twice-yearly partner meetings and an ongoing WhatsApp groups) have spilled over into side discussions between partners and in some case resulted in joint projects. This networking engagement will be expanded to other partners. However, a quarterly meeting between all </w:t>
            </w:r>
            <w:r w:rsidR="000B160F">
              <w:rPr>
                <w:rFonts w:asciiTheme="minorHAnsi" w:hAnsiTheme="minorHAnsi" w:cstheme="minorHAnsi"/>
                <w:sz w:val="22"/>
                <w:szCs w:val="22"/>
              </w:rPr>
              <w:t>program</w:t>
            </w:r>
            <w:r w:rsidR="000B160F" w:rsidRPr="003F43AB">
              <w:rPr>
                <w:rFonts w:asciiTheme="minorHAnsi" w:hAnsiTheme="minorHAnsi" w:cstheme="minorHAnsi"/>
                <w:sz w:val="22"/>
                <w:szCs w:val="22"/>
              </w:rPr>
              <w:t xml:space="preserve"> </w:t>
            </w:r>
            <w:r w:rsidRPr="003F43AB">
              <w:rPr>
                <w:rFonts w:asciiTheme="minorHAnsi" w:hAnsiTheme="minorHAnsi" w:cstheme="minorHAnsi"/>
                <w:sz w:val="22"/>
                <w:szCs w:val="22"/>
              </w:rPr>
              <w:t>partners seems unlikely to be achieved due to logistical constraints</w:t>
            </w:r>
            <w:r w:rsidR="00511C0C" w:rsidRPr="003F43AB">
              <w:rPr>
                <w:rFonts w:asciiTheme="minorHAnsi" w:hAnsiTheme="minorHAnsi" w:cstheme="minorHAnsi"/>
                <w:sz w:val="22"/>
                <w:szCs w:val="22"/>
              </w:rPr>
              <w:t xml:space="preserve"> </w:t>
            </w:r>
            <w:r w:rsidR="00A21DE1" w:rsidRPr="003F43AB">
              <w:rPr>
                <w:rFonts w:asciiTheme="minorHAnsi" w:hAnsiTheme="minorHAnsi" w:cstheme="minorHAnsi"/>
                <w:sz w:val="22"/>
                <w:szCs w:val="22"/>
              </w:rPr>
              <w:t xml:space="preserve">(both in terms of sheer number of organisations to be represented, and their locations) </w:t>
            </w:r>
            <w:r w:rsidR="00511C0C" w:rsidRPr="003F43AB">
              <w:rPr>
                <w:rFonts w:asciiTheme="minorHAnsi" w:hAnsiTheme="minorHAnsi" w:cstheme="minorHAnsi"/>
                <w:sz w:val="22"/>
                <w:szCs w:val="22"/>
              </w:rPr>
              <w:t>– a once-a-year meeting is much more likely to be achieved, as are individual</w:t>
            </w:r>
            <w:r w:rsidR="00A21DE1" w:rsidRPr="003F43AB">
              <w:rPr>
                <w:rFonts w:asciiTheme="minorHAnsi" w:hAnsiTheme="minorHAnsi" w:cstheme="minorHAnsi"/>
                <w:sz w:val="22"/>
                <w:szCs w:val="22"/>
              </w:rPr>
              <w:t xml:space="preserve"> ad hoc</w:t>
            </w:r>
            <w:r w:rsidR="00511C0C" w:rsidRPr="003F43AB">
              <w:rPr>
                <w:rFonts w:asciiTheme="minorHAnsi" w:hAnsiTheme="minorHAnsi" w:cstheme="minorHAnsi"/>
                <w:sz w:val="22"/>
                <w:szCs w:val="22"/>
              </w:rPr>
              <w:t xml:space="preserve"> meetings on specific topics (for instance, support to Normalisation, or women’s economic empowerment). </w:t>
            </w:r>
          </w:p>
          <w:p w14:paraId="7F7752CC" w14:textId="77777777" w:rsidR="003754C1" w:rsidRPr="003F43AB" w:rsidRDefault="003754C1" w:rsidP="008B6468">
            <w:pPr>
              <w:pStyle w:val="BodyText"/>
              <w:spacing w:after="60"/>
              <w:rPr>
                <w:rFonts w:asciiTheme="minorHAnsi" w:hAnsiTheme="minorHAnsi" w:cstheme="minorHAnsi"/>
                <w:sz w:val="22"/>
                <w:szCs w:val="22"/>
              </w:rPr>
            </w:pPr>
          </w:p>
        </w:tc>
        <w:tc>
          <w:tcPr>
            <w:tcW w:w="1154" w:type="pct"/>
            <w:shd w:val="clear" w:color="auto" w:fill="FFFFFF" w:themeFill="background1"/>
          </w:tcPr>
          <w:p w14:paraId="1FB06202" w14:textId="0FC5845D" w:rsidR="003754C1" w:rsidRPr="003F43AB" w:rsidRDefault="00511C0C"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Annual investment partner</w:t>
            </w:r>
            <w:r w:rsidR="009A0B49">
              <w:rPr>
                <w:rFonts w:asciiTheme="minorHAnsi" w:hAnsiTheme="minorHAnsi" w:cstheme="minorHAnsi"/>
                <w:sz w:val="22"/>
                <w:szCs w:val="22"/>
              </w:rPr>
              <w:t>s</w:t>
            </w:r>
            <w:r w:rsidRPr="003F43AB">
              <w:rPr>
                <w:rFonts w:asciiTheme="minorHAnsi" w:hAnsiTheme="minorHAnsi" w:cstheme="minorHAnsi"/>
                <w:sz w:val="22"/>
                <w:szCs w:val="22"/>
              </w:rPr>
              <w:t xml:space="preserve"> meeting to be established – most efficient if held in same week as APP all-partners meeting (next due February 2021).</w:t>
            </w:r>
          </w:p>
          <w:p w14:paraId="4CACB0FB" w14:textId="77777777" w:rsidR="00511C0C" w:rsidRPr="003F43AB" w:rsidRDefault="00511C0C" w:rsidP="00C02346">
            <w:pPr>
              <w:pStyle w:val="Tablebullets"/>
              <w:numPr>
                <w:ilvl w:val="0"/>
                <w:numId w:val="0"/>
              </w:numPr>
              <w:spacing w:after="60"/>
              <w:rPr>
                <w:rFonts w:asciiTheme="minorHAnsi" w:hAnsiTheme="minorHAnsi" w:cstheme="minorHAnsi"/>
                <w:sz w:val="22"/>
                <w:szCs w:val="22"/>
              </w:rPr>
            </w:pPr>
          </w:p>
          <w:p w14:paraId="180E6740" w14:textId="77777777" w:rsidR="00511C0C" w:rsidRPr="003F43AB" w:rsidRDefault="00511C0C" w:rsidP="00A21DE1">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 xml:space="preserve">First </w:t>
            </w:r>
            <w:r w:rsidR="00A21DE1" w:rsidRPr="003F43AB">
              <w:rPr>
                <w:rFonts w:asciiTheme="minorHAnsi" w:hAnsiTheme="minorHAnsi" w:cstheme="minorHAnsi"/>
                <w:sz w:val="22"/>
                <w:szCs w:val="22"/>
              </w:rPr>
              <w:t>ad-hoc</w:t>
            </w:r>
            <w:r w:rsidRPr="003F43AB">
              <w:rPr>
                <w:rFonts w:asciiTheme="minorHAnsi" w:hAnsiTheme="minorHAnsi" w:cstheme="minorHAnsi"/>
                <w:sz w:val="22"/>
                <w:szCs w:val="22"/>
              </w:rPr>
              <w:t xml:space="preserve"> meeting suggested on establishment of BNTF.</w:t>
            </w:r>
          </w:p>
        </w:tc>
      </w:tr>
      <w:tr w:rsidR="003754C1" w:rsidRPr="003F43AB" w14:paraId="0A3350AB" w14:textId="77777777" w:rsidTr="003754C1">
        <w:tc>
          <w:tcPr>
            <w:tcW w:w="2114" w:type="pct"/>
            <w:shd w:val="clear" w:color="auto" w:fill="FFFFFF" w:themeFill="background1"/>
          </w:tcPr>
          <w:p w14:paraId="3AE39AFB" w14:textId="77777777" w:rsidR="004C0FD9" w:rsidRDefault="003754C1" w:rsidP="00477164">
            <w:pPr>
              <w:autoSpaceDE w:val="0"/>
              <w:autoSpaceDN w:val="0"/>
              <w:adjustRightInd w:val="0"/>
              <w:spacing w:after="60"/>
              <w:rPr>
                <w:rFonts w:asciiTheme="minorHAnsi" w:hAnsiTheme="minorHAnsi" w:cstheme="minorHAnsi"/>
                <w:b/>
                <w:i/>
                <w:sz w:val="22"/>
                <w:szCs w:val="22"/>
              </w:rPr>
            </w:pPr>
            <w:r w:rsidRPr="003F43AB">
              <w:rPr>
                <w:rFonts w:asciiTheme="minorHAnsi" w:hAnsiTheme="minorHAnsi" w:cstheme="minorHAnsi"/>
                <w:i/>
                <w:sz w:val="22"/>
                <w:szCs w:val="22"/>
                <w:u w:val="single"/>
              </w:rPr>
              <w:t xml:space="preserve">Recommendation </w:t>
            </w:r>
            <w:proofErr w:type="gramStart"/>
            <w:r w:rsidR="00B56C8B" w:rsidRPr="003F43AB">
              <w:rPr>
                <w:rFonts w:asciiTheme="minorHAnsi" w:hAnsiTheme="minorHAnsi" w:cstheme="minorHAnsi"/>
                <w:i/>
                <w:sz w:val="22"/>
                <w:szCs w:val="22"/>
                <w:u w:val="single"/>
              </w:rPr>
              <w:t>2</w:t>
            </w:r>
            <w:r w:rsidR="00482ED4">
              <w:rPr>
                <w:rFonts w:asciiTheme="minorHAnsi" w:hAnsiTheme="minorHAnsi" w:cstheme="minorHAnsi"/>
                <w:i/>
                <w:sz w:val="22"/>
                <w:szCs w:val="22"/>
                <w:u w:val="single"/>
              </w:rPr>
              <w:t xml:space="preserve"> </w:t>
            </w:r>
            <w:r w:rsidR="00B56C8B" w:rsidRPr="003F43AB">
              <w:rPr>
                <w:rFonts w:asciiTheme="minorHAnsi" w:hAnsiTheme="minorHAnsi" w:cstheme="minorHAnsi"/>
                <w:i/>
                <w:sz w:val="22"/>
                <w:szCs w:val="22"/>
              </w:rPr>
              <w:t xml:space="preserve"> </w:t>
            </w:r>
            <w:r w:rsidR="00482ED4">
              <w:rPr>
                <w:rFonts w:asciiTheme="minorHAnsi" w:hAnsiTheme="minorHAnsi" w:cstheme="minorHAnsi"/>
                <w:i/>
                <w:sz w:val="22"/>
                <w:szCs w:val="22"/>
              </w:rPr>
              <w:t>(</w:t>
            </w:r>
            <w:proofErr w:type="gramEnd"/>
            <w:r w:rsidR="00482ED4">
              <w:rPr>
                <w:rFonts w:asciiTheme="minorHAnsi" w:hAnsiTheme="minorHAnsi" w:cstheme="minorHAnsi"/>
                <w:i/>
                <w:sz w:val="22"/>
                <w:szCs w:val="22"/>
              </w:rPr>
              <w:t xml:space="preserve">Paragraph 34): </w:t>
            </w:r>
            <w:r w:rsidR="00792042" w:rsidRPr="009A0B49">
              <w:rPr>
                <w:rFonts w:asciiTheme="minorHAnsi" w:hAnsiTheme="minorHAnsi" w:cstheme="minorHAnsi"/>
                <w:b/>
                <w:i/>
                <w:sz w:val="22"/>
                <w:szCs w:val="22"/>
              </w:rPr>
              <w:t>Better coordination across the Australian Mindanao program is also needed to avoid overlaps in their activities and gain maximum return on Australia’s investment in the Mindanao peace process</w:t>
            </w:r>
            <w:r w:rsidR="004C0FD9">
              <w:rPr>
                <w:rFonts w:asciiTheme="minorHAnsi" w:hAnsiTheme="minorHAnsi" w:cstheme="minorHAnsi"/>
                <w:b/>
                <w:i/>
                <w:sz w:val="22"/>
                <w:szCs w:val="22"/>
              </w:rPr>
              <w:t xml:space="preserve"> </w:t>
            </w:r>
          </w:p>
          <w:p w14:paraId="21801C42" w14:textId="3D10719E" w:rsidR="003754C1" w:rsidRPr="003F43AB" w:rsidRDefault="00792042" w:rsidP="00477164">
            <w:pPr>
              <w:autoSpaceDE w:val="0"/>
              <w:autoSpaceDN w:val="0"/>
              <w:adjustRightInd w:val="0"/>
              <w:spacing w:after="60"/>
              <w:rPr>
                <w:rFonts w:asciiTheme="minorHAnsi" w:hAnsiTheme="minorHAnsi" w:cstheme="minorHAnsi"/>
                <w:color w:val="000000"/>
                <w:sz w:val="22"/>
                <w:szCs w:val="22"/>
              </w:rPr>
            </w:pPr>
            <w:r w:rsidRPr="004C0FD9">
              <w:rPr>
                <w:rFonts w:asciiTheme="minorHAnsi" w:hAnsiTheme="minorHAnsi" w:cstheme="minorHAnsi"/>
                <w:iCs/>
                <w:sz w:val="22"/>
                <w:szCs w:val="22"/>
              </w:rPr>
              <w:t xml:space="preserve">Humanitarian assistance will eventually transition to delivery of traditional socio-economic services once situation normalizes.   Peace and governance activities will have to be aligned with sectoral concerns such as education because the latter is the foundation by </w:t>
            </w:r>
            <w:r w:rsidRPr="004C0FD9">
              <w:rPr>
                <w:rFonts w:asciiTheme="minorHAnsi" w:hAnsiTheme="minorHAnsi" w:cstheme="minorHAnsi"/>
                <w:iCs/>
                <w:sz w:val="22"/>
                <w:szCs w:val="22"/>
              </w:rPr>
              <w:lastRenderedPageBreak/>
              <w:t>which good governance can only be sustained in the medium and long-run.  It is recommended that a quarterly or bi-annual meeting among the heads and key staff of the various Australian projects should be conducted to improve coordination and information sharing activities.</w:t>
            </w:r>
          </w:p>
        </w:tc>
        <w:tc>
          <w:tcPr>
            <w:tcW w:w="1732" w:type="pct"/>
            <w:shd w:val="clear" w:color="auto" w:fill="FFFFFF" w:themeFill="background1"/>
          </w:tcPr>
          <w:p w14:paraId="4AC8DF53" w14:textId="74C8F15E" w:rsidR="003754C1" w:rsidRPr="003F43AB" w:rsidRDefault="003754C1">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lastRenderedPageBreak/>
              <w:t>Agree:</w:t>
            </w:r>
            <w:r w:rsidR="00511C0C" w:rsidRPr="003F43AB">
              <w:rPr>
                <w:rFonts w:asciiTheme="minorHAnsi" w:hAnsiTheme="minorHAnsi" w:cstheme="minorHAnsi"/>
                <w:b/>
                <w:sz w:val="22"/>
                <w:szCs w:val="22"/>
              </w:rPr>
              <w:t xml:space="preserve"> </w:t>
            </w:r>
            <w:r w:rsidR="00511C0C" w:rsidRPr="003F43AB">
              <w:rPr>
                <w:rFonts w:asciiTheme="minorHAnsi" w:hAnsiTheme="minorHAnsi" w:cstheme="minorHAnsi"/>
                <w:sz w:val="22"/>
                <w:szCs w:val="22"/>
              </w:rPr>
              <w:t xml:space="preserve">While the </w:t>
            </w:r>
            <w:r w:rsidR="000B160F">
              <w:rPr>
                <w:rFonts w:asciiTheme="minorHAnsi" w:hAnsiTheme="minorHAnsi" w:cstheme="minorHAnsi"/>
                <w:sz w:val="22"/>
                <w:szCs w:val="22"/>
              </w:rPr>
              <w:t>Embassy’s h</w:t>
            </w:r>
            <w:r w:rsidR="00511C0C" w:rsidRPr="003F43AB">
              <w:rPr>
                <w:rFonts w:asciiTheme="minorHAnsi" w:hAnsiTheme="minorHAnsi" w:cstheme="minorHAnsi"/>
                <w:sz w:val="22"/>
                <w:szCs w:val="22"/>
              </w:rPr>
              <w:t xml:space="preserve">umanitarian, </w:t>
            </w:r>
            <w:r w:rsidR="000B160F">
              <w:rPr>
                <w:rFonts w:asciiTheme="minorHAnsi" w:hAnsiTheme="minorHAnsi" w:cstheme="minorHAnsi"/>
                <w:sz w:val="22"/>
                <w:szCs w:val="22"/>
              </w:rPr>
              <w:t>e</w:t>
            </w:r>
            <w:r w:rsidR="00511C0C" w:rsidRPr="003F43AB">
              <w:rPr>
                <w:rFonts w:asciiTheme="minorHAnsi" w:hAnsiTheme="minorHAnsi" w:cstheme="minorHAnsi"/>
                <w:sz w:val="22"/>
                <w:szCs w:val="22"/>
              </w:rPr>
              <w:t xml:space="preserve">ducation and </w:t>
            </w:r>
            <w:r w:rsidR="000B160F">
              <w:rPr>
                <w:rFonts w:asciiTheme="minorHAnsi" w:hAnsiTheme="minorHAnsi" w:cstheme="minorHAnsi"/>
                <w:sz w:val="22"/>
                <w:szCs w:val="22"/>
              </w:rPr>
              <w:t>p</w:t>
            </w:r>
            <w:r w:rsidR="00511C0C" w:rsidRPr="003F43AB">
              <w:rPr>
                <w:rFonts w:asciiTheme="minorHAnsi" w:hAnsiTheme="minorHAnsi" w:cstheme="minorHAnsi"/>
                <w:sz w:val="22"/>
                <w:szCs w:val="22"/>
              </w:rPr>
              <w:t>eace teams do work closely with each other, smoother and more formal communication and coordination could be achieved.</w:t>
            </w:r>
            <w:r w:rsidR="00511C0C" w:rsidRPr="003F43AB">
              <w:rPr>
                <w:rFonts w:asciiTheme="minorHAnsi" w:hAnsiTheme="minorHAnsi" w:cstheme="minorHAnsi"/>
                <w:b/>
                <w:sz w:val="22"/>
                <w:szCs w:val="22"/>
              </w:rPr>
              <w:t xml:space="preserve"> </w:t>
            </w:r>
            <w:r w:rsidR="00511C0C" w:rsidRPr="003F43AB">
              <w:rPr>
                <w:rFonts w:asciiTheme="minorHAnsi" w:hAnsiTheme="minorHAnsi" w:cstheme="minorHAnsi"/>
                <w:sz w:val="22"/>
                <w:szCs w:val="22"/>
              </w:rPr>
              <w:t xml:space="preserve">Staff working on Bangsamoro issues have re-established the Bangsamoro Working Group. Political </w:t>
            </w:r>
            <w:r w:rsidR="000B160F">
              <w:rPr>
                <w:rFonts w:asciiTheme="minorHAnsi" w:hAnsiTheme="minorHAnsi" w:cstheme="minorHAnsi"/>
                <w:sz w:val="22"/>
                <w:szCs w:val="22"/>
              </w:rPr>
              <w:t>&amp; Economic S</w:t>
            </w:r>
            <w:r w:rsidR="00511C0C" w:rsidRPr="003F43AB">
              <w:rPr>
                <w:rFonts w:asciiTheme="minorHAnsi" w:hAnsiTheme="minorHAnsi" w:cstheme="minorHAnsi"/>
                <w:sz w:val="22"/>
                <w:szCs w:val="22"/>
              </w:rPr>
              <w:t xml:space="preserve">ection </w:t>
            </w:r>
            <w:r w:rsidR="000B160F">
              <w:rPr>
                <w:rFonts w:asciiTheme="minorHAnsi" w:hAnsiTheme="minorHAnsi" w:cstheme="minorHAnsi"/>
                <w:sz w:val="22"/>
                <w:szCs w:val="22"/>
              </w:rPr>
              <w:t xml:space="preserve">is </w:t>
            </w:r>
            <w:r w:rsidR="00511C0C" w:rsidRPr="003F43AB">
              <w:rPr>
                <w:rFonts w:asciiTheme="minorHAnsi" w:hAnsiTheme="minorHAnsi" w:cstheme="minorHAnsi"/>
                <w:sz w:val="22"/>
                <w:szCs w:val="22"/>
              </w:rPr>
              <w:t xml:space="preserve">drafting Bangsamoro Strategy with input from Development </w:t>
            </w:r>
            <w:r w:rsidR="000B160F">
              <w:rPr>
                <w:rFonts w:asciiTheme="minorHAnsi" w:hAnsiTheme="minorHAnsi" w:cstheme="minorHAnsi"/>
                <w:sz w:val="22"/>
                <w:szCs w:val="22"/>
              </w:rPr>
              <w:t>S</w:t>
            </w:r>
            <w:r w:rsidR="00511C0C" w:rsidRPr="003F43AB">
              <w:rPr>
                <w:rFonts w:asciiTheme="minorHAnsi" w:hAnsiTheme="minorHAnsi" w:cstheme="minorHAnsi"/>
                <w:sz w:val="22"/>
                <w:szCs w:val="22"/>
              </w:rPr>
              <w:t xml:space="preserve">ection. </w:t>
            </w:r>
            <w:r w:rsidRPr="003F43AB" w:rsidDel="006969A2">
              <w:rPr>
                <w:rFonts w:asciiTheme="minorHAnsi" w:hAnsiTheme="minorHAnsi" w:cstheme="minorHAnsi"/>
                <w:sz w:val="22"/>
                <w:szCs w:val="22"/>
              </w:rPr>
              <w:t xml:space="preserve"> </w:t>
            </w:r>
          </w:p>
        </w:tc>
        <w:tc>
          <w:tcPr>
            <w:tcW w:w="1154" w:type="pct"/>
            <w:shd w:val="clear" w:color="auto" w:fill="FFFFFF" w:themeFill="background1"/>
          </w:tcPr>
          <w:p w14:paraId="172C5AB5" w14:textId="77777777" w:rsidR="003754C1" w:rsidRPr="003F43AB" w:rsidRDefault="00511C0C"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Draft Bangsamoro strategy by end of 2020.</w:t>
            </w:r>
          </w:p>
          <w:p w14:paraId="1BA08648" w14:textId="77777777" w:rsidR="00A21DE1" w:rsidRPr="003F43AB" w:rsidRDefault="00A21DE1" w:rsidP="00C02346">
            <w:pPr>
              <w:pStyle w:val="Tablebullets"/>
              <w:numPr>
                <w:ilvl w:val="0"/>
                <w:numId w:val="0"/>
              </w:numPr>
              <w:spacing w:after="60"/>
              <w:rPr>
                <w:rFonts w:asciiTheme="minorHAnsi" w:hAnsiTheme="minorHAnsi" w:cstheme="minorHAnsi"/>
                <w:sz w:val="22"/>
                <w:szCs w:val="22"/>
              </w:rPr>
            </w:pPr>
          </w:p>
          <w:p w14:paraId="784C384B" w14:textId="77777777" w:rsidR="00A21DE1" w:rsidRPr="003F43AB" w:rsidRDefault="00A21DE1"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Bangsamoro Working Group to recommence virtual meetings</w:t>
            </w:r>
          </w:p>
          <w:p w14:paraId="1F1881AB" w14:textId="77777777" w:rsidR="003754C1" w:rsidRPr="003F43AB" w:rsidRDefault="003754C1" w:rsidP="00C02346">
            <w:pPr>
              <w:pStyle w:val="Tablebullets"/>
              <w:numPr>
                <w:ilvl w:val="0"/>
                <w:numId w:val="0"/>
              </w:numPr>
              <w:spacing w:after="60"/>
              <w:rPr>
                <w:rFonts w:asciiTheme="minorHAnsi" w:hAnsiTheme="minorHAnsi" w:cstheme="minorHAnsi"/>
                <w:sz w:val="22"/>
                <w:szCs w:val="22"/>
              </w:rPr>
            </w:pPr>
          </w:p>
        </w:tc>
      </w:tr>
      <w:tr w:rsidR="003754C1" w:rsidRPr="003F06E6" w14:paraId="59377C68" w14:textId="77777777" w:rsidTr="003754C1">
        <w:tc>
          <w:tcPr>
            <w:tcW w:w="2114" w:type="pct"/>
            <w:shd w:val="clear" w:color="auto" w:fill="FFFFFF" w:themeFill="background1"/>
          </w:tcPr>
          <w:p w14:paraId="777096B5" w14:textId="77777777" w:rsidR="004C0FD9" w:rsidRDefault="003754C1" w:rsidP="00B56C8B">
            <w:pPr>
              <w:autoSpaceDE w:val="0"/>
              <w:autoSpaceDN w:val="0"/>
              <w:adjustRightInd w:val="0"/>
              <w:spacing w:after="60"/>
              <w:rPr>
                <w:rFonts w:asciiTheme="minorHAnsi" w:hAnsiTheme="minorHAnsi" w:cstheme="minorHAnsi"/>
                <w:i/>
                <w:sz w:val="22"/>
                <w:szCs w:val="22"/>
              </w:rPr>
            </w:pPr>
            <w:r w:rsidRPr="003F43AB">
              <w:rPr>
                <w:rFonts w:asciiTheme="minorHAnsi" w:hAnsiTheme="minorHAnsi" w:cstheme="minorHAnsi"/>
                <w:i/>
                <w:sz w:val="22"/>
                <w:szCs w:val="22"/>
                <w:u w:val="single"/>
              </w:rPr>
              <w:t xml:space="preserve">Recommendation </w:t>
            </w:r>
            <w:r w:rsidR="00B56C8B" w:rsidRPr="003F43AB">
              <w:rPr>
                <w:rFonts w:asciiTheme="minorHAnsi" w:hAnsiTheme="minorHAnsi" w:cstheme="minorHAnsi"/>
                <w:i/>
                <w:sz w:val="22"/>
                <w:szCs w:val="22"/>
                <w:u w:val="single"/>
              </w:rPr>
              <w:t>3</w:t>
            </w:r>
            <w:r w:rsidR="005972EB">
              <w:rPr>
                <w:rFonts w:asciiTheme="minorHAnsi" w:hAnsiTheme="minorHAnsi" w:cstheme="minorHAnsi"/>
                <w:i/>
                <w:sz w:val="22"/>
                <w:szCs w:val="22"/>
              </w:rPr>
              <w:t xml:space="preserve"> (Paragraph 35):</w:t>
            </w:r>
            <w:r w:rsidR="00B56C8B" w:rsidRPr="003F43AB">
              <w:rPr>
                <w:rFonts w:asciiTheme="minorHAnsi" w:hAnsiTheme="minorHAnsi" w:cstheme="minorHAnsi"/>
                <w:i/>
                <w:sz w:val="22"/>
                <w:szCs w:val="22"/>
              </w:rPr>
              <w:t xml:space="preserve"> </w:t>
            </w:r>
            <w:r w:rsidR="00511C0C" w:rsidRPr="009A0B49">
              <w:rPr>
                <w:rFonts w:asciiTheme="minorHAnsi" w:hAnsiTheme="minorHAnsi" w:cstheme="minorHAnsi"/>
                <w:b/>
                <w:i/>
                <w:sz w:val="22"/>
                <w:szCs w:val="22"/>
              </w:rPr>
              <w:t>Assist in improving coordination amongst donors, national, regional and local governments involved in the peace process</w:t>
            </w:r>
            <w:r w:rsidR="00511C0C" w:rsidRPr="003F43AB">
              <w:rPr>
                <w:rFonts w:asciiTheme="minorHAnsi" w:hAnsiTheme="minorHAnsi" w:cstheme="minorHAnsi"/>
                <w:i/>
                <w:sz w:val="22"/>
                <w:szCs w:val="22"/>
              </w:rPr>
              <w:t xml:space="preserve">  </w:t>
            </w:r>
          </w:p>
          <w:p w14:paraId="6DAA77E6" w14:textId="2D61E8D2" w:rsidR="003754C1" w:rsidRPr="004C0FD9" w:rsidRDefault="00511C0C" w:rsidP="00B56C8B">
            <w:pPr>
              <w:autoSpaceDE w:val="0"/>
              <w:autoSpaceDN w:val="0"/>
              <w:adjustRightInd w:val="0"/>
              <w:spacing w:after="60"/>
              <w:rPr>
                <w:rFonts w:asciiTheme="minorHAnsi" w:hAnsiTheme="minorHAnsi" w:cstheme="minorHAnsi"/>
                <w:iCs/>
                <w:color w:val="000000"/>
                <w:sz w:val="22"/>
                <w:szCs w:val="22"/>
              </w:rPr>
            </w:pPr>
            <w:r w:rsidRPr="004C0FD9">
              <w:rPr>
                <w:rFonts w:asciiTheme="minorHAnsi" w:hAnsiTheme="minorHAnsi" w:cstheme="minorHAnsi"/>
                <w:iCs/>
                <w:sz w:val="22"/>
                <w:szCs w:val="22"/>
              </w:rPr>
              <w:t xml:space="preserve">There are significant overlaps on the ground because of absence an </w:t>
            </w:r>
            <w:r w:rsidR="007B16CE" w:rsidRPr="004C0FD9">
              <w:rPr>
                <w:rFonts w:asciiTheme="minorHAnsi" w:hAnsiTheme="minorHAnsi" w:cstheme="minorHAnsi"/>
                <w:iCs/>
                <w:sz w:val="22"/>
                <w:szCs w:val="22"/>
              </w:rPr>
              <w:t>effective coordinating mechanism</w:t>
            </w:r>
            <w:r w:rsidRPr="004C0FD9">
              <w:rPr>
                <w:rFonts w:asciiTheme="minorHAnsi" w:hAnsiTheme="minorHAnsi" w:cstheme="minorHAnsi"/>
                <w:iCs/>
                <w:sz w:val="22"/>
                <w:szCs w:val="22"/>
              </w:rPr>
              <w:t xml:space="preserve"> on donor assistance.  Currently, all major donors are offering technical assistance and capacity-building programs to the BARMM government to build its capacity to effectively govern.   Also, there is a vacuum on coordination among national, regional and local governments in the delivery of promised assistance to MILF combatants who will be decommissioned and the socio-economic services to be provided to MILF camps and communities.  Poor coordination has resulted, at both levels, in confusion among recipients of the assistance and frustration over the slow delivery of promised benefits of the peace process.   Being the second biggest donor in the peace process (in terms of grants), Australia can play an important role in improving donor and government coordination by sponsoring a series of forums that address this critical issue.  It can partner with the </w:t>
            </w:r>
            <w:r w:rsidR="00CA4224" w:rsidRPr="004C0FD9">
              <w:rPr>
                <w:rFonts w:asciiTheme="minorHAnsi" w:hAnsiTheme="minorHAnsi" w:cstheme="minorHAnsi"/>
                <w:iCs/>
                <w:sz w:val="22"/>
                <w:szCs w:val="22"/>
              </w:rPr>
              <w:t>WB and</w:t>
            </w:r>
            <w:r w:rsidRPr="004C0FD9">
              <w:rPr>
                <w:rFonts w:asciiTheme="minorHAnsi" w:hAnsiTheme="minorHAnsi" w:cstheme="minorHAnsi"/>
                <w:iCs/>
                <w:sz w:val="22"/>
                <w:szCs w:val="22"/>
              </w:rPr>
              <w:t xml:space="preserve"> JICA (Japan being the biggest donor) in the conduct of these forums. </w:t>
            </w:r>
          </w:p>
        </w:tc>
        <w:tc>
          <w:tcPr>
            <w:tcW w:w="1732" w:type="pct"/>
            <w:shd w:val="clear" w:color="auto" w:fill="FFFFFF" w:themeFill="background1"/>
          </w:tcPr>
          <w:p w14:paraId="3FC6B335" w14:textId="5487D1A1" w:rsidR="003754C1" w:rsidRPr="003F43AB" w:rsidRDefault="00511C0C">
            <w:pPr>
              <w:rPr>
                <w:rFonts w:asciiTheme="minorHAnsi" w:hAnsiTheme="minorHAnsi" w:cstheme="minorHAnsi"/>
                <w:sz w:val="22"/>
                <w:szCs w:val="22"/>
              </w:rPr>
            </w:pPr>
            <w:r w:rsidRPr="003F43AB">
              <w:rPr>
                <w:rFonts w:asciiTheme="minorHAnsi" w:hAnsiTheme="minorHAnsi" w:cstheme="minorHAnsi"/>
                <w:b/>
                <w:sz w:val="22"/>
                <w:szCs w:val="22"/>
              </w:rPr>
              <w:t xml:space="preserve">Agreed: </w:t>
            </w:r>
            <w:r w:rsidR="003754C1" w:rsidRPr="003F43AB">
              <w:rPr>
                <w:rFonts w:asciiTheme="minorHAnsi" w:hAnsiTheme="minorHAnsi" w:cstheme="minorHAnsi"/>
                <w:b/>
                <w:sz w:val="22"/>
                <w:szCs w:val="22"/>
              </w:rPr>
              <w:t> </w:t>
            </w:r>
            <w:r w:rsidRPr="003F43AB">
              <w:rPr>
                <w:rFonts w:asciiTheme="minorHAnsi" w:hAnsiTheme="minorHAnsi" w:cstheme="minorHAnsi"/>
                <w:sz w:val="22"/>
                <w:szCs w:val="22"/>
              </w:rPr>
              <w:t>Donor coordination (or lack thereof) has</w:t>
            </w:r>
            <w:r w:rsidR="0029496C" w:rsidRPr="003F43AB">
              <w:rPr>
                <w:rFonts w:asciiTheme="minorHAnsi" w:hAnsiTheme="minorHAnsi" w:cstheme="minorHAnsi"/>
                <w:sz w:val="22"/>
                <w:szCs w:val="22"/>
              </w:rPr>
              <w:t xml:space="preserve"> been an ongoing problem in the Bangsamoro</w:t>
            </w:r>
            <w:r w:rsidRPr="003F43AB">
              <w:rPr>
                <w:rFonts w:asciiTheme="minorHAnsi" w:hAnsiTheme="minorHAnsi" w:cstheme="minorHAnsi"/>
                <w:sz w:val="22"/>
                <w:szCs w:val="22"/>
              </w:rPr>
              <w:t xml:space="preserve">. </w:t>
            </w:r>
            <w:r w:rsidR="00E7078C">
              <w:rPr>
                <w:rFonts w:asciiTheme="minorHAnsi" w:hAnsiTheme="minorHAnsi" w:cstheme="minorHAnsi"/>
                <w:sz w:val="22"/>
                <w:szCs w:val="22"/>
              </w:rPr>
              <w:t>DFAT</w:t>
            </w:r>
            <w:r w:rsidR="000B160F" w:rsidRPr="003F43AB">
              <w:rPr>
                <w:rFonts w:asciiTheme="minorHAnsi" w:hAnsiTheme="minorHAnsi" w:cstheme="minorHAnsi"/>
                <w:sz w:val="22"/>
                <w:szCs w:val="22"/>
              </w:rPr>
              <w:t xml:space="preserve"> </w:t>
            </w:r>
            <w:r w:rsidRPr="003F43AB">
              <w:rPr>
                <w:rFonts w:asciiTheme="minorHAnsi" w:hAnsiTheme="minorHAnsi" w:cstheme="minorHAnsi"/>
                <w:sz w:val="22"/>
                <w:szCs w:val="22"/>
              </w:rPr>
              <w:t>convened a donor coordination meeting</w:t>
            </w:r>
            <w:r w:rsidR="0029496C" w:rsidRPr="003F43AB">
              <w:rPr>
                <w:rFonts w:asciiTheme="minorHAnsi" w:hAnsiTheme="minorHAnsi" w:cstheme="minorHAnsi"/>
                <w:sz w:val="22"/>
                <w:szCs w:val="22"/>
              </w:rPr>
              <w:t xml:space="preserve"> (on support to Transition and Normalisation)</w:t>
            </w:r>
            <w:r w:rsidRPr="003F43AB">
              <w:rPr>
                <w:rFonts w:asciiTheme="minorHAnsi" w:hAnsiTheme="minorHAnsi" w:cstheme="minorHAnsi"/>
                <w:sz w:val="22"/>
                <w:szCs w:val="22"/>
              </w:rPr>
              <w:t xml:space="preserve"> </w:t>
            </w:r>
            <w:r w:rsidR="000B160F">
              <w:rPr>
                <w:rFonts w:asciiTheme="minorHAnsi" w:hAnsiTheme="minorHAnsi" w:cstheme="minorHAnsi"/>
                <w:sz w:val="22"/>
                <w:szCs w:val="22"/>
              </w:rPr>
              <w:t>in 2019</w:t>
            </w:r>
            <w:r w:rsidRPr="003F43AB">
              <w:rPr>
                <w:rFonts w:asciiTheme="minorHAnsi" w:hAnsiTheme="minorHAnsi" w:cstheme="minorHAnsi"/>
                <w:sz w:val="22"/>
                <w:szCs w:val="22"/>
              </w:rPr>
              <w:t xml:space="preserve">; a smaller meeting between Australia, Canada, the United States, New Zealand and the EU took place after this review was completed. </w:t>
            </w:r>
            <w:r w:rsidR="000B160F">
              <w:rPr>
                <w:rFonts w:asciiTheme="minorHAnsi" w:hAnsiTheme="minorHAnsi" w:cstheme="minorHAnsi"/>
                <w:sz w:val="22"/>
                <w:szCs w:val="22"/>
              </w:rPr>
              <w:t>The Embassy plans to</w:t>
            </w:r>
            <w:r w:rsidRPr="003F43AB">
              <w:rPr>
                <w:rFonts w:asciiTheme="minorHAnsi" w:hAnsiTheme="minorHAnsi" w:cstheme="minorHAnsi"/>
                <w:sz w:val="22"/>
                <w:szCs w:val="22"/>
              </w:rPr>
              <w:t xml:space="preserve"> convene another full donor meeting before the end of 2020</w:t>
            </w:r>
            <w:r w:rsidR="000B160F">
              <w:rPr>
                <w:rFonts w:asciiTheme="minorHAnsi" w:hAnsiTheme="minorHAnsi" w:cstheme="minorHAnsi"/>
                <w:sz w:val="22"/>
                <w:szCs w:val="22"/>
              </w:rPr>
              <w:t xml:space="preserve">, while also encouraging </w:t>
            </w:r>
            <w:r w:rsidR="00A21DE1" w:rsidRPr="003F43AB">
              <w:rPr>
                <w:rFonts w:asciiTheme="minorHAnsi" w:hAnsiTheme="minorHAnsi" w:cstheme="minorHAnsi"/>
                <w:sz w:val="22"/>
                <w:szCs w:val="22"/>
              </w:rPr>
              <w:t>the UN to play more of a convening role.</w:t>
            </w:r>
          </w:p>
        </w:tc>
        <w:tc>
          <w:tcPr>
            <w:tcW w:w="1154" w:type="pct"/>
            <w:shd w:val="clear" w:color="auto" w:fill="FFFFFF" w:themeFill="background1"/>
          </w:tcPr>
          <w:p w14:paraId="44D5CD73" w14:textId="77777777" w:rsidR="003754C1" w:rsidRPr="003F43AB" w:rsidRDefault="0029496C"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 xml:space="preserve">Full donor coordination meeting by end 2020; establish formal timeline for meetings in 2021. </w:t>
            </w:r>
          </w:p>
        </w:tc>
      </w:tr>
      <w:tr w:rsidR="003754C1" w:rsidRPr="003F06E6" w14:paraId="7924E105" w14:textId="77777777" w:rsidTr="003754C1">
        <w:tc>
          <w:tcPr>
            <w:tcW w:w="2114" w:type="pct"/>
            <w:shd w:val="clear" w:color="auto" w:fill="FFFFFF" w:themeFill="background1"/>
          </w:tcPr>
          <w:p w14:paraId="55D3F8D2" w14:textId="77777777" w:rsidR="004C0FD9" w:rsidRDefault="003754C1" w:rsidP="00477164">
            <w:pPr>
              <w:autoSpaceDE w:val="0"/>
              <w:autoSpaceDN w:val="0"/>
              <w:adjustRightInd w:val="0"/>
              <w:spacing w:after="60"/>
              <w:rPr>
                <w:rFonts w:asciiTheme="minorHAnsi" w:hAnsiTheme="minorHAnsi" w:cstheme="minorHAnsi"/>
                <w:b/>
                <w:i/>
                <w:sz w:val="22"/>
                <w:szCs w:val="22"/>
              </w:rPr>
            </w:pPr>
            <w:r w:rsidRPr="003F43AB">
              <w:rPr>
                <w:rFonts w:asciiTheme="minorHAnsi" w:hAnsiTheme="minorHAnsi" w:cstheme="minorHAnsi"/>
                <w:i/>
                <w:sz w:val="22"/>
                <w:szCs w:val="22"/>
                <w:u w:val="single"/>
              </w:rPr>
              <w:t xml:space="preserve">Recommendation </w:t>
            </w:r>
            <w:r w:rsidR="00B56C8B" w:rsidRPr="003F43AB">
              <w:rPr>
                <w:rFonts w:asciiTheme="minorHAnsi" w:hAnsiTheme="minorHAnsi" w:cstheme="minorHAnsi"/>
                <w:i/>
                <w:sz w:val="22"/>
                <w:szCs w:val="22"/>
                <w:u w:val="single"/>
              </w:rPr>
              <w:t>4</w:t>
            </w:r>
            <w:r w:rsidR="005972EB">
              <w:rPr>
                <w:rFonts w:asciiTheme="minorHAnsi" w:hAnsiTheme="minorHAnsi" w:cstheme="minorHAnsi"/>
                <w:i/>
                <w:sz w:val="22"/>
                <w:szCs w:val="22"/>
              </w:rPr>
              <w:t xml:space="preserve"> (Paragraph 36)</w:t>
            </w:r>
            <w:r w:rsidR="00B56C8B" w:rsidRPr="003F43AB">
              <w:rPr>
                <w:rFonts w:asciiTheme="minorHAnsi" w:hAnsiTheme="minorHAnsi" w:cstheme="minorHAnsi"/>
                <w:i/>
                <w:sz w:val="22"/>
                <w:szCs w:val="22"/>
              </w:rPr>
              <w:t xml:space="preserve">: </w:t>
            </w:r>
            <w:r w:rsidR="00BB708C" w:rsidRPr="009A0B49">
              <w:rPr>
                <w:rFonts w:asciiTheme="minorHAnsi" w:hAnsiTheme="minorHAnsi" w:cstheme="minorHAnsi"/>
                <w:b/>
                <w:i/>
                <w:sz w:val="22"/>
                <w:szCs w:val="22"/>
              </w:rPr>
              <w:t xml:space="preserve">Strengthen implementation of gender sensitive plans and install PWD sensitivity plan in the work program of APP partners </w:t>
            </w:r>
          </w:p>
          <w:p w14:paraId="40AC947F" w14:textId="6AAEFAAF" w:rsidR="003754C1" w:rsidRPr="004C0FD9" w:rsidRDefault="00BB708C" w:rsidP="00477164">
            <w:pPr>
              <w:autoSpaceDE w:val="0"/>
              <w:autoSpaceDN w:val="0"/>
              <w:adjustRightInd w:val="0"/>
              <w:spacing w:after="60"/>
              <w:rPr>
                <w:rFonts w:asciiTheme="minorHAnsi" w:hAnsiTheme="minorHAnsi" w:cstheme="minorHAnsi"/>
                <w:iCs/>
                <w:color w:val="000000"/>
                <w:sz w:val="22"/>
                <w:szCs w:val="22"/>
              </w:rPr>
            </w:pPr>
            <w:r w:rsidRPr="004C0FD9">
              <w:rPr>
                <w:rFonts w:asciiTheme="minorHAnsi" w:hAnsiTheme="minorHAnsi" w:cstheme="minorHAnsi"/>
                <w:iCs/>
                <w:sz w:val="22"/>
                <w:szCs w:val="22"/>
              </w:rPr>
              <w:lastRenderedPageBreak/>
              <w:t xml:space="preserve">While significant progress on gender sensitivity has been noted in APP partners work, compared to when they were operating under the Basic Bangsamoro program, there is still room for improvement in implementing their Conflict Sensitive Gender Action Plans (CSGAPs), and how these activities contribute to the National Action Plan on Women, Peace and Security. As the peace process shifts to implementation, there are opportunities to intensify engagement with non-elite and vulnerable women in the Bangsamoro, including widows, female-headed households, former combatants, and </w:t>
            </w:r>
            <w:proofErr w:type="gramStart"/>
            <w:r w:rsidRPr="004C0FD9">
              <w:rPr>
                <w:rFonts w:asciiTheme="minorHAnsi" w:hAnsiTheme="minorHAnsi" w:cstheme="minorHAnsi"/>
                <w:iCs/>
                <w:sz w:val="22"/>
                <w:szCs w:val="22"/>
              </w:rPr>
              <w:t>internally-displaced</w:t>
            </w:r>
            <w:proofErr w:type="gramEnd"/>
            <w:r w:rsidRPr="004C0FD9">
              <w:rPr>
                <w:rFonts w:asciiTheme="minorHAnsi" w:hAnsiTheme="minorHAnsi" w:cstheme="minorHAnsi"/>
                <w:iCs/>
                <w:sz w:val="22"/>
                <w:szCs w:val="22"/>
              </w:rPr>
              <w:t xml:space="preserve"> women. On the other hand, there is a notable gap </w:t>
            </w:r>
            <w:r w:rsidR="00B56C8B" w:rsidRPr="004C0FD9">
              <w:rPr>
                <w:rFonts w:asciiTheme="minorHAnsi" w:hAnsiTheme="minorHAnsi" w:cstheme="minorHAnsi"/>
                <w:iCs/>
                <w:sz w:val="22"/>
                <w:szCs w:val="22"/>
              </w:rPr>
              <w:t>in PWD</w:t>
            </w:r>
            <w:r w:rsidRPr="004C0FD9">
              <w:rPr>
                <w:rFonts w:asciiTheme="minorHAnsi" w:hAnsiTheme="minorHAnsi" w:cstheme="minorHAnsi"/>
                <w:iCs/>
                <w:sz w:val="22"/>
                <w:szCs w:val="22"/>
              </w:rPr>
              <w:t xml:space="preserve"> sensitivity in the works of the APP, multilateral, and other implementing partners, despite initial plans by Oxfam and accessibility guidelines established by IA.  </w:t>
            </w:r>
            <w:proofErr w:type="gramStart"/>
            <w:r w:rsidRPr="004C0FD9">
              <w:rPr>
                <w:rFonts w:asciiTheme="minorHAnsi" w:hAnsiTheme="minorHAnsi" w:cstheme="minorHAnsi"/>
                <w:iCs/>
                <w:sz w:val="22"/>
                <w:szCs w:val="22"/>
              </w:rPr>
              <w:t>Culturally-appropriate</w:t>
            </w:r>
            <w:proofErr w:type="gramEnd"/>
            <w:r w:rsidRPr="004C0FD9">
              <w:rPr>
                <w:rFonts w:asciiTheme="minorHAnsi" w:hAnsiTheme="minorHAnsi" w:cstheme="minorHAnsi"/>
                <w:iCs/>
                <w:sz w:val="22"/>
                <w:szCs w:val="22"/>
              </w:rPr>
              <w:t xml:space="preserve"> parameters on this concern should be built in the work program of APP and multilateral implementing partners to ensure the extent of engagement with PWDs.   </w:t>
            </w:r>
          </w:p>
        </w:tc>
        <w:tc>
          <w:tcPr>
            <w:tcW w:w="1732" w:type="pct"/>
            <w:shd w:val="clear" w:color="auto" w:fill="FFFFFF" w:themeFill="background1"/>
          </w:tcPr>
          <w:p w14:paraId="37C9A980" w14:textId="7981ED2B" w:rsidR="003754C1" w:rsidRPr="003F43AB" w:rsidRDefault="00B56C8B">
            <w:pPr>
              <w:pStyle w:val="Table-normal-text"/>
              <w:spacing w:before="0"/>
              <w:contextualSpacing/>
              <w:rPr>
                <w:rFonts w:asciiTheme="minorHAnsi" w:hAnsiTheme="minorHAnsi" w:cstheme="minorHAnsi"/>
                <w:sz w:val="22"/>
                <w:szCs w:val="22"/>
              </w:rPr>
            </w:pPr>
            <w:r w:rsidRPr="003F43AB">
              <w:rPr>
                <w:rFonts w:asciiTheme="minorHAnsi" w:hAnsiTheme="minorHAnsi" w:cstheme="minorHAnsi"/>
                <w:b/>
                <w:sz w:val="22"/>
                <w:szCs w:val="22"/>
              </w:rPr>
              <w:lastRenderedPageBreak/>
              <w:t xml:space="preserve">Agreed: </w:t>
            </w:r>
            <w:r w:rsidRPr="003F43AB">
              <w:rPr>
                <w:rFonts w:asciiTheme="minorHAnsi" w:hAnsiTheme="minorHAnsi" w:cstheme="minorHAnsi"/>
                <w:sz w:val="22"/>
                <w:szCs w:val="22"/>
              </w:rPr>
              <w:t xml:space="preserve">Under Phase 2 of Australian Partnerships for Peace, partners have continued implementation work around gender sensitivity plans, </w:t>
            </w:r>
            <w:r w:rsidR="003E6EF7" w:rsidRPr="003F43AB">
              <w:rPr>
                <w:rFonts w:asciiTheme="minorHAnsi" w:hAnsiTheme="minorHAnsi" w:cstheme="minorHAnsi"/>
                <w:sz w:val="22"/>
                <w:szCs w:val="22"/>
              </w:rPr>
              <w:t xml:space="preserve">including integrating them into their M&amp;E programs. Disability elements have also increased somewhat, although they are still </w:t>
            </w:r>
            <w:r w:rsidR="000B160F">
              <w:rPr>
                <w:rFonts w:asciiTheme="minorHAnsi" w:hAnsiTheme="minorHAnsi" w:cstheme="minorHAnsi"/>
                <w:sz w:val="22"/>
                <w:szCs w:val="22"/>
              </w:rPr>
              <w:lastRenderedPageBreak/>
              <w:t>con</w:t>
            </w:r>
            <w:r w:rsidR="000B160F" w:rsidRPr="003F43AB">
              <w:rPr>
                <w:rFonts w:asciiTheme="minorHAnsi" w:hAnsiTheme="minorHAnsi" w:cstheme="minorHAnsi"/>
                <w:sz w:val="22"/>
                <w:szCs w:val="22"/>
              </w:rPr>
              <w:t xml:space="preserve">strained </w:t>
            </w:r>
            <w:r w:rsidR="003E6EF7" w:rsidRPr="003F43AB">
              <w:rPr>
                <w:rFonts w:asciiTheme="minorHAnsi" w:hAnsiTheme="minorHAnsi" w:cstheme="minorHAnsi"/>
                <w:sz w:val="22"/>
                <w:szCs w:val="22"/>
              </w:rPr>
              <w:t xml:space="preserve">by local cultural norms that discourage PWD from identifying as such. </w:t>
            </w:r>
          </w:p>
        </w:tc>
        <w:tc>
          <w:tcPr>
            <w:tcW w:w="1154" w:type="pct"/>
            <w:shd w:val="clear" w:color="auto" w:fill="FFFFFF" w:themeFill="background1"/>
          </w:tcPr>
          <w:p w14:paraId="4E78536A" w14:textId="77777777" w:rsidR="003754C1" w:rsidRPr="003F43AB" w:rsidRDefault="003E6EF7"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lastRenderedPageBreak/>
              <w:t>Ongoing</w:t>
            </w:r>
          </w:p>
        </w:tc>
      </w:tr>
      <w:tr w:rsidR="003754C1" w:rsidRPr="003F06E6" w14:paraId="6F570ECF" w14:textId="77777777" w:rsidTr="003754C1">
        <w:tc>
          <w:tcPr>
            <w:tcW w:w="2114" w:type="pct"/>
            <w:shd w:val="clear" w:color="auto" w:fill="FFFFFF" w:themeFill="background1"/>
          </w:tcPr>
          <w:p w14:paraId="439214AD" w14:textId="77777777" w:rsidR="00EF625D" w:rsidRDefault="003754C1" w:rsidP="003E6EF7">
            <w:pPr>
              <w:autoSpaceDE w:val="0"/>
              <w:autoSpaceDN w:val="0"/>
              <w:adjustRightInd w:val="0"/>
              <w:spacing w:after="60"/>
              <w:rPr>
                <w:rFonts w:asciiTheme="minorHAnsi" w:hAnsiTheme="minorHAnsi" w:cstheme="minorHAnsi"/>
                <w:b/>
                <w:i/>
                <w:sz w:val="22"/>
                <w:szCs w:val="22"/>
              </w:rPr>
            </w:pPr>
            <w:r w:rsidRPr="003F43AB">
              <w:rPr>
                <w:rFonts w:asciiTheme="minorHAnsi" w:hAnsiTheme="minorHAnsi" w:cstheme="minorHAnsi"/>
                <w:i/>
                <w:sz w:val="22"/>
                <w:szCs w:val="22"/>
                <w:u w:val="single"/>
              </w:rPr>
              <w:t xml:space="preserve">Recommendation </w:t>
            </w:r>
            <w:r w:rsidR="003E6EF7" w:rsidRPr="003F43AB">
              <w:rPr>
                <w:rFonts w:asciiTheme="minorHAnsi" w:hAnsiTheme="minorHAnsi" w:cstheme="minorHAnsi"/>
                <w:i/>
                <w:sz w:val="22"/>
                <w:szCs w:val="22"/>
                <w:u w:val="single"/>
              </w:rPr>
              <w:t>5</w:t>
            </w:r>
            <w:r w:rsidR="005972EB">
              <w:rPr>
                <w:rFonts w:asciiTheme="minorHAnsi" w:hAnsiTheme="minorHAnsi" w:cstheme="minorHAnsi"/>
                <w:i/>
                <w:sz w:val="22"/>
                <w:szCs w:val="22"/>
              </w:rPr>
              <w:t xml:space="preserve"> (Paragraph 37)</w:t>
            </w:r>
            <w:r w:rsidRPr="003F43AB">
              <w:rPr>
                <w:rFonts w:asciiTheme="minorHAnsi" w:hAnsiTheme="minorHAnsi" w:cstheme="minorHAnsi"/>
                <w:i/>
                <w:sz w:val="22"/>
                <w:szCs w:val="22"/>
              </w:rPr>
              <w:t xml:space="preserve">: </w:t>
            </w:r>
            <w:r w:rsidR="003E6EF7" w:rsidRPr="003F43AB">
              <w:rPr>
                <w:rFonts w:asciiTheme="minorHAnsi" w:hAnsiTheme="minorHAnsi" w:cstheme="minorHAnsi"/>
                <w:i/>
                <w:sz w:val="22"/>
                <w:szCs w:val="22"/>
              </w:rPr>
              <w:t xml:space="preserve"> </w:t>
            </w:r>
            <w:r w:rsidR="00BB708C" w:rsidRPr="009A0B49">
              <w:rPr>
                <w:rFonts w:asciiTheme="minorHAnsi" w:hAnsiTheme="minorHAnsi" w:cstheme="minorHAnsi"/>
                <w:b/>
                <w:i/>
                <w:sz w:val="22"/>
                <w:szCs w:val="22"/>
              </w:rPr>
              <w:t xml:space="preserve">Develop a framework and metrics for P/CVE activities of APP and multilateral implementing partners and link it with larger efforts on this concern </w:t>
            </w:r>
          </w:p>
          <w:p w14:paraId="16D98304" w14:textId="471674F7" w:rsidR="003754C1" w:rsidRPr="00EF625D" w:rsidRDefault="00CA4224" w:rsidP="003E6EF7">
            <w:pPr>
              <w:autoSpaceDE w:val="0"/>
              <w:autoSpaceDN w:val="0"/>
              <w:adjustRightInd w:val="0"/>
              <w:spacing w:after="60"/>
              <w:rPr>
                <w:rFonts w:asciiTheme="minorHAnsi" w:hAnsiTheme="minorHAnsi" w:cstheme="minorHAnsi"/>
                <w:iCs/>
                <w:color w:val="000000"/>
                <w:sz w:val="22"/>
                <w:szCs w:val="22"/>
              </w:rPr>
            </w:pPr>
            <w:r w:rsidRPr="00EF625D">
              <w:rPr>
                <w:rFonts w:asciiTheme="minorHAnsi" w:hAnsiTheme="minorHAnsi" w:cstheme="minorHAnsi"/>
                <w:iCs/>
                <w:sz w:val="22"/>
                <w:szCs w:val="22"/>
              </w:rPr>
              <w:t>The</w:t>
            </w:r>
            <w:r w:rsidR="00BB708C" w:rsidRPr="00EF625D">
              <w:rPr>
                <w:rFonts w:asciiTheme="minorHAnsi" w:hAnsiTheme="minorHAnsi" w:cstheme="minorHAnsi"/>
                <w:iCs/>
                <w:sz w:val="22"/>
                <w:szCs w:val="22"/>
              </w:rPr>
              <w:t xml:space="preserve"> Marawi siege and the emergence of VE groups in various parts of Mindanao have triggered serious concern among donors and the government in preventing/countering violent </w:t>
            </w:r>
            <w:r w:rsidRPr="00EF625D">
              <w:rPr>
                <w:rFonts w:asciiTheme="minorHAnsi" w:hAnsiTheme="minorHAnsi" w:cstheme="minorHAnsi"/>
                <w:iCs/>
                <w:sz w:val="22"/>
                <w:szCs w:val="22"/>
              </w:rPr>
              <w:t>extremist groups</w:t>
            </w:r>
            <w:r w:rsidR="00BB708C" w:rsidRPr="00EF625D">
              <w:rPr>
                <w:rFonts w:asciiTheme="minorHAnsi" w:hAnsiTheme="minorHAnsi" w:cstheme="minorHAnsi"/>
                <w:iCs/>
                <w:sz w:val="22"/>
                <w:szCs w:val="22"/>
              </w:rPr>
              <w:t xml:space="preserve">.  While the concern is warranted, the downside is that significant resources are being poured to address the issue without a framework by which a more effective way of addressing it should be conducted. The recent completion of the National Action Plan on Preventing and Countering Violent Extremism, which was supported by DFAT through UNDP, should help inform this framing. Recently, the Department of Interior and Local Government (DILG) issued a Memorandum Circular providing the guidelines for CSOs and international development organizations on how to engage in </w:t>
            </w:r>
            <w:r w:rsidR="00BB708C" w:rsidRPr="00EF625D">
              <w:rPr>
                <w:rFonts w:asciiTheme="minorHAnsi" w:hAnsiTheme="minorHAnsi" w:cstheme="minorHAnsi"/>
                <w:iCs/>
                <w:sz w:val="22"/>
                <w:szCs w:val="22"/>
              </w:rPr>
              <w:lastRenderedPageBreak/>
              <w:t xml:space="preserve">P/CVE work.  The situation is not being assisted by the fact that most of the existing work on P/CVE, </w:t>
            </w:r>
            <w:r w:rsidRPr="00EF625D">
              <w:rPr>
                <w:rFonts w:asciiTheme="minorHAnsi" w:hAnsiTheme="minorHAnsi" w:cstheme="minorHAnsi"/>
                <w:iCs/>
                <w:sz w:val="22"/>
                <w:szCs w:val="22"/>
              </w:rPr>
              <w:t>analysing</w:t>
            </w:r>
            <w:r w:rsidR="00BB708C" w:rsidRPr="00EF625D">
              <w:rPr>
                <w:rFonts w:asciiTheme="minorHAnsi" w:hAnsiTheme="minorHAnsi" w:cstheme="minorHAnsi"/>
                <w:iCs/>
                <w:sz w:val="22"/>
                <w:szCs w:val="22"/>
              </w:rPr>
              <w:t xml:space="preserve"> its causes and triggers, are anecdotal in nature.   Australia is in a position to continue to assist in addressing this gap, in coordination with other donors, by co-developing a framework and evidence-based metrics for P/CVE engagement within the varying context of the local communities (i.e., island provinces vis-à-vis mainland Mindanao) where the VE groups operate.</w:t>
            </w:r>
          </w:p>
        </w:tc>
        <w:tc>
          <w:tcPr>
            <w:tcW w:w="1732" w:type="pct"/>
            <w:shd w:val="clear" w:color="auto" w:fill="FFFFFF" w:themeFill="background1"/>
          </w:tcPr>
          <w:p w14:paraId="3183F038" w14:textId="27738EA5" w:rsidR="003754C1" w:rsidRPr="003F43AB" w:rsidRDefault="003E6EF7">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lastRenderedPageBreak/>
              <w:t xml:space="preserve">Partially Agreed: </w:t>
            </w:r>
            <w:r w:rsidRPr="003F43AB">
              <w:rPr>
                <w:rFonts w:asciiTheme="minorHAnsi" w:hAnsiTheme="minorHAnsi" w:cstheme="minorHAnsi"/>
                <w:sz w:val="22"/>
                <w:szCs w:val="22"/>
              </w:rPr>
              <w:t xml:space="preserve">This was </w:t>
            </w:r>
            <w:r w:rsidR="00CA4224" w:rsidRPr="003F43AB">
              <w:rPr>
                <w:rFonts w:asciiTheme="minorHAnsi" w:hAnsiTheme="minorHAnsi" w:cstheme="minorHAnsi"/>
                <w:sz w:val="22"/>
                <w:szCs w:val="22"/>
              </w:rPr>
              <w:t>a</w:t>
            </w:r>
            <w:r w:rsidRPr="003F43AB">
              <w:rPr>
                <w:rFonts w:asciiTheme="minorHAnsi" w:hAnsiTheme="minorHAnsi" w:cstheme="minorHAnsi"/>
                <w:sz w:val="22"/>
                <w:szCs w:val="22"/>
              </w:rPr>
              <w:t xml:space="preserve"> </w:t>
            </w:r>
            <w:r w:rsidR="00A21DE1" w:rsidRPr="003F43AB">
              <w:rPr>
                <w:rFonts w:asciiTheme="minorHAnsi" w:hAnsiTheme="minorHAnsi" w:cstheme="minorHAnsi"/>
                <w:sz w:val="22"/>
                <w:szCs w:val="22"/>
              </w:rPr>
              <w:t>point</w:t>
            </w:r>
            <w:r w:rsidRPr="003F43AB">
              <w:rPr>
                <w:rFonts w:asciiTheme="minorHAnsi" w:hAnsiTheme="minorHAnsi" w:cstheme="minorHAnsi"/>
                <w:sz w:val="22"/>
                <w:szCs w:val="22"/>
              </w:rPr>
              <w:t xml:space="preserve"> of disagreement between the review team and </w:t>
            </w:r>
            <w:r w:rsidR="000B160F">
              <w:rPr>
                <w:rFonts w:asciiTheme="minorHAnsi" w:hAnsiTheme="minorHAnsi" w:cstheme="minorHAnsi"/>
                <w:sz w:val="22"/>
                <w:szCs w:val="22"/>
              </w:rPr>
              <w:t>the Embassy</w:t>
            </w:r>
            <w:r w:rsidR="000B160F" w:rsidRPr="003F43AB">
              <w:rPr>
                <w:rFonts w:asciiTheme="minorHAnsi" w:hAnsiTheme="minorHAnsi" w:cstheme="minorHAnsi"/>
                <w:sz w:val="22"/>
                <w:szCs w:val="22"/>
              </w:rPr>
              <w:t xml:space="preserve"> </w:t>
            </w:r>
            <w:proofErr w:type="gramStart"/>
            <w:r w:rsidRPr="003F43AB">
              <w:rPr>
                <w:rFonts w:asciiTheme="minorHAnsi" w:hAnsiTheme="minorHAnsi" w:cstheme="minorHAnsi"/>
                <w:sz w:val="22"/>
                <w:szCs w:val="22"/>
              </w:rPr>
              <w:t>during the course of</w:t>
            </w:r>
            <w:proofErr w:type="gramEnd"/>
            <w:r w:rsidRPr="003F43AB">
              <w:rPr>
                <w:rFonts w:asciiTheme="minorHAnsi" w:hAnsiTheme="minorHAnsi" w:cstheme="minorHAnsi"/>
                <w:sz w:val="22"/>
                <w:szCs w:val="22"/>
              </w:rPr>
              <w:t xml:space="preserve"> the review. P/CVE work is a new and emerging sector that covers a very broad body of work (demonstrated ably in this investment, which at one level can be considered entirely P/CVE). We agree that research on effectiveness is still in its early days but disagree with claims that </w:t>
            </w:r>
            <w:r w:rsidR="00A21DE1" w:rsidRPr="003F43AB">
              <w:rPr>
                <w:rFonts w:asciiTheme="minorHAnsi" w:hAnsiTheme="minorHAnsi" w:cstheme="minorHAnsi"/>
                <w:sz w:val="22"/>
                <w:szCs w:val="22"/>
              </w:rPr>
              <w:t>what is currently known</w:t>
            </w:r>
            <w:r w:rsidRPr="003F43AB">
              <w:rPr>
                <w:rFonts w:asciiTheme="minorHAnsi" w:hAnsiTheme="minorHAnsi" w:cstheme="minorHAnsi"/>
                <w:sz w:val="22"/>
                <w:szCs w:val="22"/>
              </w:rPr>
              <w:t xml:space="preserve"> is all anecdotal in nature. We also do not believe that this program alone has the resources or ability to devise a framework for assessing the effectiveness of an entire sector. However, we do believe that supporting the implementation of the NAP will assist in more </w:t>
            </w:r>
            <w:r w:rsidR="00A21DE1" w:rsidRPr="003F43AB">
              <w:rPr>
                <w:rFonts w:asciiTheme="minorHAnsi" w:hAnsiTheme="minorHAnsi" w:cstheme="minorHAnsi"/>
                <w:sz w:val="22"/>
                <w:szCs w:val="22"/>
              </w:rPr>
              <w:t>coordinated</w:t>
            </w:r>
            <w:r w:rsidRPr="003F43AB">
              <w:rPr>
                <w:rFonts w:asciiTheme="minorHAnsi" w:hAnsiTheme="minorHAnsi" w:cstheme="minorHAnsi"/>
                <w:sz w:val="22"/>
                <w:szCs w:val="22"/>
              </w:rPr>
              <w:t xml:space="preserve"> and effective use of donor resources, as </w:t>
            </w:r>
            <w:r w:rsidRPr="003F43AB">
              <w:rPr>
                <w:rFonts w:asciiTheme="minorHAnsi" w:hAnsiTheme="minorHAnsi" w:cstheme="minorHAnsi"/>
                <w:sz w:val="22"/>
                <w:szCs w:val="22"/>
              </w:rPr>
              <w:lastRenderedPageBreak/>
              <w:t xml:space="preserve">will our coordination with other donors and </w:t>
            </w:r>
            <w:r w:rsidR="000B160F">
              <w:rPr>
                <w:rFonts w:asciiTheme="minorHAnsi" w:hAnsiTheme="minorHAnsi" w:cstheme="minorHAnsi"/>
                <w:sz w:val="22"/>
                <w:szCs w:val="22"/>
              </w:rPr>
              <w:t xml:space="preserve">across </w:t>
            </w:r>
            <w:r w:rsidRPr="003F43AB">
              <w:rPr>
                <w:rFonts w:asciiTheme="minorHAnsi" w:hAnsiTheme="minorHAnsi" w:cstheme="minorHAnsi"/>
                <w:sz w:val="22"/>
                <w:szCs w:val="22"/>
              </w:rPr>
              <w:t>Australia</w:t>
            </w:r>
            <w:r w:rsidR="000B160F">
              <w:rPr>
                <w:rFonts w:asciiTheme="minorHAnsi" w:hAnsiTheme="minorHAnsi" w:cstheme="minorHAnsi"/>
                <w:sz w:val="22"/>
                <w:szCs w:val="22"/>
              </w:rPr>
              <w:t>n Government agencies</w:t>
            </w:r>
            <w:r w:rsidRPr="003F43AB">
              <w:rPr>
                <w:rFonts w:asciiTheme="minorHAnsi" w:hAnsiTheme="minorHAnsi" w:cstheme="minorHAnsi"/>
                <w:sz w:val="22"/>
                <w:szCs w:val="22"/>
              </w:rPr>
              <w:t xml:space="preserve">. </w:t>
            </w:r>
          </w:p>
        </w:tc>
        <w:tc>
          <w:tcPr>
            <w:tcW w:w="1154" w:type="pct"/>
            <w:shd w:val="clear" w:color="auto" w:fill="FFFFFF" w:themeFill="background1"/>
          </w:tcPr>
          <w:p w14:paraId="2DA35DED" w14:textId="77777777" w:rsidR="003754C1" w:rsidRPr="003F43AB" w:rsidRDefault="003E6EF7"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lastRenderedPageBreak/>
              <w:t>Ongoing</w:t>
            </w:r>
          </w:p>
        </w:tc>
      </w:tr>
      <w:tr w:rsidR="003754C1" w:rsidRPr="003F06E6" w14:paraId="16D9A3B1" w14:textId="77777777" w:rsidTr="003754C1">
        <w:tc>
          <w:tcPr>
            <w:tcW w:w="2114" w:type="pct"/>
            <w:shd w:val="clear" w:color="auto" w:fill="FFFFFF" w:themeFill="background1"/>
          </w:tcPr>
          <w:p w14:paraId="4E9FDBFD" w14:textId="77777777" w:rsidR="00EF625D" w:rsidRDefault="003754C1" w:rsidP="00CA4224">
            <w:pPr>
              <w:autoSpaceDE w:val="0"/>
              <w:autoSpaceDN w:val="0"/>
              <w:adjustRightInd w:val="0"/>
              <w:spacing w:after="60"/>
              <w:rPr>
                <w:rFonts w:asciiTheme="minorHAnsi" w:hAnsiTheme="minorHAnsi" w:cstheme="minorHAnsi"/>
                <w:b/>
                <w:i/>
                <w:sz w:val="22"/>
                <w:szCs w:val="22"/>
              </w:rPr>
            </w:pPr>
            <w:r w:rsidRPr="003F43AB">
              <w:rPr>
                <w:rFonts w:asciiTheme="minorHAnsi" w:hAnsiTheme="minorHAnsi" w:cstheme="minorHAnsi"/>
                <w:i/>
                <w:sz w:val="22"/>
                <w:szCs w:val="22"/>
                <w:u w:val="single"/>
              </w:rPr>
              <w:t xml:space="preserve">Recommendation </w:t>
            </w:r>
            <w:r w:rsidR="003E6EF7" w:rsidRPr="003F43AB">
              <w:rPr>
                <w:rFonts w:asciiTheme="minorHAnsi" w:hAnsiTheme="minorHAnsi" w:cstheme="minorHAnsi"/>
                <w:i/>
                <w:sz w:val="22"/>
                <w:szCs w:val="22"/>
                <w:u w:val="single"/>
              </w:rPr>
              <w:t>6</w:t>
            </w:r>
            <w:r w:rsidR="00F95841">
              <w:rPr>
                <w:rFonts w:asciiTheme="minorHAnsi" w:hAnsiTheme="minorHAnsi" w:cstheme="minorHAnsi"/>
                <w:i/>
                <w:sz w:val="22"/>
                <w:szCs w:val="22"/>
              </w:rPr>
              <w:t xml:space="preserve"> (Paragraph 38): </w:t>
            </w:r>
            <w:r w:rsidR="00BB708C" w:rsidRPr="009A0B49">
              <w:rPr>
                <w:rFonts w:asciiTheme="minorHAnsi" w:hAnsiTheme="minorHAnsi" w:cstheme="minorHAnsi"/>
                <w:b/>
                <w:i/>
                <w:sz w:val="22"/>
                <w:szCs w:val="22"/>
              </w:rPr>
              <w:t xml:space="preserve">Assist in restoring and strengthening voices of CSOs, </w:t>
            </w:r>
            <w:r w:rsidR="00CA4224" w:rsidRPr="009A0B49">
              <w:rPr>
                <w:rFonts w:asciiTheme="minorHAnsi" w:hAnsiTheme="minorHAnsi" w:cstheme="minorHAnsi"/>
                <w:b/>
                <w:i/>
                <w:sz w:val="22"/>
                <w:szCs w:val="22"/>
              </w:rPr>
              <w:t>indigenous peoples</w:t>
            </w:r>
            <w:r w:rsidR="00BB708C" w:rsidRPr="009A0B49">
              <w:rPr>
                <w:rFonts w:asciiTheme="minorHAnsi" w:hAnsiTheme="minorHAnsi" w:cstheme="minorHAnsi"/>
                <w:b/>
                <w:i/>
                <w:sz w:val="22"/>
                <w:szCs w:val="22"/>
              </w:rPr>
              <w:t xml:space="preserve"> and other marginalized sectors in policy formulation and decision making within BARMM </w:t>
            </w:r>
          </w:p>
          <w:p w14:paraId="79E00080" w14:textId="259B3729" w:rsidR="003754C1" w:rsidRPr="00EF625D" w:rsidRDefault="00BB708C" w:rsidP="00CA4224">
            <w:pPr>
              <w:autoSpaceDE w:val="0"/>
              <w:autoSpaceDN w:val="0"/>
              <w:adjustRightInd w:val="0"/>
              <w:spacing w:after="60"/>
              <w:rPr>
                <w:rFonts w:asciiTheme="minorHAnsi" w:hAnsiTheme="minorHAnsi" w:cstheme="minorHAnsi"/>
                <w:iCs/>
                <w:color w:val="000000"/>
                <w:sz w:val="22"/>
                <w:szCs w:val="22"/>
              </w:rPr>
            </w:pPr>
            <w:r w:rsidRPr="00EF625D">
              <w:rPr>
                <w:rFonts w:asciiTheme="minorHAnsi" w:hAnsiTheme="minorHAnsi" w:cstheme="minorHAnsi"/>
                <w:iCs/>
                <w:sz w:val="22"/>
                <w:szCs w:val="22"/>
              </w:rPr>
              <w:t xml:space="preserve">APP partners, UNDP, and their local </w:t>
            </w:r>
            <w:r w:rsidR="00CA4224" w:rsidRPr="00EF625D">
              <w:rPr>
                <w:rFonts w:asciiTheme="minorHAnsi" w:hAnsiTheme="minorHAnsi" w:cstheme="minorHAnsi"/>
                <w:iCs/>
                <w:sz w:val="22"/>
                <w:szCs w:val="22"/>
              </w:rPr>
              <w:t>sub grantees</w:t>
            </w:r>
            <w:r w:rsidRPr="00EF625D">
              <w:rPr>
                <w:rFonts w:asciiTheme="minorHAnsi" w:hAnsiTheme="minorHAnsi" w:cstheme="minorHAnsi"/>
                <w:iCs/>
                <w:sz w:val="22"/>
                <w:szCs w:val="22"/>
              </w:rPr>
              <w:t xml:space="preserve"> were heavily involved in the advocacy for the passage and ratification of the BOL as part of the coalition of peace builders.  Local partners are now complaining that after the BARMM government’s installation, their participation in the policy formulation and decision making in BARMM has been limited.   The APP and multilateral partners should continue their support to CSOs, IPs, women, youth, IDPs, and other local stakeholders, to ensure that their views are articulated and able to meaningfully influence decision-making in the region.   Strengthening the ranks of this coalition of peace builders will particularly be critical if the BARMM experiment disappoints.</w:t>
            </w:r>
          </w:p>
        </w:tc>
        <w:tc>
          <w:tcPr>
            <w:tcW w:w="1732" w:type="pct"/>
            <w:shd w:val="clear" w:color="auto" w:fill="FFFFFF" w:themeFill="background1"/>
          </w:tcPr>
          <w:p w14:paraId="21801E85" w14:textId="5EC6F036" w:rsidR="003754C1" w:rsidRPr="003F43AB" w:rsidRDefault="003E6EF7">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t>Agreed:</w:t>
            </w:r>
            <w:r w:rsidRPr="003F43AB">
              <w:rPr>
                <w:rFonts w:asciiTheme="minorHAnsi" w:hAnsiTheme="minorHAnsi" w:cstheme="minorHAnsi"/>
                <w:sz w:val="22"/>
                <w:szCs w:val="22"/>
              </w:rPr>
              <w:t xml:space="preserve"> CSOs, indigenous peoples and other </w:t>
            </w:r>
            <w:r w:rsidR="00A21DE1" w:rsidRPr="003F43AB">
              <w:rPr>
                <w:rFonts w:asciiTheme="minorHAnsi" w:hAnsiTheme="minorHAnsi" w:cstheme="minorHAnsi"/>
                <w:sz w:val="22"/>
                <w:szCs w:val="22"/>
              </w:rPr>
              <w:t>marginalised</w:t>
            </w:r>
            <w:r w:rsidRPr="003F43AB">
              <w:rPr>
                <w:rFonts w:asciiTheme="minorHAnsi" w:hAnsiTheme="minorHAnsi" w:cstheme="minorHAnsi"/>
                <w:sz w:val="22"/>
                <w:szCs w:val="22"/>
              </w:rPr>
              <w:t xml:space="preserve"> groups</w:t>
            </w:r>
            <w:r w:rsidR="000B160F">
              <w:rPr>
                <w:rFonts w:asciiTheme="minorHAnsi" w:hAnsiTheme="minorHAnsi" w:cstheme="minorHAnsi"/>
                <w:sz w:val="22"/>
                <w:szCs w:val="22"/>
              </w:rPr>
              <w:t xml:space="preserve">, together with </w:t>
            </w:r>
            <w:r w:rsidRPr="003F43AB">
              <w:rPr>
                <w:rFonts w:asciiTheme="minorHAnsi" w:hAnsiTheme="minorHAnsi" w:cstheme="minorHAnsi"/>
                <w:sz w:val="22"/>
                <w:szCs w:val="22"/>
              </w:rPr>
              <w:t>women and youth</w:t>
            </w:r>
            <w:r w:rsidR="000B160F">
              <w:rPr>
                <w:rFonts w:asciiTheme="minorHAnsi" w:hAnsiTheme="minorHAnsi" w:cstheme="minorHAnsi"/>
                <w:sz w:val="22"/>
                <w:szCs w:val="22"/>
              </w:rPr>
              <w:t>,</w:t>
            </w:r>
            <w:r w:rsidRPr="003F43AB">
              <w:rPr>
                <w:rFonts w:asciiTheme="minorHAnsi" w:hAnsiTheme="minorHAnsi" w:cstheme="minorHAnsi"/>
                <w:sz w:val="22"/>
                <w:szCs w:val="22"/>
              </w:rPr>
              <w:t xml:space="preserve"> are important partners and participants in work under all our programs, and their inclusion will continue in the future. </w:t>
            </w:r>
            <w:r w:rsidR="003754C1" w:rsidRPr="003F43AB" w:rsidDel="00E70085">
              <w:rPr>
                <w:rFonts w:asciiTheme="minorHAnsi" w:hAnsiTheme="minorHAnsi" w:cstheme="minorHAnsi"/>
                <w:sz w:val="22"/>
                <w:szCs w:val="22"/>
              </w:rPr>
              <w:t xml:space="preserve"> </w:t>
            </w:r>
          </w:p>
        </w:tc>
        <w:tc>
          <w:tcPr>
            <w:tcW w:w="1154" w:type="pct"/>
            <w:shd w:val="clear" w:color="auto" w:fill="FFFFFF" w:themeFill="background1"/>
          </w:tcPr>
          <w:p w14:paraId="4B1F9D12" w14:textId="77777777" w:rsidR="003754C1" w:rsidRPr="003F43AB" w:rsidRDefault="003E6EF7"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Ongoing</w:t>
            </w:r>
          </w:p>
        </w:tc>
      </w:tr>
      <w:tr w:rsidR="003754C1" w:rsidRPr="003F06E6" w14:paraId="39B1F95E" w14:textId="77777777" w:rsidTr="003754C1">
        <w:tc>
          <w:tcPr>
            <w:tcW w:w="2114" w:type="pct"/>
            <w:shd w:val="clear" w:color="auto" w:fill="FFFFFF" w:themeFill="background1"/>
          </w:tcPr>
          <w:p w14:paraId="1C7BD7B2" w14:textId="77777777" w:rsidR="00EF625D" w:rsidRDefault="003754C1" w:rsidP="003E6EF7">
            <w:pPr>
              <w:autoSpaceDE w:val="0"/>
              <w:autoSpaceDN w:val="0"/>
              <w:adjustRightInd w:val="0"/>
              <w:spacing w:after="60"/>
              <w:rPr>
                <w:rFonts w:asciiTheme="minorHAnsi" w:hAnsiTheme="minorHAnsi" w:cstheme="minorHAnsi"/>
                <w:i/>
                <w:sz w:val="22"/>
                <w:szCs w:val="22"/>
              </w:rPr>
            </w:pPr>
            <w:r w:rsidRPr="003F43AB">
              <w:rPr>
                <w:rFonts w:asciiTheme="minorHAnsi" w:hAnsiTheme="minorHAnsi" w:cstheme="minorHAnsi"/>
                <w:i/>
                <w:sz w:val="22"/>
                <w:szCs w:val="22"/>
                <w:u w:val="single"/>
              </w:rPr>
              <w:t xml:space="preserve">Recommendation </w:t>
            </w:r>
            <w:r w:rsidR="003E6EF7" w:rsidRPr="003F43AB">
              <w:rPr>
                <w:rFonts w:asciiTheme="minorHAnsi" w:hAnsiTheme="minorHAnsi" w:cstheme="minorHAnsi"/>
                <w:i/>
                <w:sz w:val="22"/>
                <w:szCs w:val="22"/>
                <w:u w:val="single"/>
              </w:rPr>
              <w:t>7</w:t>
            </w:r>
            <w:r w:rsidR="000740DB">
              <w:rPr>
                <w:rFonts w:asciiTheme="minorHAnsi" w:hAnsiTheme="minorHAnsi" w:cstheme="minorHAnsi"/>
                <w:i/>
                <w:sz w:val="22"/>
                <w:szCs w:val="22"/>
              </w:rPr>
              <w:t xml:space="preserve"> (Paragraph 39): </w:t>
            </w:r>
            <w:r w:rsidR="00BB708C" w:rsidRPr="009A0B49">
              <w:rPr>
                <w:rFonts w:asciiTheme="minorHAnsi" w:hAnsiTheme="minorHAnsi" w:cstheme="minorHAnsi"/>
                <w:b/>
                <w:i/>
                <w:sz w:val="22"/>
                <w:szCs w:val="22"/>
              </w:rPr>
              <w:t>Formulate a Mindanao Strategy for DFAT engagement across programs and recruitment of a Local Peace and Development Adviser</w:t>
            </w:r>
            <w:r w:rsidR="00BB708C" w:rsidRPr="003F43AB">
              <w:rPr>
                <w:rFonts w:asciiTheme="minorHAnsi" w:hAnsiTheme="minorHAnsi" w:cstheme="minorHAnsi"/>
                <w:i/>
                <w:sz w:val="22"/>
                <w:szCs w:val="22"/>
              </w:rPr>
              <w:t xml:space="preserve"> </w:t>
            </w:r>
          </w:p>
          <w:p w14:paraId="4DDA2956" w14:textId="77777777" w:rsidR="00EF625D" w:rsidRDefault="00BB708C" w:rsidP="003E6EF7">
            <w:pPr>
              <w:autoSpaceDE w:val="0"/>
              <w:autoSpaceDN w:val="0"/>
              <w:adjustRightInd w:val="0"/>
              <w:spacing w:after="60"/>
              <w:rPr>
                <w:rFonts w:asciiTheme="minorHAnsi" w:hAnsiTheme="minorHAnsi" w:cstheme="minorHAnsi"/>
                <w:i/>
                <w:sz w:val="22"/>
                <w:szCs w:val="22"/>
              </w:rPr>
            </w:pPr>
            <w:r w:rsidRPr="00EF625D">
              <w:rPr>
                <w:rFonts w:asciiTheme="minorHAnsi" w:hAnsiTheme="minorHAnsi" w:cstheme="minorHAnsi"/>
                <w:iCs/>
                <w:sz w:val="22"/>
                <w:szCs w:val="22"/>
              </w:rPr>
              <w:t xml:space="preserve">The increasing investments and attention on Mindanao by the Australian government will necessitate the formulation of Mindanao strategy to guide current and future assistance.   </w:t>
            </w:r>
            <w:r w:rsidRPr="00EF625D">
              <w:rPr>
                <w:rFonts w:asciiTheme="minorHAnsi" w:hAnsiTheme="minorHAnsi" w:cstheme="minorHAnsi"/>
                <w:iCs/>
                <w:sz w:val="22"/>
                <w:szCs w:val="22"/>
              </w:rPr>
              <w:lastRenderedPageBreak/>
              <w:t>Formulating the strategy will also be in line with the OECD Humanitarian-Development-Peacebuilding nexus.  Mindanao is one of the best places globally to test case the successful linkage of humanitarian, development and peace building work given that all three streams of assistance will be needed, in varying degrees, in Mindanao’s conflict affected areas and adjoining communities given widespread poverty and vulnerability in the island.</w:t>
            </w:r>
            <w:r w:rsidRPr="003F43AB">
              <w:rPr>
                <w:rFonts w:asciiTheme="minorHAnsi" w:hAnsiTheme="minorHAnsi" w:cstheme="minorHAnsi"/>
                <w:i/>
                <w:sz w:val="22"/>
                <w:szCs w:val="22"/>
              </w:rPr>
              <w:t xml:space="preserve">  </w:t>
            </w:r>
          </w:p>
          <w:p w14:paraId="36698336" w14:textId="2F0E2CD1" w:rsidR="003754C1" w:rsidRPr="003F43AB" w:rsidRDefault="00EF625D" w:rsidP="003E6EF7">
            <w:pPr>
              <w:autoSpaceDE w:val="0"/>
              <w:autoSpaceDN w:val="0"/>
              <w:adjustRightInd w:val="0"/>
              <w:spacing w:after="60"/>
              <w:rPr>
                <w:rFonts w:asciiTheme="minorHAnsi" w:hAnsiTheme="minorHAnsi" w:cstheme="minorHAnsi"/>
                <w:color w:val="000000"/>
                <w:sz w:val="22"/>
                <w:szCs w:val="22"/>
              </w:rPr>
            </w:pPr>
            <w:r w:rsidRPr="00EF625D">
              <w:rPr>
                <w:rFonts w:asciiTheme="minorHAnsi" w:hAnsiTheme="minorHAnsi" w:cstheme="minorHAnsi"/>
                <w:i/>
                <w:iCs/>
                <w:sz w:val="22"/>
                <w:szCs w:val="22"/>
              </w:rPr>
              <w:t>(Paragraph 40):</w:t>
            </w:r>
            <w:r>
              <w:rPr>
                <w:rFonts w:asciiTheme="minorHAnsi" w:hAnsiTheme="minorHAnsi" w:cstheme="minorHAnsi"/>
                <w:sz w:val="22"/>
                <w:szCs w:val="22"/>
              </w:rPr>
              <w:t xml:space="preserve"> </w:t>
            </w:r>
            <w:r w:rsidRPr="00EF625D">
              <w:rPr>
                <w:rFonts w:asciiTheme="minorHAnsi" w:hAnsiTheme="minorHAnsi" w:cstheme="minorHAnsi"/>
                <w:sz w:val="22"/>
                <w:szCs w:val="22"/>
              </w:rPr>
              <w:t>The expanded coverage of Australian engagement in Mindanao will necessitate the engagement of a Local Peace and Development Adviser in DFAT to assist in the formulation of the Mindanao Strategy for DFAT and in linking with critical stakeholders in the peace process at OPAPP, concerned national government agencies and BARMM.</w:t>
            </w:r>
          </w:p>
        </w:tc>
        <w:tc>
          <w:tcPr>
            <w:tcW w:w="1732" w:type="pct"/>
            <w:shd w:val="clear" w:color="auto" w:fill="FFFFFF" w:themeFill="background1"/>
          </w:tcPr>
          <w:p w14:paraId="5392B397" w14:textId="77777777" w:rsidR="00EF625D" w:rsidRDefault="003E6EF7">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lastRenderedPageBreak/>
              <w:t>Partially Agreed:</w:t>
            </w:r>
            <w:r w:rsidRPr="003F43AB">
              <w:rPr>
                <w:rFonts w:asciiTheme="minorHAnsi" w:hAnsiTheme="minorHAnsi" w:cstheme="minorHAnsi"/>
                <w:sz w:val="22"/>
                <w:szCs w:val="22"/>
              </w:rPr>
              <w:t xml:space="preserve"> </w:t>
            </w:r>
            <w:r w:rsidR="00E7078C">
              <w:rPr>
                <w:rFonts w:asciiTheme="minorHAnsi" w:hAnsiTheme="minorHAnsi" w:cstheme="minorHAnsi"/>
                <w:sz w:val="22"/>
                <w:szCs w:val="22"/>
              </w:rPr>
              <w:t>DFAT is</w:t>
            </w:r>
            <w:r w:rsidRPr="003F43AB">
              <w:rPr>
                <w:rFonts w:asciiTheme="minorHAnsi" w:hAnsiTheme="minorHAnsi" w:cstheme="minorHAnsi"/>
                <w:sz w:val="22"/>
                <w:szCs w:val="22"/>
              </w:rPr>
              <w:t xml:space="preserve"> drafting a Bangsamoro Strategy</w:t>
            </w:r>
            <w:r w:rsidR="000B160F">
              <w:rPr>
                <w:rFonts w:asciiTheme="minorHAnsi" w:hAnsiTheme="minorHAnsi" w:cstheme="minorHAnsi"/>
                <w:sz w:val="22"/>
                <w:szCs w:val="22"/>
              </w:rPr>
              <w:t xml:space="preserve">, </w:t>
            </w:r>
            <w:r w:rsidR="00A21DE1" w:rsidRPr="003F43AB">
              <w:rPr>
                <w:rFonts w:asciiTheme="minorHAnsi" w:hAnsiTheme="minorHAnsi" w:cstheme="minorHAnsi"/>
                <w:sz w:val="22"/>
                <w:szCs w:val="22"/>
              </w:rPr>
              <w:t xml:space="preserve">rather than </w:t>
            </w:r>
            <w:r w:rsidR="000B160F">
              <w:rPr>
                <w:rFonts w:asciiTheme="minorHAnsi" w:hAnsiTheme="minorHAnsi" w:cstheme="minorHAnsi"/>
                <w:sz w:val="22"/>
                <w:szCs w:val="22"/>
              </w:rPr>
              <w:t xml:space="preserve">a strategy covering the </w:t>
            </w:r>
            <w:r w:rsidR="00A21DE1" w:rsidRPr="003F43AB">
              <w:rPr>
                <w:rFonts w:asciiTheme="minorHAnsi" w:hAnsiTheme="minorHAnsi" w:cstheme="minorHAnsi"/>
                <w:sz w:val="22"/>
                <w:szCs w:val="22"/>
              </w:rPr>
              <w:t>whole of Mindanao</w:t>
            </w:r>
            <w:r w:rsidR="000B160F">
              <w:rPr>
                <w:rFonts w:asciiTheme="minorHAnsi" w:hAnsiTheme="minorHAnsi" w:cstheme="minorHAnsi"/>
                <w:sz w:val="22"/>
                <w:szCs w:val="22"/>
              </w:rPr>
              <w:t xml:space="preserve">, as </w:t>
            </w:r>
            <w:r w:rsidR="00A33731">
              <w:rPr>
                <w:rFonts w:asciiTheme="minorHAnsi" w:hAnsiTheme="minorHAnsi" w:cstheme="minorHAnsi"/>
                <w:sz w:val="22"/>
                <w:szCs w:val="22"/>
              </w:rPr>
              <w:t xml:space="preserve">the BARMM is the focus of Australian engagement. The strategy </w:t>
            </w:r>
            <w:r w:rsidRPr="003F43AB">
              <w:rPr>
                <w:rFonts w:asciiTheme="minorHAnsi" w:hAnsiTheme="minorHAnsi" w:cstheme="minorHAnsi"/>
                <w:sz w:val="22"/>
                <w:szCs w:val="22"/>
              </w:rPr>
              <w:t xml:space="preserve">will draw on input from all sections </w:t>
            </w:r>
            <w:r w:rsidR="00A33731">
              <w:rPr>
                <w:rFonts w:asciiTheme="minorHAnsi" w:hAnsiTheme="minorHAnsi" w:cstheme="minorHAnsi"/>
                <w:sz w:val="22"/>
                <w:szCs w:val="22"/>
              </w:rPr>
              <w:t xml:space="preserve">of the Embassy. It </w:t>
            </w:r>
            <w:r w:rsidRPr="003F43AB">
              <w:rPr>
                <w:rFonts w:asciiTheme="minorHAnsi" w:hAnsiTheme="minorHAnsi" w:cstheme="minorHAnsi"/>
                <w:sz w:val="22"/>
                <w:szCs w:val="22"/>
              </w:rPr>
              <w:t xml:space="preserve">will </w:t>
            </w:r>
            <w:r w:rsidR="00A33731">
              <w:rPr>
                <w:rFonts w:asciiTheme="minorHAnsi" w:hAnsiTheme="minorHAnsi" w:cstheme="minorHAnsi"/>
                <w:sz w:val="22"/>
                <w:szCs w:val="22"/>
              </w:rPr>
              <w:t xml:space="preserve">be </w:t>
            </w:r>
            <w:r w:rsidRPr="003F43AB">
              <w:rPr>
                <w:rFonts w:asciiTheme="minorHAnsi" w:hAnsiTheme="minorHAnsi" w:cstheme="minorHAnsi"/>
                <w:sz w:val="22"/>
                <w:szCs w:val="22"/>
              </w:rPr>
              <w:t xml:space="preserve">a high-level </w:t>
            </w:r>
            <w:r w:rsidR="00A33731">
              <w:rPr>
                <w:rFonts w:asciiTheme="minorHAnsi" w:hAnsiTheme="minorHAnsi" w:cstheme="minorHAnsi"/>
                <w:sz w:val="22"/>
                <w:szCs w:val="22"/>
              </w:rPr>
              <w:t xml:space="preserve">guide for </w:t>
            </w:r>
            <w:r w:rsidR="00A33731">
              <w:rPr>
                <w:rFonts w:asciiTheme="minorHAnsi" w:hAnsiTheme="minorHAnsi" w:cstheme="minorHAnsi"/>
                <w:sz w:val="22"/>
                <w:szCs w:val="22"/>
              </w:rPr>
              <w:lastRenderedPageBreak/>
              <w:t>Australian engagement</w:t>
            </w:r>
            <w:r w:rsidRPr="003F43AB">
              <w:rPr>
                <w:rFonts w:asciiTheme="minorHAnsi" w:hAnsiTheme="minorHAnsi" w:cstheme="minorHAnsi"/>
                <w:sz w:val="22"/>
                <w:szCs w:val="22"/>
              </w:rPr>
              <w:t xml:space="preserve">, rather than an implementation plan. </w:t>
            </w:r>
          </w:p>
          <w:p w14:paraId="365F459C" w14:textId="77777777" w:rsidR="00EF625D" w:rsidRDefault="00EF625D">
            <w:pPr>
              <w:pStyle w:val="BodyText"/>
              <w:spacing w:after="60"/>
              <w:rPr>
                <w:rFonts w:asciiTheme="minorHAnsi" w:hAnsiTheme="minorHAnsi" w:cstheme="minorHAnsi"/>
                <w:b/>
                <w:sz w:val="22"/>
                <w:szCs w:val="22"/>
              </w:rPr>
            </w:pPr>
          </w:p>
          <w:p w14:paraId="594D7624" w14:textId="77777777" w:rsidR="00EF625D" w:rsidRDefault="00EF625D">
            <w:pPr>
              <w:pStyle w:val="BodyText"/>
              <w:spacing w:after="60"/>
              <w:rPr>
                <w:rFonts w:asciiTheme="minorHAnsi" w:hAnsiTheme="minorHAnsi" w:cstheme="minorHAnsi"/>
                <w:b/>
                <w:sz w:val="22"/>
                <w:szCs w:val="22"/>
              </w:rPr>
            </w:pPr>
          </w:p>
          <w:p w14:paraId="7F2AA712" w14:textId="77777777" w:rsidR="00EF625D" w:rsidRDefault="00EF625D">
            <w:pPr>
              <w:pStyle w:val="BodyText"/>
              <w:spacing w:after="60"/>
              <w:rPr>
                <w:rFonts w:asciiTheme="minorHAnsi" w:hAnsiTheme="minorHAnsi" w:cstheme="minorHAnsi"/>
                <w:b/>
                <w:sz w:val="22"/>
                <w:szCs w:val="22"/>
              </w:rPr>
            </w:pPr>
          </w:p>
          <w:p w14:paraId="354A3A2A" w14:textId="77777777" w:rsidR="00EF625D" w:rsidRDefault="00EF625D">
            <w:pPr>
              <w:pStyle w:val="BodyText"/>
              <w:spacing w:after="60"/>
              <w:rPr>
                <w:rFonts w:asciiTheme="minorHAnsi" w:hAnsiTheme="minorHAnsi" w:cstheme="minorHAnsi"/>
                <w:b/>
                <w:sz w:val="22"/>
                <w:szCs w:val="22"/>
              </w:rPr>
            </w:pPr>
          </w:p>
          <w:p w14:paraId="08DB7428" w14:textId="0FC3DE12" w:rsidR="003754C1" w:rsidRPr="003F43AB" w:rsidRDefault="00EF625D">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t>Partially Agreed</w:t>
            </w:r>
            <w:r w:rsidRPr="003F43AB">
              <w:rPr>
                <w:rFonts w:asciiTheme="minorHAnsi" w:hAnsiTheme="minorHAnsi" w:cstheme="minorHAnsi"/>
                <w:sz w:val="22"/>
                <w:szCs w:val="22"/>
              </w:rPr>
              <w:t xml:space="preserve">: </w:t>
            </w:r>
            <w:r>
              <w:rPr>
                <w:rFonts w:asciiTheme="minorHAnsi" w:hAnsiTheme="minorHAnsi" w:cstheme="minorHAnsi"/>
                <w:sz w:val="22"/>
                <w:szCs w:val="22"/>
              </w:rPr>
              <w:t xml:space="preserve">DFAT </w:t>
            </w:r>
            <w:r w:rsidRPr="003F43AB">
              <w:rPr>
                <w:rFonts w:asciiTheme="minorHAnsi" w:hAnsiTheme="minorHAnsi" w:cstheme="minorHAnsi"/>
                <w:sz w:val="22"/>
                <w:szCs w:val="22"/>
              </w:rPr>
              <w:t>do</w:t>
            </w:r>
            <w:r>
              <w:rPr>
                <w:rFonts w:asciiTheme="minorHAnsi" w:hAnsiTheme="minorHAnsi" w:cstheme="minorHAnsi"/>
                <w:sz w:val="22"/>
                <w:szCs w:val="22"/>
              </w:rPr>
              <w:t>es</w:t>
            </w:r>
            <w:r w:rsidRPr="003F43AB">
              <w:rPr>
                <w:rFonts w:asciiTheme="minorHAnsi" w:hAnsiTheme="minorHAnsi" w:cstheme="minorHAnsi"/>
                <w:sz w:val="22"/>
                <w:szCs w:val="22"/>
              </w:rPr>
              <w:t xml:space="preserve"> not believe an individual advisor is required for the drafting of the Bangsamoro Strategy; however, we will engage an advisor when we </w:t>
            </w:r>
            <w:r w:rsidR="007B16CE" w:rsidRPr="003F43AB">
              <w:rPr>
                <w:rFonts w:asciiTheme="minorHAnsi" w:hAnsiTheme="minorHAnsi" w:cstheme="minorHAnsi"/>
                <w:sz w:val="22"/>
                <w:szCs w:val="22"/>
              </w:rPr>
              <w:t>begin</w:t>
            </w:r>
            <w:r w:rsidRPr="003F43AB">
              <w:rPr>
                <w:rFonts w:asciiTheme="minorHAnsi" w:hAnsiTheme="minorHAnsi" w:cstheme="minorHAnsi"/>
                <w:sz w:val="22"/>
                <w:szCs w:val="22"/>
              </w:rPr>
              <w:t xml:space="preserve"> designing the next phase of the Peace investment in 2022.</w:t>
            </w:r>
          </w:p>
        </w:tc>
        <w:tc>
          <w:tcPr>
            <w:tcW w:w="1154" w:type="pct"/>
            <w:shd w:val="clear" w:color="auto" w:fill="FFFFFF" w:themeFill="background1"/>
          </w:tcPr>
          <w:p w14:paraId="7EE8C6AA" w14:textId="77777777" w:rsidR="00EF625D" w:rsidRDefault="00BA4A9D"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lastRenderedPageBreak/>
              <w:t>Ongoing</w:t>
            </w:r>
            <w:r w:rsidR="00EF625D" w:rsidRPr="003F43AB">
              <w:rPr>
                <w:rFonts w:asciiTheme="minorHAnsi" w:hAnsiTheme="minorHAnsi" w:cstheme="minorHAnsi"/>
                <w:sz w:val="22"/>
                <w:szCs w:val="22"/>
              </w:rPr>
              <w:t xml:space="preserve"> </w:t>
            </w:r>
          </w:p>
          <w:p w14:paraId="6649E32A" w14:textId="77777777" w:rsidR="00EF625D" w:rsidRDefault="00EF625D" w:rsidP="00C02346">
            <w:pPr>
              <w:pStyle w:val="Tablebullets"/>
              <w:numPr>
                <w:ilvl w:val="0"/>
                <w:numId w:val="0"/>
              </w:numPr>
              <w:spacing w:after="60"/>
              <w:rPr>
                <w:rFonts w:asciiTheme="minorHAnsi" w:hAnsiTheme="minorHAnsi" w:cstheme="minorHAnsi"/>
                <w:sz w:val="22"/>
                <w:szCs w:val="22"/>
              </w:rPr>
            </w:pPr>
          </w:p>
          <w:p w14:paraId="0613EF1B" w14:textId="77777777" w:rsidR="00EF625D" w:rsidRDefault="00EF625D" w:rsidP="00C02346">
            <w:pPr>
              <w:pStyle w:val="Tablebullets"/>
              <w:numPr>
                <w:ilvl w:val="0"/>
                <w:numId w:val="0"/>
              </w:numPr>
              <w:spacing w:after="60"/>
              <w:rPr>
                <w:rFonts w:asciiTheme="minorHAnsi" w:hAnsiTheme="minorHAnsi" w:cstheme="minorHAnsi"/>
                <w:sz w:val="22"/>
                <w:szCs w:val="22"/>
              </w:rPr>
            </w:pPr>
          </w:p>
          <w:p w14:paraId="3B0567AA" w14:textId="77777777" w:rsidR="00EF625D" w:rsidRDefault="00EF625D" w:rsidP="00C02346">
            <w:pPr>
              <w:pStyle w:val="Tablebullets"/>
              <w:numPr>
                <w:ilvl w:val="0"/>
                <w:numId w:val="0"/>
              </w:numPr>
              <w:spacing w:after="60"/>
              <w:rPr>
                <w:rFonts w:asciiTheme="minorHAnsi" w:hAnsiTheme="minorHAnsi" w:cstheme="minorHAnsi"/>
                <w:sz w:val="22"/>
                <w:szCs w:val="22"/>
              </w:rPr>
            </w:pPr>
          </w:p>
          <w:p w14:paraId="56FB161F" w14:textId="77777777" w:rsidR="00EF625D" w:rsidRDefault="00EF625D" w:rsidP="00C02346">
            <w:pPr>
              <w:pStyle w:val="Tablebullets"/>
              <w:numPr>
                <w:ilvl w:val="0"/>
                <w:numId w:val="0"/>
              </w:numPr>
              <w:spacing w:after="60"/>
              <w:rPr>
                <w:rFonts w:asciiTheme="minorHAnsi" w:hAnsiTheme="minorHAnsi" w:cstheme="minorHAnsi"/>
                <w:sz w:val="22"/>
                <w:szCs w:val="22"/>
              </w:rPr>
            </w:pPr>
          </w:p>
          <w:p w14:paraId="20122450" w14:textId="77777777" w:rsidR="00EF625D" w:rsidRDefault="00EF625D" w:rsidP="00C02346">
            <w:pPr>
              <w:pStyle w:val="Tablebullets"/>
              <w:numPr>
                <w:ilvl w:val="0"/>
                <w:numId w:val="0"/>
              </w:numPr>
              <w:spacing w:after="60"/>
              <w:rPr>
                <w:rFonts w:asciiTheme="minorHAnsi" w:hAnsiTheme="minorHAnsi" w:cstheme="minorHAnsi"/>
                <w:sz w:val="22"/>
                <w:szCs w:val="22"/>
              </w:rPr>
            </w:pPr>
          </w:p>
          <w:p w14:paraId="11303894" w14:textId="77777777" w:rsidR="00EF625D" w:rsidRDefault="00EF625D" w:rsidP="00C02346">
            <w:pPr>
              <w:pStyle w:val="Tablebullets"/>
              <w:numPr>
                <w:ilvl w:val="0"/>
                <w:numId w:val="0"/>
              </w:numPr>
              <w:spacing w:after="60"/>
              <w:rPr>
                <w:rFonts w:asciiTheme="minorHAnsi" w:hAnsiTheme="minorHAnsi" w:cstheme="minorHAnsi"/>
                <w:sz w:val="22"/>
                <w:szCs w:val="22"/>
              </w:rPr>
            </w:pPr>
          </w:p>
          <w:p w14:paraId="03255F2B" w14:textId="77777777" w:rsidR="00EF625D" w:rsidRDefault="00EF625D" w:rsidP="00C02346">
            <w:pPr>
              <w:pStyle w:val="Tablebullets"/>
              <w:numPr>
                <w:ilvl w:val="0"/>
                <w:numId w:val="0"/>
              </w:numPr>
              <w:spacing w:after="60"/>
              <w:rPr>
                <w:rFonts w:asciiTheme="minorHAnsi" w:hAnsiTheme="minorHAnsi" w:cstheme="minorHAnsi"/>
                <w:sz w:val="22"/>
                <w:szCs w:val="22"/>
              </w:rPr>
            </w:pPr>
          </w:p>
          <w:p w14:paraId="36A20AE9" w14:textId="77777777" w:rsidR="00EF625D" w:rsidRDefault="00EF625D" w:rsidP="00C02346">
            <w:pPr>
              <w:pStyle w:val="Tablebullets"/>
              <w:numPr>
                <w:ilvl w:val="0"/>
                <w:numId w:val="0"/>
              </w:numPr>
              <w:spacing w:after="60"/>
              <w:rPr>
                <w:rFonts w:asciiTheme="minorHAnsi" w:hAnsiTheme="minorHAnsi" w:cstheme="minorHAnsi"/>
                <w:sz w:val="22"/>
                <w:szCs w:val="22"/>
              </w:rPr>
            </w:pPr>
          </w:p>
          <w:p w14:paraId="0FD14D5A" w14:textId="77777777" w:rsidR="00EF625D" w:rsidRDefault="00EF625D" w:rsidP="00C02346">
            <w:pPr>
              <w:pStyle w:val="Tablebullets"/>
              <w:numPr>
                <w:ilvl w:val="0"/>
                <w:numId w:val="0"/>
              </w:numPr>
              <w:spacing w:after="60"/>
              <w:rPr>
                <w:rFonts w:asciiTheme="minorHAnsi" w:hAnsiTheme="minorHAnsi" w:cstheme="minorHAnsi"/>
                <w:sz w:val="22"/>
                <w:szCs w:val="22"/>
              </w:rPr>
            </w:pPr>
          </w:p>
          <w:p w14:paraId="3A1F0315" w14:textId="77777777" w:rsidR="00EF625D" w:rsidRDefault="00EF625D" w:rsidP="00C02346">
            <w:pPr>
              <w:pStyle w:val="Tablebullets"/>
              <w:numPr>
                <w:ilvl w:val="0"/>
                <w:numId w:val="0"/>
              </w:numPr>
              <w:spacing w:after="60"/>
              <w:rPr>
                <w:rFonts w:asciiTheme="minorHAnsi" w:hAnsiTheme="minorHAnsi" w:cstheme="minorHAnsi"/>
                <w:sz w:val="22"/>
                <w:szCs w:val="22"/>
              </w:rPr>
            </w:pPr>
          </w:p>
          <w:p w14:paraId="6603C539" w14:textId="6B912400" w:rsidR="003754C1" w:rsidRPr="003F43AB" w:rsidRDefault="00EF625D"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Early 2022</w:t>
            </w:r>
          </w:p>
        </w:tc>
      </w:tr>
      <w:tr w:rsidR="00BB708C" w:rsidRPr="00935A84" w14:paraId="10F2F088" w14:textId="77777777" w:rsidTr="003754C1">
        <w:tc>
          <w:tcPr>
            <w:tcW w:w="2114" w:type="pct"/>
            <w:shd w:val="clear" w:color="auto" w:fill="FFFFFF" w:themeFill="background1"/>
          </w:tcPr>
          <w:p w14:paraId="6FB6F5A3" w14:textId="77777777" w:rsidR="00EF625D" w:rsidRDefault="00AF2ED4">
            <w:pPr>
              <w:autoSpaceDE w:val="0"/>
              <w:autoSpaceDN w:val="0"/>
              <w:adjustRightInd w:val="0"/>
              <w:spacing w:after="60"/>
              <w:rPr>
                <w:rFonts w:asciiTheme="minorHAnsi" w:hAnsiTheme="minorHAnsi" w:cstheme="minorHAnsi"/>
                <w:b/>
                <w:i/>
                <w:sz w:val="22"/>
                <w:szCs w:val="22"/>
              </w:rPr>
            </w:pPr>
            <w:r w:rsidRPr="003F43AB">
              <w:rPr>
                <w:rFonts w:asciiTheme="minorHAnsi" w:hAnsiTheme="minorHAnsi" w:cstheme="minorHAnsi"/>
                <w:i/>
                <w:sz w:val="22"/>
                <w:szCs w:val="22"/>
                <w:u w:val="single"/>
              </w:rPr>
              <w:lastRenderedPageBreak/>
              <w:t xml:space="preserve">Recommendation </w:t>
            </w:r>
            <w:r w:rsidR="00790C26">
              <w:rPr>
                <w:rFonts w:asciiTheme="minorHAnsi" w:hAnsiTheme="minorHAnsi" w:cstheme="minorHAnsi"/>
                <w:i/>
                <w:sz w:val="22"/>
                <w:szCs w:val="22"/>
                <w:u w:val="single"/>
              </w:rPr>
              <w:t>8</w:t>
            </w:r>
            <w:r w:rsidR="000740DB">
              <w:rPr>
                <w:rFonts w:asciiTheme="minorHAnsi" w:hAnsiTheme="minorHAnsi" w:cstheme="minorHAnsi"/>
                <w:i/>
                <w:sz w:val="22"/>
                <w:szCs w:val="22"/>
              </w:rPr>
              <w:t xml:space="preserve"> (Paragraph 41):</w:t>
            </w:r>
            <w:r w:rsidRPr="003F43AB">
              <w:rPr>
                <w:rFonts w:asciiTheme="minorHAnsi" w:hAnsiTheme="minorHAnsi" w:cstheme="minorHAnsi"/>
                <w:sz w:val="22"/>
                <w:szCs w:val="22"/>
              </w:rPr>
              <w:t xml:space="preserve"> </w:t>
            </w:r>
            <w:r w:rsidR="00BB708C" w:rsidRPr="009A0B49">
              <w:rPr>
                <w:rFonts w:asciiTheme="minorHAnsi" w:hAnsiTheme="minorHAnsi" w:cstheme="minorHAnsi"/>
                <w:b/>
                <w:i/>
                <w:sz w:val="22"/>
                <w:szCs w:val="22"/>
              </w:rPr>
              <w:t xml:space="preserve">Improve coordination between DFAT Manila and DFAT Canberra </w:t>
            </w:r>
          </w:p>
          <w:p w14:paraId="54F94BB6" w14:textId="4B39491F" w:rsidR="00BB708C" w:rsidRPr="003F43AB" w:rsidRDefault="00CA4224">
            <w:pPr>
              <w:autoSpaceDE w:val="0"/>
              <w:autoSpaceDN w:val="0"/>
              <w:adjustRightInd w:val="0"/>
              <w:spacing w:after="60"/>
              <w:rPr>
                <w:rFonts w:asciiTheme="minorHAnsi" w:hAnsiTheme="minorHAnsi" w:cstheme="minorHAnsi"/>
                <w:sz w:val="22"/>
                <w:szCs w:val="22"/>
              </w:rPr>
            </w:pPr>
            <w:r w:rsidRPr="00EF625D">
              <w:rPr>
                <w:rFonts w:asciiTheme="minorHAnsi" w:hAnsiTheme="minorHAnsi" w:cstheme="minorHAnsi"/>
                <w:iCs/>
                <w:sz w:val="22"/>
                <w:szCs w:val="22"/>
              </w:rPr>
              <w:t>The</w:t>
            </w:r>
            <w:r w:rsidR="00BB708C" w:rsidRPr="00EF625D">
              <w:rPr>
                <w:rFonts w:asciiTheme="minorHAnsi" w:hAnsiTheme="minorHAnsi" w:cstheme="minorHAnsi"/>
                <w:iCs/>
                <w:sz w:val="22"/>
                <w:szCs w:val="22"/>
              </w:rPr>
              <w:t xml:space="preserve"> formulation of a Mindanao strategy will require greater inputs from DFAT Canberra to DFAT Manila to assist the latter in addressing additional issues that will result in better coordination of the humanitarian, development and peace building nexus.   DFAT Manila will benefit from knowledge of other countries similarly situated like Mindanao which DFAT Canberra has access to.  In turn, knowledge of the Mindanao situation and the work of the APP, multilateral, and FPSF implementing partners can be shared by DFAT Manila to DFAT Canberra to improve the latter’s selection procedures on studies and activities that should be funded by DFAT</w:t>
            </w:r>
            <w:r w:rsidR="00BB708C" w:rsidRPr="003F43AB">
              <w:rPr>
                <w:rFonts w:asciiTheme="minorHAnsi" w:hAnsiTheme="minorHAnsi" w:cstheme="minorHAnsi"/>
                <w:i/>
                <w:sz w:val="22"/>
                <w:szCs w:val="22"/>
              </w:rPr>
              <w:t>.</w:t>
            </w:r>
          </w:p>
        </w:tc>
        <w:tc>
          <w:tcPr>
            <w:tcW w:w="1732" w:type="pct"/>
            <w:shd w:val="clear" w:color="auto" w:fill="FFFFFF" w:themeFill="background1"/>
          </w:tcPr>
          <w:p w14:paraId="7ADA74AF" w14:textId="719980C4" w:rsidR="00BB708C" w:rsidRPr="003F43AB" w:rsidRDefault="00AF2ED4">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t>Partially Agree</w:t>
            </w:r>
            <w:r w:rsidR="00BA4A9D" w:rsidRPr="003F43AB">
              <w:rPr>
                <w:rFonts w:asciiTheme="minorHAnsi" w:hAnsiTheme="minorHAnsi" w:cstheme="minorHAnsi"/>
                <w:b/>
                <w:sz w:val="22"/>
                <w:szCs w:val="22"/>
              </w:rPr>
              <w:t>d</w:t>
            </w:r>
            <w:r w:rsidR="00A21DE1" w:rsidRPr="003F43AB">
              <w:rPr>
                <w:rFonts w:asciiTheme="minorHAnsi" w:hAnsiTheme="minorHAnsi" w:cstheme="minorHAnsi"/>
                <w:b/>
                <w:sz w:val="22"/>
                <w:szCs w:val="22"/>
              </w:rPr>
              <w:t xml:space="preserve">: </w:t>
            </w:r>
            <w:r w:rsidR="00A33731" w:rsidRPr="009A0B49">
              <w:rPr>
                <w:rFonts w:asciiTheme="minorHAnsi" w:hAnsiTheme="minorHAnsi" w:cstheme="minorHAnsi"/>
                <w:sz w:val="22"/>
                <w:szCs w:val="22"/>
              </w:rPr>
              <w:t>There is already a good level of coordination between the Embassy</w:t>
            </w:r>
            <w:r w:rsidR="00A33731">
              <w:rPr>
                <w:rFonts w:asciiTheme="minorHAnsi" w:hAnsiTheme="minorHAnsi" w:cstheme="minorHAnsi"/>
                <w:b/>
                <w:sz w:val="22"/>
                <w:szCs w:val="22"/>
              </w:rPr>
              <w:t xml:space="preserve"> </w:t>
            </w:r>
            <w:r w:rsidR="00A33731">
              <w:rPr>
                <w:rFonts w:asciiTheme="minorHAnsi" w:hAnsiTheme="minorHAnsi" w:cstheme="minorHAnsi"/>
                <w:sz w:val="22"/>
                <w:szCs w:val="22"/>
              </w:rPr>
              <w:t xml:space="preserve">and relevant areas of DFAT in Canberra, including </w:t>
            </w:r>
            <w:r w:rsidR="00A21DE1" w:rsidRPr="003F43AB">
              <w:rPr>
                <w:rFonts w:asciiTheme="minorHAnsi" w:hAnsiTheme="minorHAnsi" w:cstheme="minorHAnsi"/>
                <w:sz w:val="22"/>
                <w:szCs w:val="22"/>
              </w:rPr>
              <w:t>specific thematic areas</w:t>
            </w:r>
            <w:r w:rsidR="00A33731">
              <w:rPr>
                <w:rFonts w:asciiTheme="minorHAnsi" w:hAnsiTheme="minorHAnsi" w:cstheme="minorHAnsi"/>
                <w:sz w:val="22"/>
                <w:szCs w:val="22"/>
              </w:rPr>
              <w:t xml:space="preserve">. There could be scope for </w:t>
            </w:r>
            <w:r w:rsidR="00A21DE1" w:rsidRPr="003F43AB">
              <w:rPr>
                <w:rFonts w:asciiTheme="minorHAnsi" w:hAnsiTheme="minorHAnsi" w:cstheme="minorHAnsi"/>
                <w:sz w:val="22"/>
                <w:szCs w:val="22"/>
              </w:rPr>
              <w:t>engage</w:t>
            </w:r>
            <w:r w:rsidR="00A33731">
              <w:rPr>
                <w:rFonts w:asciiTheme="minorHAnsi" w:hAnsiTheme="minorHAnsi" w:cstheme="minorHAnsi"/>
                <w:sz w:val="22"/>
                <w:szCs w:val="22"/>
              </w:rPr>
              <w:t xml:space="preserve">ment </w:t>
            </w:r>
            <w:r w:rsidR="00A21DE1" w:rsidRPr="003F43AB">
              <w:rPr>
                <w:rFonts w:asciiTheme="minorHAnsi" w:hAnsiTheme="minorHAnsi" w:cstheme="minorHAnsi"/>
                <w:sz w:val="22"/>
                <w:szCs w:val="22"/>
              </w:rPr>
              <w:t xml:space="preserve">with other bilateral desks/posts working on peace and conflict issues. </w:t>
            </w:r>
          </w:p>
        </w:tc>
        <w:tc>
          <w:tcPr>
            <w:tcW w:w="1154" w:type="pct"/>
            <w:shd w:val="clear" w:color="auto" w:fill="FFFFFF" w:themeFill="background1"/>
          </w:tcPr>
          <w:p w14:paraId="29BB492C" w14:textId="77777777" w:rsidR="00BB708C" w:rsidRPr="003F43AB" w:rsidRDefault="00A21DE1"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Ongoing</w:t>
            </w:r>
          </w:p>
        </w:tc>
      </w:tr>
      <w:tr w:rsidR="00BB708C" w:rsidRPr="00935A84" w14:paraId="17180AF7" w14:textId="77777777" w:rsidTr="003754C1">
        <w:tc>
          <w:tcPr>
            <w:tcW w:w="2114" w:type="pct"/>
            <w:shd w:val="clear" w:color="auto" w:fill="FFFFFF" w:themeFill="background1"/>
          </w:tcPr>
          <w:p w14:paraId="5D858858" w14:textId="77777777" w:rsidR="00EF625D" w:rsidRDefault="00AF2ED4" w:rsidP="00477164">
            <w:pPr>
              <w:autoSpaceDE w:val="0"/>
              <w:autoSpaceDN w:val="0"/>
              <w:adjustRightInd w:val="0"/>
              <w:spacing w:after="60"/>
              <w:rPr>
                <w:rFonts w:asciiTheme="minorHAnsi" w:hAnsiTheme="minorHAnsi" w:cstheme="minorHAnsi"/>
                <w:i/>
                <w:sz w:val="22"/>
                <w:szCs w:val="22"/>
              </w:rPr>
            </w:pPr>
            <w:r w:rsidRPr="003F43AB">
              <w:rPr>
                <w:rFonts w:asciiTheme="minorHAnsi" w:hAnsiTheme="minorHAnsi" w:cstheme="minorHAnsi"/>
                <w:i/>
                <w:sz w:val="22"/>
                <w:szCs w:val="22"/>
                <w:u w:val="single"/>
              </w:rPr>
              <w:t xml:space="preserve">Recommendation </w:t>
            </w:r>
            <w:r w:rsidR="00790C26">
              <w:rPr>
                <w:rFonts w:asciiTheme="minorHAnsi" w:hAnsiTheme="minorHAnsi" w:cstheme="minorHAnsi"/>
                <w:i/>
                <w:sz w:val="22"/>
                <w:szCs w:val="22"/>
                <w:u w:val="single"/>
              </w:rPr>
              <w:t xml:space="preserve">9 </w:t>
            </w:r>
            <w:r w:rsidR="00790C26">
              <w:rPr>
                <w:rFonts w:asciiTheme="minorHAnsi" w:hAnsiTheme="minorHAnsi" w:cstheme="minorHAnsi"/>
                <w:i/>
                <w:sz w:val="22"/>
                <w:szCs w:val="22"/>
              </w:rPr>
              <w:t>(Paragraph 42):</w:t>
            </w:r>
            <w:r w:rsidRPr="003F43AB">
              <w:rPr>
                <w:rFonts w:asciiTheme="minorHAnsi" w:hAnsiTheme="minorHAnsi" w:cstheme="minorHAnsi"/>
                <w:sz w:val="22"/>
                <w:szCs w:val="22"/>
              </w:rPr>
              <w:t xml:space="preserve"> </w:t>
            </w:r>
            <w:r w:rsidR="00BB708C" w:rsidRPr="009A0B49">
              <w:rPr>
                <w:rFonts w:asciiTheme="minorHAnsi" w:hAnsiTheme="minorHAnsi" w:cstheme="minorHAnsi"/>
                <w:b/>
                <w:i/>
                <w:sz w:val="22"/>
                <w:szCs w:val="22"/>
              </w:rPr>
              <w:t>Technical Advisory support at BARMM and OPAPP levels (embed Senior Advisor)</w:t>
            </w:r>
            <w:r w:rsidR="00BB708C" w:rsidRPr="003F43AB">
              <w:rPr>
                <w:rFonts w:asciiTheme="minorHAnsi" w:hAnsiTheme="minorHAnsi" w:cstheme="minorHAnsi"/>
                <w:i/>
                <w:sz w:val="22"/>
                <w:szCs w:val="22"/>
              </w:rPr>
              <w:t xml:space="preserve"> </w:t>
            </w:r>
          </w:p>
          <w:p w14:paraId="53025930" w14:textId="7C5BBBA7" w:rsidR="00BB708C" w:rsidRPr="00EF625D" w:rsidRDefault="00BB708C" w:rsidP="00477164">
            <w:pPr>
              <w:autoSpaceDE w:val="0"/>
              <w:autoSpaceDN w:val="0"/>
              <w:adjustRightInd w:val="0"/>
              <w:spacing w:after="60"/>
              <w:rPr>
                <w:rFonts w:asciiTheme="minorHAnsi" w:hAnsiTheme="minorHAnsi" w:cstheme="minorHAnsi"/>
                <w:iCs/>
                <w:sz w:val="22"/>
                <w:szCs w:val="22"/>
              </w:rPr>
            </w:pPr>
            <w:r w:rsidRPr="00EF625D">
              <w:rPr>
                <w:rFonts w:asciiTheme="minorHAnsi" w:hAnsiTheme="minorHAnsi" w:cstheme="minorHAnsi"/>
                <w:iCs/>
                <w:sz w:val="22"/>
                <w:szCs w:val="22"/>
              </w:rPr>
              <w:t xml:space="preserve">Senior officials of BARMM acknowledged their technical deficiency in running a government given that for almost four decades they </w:t>
            </w:r>
            <w:r w:rsidRPr="00EF625D">
              <w:rPr>
                <w:rFonts w:asciiTheme="minorHAnsi" w:hAnsiTheme="minorHAnsi" w:cstheme="minorHAnsi"/>
                <w:iCs/>
                <w:sz w:val="22"/>
                <w:szCs w:val="22"/>
              </w:rPr>
              <w:lastRenderedPageBreak/>
              <w:t xml:space="preserve">were engaged in a revolutionary struggle.  Most donors are offering one-shot technical assistance and capacity-building programs to address the </w:t>
            </w:r>
            <w:r w:rsidR="007B16CE" w:rsidRPr="00EF625D">
              <w:rPr>
                <w:rFonts w:asciiTheme="minorHAnsi" w:hAnsiTheme="minorHAnsi" w:cstheme="minorHAnsi"/>
                <w:iCs/>
                <w:sz w:val="22"/>
                <w:szCs w:val="22"/>
              </w:rPr>
              <w:t>problem,</w:t>
            </w:r>
            <w:r w:rsidRPr="00EF625D">
              <w:rPr>
                <w:rFonts w:asciiTheme="minorHAnsi" w:hAnsiTheme="minorHAnsi" w:cstheme="minorHAnsi"/>
                <w:iCs/>
                <w:sz w:val="22"/>
                <w:szCs w:val="22"/>
              </w:rPr>
              <w:t xml:space="preserve"> but this is ostensibly not </w:t>
            </w:r>
            <w:proofErr w:type="gramStart"/>
            <w:r w:rsidRPr="00EF625D">
              <w:rPr>
                <w:rFonts w:asciiTheme="minorHAnsi" w:hAnsiTheme="minorHAnsi" w:cstheme="minorHAnsi"/>
                <w:iCs/>
                <w:sz w:val="22"/>
                <w:szCs w:val="22"/>
              </w:rPr>
              <w:t>sufficient</w:t>
            </w:r>
            <w:proofErr w:type="gramEnd"/>
            <w:r w:rsidRPr="00EF625D">
              <w:rPr>
                <w:rFonts w:asciiTheme="minorHAnsi" w:hAnsiTheme="minorHAnsi" w:cstheme="minorHAnsi"/>
                <w:iCs/>
                <w:sz w:val="22"/>
                <w:szCs w:val="22"/>
              </w:rPr>
              <w:t xml:space="preserve">.  The problem is aggravated by the redundancies of nearly 6,000 workers of the previous ARMM government, and whose replacements are currently being vetted.   The experience of technical assistance support in other countries (e.g., Indonesia) shows that embedding a senior international adviser (supported by local consultants and staff) in the transitional government will be most effective because of the immersion of the senior adviser to the day-to-day operations of the bureaucracy.  It will also be an opportunity to perform “on-the-job” training for middle level managers and support staff in various ministries of BARMM instead of sending them away for training for </w:t>
            </w:r>
            <w:proofErr w:type="gramStart"/>
            <w:r w:rsidRPr="00EF625D">
              <w:rPr>
                <w:rFonts w:asciiTheme="minorHAnsi" w:hAnsiTheme="minorHAnsi" w:cstheme="minorHAnsi"/>
                <w:iCs/>
                <w:sz w:val="22"/>
                <w:szCs w:val="22"/>
              </w:rPr>
              <w:t>a period of time</w:t>
            </w:r>
            <w:proofErr w:type="gramEnd"/>
            <w:r w:rsidRPr="00EF625D">
              <w:rPr>
                <w:rFonts w:asciiTheme="minorHAnsi" w:hAnsiTheme="minorHAnsi" w:cstheme="minorHAnsi"/>
                <w:iCs/>
                <w:sz w:val="22"/>
                <w:szCs w:val="22"/>
              </w:rPr>
              <w:t>.</w:t>
            </w:r>
          </w:p>
        </w:tc>
        <w:tc>
          <w:tcPr>
            <w:tcW w:w="1732" w:type="pct"/>
            <w:shd w:val="clear" w:color="auto" w:fill="FFFFFF" w:themeFill="background1"/>
          </w:tcPr>
          <w:p w14:paraId="1C2460BB" w14:textId="2E995B19" w:rsidR="00BB708C" w:rsidRPr="003F43AB" w:rsidRDefault="00AF2ED4">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lastRenderedPageBreak/>
              <w:t>Partially agreed</w:t>
            </w:r>
            <w:r w:rsidR="00A21DE1" w:rsidRPr="003F43AB">
              <w:rPr>
                <w:rFonts w:asciiTheme="minorHAnsi" w:hAnsiTheme="minorHAnsi" w:cstheme="minorHAnsi"/>
                <w:b/>
                <w:sz w:val="22"/>
                <w:szCs w:val="22"/>
              </w:rPr>
              <w:t xml:space="preserve">: </w:t>
            </w:r>
            <w:r w:rsidR="00A33731">
              <w:rPr>
                <w:rFonts w:asciiTheme="minorHAnsi" w:hAnsiTheme="minorHAnsi" w:cstheme="minorHAnsi"/>
                <w:sz w:val="22"/>
                <w:szCs w:val="22"/>
              </w:rPr>
              <w:t>Embedded advisory</w:t>
            </w:r>
            <w:r w:rsidR="00A33731" w:rsidRPr="003F43AB">
              <w:rPr>
                <w:rFonts w:asciiTheme="minorHAnsi" w:hAnsiTheme="minorHAnsi" w:cstheme="minorHAnsi"/>
                <w:sz w:val="22"/>
                <w:szCs w:val="22"/>
              </w:rPr>
              <w:t xml:space="preserve"> </w:t>
            </w:r>
            <w:r w:rsidR="00A21DE1" w:rsidRPr="003F43AB">
              <w:rPr>
                <w:rFonts w:asciiTheme="minorHAnsi" w:hAnsiTheme="minorHAnsi" w:cstheme="minorHAnsi"/>
                <w:sz w:val="22"/>
                <w:szCs w:val="22"/>
              </w:rPr>
              <w:t xml:space="preserve">support could be of great use to both OPAPP and the </w:t>
            </w:r>
            <w:r w:rsidR="00A603C3" w:rsidRPr="003F43AB">
              <w:rPr>
                <w:rFonts w:asciiTheme="minorHAnsi" w:hAnsiTheme="minorHAnsi" w:cstheme="minorHAnsi"/>
                <w:sz w:val="22"/>
                <w:szCs w:val="22"/>
              </w:rPr>
              <w:t>BARMM but</w:t>
            </w:r>
            <w:r w:rsidR="00A21DE1" w:rsidRPr="003F43AB">
              <w:rPr>
                <w:rFonts w:asciiTheme="minorHAnsi" w:hAnsiTheme="minorHAnsi" w:cstheme="minorHAnsi"/>
                <w:sz w:val="22"/>
                <w:szCs w:val="22"/>
              </w:rPr>
              <w:t xml:space="preserve"> would require b</w:t>
            </w:r>
            <w:r w:rsidR="00A33731">
              <w:rPr>
                <w:rFonts w:asciiTheme="minorHAnsi" w:hAnsiTheme="minorHAnsi" w:cstheme="minorHAnsi"/>
                <w:sz w:val="22"/>
                <w:szCs w:val="22"/>
              </w:rPr>
              <w:t>u</w:t>
            </w:r>
            <w:r w:rsidR="00A21DE1" w:rsidRPr="003F43AB">
              <w:rPr>
                <w:rFonts w:asciiTheme="minorHAnsi" w:hAnsiTheme="minorHAnsi" w:cstheme="minorHAnsi"/>
                <w:sz w:val="22"/>
                <w:szCs w:val="22"/>
              </w:rPr>
              <w:t xml:space="preserve">y-in from </w:t>
            </w:r>
            <w:r w:rsidR="00A33731">
              <w:rPr>
                <w:rFonts w:asciiTheme="minorHAnsi" w:hAnsiTheme="minorHAnsi" w:cstheme="minorHAnsi"/>
                <w:sz w:val="22"/>
                <w:szCs w:val="22"/>
              </w:rPr>
              <w:t>both</w:t>
            </w:r>
            <w:r w:rsidR="00A33731" w:rsidRPr="003F43AB">
              <w:rPr>
                <w:rFonts w:asciiTheme="minorHAnsi" w:hAnsiTheme="minorHAnsi" w:cstheme="minorHAnsi"/>
                <w:sz w:val="22"/>
                <w:szCs w:val="22"/>
              </w:rPr>
              <w:t xml:space="preserve"> </w:t>
            </w:r>
            <w:r w:rsidR="00A21DE1" w:rsidRPr="003F43AB">
              <w:rPr>
                <w:rFonts w:asciiTheme="minorHAnsi" w:hAnsiTheme="minorHAnsi" w:cstheme="minorHAnsi"/>
                <w:sz w:val="22"/>
                <w:szCs w:val="22"/>
              </w:rPr>
              <w:t>entit</w:t>
            </w:r>
            <w:r w:rsidR="00A33731">
              <w:rPr>
                <w:rFonts w:asciiTheme="minorHAnsi" w:hAnsiTheme="minorHAnsi" w:cstheme="minorHAnsi"/>
                <w:sz w:val="22"/>
                <w:szCs w:val="22"/>
              </w:rPr>
              <w:t>ies</w:t>
            </w:r>
            <w:r w:rsidR="00A21DE1" w:rsidRPr="003F43AB">
              <w:rPr>
                <w:rFonts w:asciiTheme="minorHAnsi" w:hAnsiTheme="minorHAnsi" w:cstheme="minorHAnsi"/>
                <w:sz w:val="22"/>
                <w:szCs w:val="22"/>
              </w:rPr>
              <w:t>. E</w:t>
            </w:r>
            <w:r w:rsidR="00A33731">
              <w:rPr>
                <w:rFonts w:asciiTheme="minorHAnsi" w:hAnsiTheme="minorHAnsi" w:cstheme="minorHAnsi"/>
                <w:sz w:val="22"/>
                <w:szCs w:val="22"/>
              </w:rPr>
              <w:t>xperience has shown that it is difficult to recruit and e</w:t>
            </w:r>
            <w:r w:rsidR="00A21DE1" w:rsidRPr="003F43AB">
              <w:rPr>
                <w:rFonts w:asciiTheme="minorHAnsi" w:hAnsiTheme="minorHAnsi" w:cstheme="minorHAnsi"/>
                <w:sz w:val="22"/>
                <w:szCs w:val="22"/>
              </w:rPr>
              <w:t xml:space="preserve">mbed an </w:t>
            </w:r>
            <w:r w:rsidR="00A21DE1" w:rsidRPr="003F43AB">
              <w:rPr>
                <w:rFonts w:asciiTheme="minorHAnsi" w:hAnsiTheme="minorHAnsi" w:cstheme="minorHAnsi"/>
                <w:sz w:val="22"/>
                <w:szCs w:val="22"/>
              </w:rPr>
              <w:lastRenderedPageBreak/>
              <w:t xml:space="preserve">international advisor in the BARMM </w:t>
            </w:r>
            <w:r w:rsidR="003B73B0" w:rsidRPr="003F43AB">
              <w:rPr>
                <w:rFonts w:asciiTheme="minorHAnsi" w:hAnsiTheme="minorHAnsi" w:cstheme="minorHAnsi"/>
                <w:sz w:val="22"/>
                <w:szCs w:val="22"/>
              </w:rPr>
              <w:t>(even outside of the current pandemic)</w:t>
            </w:r>
            <w:r w:rsidR="00A33731">
              <w:rPr>
                <w:rFonts w:asciiTheme="minorHAnsi" w:hAnsiTheme="minorHAnsi" w:cstheme="minorHAnsi"/>
                <w:sz w:val="22"/>
                <w:szCs w:val="22"/>
              </w:rPr>
              <w:t xml:space="preserve">. While </w:t>
            </w:r>
            <w:r w:rsidR="00A21DE1" w:rsidRPr="003F43AB">
              <w:rPr>
                <w:rFonts w:asciiTheme="minorHAnsi" w:hAnsiTheme="minorHAnsi" w:cstheme="minorHAnsi"/>
                <w:sz w:val="22"/>
                <w:szCs w:val="22"/>
              </w:rPr>
              <w:t>a fly-in</w:t>
            </w:r>
            <w:r w:rsidR="00A33731">
              <w:rPr>
                <w:rFonts w:asciiTheme="minorHAnsi" w:hAnsiTheme="minorHAnsi" w:cstheme="minorHAnsi"/>
                <w:sz w:val="22"/>
                <w:szCs w:val="22"/>
              </w:rPr>
              <w:t xml:space="preserve">, </w:t>
            </w:r>
            <w:r w:rsidR="00A21DE1" w:rsidRPr="003F43AB">
              <w:rPr>
                <w:rFonts w:asciiTheme="minorHAnsi" w:hAnsiTheme="minorHAnsi" w:cstheme="minorHAnsi"/>
                <w:sz w:val="22"/>
                <w:szCs w:val="22"/>
              </w:rPr>
              <w:t xml:space="preserve">fly-out </w:t>
            </w:r>
            <w:r w:rsidR="00A33731">
              <w:rPr>
                <w:rFonts w:asciiTheme="minorHAnsi" w:hAnsiTheme="minorHAnsi" w:cstheme="minorHAnsi"/>
                <w:sz w:val="22"/>
                <w:szCs w:val="22"/>
              </w:rPr>
              <w:t>model could be considered</w:t>
            </w:r>
            <w:r w:rsidR="00A21DE1" w:rsidRPr="003F43AB">
              <w:rPr>
                <w:rFonts w:asciiTheme="minorHAnsi" w:hAnsiTheme="minorHAnsi" w:cstheme="minorHAnsi"/>
                <w:sz w:val="22"/>
                <w:szCs w:val="22"/>
              </w:rPr>
              <w:t xml:space="preserve">, </w:t>
            </w:r>
            <w:r w:rsidR="00E7078C">
              <w:rPr>
                <w:rFonts w:asciiTheme="minorHAnsi" w:hAnsiTheme="minorHAnsi" w:cstheme="minorHAnsi"/>
                <w:sz w:val="22"/>
                <w:szCs w:val="22"/>
              </w:rPr>
              <w:t xml:space="preserve">this may not be as </w:t>
            </w:r>
            <w:r w:rsidR="00A21DE1" w:rsidRPr="003F43AB">
              <w:rPr>
                <w:rFonts w:asciiTheme="minorHAnsi" w:hAnsiTheme="minorHAnsi" w:cstheme="minorHAnsi"/>
                <w:sz w:val="22"/>
                <w:szCs w:val="22"/>
              </w:rPr>
              <w:t>effective</w:t>
            </w:r>
            <w:r w:rsidR="00E7078C">
              <w:rPr>
                <w:rFonts w:asciiTheme="minorHAnsi" w:hAnsiTheme="minorHAnsi" w:cstheme="minorHAnsi"/>
                <w:sz w:val="22"/>
                <w:szCs w:val="22"/>
              </w:rPr>
              <w:t xml:space="preserve"> as someone based in the Bangsamoro</w:t>
            </w:r>
            <w:r w:rsidR="00A21DE1" w:rsidRPr="003F43AB">
              <w:rPr>
                <w:rFonts w:asciiTheme="minorHAnsi" w:hAnsiTheme="minorHAnsi" w:cstheme="minorHAnsi"/>
                <w:sz w:val="22"/>
                <w:szCs w:val="22"/>
              </w:rPr>
              <w:t>. Identifyin</w:t>
            </w:r>
            <w:r w:rsidR="003B73B0" w:rsidRPr="003F43AB">
              <w:rPr>
                <w:rFonts w:asciiTheme="minorHAnsi" w:hAnsiTheme="minorHAnsi" w:cstheme="minorHAnsi"/>
                <w:sz w:val="22"/>
                <w:szCs w:val="22"/>
              </w:rPr>
              <w:t>g an appropriate specialist will depend entirely on the needs of OPAPP or the BARMM. This is also assistance that may be more usefully offered through the Bangsamoro Normalisation Trust Fund, or in tandem with it following its establishment, or through another multilateral. We will discuss possibilities with the World Bank, OPAPP and the BARMM government.</w:t>
            </w:r>
          </w:p>
        </w:tc>
        <w:tc>
          <w:tcPr>
            <w:tcW w:w="1154" w:type="pct"/>
            <w:shd w:val="clear" w:color="auto" w:fill="FFFFFF" w:themeFill="background1"/>
          </w:tcPr>
          <w:p w14:paraId="3A9F94B1" w14:textId="77777777" w:rsidR="00BB708C" w:rsidRPr="003F43AB" w:rsidRDefault="003B73B0"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lastRenderedPageBreak/>
              <w:t>Ongoing. For discussion with stakeholders early 2021.</w:t>
            </w:r>
          </w:p>
        </w:tc>
      </w:tr>
      <w:tr w:rsidR="00BB708C" w:rsidRPr="00935A84" w14:paraId="278009C5" w14:textId="77777777" w:rsidTr="003754C1">
        <w:tc>
          <w:tcPr>
            <w:tcW w:w="2114" w:type="pct"/>
            <w:shd w:val="clear" w:color="auto" w:fill="FFFFFF" w:themeFill="background1"/>
          </w:tcPr>
          <w:p w14:paraId="36206F8C" w14:textId="77777777" w:rsidR="00EF625D" w:rsidRDefault="00AF2ED4" w:rsidP="00BB708C">
            <w:pPr>
              <w:rPr>
                <w:rFonts w:asciiTheme="minorHAnsi" w:hAnsiTheme="minorHAnsi" w:cstheme="minorHAnsi"/>
                <w:i/>
                <w:sz w:val="22"/>
                <w:szCs w:val="22"/>
              </w:rPr>
            </w:pPr>
            <w:r w:rsidRPr="003F43AB">
              <w:rPr>
                <w:rFonts w:asciiTheme="minorHAnsi" w:hAnsiTheme="minorHAnsi" w:cstheme="minorHAnsi"/>
                <w:i/>
                <w:sz w:val="22"/>
                <w:szCs w:val="22"/>
                <w:u w:val="single"/>
              </w:rPr>
              <w:t>Recommendation 1</w:t>
            </w:r>
            <w:r w:rsidR="00790C26">
              <w:rPr>
                <w:rFonts w:asciiTheme="minorHAnsi" w:hAnsiTheme="minorHAnsi" w:cstheme="minorHAnsi"/>
                <w:i/>
                <w:sz w:val="22"/>
                <w:szCs w:val="22"/>
                <w:u w:val="single"/>
              </w:rPr>
              <w:t>0</w:t>
            </w:r>
            <w:r w:rsidR="00790C26">
              <w:rPr>
                <w:rFonts w:asciiTheme="minorHAnsi" w:hAnsiTheme="minorHAnsi" w:cstheme="minorHAnsi"/>
                <w:i/>
                <w:sz w:val="22"/>
                <w:szCs w:val="22"/>
              </w:rPr>
              <w:t xml:space="preserve"> (Paragraph 43):</w:t>
            </w:r>
            <w:r w:rsidRPr="003F43AB">
              <w:rPr>
                <w:rFonts w:asciiTheme="minorHAnsi" w:hAnsiTheme="minorHAnsi" w:cstheme="minorHAnsi"/>
                <w:i/>
                <w:sz w:val="22"/>
                <w:szCs w:val="22"/>
              </w:rPr>
              <w:t xml:space="preserve"> </w:t>
            </w:r>
            <w:r w:rsidR="00BB708C" w:rsidRPr="009A0B49">
              <w:rPr>
                <w:rFonts w:asciiTheme="minorHAnsi" w:hAnsiTheme="minorHAnsi" w:cstheme="minorHAnsi"/>
                <w:b/>
                <w:i/>
                <w:sz w:val="22"/>
                <w:szCs w:val="22"/>
              </w:rPr>
              <w:t>Training programs and scholarships, particularly among the Bangsamoro youth, should prioritize skills needed in reconstructing and developing the Bangsamoro economy</w:t>
            </w:r>
            <w:r w:rsidR="00BB708C" w:rsidRPr="003F43AB">
              <w:rPr>
                <w:rFonts w:asciiTheme="minorHAnsi" w:hAnsiTheme="minorHAnsi" w:cstheme="minorHAnsi"/>
                <w:i/>
                <w:sz w:val="22"/>
                <w:szCs w:val="22"/>
              </w:rPr>
              <w:t xml:space="preserve"> </w:t>
            </w:r>
          </w:p>
          <w:p w14:paraId="10697635" w14:textId="3555C2D7" w:rsidR="00BB708C" w:rsidRPr="00EF625D" w:rsidRDefault="00BB708C" w:rsidP="00BB708C">
            <w:pPr>
              <w:rPr>
                <w:rFonts w:asciiTheme="minorHAnsi" w:hAnsiTheme="minorHAnsi" w:cstheme="minorHAnsi"/>
                <w:iCs/>
                <w:sz w:val="22"/>
                <w:szCs w:val="22"/>
              </w:rPr>
            </w:pPr>
            <w:r w:rsidRPr="00EF625D">
              <w:rPr>
                <w:rFonts w:asciiTheme="minorHAnsi" w:hAnsiTheme="minorHAnsi" w:cstheme="minorHAnsi"/>
                <w:iCs/>
                <w:sz w:val="22"/>
                <w:szCs w:val="22"/>
              </w:rPr>
              <w:t xml:space="preserve">Training programs and Australian scholarships are heavily skewed towards conflict resolution, peace building, justice, and identity issues.  While such expertise and skills are still relevant to this day, their relative importance has declined given that the primordial task now is to reconstruct and develop the Bangsamoro economy. A clear manifestation of this mismatch between skills and jobs is the lack of a Chief Economist in the BARMM government who could help formulate a systematic and data-driven economic blueprint for the Bangsamoro economy.  Islamic banking and finance have been a long-held advocacy of the Bangsamoro but there are few financial experts engaged by the BARMM to operate the system in a viable manner.  Also, there are only a few graduate degree holders in business administration and management or science, technology, </w:t>
            </w:r>
            <w:r w:rsidRPr="00EF625D">
              <w:rPr>
                <w:rFonts w:asciiTheme="minorHAnsi" w:hAnsiTheme="minorHAnsi" w:cstheme="minorHAnsi"/>
                <w:iCs/>
                <w:sz w:val="22"/>
                <w:szCs w:val="22"/>
              </w:rPr>
              <w:lastRenderedPageBreak/>
              <w:t xml:space="preserve">engineering and math (STEM) among the Bangsamoro and yet the BARMM leadership calls for an economic development strategy based on private cooperative and corporate models. It is high time that the selection criteria for fields of specialization for the Bangsamoro youth be changed to prioritize expertise that will be needed for the reconstruction and development of the Bangsamoro economy, and to ensure that these young specialists are able to serve in the region.  </w:t>
            </w:r>
          </w:p>
          <w:p w14:paraId="38E885E1" w14:textId="77777777" w:rsidR="00BB708C" w:rsidRPr="003F43AB" w:rsidRDefault="00BB708C" w:rsidP="00477164">
            <w:pPr>
              <w:autoSpaceDE w:val="0"/>
              <w:autoSpaceDN w:val="0"/>
              <w:adjustRightInd w:val="0"/>
              <w:spacing w:after="60"/>
              <w:rPr>
                <w:rFonts w:asciiTheme="minorHAnsi" w:hAnsiTheme="minorHAnsi" w:cstheme="minorHAnsi"/>
                <w:i/>
                <w:sz w:val="22"/>
                <w:szCs w:val="22"/>
                <w:u w:val="single"/>
              </w:rPr>
            </w:pPr>
          </w:p>
        </w:tc>
        <w:tc>
          <w:tcPr>
            <w:tcW w:w="1732" w:type="pct"/>
            <w:shd w:val="clear" w:color="auto" w:fill="FFFFFF" w:themeFill="background1"/>
          </w:tcPr>
          <w:p w14:paraId="4B64CC2C" w14:textId="673FB4BB" w:rsidR="00BB708C" w:rsidRPr="003F43AB" w:rsidRDefault="003B73B0">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lastRenderedPageBreak/>
              <w:t xml:space="preserve">Partially Agreed: </w:t>
            </w:r>
            <w:r w:rsidR="00E7078C">
              <w:rPr>
                <w:rFonts w:asciiTheme="minorHAnsi" w:hAnsiTheme="minorHAnsi" w:cstheme="minorHAnsi"/>
                <w:sz w:val="22"/>
                <w:szCs w:val="22"/>
              </w:rPr>
              <w:t>DFAT</w:t>
            </w:r>
            <w:r w:rsidR="00E7078C" w:rsidRPr="003F43AB">
              <w:rPr>
                <w:rFonts w:asciiTheme="minorHAnsi" w:hAnsiTheme="minorHAnsi" w:cstheme="minorHAnsi"/>
                <w:sz w:val="22"/>
                <w:szCs w:val="22"/>
              </w:rPr>
              <w:t xml:space="preserve"> </w:t>
            </w:r>
            <w:r w:rsidRPr="003F43AB">
              <w:rPr>
                <w:rFonts w:asciiTheme="minorHAnsi" w:hAnsiTheme="minorHAnsi" w:cstheme="minorHAnsi"/>
                <w:sz w:val="22"/>
                <w:szCs w:val="22"/>
              </w:rPr>
              <w:t>agree</w:t>
            </w:r>
            <w:r w:rsidR="00E7078C">
              <w:rPr>
                <w:rFonts w:asciiTheme="minorHAnsi" w:hAnsiTheme="minorHAnsi" w:cstheme="minorHAnsi"/>
                <w:sz w:val="22"/>
                <w:szCs w:val="22"/>
              </w:rPr>
              <w:t>s</w:t>
            </w:r>
            <w:r w:rsidRPr="003F43AB">
              <w:rPr>
                <w:rFonts w:asciiTheme="minorHAnsi" w:hAnsiTheme="minorHAnsi" w:cstheme="minorHAnsi"/>
                <w:sz w:val="22"/>
                <w:szCs w:val="22"/>
              </w:rPr>
              <w:t xml:space="preserve"> with the suggestion that training and scholarships should focus on economic skills development, however</w:t>
            </w:r>
            <w:r w:rsidR="00E7078C">
              <w:rPr>
                <w:rFonts w:asciiTheme="minorHAnsi" w:hAnsiTheme="minorHAnsi" w:cstheme="minorHAnsi"/>
                <w:sz w:val="22"/>
                <w:szCs w:val="22"/>
              </w:rPr>
              <w:t>,</w:t>
            </w:r>
            <w:r w:rsidRPr="003F43AB">
              <w:rPr>
                <w:rFonts w:asciiTheme="minorHAnsi" w:hAnsiTheme="minorHAnsi" w:cstheme="minorHAnsi"/>
                <w:sz w:val="22"/>
                <w:szCs w:val="22"/>
              </w:rPr>
              <w:t xml:space="preserve"> this is not work supported under this investment. </w:t>
            </w:r>
            <w:r w:rsidR="00E7078C">
              <w:rPr>
                <w:rFonts w:asciiTheme="minorHAnsi" w:hAnsiTheme="minorHAnsi" w:cstheme="minorHAnsi"/>
                <w:sz w:val="22"/>
                <w:szCs w:val="22"/>
              </w:rPr>
              <w:t xml:space="preserve">Could potentially be considered under the Australia Awards </w:t>
            </w:r>
            <w:r w:rsidRPr="003F43AB">
              <w:rPr>
                <w:rFonts w:asciiTheme="minorHAnsi" w:hAnsiTheme="minorHAnsi" w:cstheme="minorHAnsi"/>
                <w:sz w:val="22"/>
                <w:szCs w:val="22"/>
              </w:rPr>
              <w:t xml:space="preserve">scholarships. </w:t>
            </w:r>
          </w:p>
        </w:tc>
        <w:tc>
          <w:tcPr>
            <w:tcW w:w="1154" w:type="pct"/>
            <w:shd w:val="clear" w:color="auto" w:fill="FFFFFF" w:themeFill="background1"/>
          </w:tcPr>
          <w:p w14:paraId="74F9A01A" w14:textId="1205569F" w:rsidR="00BB708C" w:rsidRPr="003F43AB" w:rsidRDefault="003B73B0">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 xml:space="preserve">Ongoing – for </w:t>
            </w:r>
            <w:r w:rsidR="00E7078C">
              <w:rPr>
                <w:rFonts w:asciiTheme="minorHAnsi" w:hAnsiTheme="minorHAnsi" w:cstheme="minorHAnsi"/>
                <w:sz w:val="22"/>
                <w:szCs w:val="22"/>
              </w:rPr>
              <w:t>consideration</w:t>
            </w:r>
            <w:r w:rsidRPr="003F43AB">
              <w:rPr>
                <w:rFonts w:asciiTheme="minorHAnsi" w:hAnsiTheme="minorHAnsi" w:cstheme="minorHAnsi"/>
                <w:sz w:val="22"/>
                <w:szCs w:val="22"/>
              </w:rPr>
              <w:t xml:space="preserve"> ahead of next funding round</w:t>
            </w:r>
            <w:r w:rsidR="00E7078C">
              <w:rPr>
                <w:rFonts w:asciiTheme="minorHAnsi" w:hAnsiTheme="minorHAnsi" w:cstheme="minorHAnsi"/>
                <w:sz w:val="22"/>
                <w:szCs w:val="22"/>
              </w:rPr>
              <w:t xml:space="preserve"> of the Australia Awards</w:t>
            </w:r>
            <w:r w:rsidRPr="003F43AB">
              <w:rPr>
                <w:rFonts w:asciiTheme="minorHAnsi" w:hAnsiTheme="minorHAnsi" w:cstheme="minorHAnsi"/>
                <w:sz w:val="22"/>
                <w:szCs w:val="22"/>
              </w:rPr>
              <w:t xml:space="preserve">. </w:t>
            </w:r>
          </w:p>
        </w:tc>
      </w:tr>
      <w:tr w:rsidR="00BB708C" w:rsidRPr="00935A84" w14:paraId="6A92176D" w14:textId="77777777" w:rsidTr="003754C1">
        <w:tc>
          <w:tcPr>
            <w:tcW w:w="2114" w:type="pct"/>
            <w:shd w:val="clear" w:color="auto" w:fill="FFFFFF" w:themeFill="background1"/>
          </w:tcPr>
          <w:p w14:paraId="4C02E43F" w14:textId="663AE4A3" w:rsidR="00BB708C" w:rsidRPr="003F43AB" w:rsidRDefault="006179AD" w:rsidP="00EF625D">
            <w:pPr>
              <w:tabs>
                <w:tab w:val="left" w:pos="709"/>
              </w:tabs>
              <w:rPr>
                <w:rFonts w:asciiTheme="minorHAnsi" w:hAnsiTheme="minorHAnsi" w:cstheme="minorHAnsi"/>
                <w:bCs/>
                <w:sz w:val="22"/>
                <w:szCs w:val="22"/>
              </w:rPr>
            </w:pPr>
            <w:r w:rsidRPr="003F43AB">
              <w:rPr>
                <w:rFonts w:asciiTheme="minorHAnsi" w:hAnsiTheme="minorHAnsi" w:cstheme="minorHAnsi"/>
                <w:i/>
                <w:sz w:val="22"/>
                <w:szCs w:val="22"/>
                <w:u w:val="single"/>
              </w:rPr>
              <w:t>Recommendation 1</w:t>
            </w:r>
            <w:r w:rsidR="00AF6174">
              <w:rPr>
                <w:rFonts w:asciiTheme="minorHAnsi" w:hAnsiTheme="minorHAnsi" w:cstheme="minorHAnsi"/>
                <w:i/>
                <w:sz w:val="22"/>
                <w:szCs w:val="22"/>
                <w:u w:val="single"/>
              </w:rPr>
              <w:t>1</w:t>
            </w:r>
            <w:r w:rsidR="00AF6174">
              <w:rPr>
                <w:rFonts w:asciiTheme="minorHAnsi" w:hAnsiTheme="minorHAnsi" w:cstheme="minorHAnsi"/>
                <w:i/>
                <w:sz w:val="22"/>
                <w:szCs w:val="22"/>
              </w:rPr>
              <w:t xml:space="preserve"> (Paragraph 44): </w:t>
            </w:r>
            <w:r w:rsidR="00BB708C" w:rsidRPr="009A0B49">
              <w:rPr>
                <w:rFonts w:asciiTheme="minorHAnsi" w:hAnsiTheme="minorHAnsi" w:cstheme="minorHAnsi"/>
                <w:b/>
                <w:sz w:val="22"/>
                <w:szCs w:val="22"/>
              </w:rPr>
              <w:t>Assist in shifting support from confidence building measures to socio-economic development</w:t>
            </w:r>
            <w:r w:rsidR="007B16CE">
              <w:rPr>
                <w:rFonts w:asciiTheme="minorHAnsi" w:hAnsiTheme="minorHAnsi" w:cstheme="minorHAnsi"/>
                <w:b/>
                <w:sz w:val="22"/>
                <w:szCs w:val="22"/>
              </w:rPr>
              <w:t>.</w:t>
            </w:r>
            <w:r w:rsidR="00BB708C" w:rsidRPr="003F43AB">
              <w:rPr>
                <w:rFonts w:asciiTheme="minorHAnsi" w:hAnsiTheme="minorHAnsi" w:cstheme="minorHAnsi"/>
                <w:sz w:val="22"/>
                <w:szCs w:val="22"/>
              </w:rPr>
              <w:t xml:space="preserve">  </w:t>
            </w:r>
            <w:r w:rsidR="00BB708C" w:rsidRPr="003F43AB">
              <w:rPr>
                <w:rFonts w:asciiTheme="minorHAnsi" w:hAnsiTheme="minorHAnsi" w:cstheme="minorHAnsi"/>
                <w:bCs/>
                <w:sz w:val="22"/>
                <w:szCs w:val="22"/>
              </w:rPr>
              <w:t xml:space="preserve">There was heavy emphasis on confidence-building measures during the protracted peace negotiations between the government and the MILF.  Now that this phase is over, DFAT support to the Mindanao Trust Fund or eventually, to the BNTF, should prioritize the provision of sustainable place-based socio-economic services particularly livelihood programs because these ranked highest in their priority needs.  Specific gaps identified include sustainable livelihood, bridging opportunities with private sector investment, and ultimately ensuring access to jobs and fixed/increased incomes at household level. Also, the peace process is now at the stage of reconstruction and development of the Bangsamoro economy through effective governance by the BARMM ministries. </w:t>
            </w:r>
            <w:r w:rsidR="00BB708C" w:rsidRPr="003F43AB">
              <w:rPr>
                <w:rFonts w:asciiTheme="minorHAnsi" w:hAnsiTheme="minorHAnsi" w:cstheme="minorHAnsi"/>
                <w:sz w:val="22"/>
                <w:szCs w:val="22"/>
              </w:rPr>
              <w:t xml:space="preserve">Balancing ‘soft’ policy interventions such as planning workshops and capacity-building trainings with concrete delivery of socio-economic, governance, and security-related packages is equally crucial for the P/CVE and normalization </w:t>
            </w:r>
            <w:r w:rsidR="00CA4224" w:rsidRPr="003F43AB">
              <w:rPr>
                <w:rFonts w:asciiTheme="minorHAnsi" w:hAnsiTheme="minorHAnsi" w:cstheme="minorHAnsi"/>
                <w:sz w:val="22"/>
                <w:szCs w:val="22"/>
              </w:rPr>
              <w:t>work streams</w:t>
            </w:r>
            <w:r w:rsidR="00BB708C" w:rsidRPr="003F43AB">
              <w:rPr>
                <w:rFonts w:asciiTheme="minorHAnsi" w:hAnsiTheme="minorHAnsi" w:cstheme="minorHAnsi"/>
                <w:sz w:val="22"/>
                <w:szCs w:val="22"/>
              </w:rPr>
              <w:t>, as highlighted by the needs of the reintegration of former ‘black-flag’ actors in Basilan and Lanao del Sur.</w:t>
            </w:r>
            <w:r w:rsidR="00BB708C" w:rsidRPr="003F43AB">
              <w:rPr>
                <w:rFonts w:asciiTheme="minorHAnsi" w:hAnsiTheme="minorHAnsi" w:cstheme="minorHAnsi"/>
                <w:bCs/>
                <w:sz w:val="22"/>
                <w:szCs w:val="22"/>
              </w:rPr>
              <w:t xml:space="preserve"> Although the JICA-supported HARVEST facility for agribusiness loans through Landbank has yet to gain the envisioned </w:t>
            </w:r>
            <w:r w:rsidR="00CA4224" w:rsidRPr="003F43AB">
              <w:rPr>
                <w:rFonts w:asciiTheme="minorHAnsi" w:hAnsiTheme="minorHAnsi" w:cstheme="minorHAnsi"/>
                <w:bCs/>
                <w:sz w:val="22"/>
                <w:szCs w:val="22"/>
              </w:rPr>
              <w:t>traction in</w:t>
            </w:r>
            <w:r w:rsidR="00BB708C" w:rsidRPr="003F43AB">
              <w:rPr>
                <w:rFonts w:asciiTheme="minorHAnsi" w:hAnsiTheme="minorHAnsi" w:cstheme="minorHAnsi"/>
                <w:bCs/>
                <w:sz w:val="22"/>
                <w:szCs w:val="22"/>
              </w:rPr>
              <w:t xml:space="preserve"> BARMM, similar innovative facilities to harness private </w:t>
            </w:r>
            <w:r w:rsidR="00BB708C" w:rsidRPr="003F43AB">
              <w:rPr>
                <w:rFonts w:asciiTheme="minorHAnsi" w:hAnsiTheme="minorHAnsi" w:cstheme="minorHAnsi"/>
                <w:bCs/>
                <w:sz w:val="22"/>
                <w:szCs w:val="22"/>
              </w:rPr>
              <w:lastRenderedPageBreak/>
              <w:t xml:space="preserve">sector investment and innovation should be considered. (At smaller scale, the British Council provided support to selected social enterprises in collaboration with the old DTI-ARMM, although this was discontinued after the transition to the BARMM.) DFAT Manila should be able to closely monitor whether targets for socio-economic services are met, once funding is fully operational, and whether they are producing the results they are meant to achieve. </w:t>
            </w:r>
            <w:r w:rsidR="00BB708C" w:rsidRPr="003F43AB">
              <w:rPr>
                <w:rFonts w:asciiTheme="minorHAnsi" w:hAnsiTheme="minorHAnsi" w:cstheme="minorHAnsi"/>
                <w:sz w:val="22"/>
                <w:szCs w:val="22"/>
              </w:rPr>
              <w:t xml:space="preserve">  </w:t>
            </w:r>
          </w:p>
          <w:p w14:paraId="25FB13B7" w14:textId="77777777" w:rsidR="00BB708C" w:rsidRPr="003F43AB" w:rsidRDefault="00BB708C" w:rsidP="00477164">
            <w:pPr>
              <w:autoSpaceDE w:val="0"/>
              <w:autoSpaceDN w:val="0"/>
              <w:adjustRightInd w:val="0"/>
              <w:spacing w:after="60"/>
              <w:rPr>
                <w:rFonts w:asciiTheme="minorHAnsi" w:hAnsiTheme="minorHAnsi" w:cstheme="minorHAnsi"/>
                <w:i/>
                <w:sz w:val="22"/>
                <w:szCs w:val="22"/>
                <w:u w:val="single"/>
              </w:rPr>
            </w:pPr>
          </w:p>
        </w:tc>
        <w:tc>
          <w:tcPr>
            <w:tcW w:w="1732" w:type="pct"/>
            <w:shd w:val="clear" w:color="auto" w:fill="FFFFFF" w:themeFill="background1"/>
          </w:tcPr>
          <w:p w14:paraId="2C300A41" w14:textId="7CB54130" w:rsidR="00BB708C" w:rsidRPr="003F43AB" w:rsidRDefault="003F43AB" w:rsidP="00E7078C">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lastRenderedPageBreak/>
              <w:t xml:space="preserve">Partially </w:t>
            </w:r>
            <w:r w:rsidR="006179AD" w:rsidRPr="003F43AB">
              <w:rPr>
                <w:rFonts w:asciiTheme="minorHAnsi" w:hAnsiTheme="minorHAnsi" w:cstheme="minorHAnsi"/>
                <w:b/>
                <w:sz w:val="22"/>
                <w:szCs w:val="22"/>
              </w:rPr>
              <w:t>Agree:</w:t>
            </w:r>
            <w:r w:rsidR="006179AD" w:rsidRPr="003F43AB">
              <w:rPr>
                <w:rFonts w:asciiTheme="minorHAnsi" w:hAnsiTheme="minorHAnsi" w:cstheme="minorHAnsi"/>
                <w:sz w:val="22"/>
                <w:szCs w:val="22"/>
              </w:rPr>
              <w:t xml:space="preserve"> </w:t>
            </w:r>
            <w:r w:rsidR="00E7078C">
              <w:rPr>
                <w:rFonts w:asciiTheme="minorHAnsi" w:hAnsiTheme="minorHAnsi" w:cstheme="minorHAnsi"/>
                <w:sz w:val="22"/>
                <w:szCs w:val="22"/>
              </w:rPr>
              <w:t>DFAT</w:t>
            </w:r>
            <w:r w:rsidR="00E7078C" w:rsidRPr="003F43AB">
              <w:rPr>
                <w:rFonts w:asciiTheme="minorHAnsi" w:hAnsiTheme="minorHAnsi" w:cstheme="minorHAnsi"/>
                <w:sz w:val="22"/>
                <w:szCs w:val="22"/>
              </w:rPr>
              <w:t xml:space="preserve"> </w:t>
            </w:r>
            <w:r w:rsidR="006179AD" w:rsidRPr="003F43AB">
              <w:rPr>
                <w:rFonts w:asciiTheme="minorHAnsi" w:hAnsiTheme="minorHAnsi" w:cstheme="minorHAnsi"/>
                <w:sz w:val="22"/>
                <w:szCs w:val="22"/>
              </w:rPr>
              <w:t xml:space="preserve">will support a focus on socio-economic development under the </w:t>
            </w:r>
            <w:r w:rsidR="007B16CE" w:rsidRPr="003F43AB">
              <w:rPr>
                <w:rFonts w:asciiTheme="minorHAnsi" w:hAnsiTheme="minorHAnsi" w:cstheme="minorHAnsi"/>
                <w:sz w:val="22"/>
                <w:szCs w:val="22"/>
              </w:rPr>
              <w:t>BNTF but</w:t>
            </w:r>
            <w:r w:rsidR="006179AD" w:rsidRPr="003F43AB">
              <w:rPr>
                <w:rFonts w:asciiTheme="minorHAnsi" w:hAnsiTheme="minorHAnsi" w:cstheme="minorHAnsi"/>
                <w:sz w:val="22"/>
                <w:szCs w:val="22"/>
              </w:rPr>
              <w:t xml:space="preserve"> ha</w:t>
            </w:r>
            <w:r w:rsidR="00E7078C">
              <w:rPr>
                <w:rFonts w:asciiTheme="minorHAnsi" w:hAnsiTheme="minorHAnsi" w:cstheme="minorHAnsi"/>
                <w:sz w:val="22"/>
                <w:szCs w:val="22"/>
              </w:rPr>
              <w:t>s</w:t>
            </w:r>
            <w:r w:rsidR="006179AD" w:rsidRPr="003F43AB">
              <w:rPr>
                <w:rFonts w:asciiTheme="minorHAnsi" w:hAnsiTheme="minorHAnsi" w:cstheme="minorHAnsi"/>
                <w:sz w:val="22"/>
                <w:szCs w:val="22"/>
              </w:rPr>
              <w:t xml:space="preserve"> also already agreed to include socio-economic programming as a new focus under the flexible fund.</w:t>
            </w:r>
            <w:r w:rsidRPr="003F43AB">
              <w:rPr>
                <w:rFonts w:asciiTheme="minorHAnsi" w:hAnsiTheme="minorHAnsi" w:cstheme="minorHAnsi"/>
                <w:sz w:val="22"/>
                <w:szCs w:val="22"/>
              </w:rPr>
              <w:t xml:space="preserve"> This is more an expansion than a shift, as we believe confidence-building measures will continue to be an important part of the work we support</w:t>
            </w:r>
            <w:r w:rsidR="004C0FD9">
              <w:rPr>
                <w:rFonts w:asciiTheme="minorHAnsi" w:hAnsiTheme="minorHAnsi" w:cstheme="minorHAnsi"/>
                <w:sz w:val="22"/>
                <w:szCs w:val="22"/>
              </w:rPr>
              <w:t>. This work</w:t>
            </w:r>
            <w:r w:rsidRPr="003F43AB">
              <w:rPr>
                <w:rFonts w:asciiTheme="minorHAnsi" w:hAnsiTheme="minorHAnsi" w:cstheme="minorHAnsi"/>
                <w:sz w:val="22"/>
                <w:szCs w:val="22"/>
              </w:rPr>
              <w:t xml:space="preserve"> includ</w:t>
            </w:r>
            <w:r w:rsidR="004C0FD9">
              <w:rPr>
                <w:rFonts w:asciiTheme="minorHAnsi" w:hAnsiTheme="minorHAnsi" w:cstheme="minorHAnsi"/>
                <w:sz w:val="22"/>
                <w:szCs w:val="22"/>
              </w:rPr>
              <w:t>es</w:t>
            </w:r>
            <w:r w:rsidRPr="003F43AB">
              <w:rPr>
                <w:rFonts w:asciiTheme="minorHAnsi" w:hAnsiTheme="minorHAnsi" w:cstheme="minorHAnsi"/>
                <w:sz w:val="22"/>
                <w:szCs w:val="22"/>
              </w:rPr>
              <w:t xml:space="preserve"> programming aimed specifically at MILF members and their families in the six acknowledged camps, as well </w:t>
            </w:r>
            <w:r w:rsidR="004C0FD9">
              <w:rPr>
                <w:rFonts w:asciiTheme="minorHAnsi" w:hAnsiTheme="minorHAnsi" w:cstheme="minorHAnsi"/>
                <w:sz w:val="22"/>
                <w:szCs w:val="22"/>
              </w:rPr>
              <w:t>as program supporting</w:t>
            </w:r>
            <w:r w:rsidRPr="003F43AB">
              <w:rPr>
                <w:rFonts w:asciiTheme="minorHAnsi" w:hAnsiTheme="minorHAnsi" w:cstheme="minorHAnsi"/>
                <w:sz w:val="22"/>
                <w:szCs w:val="22"/>
              </w:rPr>
              <w:t xml:space="preserve"> amnesties, pardons and other justice mechanisms. </w:t>
            </w:r>
          </w:p>
        </w:tc>
        <w:tc>
          <w:tcPr>
            <w:tcW w:w="1154" w:type="pct"/>
            <w:shd w:val="clear" w:color="auto" w:fill="FFFFFF" w:themeFill="background1"/>
          </w:tcPr>
          <w:p w14:paraId="4A0630FC" w14:textId="77777777" w:rsidR="00BB708C" w:rsidRPr="003F43AB" w:rsidRDefault="006179AD"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 xml:space="preserve">Ongoing </w:t>
            </w:r>
          </w:p>
        </w:tc>
      </w:tr>
      <w:tr w:rsidR="00BB708C" w:rsidRPr="00935A84" w14:paraId="6BF2BF47" w14:textId="77777777" w:rsidTr="003754C1">
        <w:tc>
          <w:tcPr>
            <w:tcW w:w="2114" w:type="pct"/>
            <w:shd w:val="clear" w:color="auto" w:fill="FFFFFF" w:themeFill="background1"/>
          </w:tcPr>
          <w:p w14:paraId="20A04A7B" w14:textId="77777777" w:rsidR="00EF625D" w:rsidRDefault="006179AD" w:rsidP="00EF625D">
            <w:pPr>
              <w:rPr>
                <w:rFonts w:asciiTheme="minorHAnsi" w:hAnsiTheme="minorHAnsi" w:cstheme="minorHAnsi"/>
                <w:bCs/>
                <w:sz w:val="22"/>
                <w:szCs w:val="22"/>
              </w:rPr>
            </w:pPr>
            <w:r w:rsidRPr="003F43AB">
              <w:rPr>
                <w:rFonts w:asciiTheme="minorHAnsi" w:hAnsiTheme="minorHAnsi" w:cstheme="minorHAnsi"/>
                <w:bCs/>
                <w:i/>
                <w:sz w:val="22"/>
                <w:szCs w:val="22"/>
                <w:u w:val="single"/>
              </w:rPr>
              <w:t>Recommendation 1</w:t>
            </w:r>
            <w:r w:rsidR="00AF6174">
              <w:rPr>
                <w:rFonts w:asciiTheme="minorHAnsi" w:hAnsiTheme="minorHAnsi" w:cstheme="minorHAnsi"/>
                <w:bCs/>
                <w:i/>
                <w:sz w:val="22"/>
                <w:szCs w:val="22"/>
                <w:u w:val="single"/>
              </w:rPr>
              <w:t>2</w:t>
            </w:r>
            <w:r w:rsidR="00AF6174">
              <w:rPr>
                <w:rFonts w:asciiTheme="minorHAnsi" w:hAnsiTheme="minorHAnsi" w:cstheme="minorHAnsi"/>
                <w:bCs/>
                <w:i/>
                <w:sz w:val="22"/>
                <w:szCs w:val="22"/>
              </w:rPr>
              <w:t xml:space="preserve"> (Paragraph 45):</w:t>
            </w:r>
            <w:r w:rsidRPr="003F43AB">
              <w:rPr>
                <w:rFonts w:asciiTheme="minorHAnsi" w:hAnsiTheme="minorHAnsi" w:cstheme="minorHAnsi"/>
                <w:bCs/>
                <w:sz w:val="22"/>
                <w:szCs w:val="22"/>
              </w:rPr>
              <w:t xml:space="preserve"> </w:t>
            </w:r>
            <w:r w:rsidR="00BB708C" w:rsidRPr="009A0B49">
              <w:rPr>
                <w:rFonts w:asciiTheme="minorHAnsi" w:hAnsiTheme="minorHAnsi" w:cstheme="minorHAnsi"/>
                <w:b/>
                <w:bCs/>
                <w:sz w:val="22"/>
                <w:szCs w:val="22"/>
              </w:rPr>
              <w:t>Ensuring geographic balance will be important to support inclusivity and legitimacy.</w:t>
            </w:r>
            <w:r w:rsidR="00BB708C" w:rsidRPr="003F43AB">
              <w:rPr>
                <w:rFonts w:asciiTheme="minorHAnsi" w:hAnsiTheme="minorHAnsi" w:cstheme="minorHAnsi"/>
                <w:bCs/>
                <w:sz w:val="22"/>
                <w:szCs w:val="22"/>
              </w:rPr>
              <w:t xml:space="preserve"> </w:t>
            </w:r>
          </w:p>
          <w:p w14:paraId="01998F50" w14:textId="3E035352" w:rsidR="00BB708C" w:rsidRPr="003F43AB" w:rsidRDefault="00BB708C" w:rsidP="00EF625D">
            <w:pPr>
              <w:rPr>
                <w:rFonts w:asciiTheme="minorHAnsi" w:hAnsiTheme="minorHAnsi" w:cstheme="minorHAnsi"/>
                <w:bCs/>
                <w:sz w:val="22"/>
                <w:szCs w:val="22"/>
              </w:rPr>
            </w:pPr>
            <w:r w:rsidRPr="003F43AB">
              <w:rPr>
                <w:rFonts w:asciiTheme="minorHAnsi" w:hAnsiTheme="minorHAnsi" w:cstheme="minorHAnsi"/>
                <w:sz w:val="22"/>
                <w:szCs w:val="22"/>
              </w:rPr>
              <w:t>This entails more place-sensitive programming across mainland and archipelagic BARMM, supporting the integration of new entrants Cotabato City and the 63 barangays in North Cotabato, and fulfilling the CAB provision on development programs for Bangsamoro communities outside the BARMM.</w:t>
            </w:r>
            <w:r w:rsidRPr="003F43AB">
              <w:rPr>
                <w:rFonts w:asciiTheme="minorHAnsi" w:hAnsiTheme="minorHAnsi" w:cstheme="minorHAnsi"/>
                <w:bCs/>
                <w:sz w:val="22"/>
                <w:szCs w:val="22"/>
              </w:rPr>
              <w:t xml:space="preserve">  </w:t>
            </w:r>
            <w:r w:rsidRPr="003F43AB">
              <w:rPr>
                <w:rFonts w:asciiTheme="minorHAnsi" w:hAnsiTheme="minorHAnsi" w:cstheme="minorHAnsi"/>
                <w:sz w:val="22"/>
                <w:szCs w:val="22"/>
              </w:rPr>
              <w:t>This has implications on both security and socioeconomic activities, such as initial discussions for a BASULTA-wide P/CVE ‘BRAVE’ program as a successor to PAVE.</w:t>
            </w:r>
          </w:p>
          <w:p w14:paraId="7B1B93F3" w14:textId="77777777" w:rsidR="00BB708C" w:rsidRPr="003F43AB" w:rsidRDefault="00BB708C" w:rsidP="00477164">
            <w:pPr>
              <w:autoSpaceDE w:val="0"/>
              <w:autoSpaceDN w:val="0"/>
              <w:adjustRightInd w:val="0"/>
              <w:spacing w:after="60"/>
              <w:rPr>
                <w:rFonts w:asciiTheme="minorHAnsi" w:hAnsiTheme="minorHAnsi" w:cstheme="minorHAnsi"/>
                <w:i/>
                <w:sz w:val="22"/>
                <w:szCs w:val="22"/>
                <w:u w:val="single"/>
              </w:rPr>
            </w:pPr>
          </w:p>
        </w:tc>
        <w:tc>
          <w:tcPr>
            <w:tcW w:w="1732" w:type="pct"/>
            <w:shd w:val="clear" w:color="auto" w:fill="FFFFFF" w:themeFill="background1"/>
          </w:tcPr>
          <w:p w14:paraId="6C07D1B4" w14:textId="236954E3" w:rsidR="00BB708C" w:rsidRPr="003F43AB" w:rsidRDefault="006179AD">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t xml:space="preserve">Agreed: </w:t>
            </w:r>
            <w:r w:rsidR="005C35F5">
              <w:rPr>
                <w:rFonts w:asciiTheme="minorHAnsi" w:hAnsiTheme="minorHAnsi" w:cstheme="minorHAnsi"/>
                <w:sz w:val="22"/>
                <w:szCs w:val="22"/>
              </w:rPr>
              <w:t>DFAT strives</w:t>
            </w:r>
            <w:r w:rsidR="005C35F5" w:rsidRPr="003F43AB">
              <w:rPr>
                <w:rFonts w:asciiTheme="minorHAnsi" w:hAnsiTheme="minorHAnsi" w:cstheme="minorHAnsi"/>
                <w:sz w:val="22"/>
                <w:szCs w:val="22"/>
              </w:rPr>
              <w:t xml:space="preserve"> </w:t>
            </w:r>
            <w:r w:rsidR="00CA4224" w:rsidRPr="003F43AB">
              <w:rPr>
                <w:rFonts w:asciiTheme="minorHAnsi" w:hAnsiTheme="minorHAnsi" w:cstheme="minorHAnsi"/>
                <w:sz w:val="22"/>
                <w:szCs w:val="22"/>
              </w:rPr>
              <w:t>continuously</w:t>
            </w:r>
            <w:r w:rsidRPr="003F43AB">
              <w:rPr>
                <w:rFonts w:asciiTheme="minorHAnsi" w:hAnsiTheme="minorHAnsi" w:cstheme="minorHAnsi"/>
                <w:sz w:val="22"/>
                <w:szCs w:val="22"/>
              </w:rPr>
              <w:t xml:space="preserve"> to ensure that we have good geographic coverage in our programming</w:t>
            </w:r>
            <w:r w:rsidR="005C35F5">
              <w:rPr>
                <w:rFonts w:asciiTheme="minorHAnsi" w:hAnsiTheme="minorHAnsi" w:cstheme="minorHAnsi"/>
                <w:sz w:val="22"/>
                <w:szCs w:val="22"/>
              </w:rPr>
              <w:t>.</w:t>
            </w:r>
            <w:r w:rsidRPr="003F43AB">
              <w:rPr>
                <w:rFonts w:asciiTheme="minorHAnsi" w:hAnsiTheme="minorHAnsi" w:cstheme="minorHAnsi"/>
                <w:sz w:val="22"/>
                <w:szCs w:val="22"/>
              </w:rPr>
              <w:t xml:space="preserve"> </w:t>
            </w:r>
            <w:r w:rsidR="005C35F5">
              <w:rPr>
                <w:rFonts w:asciiTheme="minorHAnsi" w:hAnsiTheme="minorHAnsi" w:cstheme="minorHAnsi"/>
                <w:sz w:val="22"/>
                <w:szCs w:val="22"/>
              </w:rPr>
              <w:t>U</w:t>
            </w:r>
            <w:r w:rsidRPr="003F43AB">
              <w:rPr>
                <w:rFonts w:asciiTheme="minorHAnsi" w:hAnsiTheme="minorHAnsi" w:cstheme="minorHAnsi"/>
                <w:sz w:val="22"/>
                <w:szCs w:val="22"/>
              </w:rPr>
              <w:t xml:space="preserve">nder Phase 2 of APP </w:t>
            </w:r>
            <w:r w:rsidR="005C35F5">
              <w:rPr>
                <w:rFonts w:asciiTheme="minorHAnsi" w:hAnsiTheme="minorHAnsi" w:cstheme="minorHAnsi"/>
                <w:sz w:val="22"/>
                <w:szCs w:val="22"/>
              </w:rPr>
              <w:t xml:space="preserve">we </w:t>
            </w:r>
            <w:r w:rsidRPr="003F43AB">
              <w:rPr>
                <w:rFonts w:asciiTheme="minorHAnsi" w:hAnsiTheme="minorHAnsi" w:cstheme="minorHAnsi"/>
                <w:sz w:val="22"/>
                <w:szCs w:val="22"/>
              </w:rPr>
              <w:t xml:space="preserve">will be targeting the new barangays. The investment has also provided support to MILF camps outside of the BARMM, and communities that unsuccessfully voted to join the new region. Programming in the island provinces also remains a priority. In all cases our programs work with local organisations to ensure that interventions are appropriate to the local community and culture. </w:t>
            </w:r>
          </w:p>
        </w:tc>
        <w:tc>
          <w:tcPr>
            <w:tcW w:w="1154" w:type="pct"/>
            <w:shd w:val="clear" w:color="auto" w:fill="FFFFFF" w:themeFill="background1"/>
          </w:tcPr>
          <w:p w14:paraId="0304D883" w14:textId="77777777" w:rsidR="00BB708C" w:rsidRPr="003F43AB" w:rsidRDefault="006179AD"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Ongoing</w:t>
            </w:r>
          </w:p>
        </w:tc>
      </w:tr>
      <w:tr w:rsidR="00BB708C" w:rsidRPr="00935A84" w14:paraId="3C9AB169" w14:textId="77777777" w:rsidTr="003754C1">
        <w:tc>
          <w:tcPr>
            <w:tcW w:w="2114" w:type="pct"/>
            <w:shd w:val="clear" w:color="auto" w:fill="FFFFFF" w:themeFill="background1"/>
          </w:tcPr>
          <w:p w14:paraId="70965466" w14:textId="77777777" w:rsidR="00EF625D" w:rsidRDefault="006179AD" w:rsidP="00EF625D">
            <w:pPr>
              <w:rPr>
                <w:rFonts w:asciiTheme="minorHAnsi" w:hAnsiTheme="minorHAnsi" w:cstheme="minorHAnsi"/>
                <w:b/>
                <w:sz w:val="22"/>
                <w:szCs w:val="22"/>
              </w:rPr>
            </w:pPr>
            <w:r w:rsidRPr="003F43AB">
              <w:rPr>
                <w:rFonts w:asciiTheme="minorHAnsi" w:hAnsiTheme="minorHAnsi" w:cstheme="minorHAnsi"/>
                <w:i/>
                <w:sz w:val="22"/>
                <w:szCs w:val="22"/>
                <w:u w:val="single"/>
              </w:rPr>
              <w:t>Recommendation 1</w:t>
            </w:r>
            <w:r w:rsidR="00AF6174">
              <w:rPr>
                <w:rFonts w:asciiTheme="minorHAnsi" w:hAnsiTheme="minorHAnsi" w:cstheme="minorHAnsi"/>
                <w:i/>
                <w:sz w:val="22"/>
                <w:szCs w:val="22"/>
                <w:u w:val="single"/>
              </w:rPr>
              <w:t>3</w:t>
            </w:r>
            <w:r w:rsidR="00AF6174">
              <w:rPr>
                <w:rFonts w:asciiTheme="minorHAnsi" w:hAnsiTheme="minorHAnsi" w:cstheme="minorHAnsi"/>
                <w:i/>
                <w:sz w:val="22"/>
                <w:szCs w:val="22"/>
              </w:rPr>
              <w:t xml:space="preserve"> (Paragraph 46):</w:t>
            </w:r>
            <w:r w:rsidRPr="003F43AB">
              <w:rPr>
                <w:rFonts w:asciiTheme="minorHAnsi" w:hAnsiTheme="minorHAnsi" w:cstheme="minorHAnsi"/>
                <w:sz w:val="22"/>
                <w:szCs w:val="22"/>
              </w:rPr>
              <w:t xml:space="preserve"> </w:t>
            </w:r>
            <w:r w:rsidR="00BB708C" w:rsidRPr="009A0B49">
              <w:rPr>
                <w:rFonts w:asciiTheme="minorHAnsi" w:hAnsiTheme="minorHAnsi" w:cstheme="minorHAnsi"/>
                <w:b/>
                <w:sz w:val="22"/>
                <w:szCs w:val="22"/>
              </w:rPr>
              <w:t xml:space="preserve">Retain bilateral activities for flexibility </w:t>
            </w:r>
          </w:p>
          <w:p w14:paraId="5AA0EEA5" w14:textId="3BB6D857" w:rsidR="00BB708C" w:rsidRPr="003F43AB" w:rsidRDefault="00BB708C" w:rsidP="00EF625D">
            <w:pPr>
              <w:rPr>
                <w:rFonts w:asciiTheme="minorHAnsi" w:hAnsiTheme="minorHAnsi" w:cstheme="minorHAnsi"/>
                <w:bCs/>
                <w:sz w:val="22"/>
                <w:szCs w:val="22"/>
              </w:rPr>
            </w:pPr>
            <w:r w:rsidRPr="003F43AB">
              <w:rPr>
                <w:rFonts w:asciiTheme="minorHAnsi" w:hAnsiTheme="minorHAnsi" w:cstheme="minorHAnsi"/>
                <w:bCs/>
                <w:sz w:val="22"/>
                <w:szCs w:val="22"/>
              </w:rPr>
              <w:t xml:space="preserve">It is expected that once the BNTF is established, a significant portion of Australia’s assistance will go to this Trust Fund.  However, it is recommended that funds for bilateral activities should be maintained so that DFAT can exercise flexibility in supporting activities on peace building and governance that will complement delivery of socio-economic services.   Too often in the past, the provision of socio-economic assistance is blinded by the imperatives of development ignoring in the process that these projects are just one though an important component of achieving sustainable peace and stability in these conflict-affected communities. </w:t>
            </w:r>
          </w:p>
          <w:p w14:paraId="6AF0176A" w14:textId="77777777" w:rsidR="00BB708C" w:rsidRPr="003F43AB" w:rsidRDefault="00BB708C" w:rsidP="00477164">
            <w:pPr>
              <w:autoSpaceDE w:val="0"/>
              <w:autoSpaceDN w:val="0"/>
              <w:adjustRightInd w:val="0"/>
              <w:spacing w:after="60"/>
              <w:rPr>
                <w:rFonts w:asciiTheme="minorHAnsi" w:hAnsiTheme="minorHAnsi" w:cstheme="minorHAnsi"/>
                <w:i/>
                <w:sz w:val="22"/>
                <w:szCs w:val="22"/>
                <w:u w:val="single"/>
              </w:rPr>
            </w:pPr>
          </w:p>
        </w:tc>
        <w:tc>
          <w:tcPr>
            <w:tcW w:w="1732" w:type="pct"/>
            <w:shd w:val="clear" w:color="auto" w:fill="FFFFFF" w:themeFill="background1"/>
          </w:tcPr>
          <w:p w14:paraId="17BF37CB" w14:textId="206A8E91" w:rsidR="00BB708C" w:rsidRPr="003F43AB" w:rsidRDefault="006179AD">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lastRenderedPageBreak/>
              <w:t xml:space="preserve">Agreed: </w:t>
            </w:r>
            <w:r w:rsidR="005C35F5" w:rsidRPr="009A0B49">
              <w:rPr>
                <w:rFonts w:asciiTheme="minorHAnsi" w:hAnsiTheme="minorHAnsi" w:cstheme="minorHAnsi"/>
                <w:sz w:val="22"/>
                <w:szCs w:val="22"/>
              </w:rPr>
              <w:t>It is anticipated that</w:t>
            </w:r>
            <w:r w:rsidR="005C35F5">
              <w:rPr>
                <w:rFonts w:asciiTheme="minorHAnsi" w:hAnsiTheme="minorHAnsi" w:cstheme="minorHAnsi"/>
                <w:b/>
                <w:sz w:val="22"/>
                <w:szCs w:val="22"/>
              </w:rPr>
              <w:t xml:space="preserve"> </w:t>
            </w:r>
            <w:r w:rsidRPr="003F43AB">
              <w:rPr>
                <w:rFonts w:asciiTheme="minorHAnsi" w:hAnsiTheme="minorHAnsi" w:cstheme="minorHAnsi"/>
                <w:sz w:val="22"/>
                <w:szCs w:val="22"/>
              </w:rPr>
              <w:t xml:space="preserve">Phase 2 of Australian Partnerships for Peace will commence </w:t>
            </w:r>
            <w:r w:rsidR="005C35F5">
              <w:rPr>
                <w:rFonts w:asciiTheme="minorHAnsi" w:hAnsiTheme="minorHAnsi" w:cstheme="minorHAnsi"/>
                <w:sz w:val="22"/>
                <w:szCs w:val="22"/>
              </w:rPr>
              <w:t>before the end of 2020</w:t>
            </w:r>
            <w:r w:rsidRPr="003F43AB">
              <w:rPr>
                <w:rFonts w:asciiTheme="minorHAnsi" w:hAnsiTheme="minorHAnsi" w:cstheme="minorHAnsi"/>
                <w:sz w:val="22"/>
                <w:szCs w:val="22"/>
              </w:rPr>
              <w:t xml:space="preserve">. </w:t>
            </w:r>
            <w:r w:rsidR="005C35F5">
              <w:rPr>
                <w:rFonts w:asciiTheme="minorHAnsi" w:hAnsiTheme="minorHAnsi" w:cstheme="minorHAnsi"/>
                <w:sz w:val="22"/>
                <w:szCs w:val="22"/>
              </w:rPr>
              <w:t>DFAT has</w:t>
            </w:r>
            <w:r w:rsidRPr="003F43AB">
              <w:rPr>
                <w:rFonts w:asciiTheme="minorHAnsi" w:hAnsiTheme="minorHAnsi" w:cstheme="minorHAnsi"/>
                <w:sz w:val="22"/>
                <w:szCs w:val="22"/>
              </w:rPr>
              <w:t xml:space="preserve"> also maintained flexib</w:t>
            </w:r>
            <w:r w:rsidR="005C35F5">
              <w:rPr>
                <w:rFonts w:asciiTheme="minorHAnsi" w:hAnsiTheme="minorHAnsi" w:cstheme="minorHAnsi"/>
                <w:sz w:val="22"/>
                <w:szCs w:val="22"/>
              </w:rPr>
              <w:t>i</w:t>
            </w:r>
            <w:r w:rsidRPr="003F43AB">
              <w:rPr>
                <w:rFonts w:asciiTheme="minorHAnsi" w:hAnsiTheme="minorHAnsi" w:cstheme="minorHAnsi"/>
                <w:sz w:val="22"/>
                <w:szCs w:val="22"/>
              </w:rPr>
              <w:t>l</w:t>
            </w:r>
            <w:r w:rsidR="005C35F5">
              <w:rPr>
                <w:rFonts w:asciiTheme="minorHAnsi" w:hAnsiTheme="minorHAnsi" w:cstheme="minorHAnsi"/>
                <w:sz w:val="22"/>
                <w:szCs w:val="22"/>
              </w:rPr>
              <w:t>ity</w:t>
            </w:r>
            <w:r w:rsidRPr="003F43AB">
              <w:rPr>
                <w:rFonts w:asciiTheme="minorHAnsi" w:hAnsiTheme="minorHAnsi" w:cstheme="minorHAnsi"/>
                <w:sz w:val="22"/>
                <w:szCs w:val="22"/>
              </w:rPr>
              <w:t xml:space="preserve"> to provide shorter-term programming in the region. </w:t>
            </w:r>
          </w:p>
        </w:tc>
        <w:tc>
          <w:tcPr>
            <w:tcW w:w="1154" w:type="pct"/>
            <w:shd w:val="clear" w:color="auto" w:fill="FFFFFF" w:themeFill="background1"/>
          </w:tcPr>
          <w:p w14:paraId="1DCC2B02" w14:textId="77777777" w:rsidR="00BB708C" w:rsidRPr="003F43AB" w:rsidRDefault="006179AD"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Ongoing</w:t>
            </w:r>
          </w:p>
        </w:tc>
      </w:tr>
      <w:tr w:rsidR="00BB708C" w:rsidRPr="00935A84" w14:paraId="27D50A6A" w14:textId="77777777" w:rsidTr="003754C1">
        <w:tc>
          <w:tcPr>
            <w:tcW w:w="2114" w:type="pct"/>
            <w:shd w:val="clear" w:color="auto" w:fill="FFFFFF" w:themeFill="background1"/>
          </w:tcPr>
          <w:p w14:paraId="3398A1A9" w14:textId="77777777" w:rsidR="00EF625D" w:rsidRDefault="006179AD" w:rsidP="00EF625D">
            <w:pPr>
              <w:autoSpaceDE w:val="0"/>
              <w:autoSpaceDN w:val="0"/>
              <w:adjustRightInd w:val="0"/>
              <w:rPr>
                <w:rFonts w:asciiTheme="minorHAnsi" w:eastAsiaTheme="minorEastAsia" w:hAnsiTheme="minorHAnsi" w:cstheme="minorHAnsi"/>
                <w:sz w:val="22"/>
                <w:szCs w:val="22"/>
                <w:lang w:val="en-GB"/>
              </w:rPr>
            </w:pPr>
            <w:r w:rsidRPr="003F43AB">
              <w:rPr>
                <w:rFonts w:asciiTheme="minorHAnsi" w:eastAsiaTheme="minorEastAsia" w:hAnsiTheme="minorHAnsi" w:cstheme="minorHAnsi"/>
                <w:bCs/>
                <w:i/>
                <w:sz w:val="22"/>
                <w:szCs w:val="22"/>
                <w:u w:val="single"/>
                <w:lang w:val="en-GB"/>
              </w:rPr>
              <w:t>Recommendation 1</w:t>
            </w:r>
            <w:r w:rsidR="00AF6174">
              <w:rPr>
                <w:rFonts w:asciiTheme="minorHAnsi" w:eastAsiaTheme="minorEastAsia" w:hAnsiTheme="minorHAnsi" w:cstheme="minorHAnsi"/>
                <w:bCs/>
                <w:i/>
                <w:sz w:val="22"/>
                <w:szCs w:val="22"/>
                <w:u w:val="single"/>
                <w:lang w:val="en-GB"/>
              </w:rPr>
              <w:t xml:space="preserve">4 </w:t>
            </w:r>
            <w:r w:rsidR="00AF6174">
              <w:rPr>
                <w:rFonts w:asciiTheme="minorHAnsi" w:eastAsiaTheme="minorEastAsia" w:hAnsiTheme="minorHAnsi" w:cstheme="minorHAnsi"/>
                <w:bCs/>
                <w:i/>
                <w:sz w:val="22"/>
                <w:szCs w:val="22"/>
                <w:lang w:val="en-GB"/>
              </w:rPr>
              <w:t>(Paragraph 47):</w:t>
            </w:r>
            <w:r w:rsidRPr="009A0B49">
              <w:rPr>
                <w:rFonts w:asciiTheme="minorHAnsi" w:eastAsiaTheme="minorEastAsia" w:hAnsiTheme="minorHAnsi" w:cstheme="minorHAnsi"/>
                <w:b/>
                <w:bCs/>
                <w:sz w:val="22"/>
                <w:szCs w:val="22"/>
                <w:lang w:val="en-GB"/>
              </w:rPr>
              <w:t xml:space="preserve"> </w:t>
            </w:r>
            <w:r w:rsidR="00BB708C" w:rsidRPr="009A0B49">
              <w:rPr>
                <w:rFonts w:asciiTheme="minorHAnsi" w:eastAsiaTheme="minorEastAsia" w:hAnsiTheme="minorHAnsi" w:cstheme="minorHAnsi"/>
                <w:b/>
                <w:bCs/>
                <w:sz w:val="22"/>
                <w:szCs w:val="22"/>
                <w:lang w:val="en-GB"/>
              </w:rPr>
              <w:t>Adjust operating procedures to COVID-19 social distancing and mobility restrictions, which will entail more localized investments and partnership.</w:t>
            </w:r>
            <w:r w:rsidR="00BB708C" w:rsidRPr="003F43AB">
              <w:rPr>
                <w:rFonts w:asciiTheme="minorHAnsi" w:eastAsiaTheme="minorEastAsia" w:hAnsiTheme="minorHAnsi" w:cstheme="minorHAnsi"/>
                <w:sz w:val="22"/>
                <w:szCs w:val="22"/>
                <w:lang w:val="en-GB"/>
              </w:rPr>
              <w:t xml:space="preserve"> </w:t>
            </w:r>
          </w:p>
          <w:p w14:paraId="1594E024" w14:textId="5230C23E" w:rsidR="00BB708C" w:rsidRPr="003F43AB" w:rsidRDefault="00BB708C" w:rsidP="00EF625D">
            <w:pPr>
              <w:autoSpaceDE w:val="0"/>
              <w:autoSpaceDN w:val="0"/>
              <w:adjustRightInd w:val="0"/>
              <w:rPr>
                <w:rFonts w:asciiTheme="minorHAnsi" w:eastAsiaTheme="minorEastAsia" w:hAnsiTheme="minorHAnsi" w:cstheme="minorHAnsi"/>
                <w:sz w:val="22"/>
                <w:szCs w:val="22"/>
                <w:lang w:val="en-GB"/>
              </w:rPr>
            </w:pPr>
            <w:r w:rsidRPr="003F43AB">
              <w:rPr>
                <w:rFonts w:asciiTheme="minorHAnsi" w:eastAsiaTheme="minorEastAsia" w:hAnsiTheme="minorHAnsi" w:cstheme="minorHAnsi"/>
                <w:sz w:val="22"/>
                <w:szCs w:val="22"/>
                <w:lang w:val="en-GB"/>
              </w:rPr>
              <w:t>With limited mobility globally and between regions, local expertise, assets, and relationship/supply chains must be strengthened. Service deployment for all ministries will necessarily be area-based. Social distancing requires limiting large public gatherings such as workshops and distribution. Given that internet coverage in the BARMM is spotty, creative means for two-way communication loops such as traditional radio and two-way radio work will be required.</w:t>
            </w:r>
          </w:p>
          <w:p w14:paraId="0B677423" w14:textId="77777777" w:rsidR="00BB708C" w:rsidRPr="003F43AB" w:rsidRDefault="00BB708C" w:rsidP="00477164">
            <w:pPr>
              <w:autoSpaceDE w:val="0"/>
              <w:autoSpaceDN w:val="0"/>
              <w:adjustRightInd w:val="0"/>
              <w:spacing w:after="60"/>
              <w:rPr>
                <w:rFonts w:asciiTheme="minorHAnsi" w:hAnsiTheme="minorHAnsi" w:cstheme="minorHAnsi"/>
                <w:i/>
                <w:sz w:val="22"/>
                <w:szCs w:val="22"/>
                <w:u w:val="single"/>
              </w:rPr>
            </w:pPr>
          </w:p>
        </w:tc>
        <w:tc>
          <w:tcPr>
            <w:tcW w:w="1732" w:type="pct"/>
            <w:shd w:val="clear" w:color="auto" w:fill="FFFFFF" w:themeFill="background1"/>
          </w:tcPr>
          <w:p w14:paraId="1ADF18E4" w14:textId="46F38A36" w:rsidR="00BB708C" w:rsidRPr="003F43AB" w:rsidRDefault="006179AD">
            <w:pPr>
              <w:pStyle w:val="BodyText"/>
              <w:spacing w:after="60"/>
              <w:rPr>
                <w:rFonts w:asciiTheme="minorHAnsi" w:hAnsiTheme="minorHAnsi" w:cstheme="minorHAnsi"/>
                <w:sz w:val="22"/>
                <w:szCs w:val="22"/>
              </w:rPr>
            </w:pPr>
            <w:r w:rsidRPr="003F43AB">
              <w:rPr>
                <w:rFonts w:asciiTheme="minorHAnsi" w:hAnsiTheme="minorHAnsi" w:cstheme="minorHAnsi"/>
                <w:b/>
                <w:sz w:val="22"/>
                <w:szCs w:val="22"/>
              </w:rPr>
              <w:t xml:space="preserve">Agreed: </w:t>
            </w:r>
            <w:r w:rsidRPr="003F43AB">
              <w:rPr>
                <w:rFonts w:asciiTheme="minorHAnsi" w:hAnsiTheme="minorHAnsi" w:cstheme="minorHAnsi"/>
                <w:sz w:val="22"/>
                <w:szCs w:val="22"/>
              </w:rPr>
              <w:t xml:space="preserve">All partners adjusted their work to the new restrictions in the early days of the pandemic, both through alterations to programming and to ways of working. For APP Phase 2, </w:t>
            </w:r>
            <w:r w:rsidR="005C35F5">
              <w:rPr>
                <w:rFonts w:asciiTheme="minorHAnsi" w:hAnsiTheme="minorHAnsi" w:cstheme="minorHAnsi"/>
                <w:sz w:val="22"/>
                <w:szCs w:val="22"/>
              </w:rPr>
              <w:t>DFAT</w:t>
            </w:r>
            <w:r w:rsidR="005C35F5" w:rsidRPr="003F43AB">
              <w:rPr>
                <w:rFonts w:asciiTheme="minorHAnsi" w:hAnsiTheme="minorHAnsi" w:cstheme="minorHAnsi"/>
                <w:sz w:val="22"/>
                <w:szCs w:val="22"/>
              </w:rPr>
              <w:t xml:space="preserve"> </w:t>
            </w:r>
            <w:r w:rsidRPr="003F43AB">
              <w:rPr>
                <w:rFonts w:asciiTheme="minorHAnsi" w:hAnsiTheme="minorHAnsi" w:cstheme="minorHAnsi"/>
                <w:sz w:val="22"/>
                <w:szCs w:val="22"/>
              </w:rPr>
              <w:t xml:space="preserve">requested that partners identify future COVID-related risks and how they planned to manage them, and what impacts they might have on program operations. </w:t>
            </w:r>
          </w:p>
        </w:tc>
        <w:tc>
          <w:tcPr>
            <w:tcW w:w="1154" w:type="pct"/>
            <w:shd w:val="clear" w:color="auto" w:fill="FFFFFF" w:themeFill="background1"/>
          </w:tcPr>
          <w:p w14:paraId="7BCAA2D0" w14:textId="77777777" w:rsidR="00BB708C" w:rsidRPr="003F43AB" w:rsidRDefault="006179AD" w:rsidP="00C02346">
            <w:pPr>
              <w:pStyle w:val="Tablebullets"/>
              <w:numPr>
                <w:ilvl w:val="0"/>
                <w:numId w:val="0"/>
              </w:numPr>
              <w:spacing w:after="60"/>
              <w:rPr>
                <w:rFonts w:asciiTheme="minorHAnsi" w:hAnsiTheme="minorHAnsi" w:cstheme="minorHAnsi"/>
                <w:sz w:val="22"/>
                <w:szCs w:val="22"/>
              </w:rPr>
            </w:pPr>
            <w:r w:rsidRPr="003F43AB">
              <w:rPr>
                <w:rFonts w:asciiTheme="minorHAnsi" w:hAnsiTheme="minorHAnsi" w:cstheme="minorHAnsi"/>
                <w:sz w:val="22"/>
                <w:szCs w:val="22"/>
              </w:rPr>
              <w:t>Ongoing</w:t>
            </w:r>
          </w:p>
        </w:tc>
      </w:tr>
    </w:tbl>
    <w:p w14:paraId="32FD39EF" w14:textId="77777777" w:rsidR="000D2440" w:rsidRPr="00C02346" w:rsidRDefault="000D2440" w:rsidP="000D2440">
      <w:pPr>
        <w:pStyle w:val="Table-normal-text"/>
        <w:spacing w:before="0"/>
        <w:contextualSpacing/>
        <w:rPr>
          <w:rFonts w:ascii="Calibri" w:hAnsi="Calibri" w:cs="Calibri"/>
          <w:sz w:val="22"/>
        </w:rPr>
      </w:pPr>
    </w:p>
    <w:sectPr w:rsidR="000D2440" w:rsidRPr="00C02346" w:rsidSect="00C02346">
      <w:pgSz w:w="16838" w:h="11906" w:orient="landscape"/>
      <w:pgMar w:top="1134" w:right="1135" w:bottom="1274" w:left="851" w:header="284"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130C" w14:textId="77777777" w:rsidR="00724B96" w:rsidRDefault="00724B96" w:rsidP="00E2054F">
      <w:r>
        <w:separator/>
      </w:r>
    </w:p>
  </w:endnote>
  <w:endnote w:type="continuationSeparator" w:id="0">
    <w:p w14:paraId="6B2B5B48" w14:textId="77777777" w:rsidR="00724B96" w:rsidRDefault="00724B96" w:rsidP="00E2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528371"/>
      <w:docPartObj>
        <w:docPartGallery w:val="Page Numbers (Bottom of Page)"/>
        <w:docPartUnique/>
      </w:docPartObj>
    </w:sdtPr>
    <w:sdtEndPr>
      <w:rPr>
        <w:rFonts w:asciiTheme="minorHAnsi" w:hAnsiTheme="minorHAnsi" w:cstheme="minorHAnsi"/>
        <w:noProof/>
        <w:sz w:val="20"/>
      </w:rPr>
    </w:sdtEndPr>
    <w:sdtContent>
      <w:p w14:paraId="707992DA" w14:textId="125F1D3C" w:rsidR="00143F5A" w:rsidRPr="009C5213" w:rsidRDefault="00143F5A">
        <w:pPr>
          <w:pStyle w:val="Footer"/>
          <w:jc w:val="right"/>
          <w:rPr>
            <w:rFonts w:asciiTheme="minorHAnsi" w:hAnsiTheme="minorHAnsi" w:cstheme="minorHAnsi"/>
            <w:sz w:val="20"/>
          </w:rPr>
        </w:pPr>
        <w:r w:rsidRPr="009C5213">
          <w:rPr>
            <w:rFonts w:asciiTheme="minorHAnsi" w:hAnsiTheme="minorHAnsi" w:cstheme="minorHAnsi"/>
            <w:sz w:val="20"/>
          </w:rPr>
          <w:fldChar w:fldCharType="begin"/>
        </w:r>
        <w:r w:rsidRPr="009C5213">
          <w:rPr>
            <w:rFonts w:asciiTheme="minorHAnsi" w:hAnsiTheme="minorHAnsi" w:cstheme="minorHAnsi"/>
            <w:sz w:val="20"/>
          </w:rPr>
          <w:instrText xml:space="preserve"> PAGE   \* MERGEFORMAT </w:instrText>
        </w:r>
        <w:r w:rsidRPr="009C5213">
          <w:rPr>
            <w:rFonts w:asciiTheme="minorHAnsi" w:hAnsiTheme="minorHAnsi" w:cstheme="minorHAnsi"/>
            <w:sz w:val="20"/>
          </w:rPr>
          <w:fldChar w:fldCharType="separate"/>
        </w:r>
        <w:r w:rsidR="00E53984">
          <w:rPr>
            <w:rFonts w:asciiTheme="minorHAnsi" w:hAnsiTheme="minorHAnsi" w:cstheme="minorHAnsi"/>
            <w:noProof/>
            <w:sz w:val="20"/>
          </w:rPr>
          <w:t>10</w:t>
        </w:r>
        <w:r w:rsidRPr="009C5213">
          <w:rPr>
            <w:rFonts w:asciiTheme="minorHAnsi" w:hAnsiTheme="minorHAnsi" w:cstheme="minorHAnsi"/>
            <w:noProof/>
            <w:sz w:val="20"/>
          </w:rPr>
          <w:fldChar w:fldCharType="end"/>
        </w:r>
      </w:p>
    </w:sdtContent>
  </w:sdt>
  <w:p w14:paraId="0303ACC7" w14:textId="497E2F1F" w:rsidR="00143F5A" w:rsidRPr="009C5213" w:rsidRDefault="0032700B" w:rsidP="009C5213">
    <w:pPr>
      <w:pStyle w:val="Header"/>
      <w:jc w:val="center"/>
      <w:rPr>
        <w:rFonts w:asciiTheme="minorHAnsi" w:hAnsiTheme="minorHAnsi" w:cstheme="minorHAnsi"/>
      </w:rPr>
    </w:pPr>
    <w:r>
      <w:rPr>
        <w:rFonts w:asciiTheme="minorHAnsi" w:hAnsiTheme="minorHAnsi" w:cstheme="minorHAnsi"/>
        <w:sz w:val="22"/>
      </w:rPr>
      <w:t>FOR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30CC3" w14:textId="77777777" w:rsidR="00724B96" w:rsidRDefault="00724B96" w:rsidP="00E2054F">
      <w:r>
        <w:separator/>
      </w:r>
    </w:p>
  </w:footnote>
  <w:footnote w:type="continuationSeparator" w:id="0">
    <w:p w14:paraId="0BD12D0D" w14:textId="77777777" w:rsidR="00724B96" w:rsidRDefault="00724B96" w:rsidP="00E2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AA93" w14:textId="6D76EBE6" w:rsidR="00143F5A" w:rsidRPr="009C5213" w:rsidRDefault="0032700B" w:rsidP="009C5213">
    <w:pPr>
      <w:pStyle w:val="Header"/>
      <w:jc w:val="center"/>
      <w:rPr>
        <w:rFonts w:asciiTheme="minorHAnsi" w:hAnsiTheme="minorHAnsi" w:cstheme="minorHAnsi"/>
        <w:sz w:val="22"/>
      </w:rPr>
    </w:pPr>
    <w:r>
      <w:rPr>
        <w:rFonts w:asciiTheme="minorHAnsi" w:hAnsiTheme="minorHAnsi" w:cstheme="minorHAnsi"/>
        <w:sz w:val="22"/>
      </w:rPr>
      <w:t>FOR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EB6"/>
    <w:multiLevelType w:val="hybridMultilevel"/>
    <w:tmpl w:val="FA9E25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A12574"/>
    <w:multiLevelType w:val="hybridMultilevel"/>
    <w:tmpl w:val="68142938"/>
    <w:lvl w:ilvl="0" w:tplc="96CA2F1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69219D"/>
    <w:multiLevelType w:val="hybridMultilevel"/>
    <w:tmpl w:val="7700BAD0"/>
    <w:lvl w:ilvl="0" w:tplc="A3EE65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97697"/>
    <w:multiLevelType w:val="hybridMultilevel"/>
    <w:tmpl w:val="47423080"/>
    <w:lvl w:ilvl="0" w:tplc="106099A4">
      <w:start w:val="1"/>
      <w:numFmt w:val="bullet"/>
      <w:pStyle w:val="Bullets"/>
      <w:lvlText w:val=""/>
      <w:lvlJc w:val="left"/>
      <w:pPr>
        <w:tabs>
          <w:tab w:val="num" w:pos="1814"/>
        </w:tabs>
        <w:ind w:left="1814" w:hanging="37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57D0B"/>
    <w:multiLevelType w:val="hybridMultilevel"/>
    <w:tmpl w:val="E6AE2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587B10"/>
    <w:multiLevelType w:val="hybridMultilevel"/>
    <w:tmpl w:val="EE86536C"/>
    <w:lvl w:ilvl="0" w:tplc="39FE300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3B106E"/>
    <w:multiLevelType w:val="multilevel"/>
    <w:tmpl w:val="E63AF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B1139F"/>
    <w:multiLevelType w:val="hybridMultilevel"/>
    <w:tmpl w:val="BFB61CC0"/>
    <w:lvl w:ilvl="0" w:tplc="538ED9A8">
      <w:start w:val="1"/>
      <w:numFmt w:val="bullet"/>
      <w:lvlText w:val=""/>
      <w:lvlJc w:val="left"/>
      <w:pPr>
        <w:tabs>
          <w:tab w:val="num" w:pos="720"/>
        </w:tabs>
        <w:ind w:left="720" w:hanging="360"/>
      </w:pPr>
      <w:rPr>
        <w:rFonts w:ascii="Wingdings 2" w:hAnsi="Wingdings 2" w:hint="default"/>
      </w:rPr>
    </w:lvl>
    <w:lvl w:ilvl="1" w:tplc="C466FCBC">
      <w:start w:val="1"/>
      <w:numFmt w:val="bullet"/>
      <w:lvlText w:val=""/>
      <w:lvlJc w:val="left"/>
      <w:pPr>
        <w:tabs>
          <w:tab w:val="num" w:pos="1440"/>
        </w:tabs>
        <w:ind w:left="1440" w:hanging="360"/>
      </w:pPr>
      <w:rPr>
        <w:rFonts w:ascii="Wingdings 2" w:hAnsi="Wingdings 2" w:hint="default"/>
      </w:rPr>
    </w:lvl>
    <w:lvl w:ilvl="2" w:tplc="797604FC" w:tentative="1">
      <w:start w:val="1"/>
      <w:numFmt w:val="bullet"/>
      <w:lvlText w:val=""/>
      <w:lvlJc w:val="left"/>
      <w:pPr>
        <w:tabs>
          <w:tab w:val="num" w:pos="2160"/>
        </w:tabs>
        <w:ind w:left="2160" w:hanging="360"/>
      </w:pPr>
      <w:rPr>
        <w:rFonts w:ascii="Wingdings 2" w:hAnsi="Wingdings 2" w:hint="default"/>
      </w:rPr>
    </w:lvl>
    <w:lvl w:ilvl="3" w:tplc="71C07758" w:tentative="1">
      <w:start w:val="1"/>
      <w:numFmt w:val="bullet"/>
      <w:lvlText w:val=""/>
      <w:lvlJc w:val="left"/>
      <w:pPr>
        <w:tabs>
          <w:tab w:val="num" w:pos="2880"/>
        </w:tabs>
        <w:ind w:left="2880" w:hanging="360"/>
      </w:pPr>
      <w:rPr>
        <w:rFonts w:ascii="Wingdings 2" w:hAnsi="Wingdings 2" w:hint="default"/>
      </w:rPr>
    </w:lvl>
    <w:lvl w:ilvl="4" w:tplc="E2A20830" w:tentative="1">
      <w:start w:val="1"/>
      <w:numFmt w:val="bullet"/>
      <w:lvlText w:val=""/>
      <w:lvlJc w:val="left"/>
      <w:pPr>
        <w:tabs>
          <w:tab w:val="num" w:pos="3600"/>
        </w:tabs>
        <w:ind w:left="3600" w:hanging="360"/>
      </w:pPr>
      <w:rPr>
        <w:rFonts w:ascii="Wingdings 2" w:hAnsi="Wingdings 2" w:hint="default"/>
      </w:rPr>
    </w:lvl>
    <w:lvl w:ilvl="5" w:tplc="8A10EB92" w:tentative="1">
      <w:start w:val="1"/>
      <w:numFmt w:val="bullet"/>
      <w:lvlText w:val=""/>
      <w:lvlJc w:val="left"/>
      <w:pPr>
        <w:tabs>
          <w:tab w:val="num" w:pos="4320"/>
        </w:tabs>
        <w:ind w:left="4320" w:hanging="360"/>
      </w:pPr>
      <w:rPr>
        <w:rFonts w:ascii="Wingdings 2" w:hAnsi="Wingdings 2" w:hint="default"/>
      </w:rPr>
    </w:lvl>
    <w:lvl w:ilvl="6" w:tplc="CEBA60EC" w:tentative="1">
      <w:start w:val="1"/>
      <w:numFmt w:val="bullet"/>
      <w:lvlText w:val=""/>
      <w:lvlJc w:val="left"/>
      <w:pPr>
        <w:tabs>
          <w:tab w:val="num" w:pos="5040"/>
        </w:tabs>
        <w:ind w:left="5040" w:hanging="360"/>
      </w:pPr>
      <w:rPr>
        <w:rFonts w:ascii="Wingdings 2" w:hAnsi="Wingdings 2" w:hint="default"/>
      </w:rPr>
    </w:lvl>
    <w:lvl w:ilvl="7" w:tplc="A6D2476E" w:tentative="1">
      <w:start w:val="1"/>
      <w:numFmt w:val="bullet"/>
      <w:lvlText w:val=""/>
      <w:lvlJc w:val="left"/>
      <w:pPr>
        <w:tabs>
          <w:tab w:val="num" w:pos="5760"/>
        </w:tabs>
        <w:ind w:left="5760" w:hanging="360"/>
      </w:pPr>
      <w:rPr>
        <w:rFonts w:ascii="Wingdings 2" w:hAnsi="Wingdings 2" w:hint="default"/>
      </w:rPr>
    </w:lvl>
    <w:lvl w:ilvl="8" w:tplc="C646DD6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2D04E29"/>
    <w:multiLevelType w:val="hybridMultilevel"/>
    <w:tmpl w:val="A456E0F6"/>
    <w:lvl w:ilvl="0" w:tplc="0C090001">
      <w:start w:val="1"/>
      <w:numFmt w:val="bullet"/>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442C6D"/>
    <w:multiLevelType w:val="hybridMultilevel"/>
    <w:tmpl w:val="1FD44984"/>
    <w:lvl w:ilvl="0" w:tplc="A53EC748">
      <w:start w:val="7"/>
      <w:numFmt w:val="decimal"/>
      <w:lvlText w:val="%1."/>
      <w:lvlJc w:val="left"/>
      <w:pPr>
        <w:tabs>
          <w:tab w:val="num" w:pos="720"/>
        </w:tabs>
        <w:ind w:left="720" w:hanging="360"/>
      </w:pPr>
    </w:lvl>
    <w:lvl w:ilvl="1" w:tplc="8CE21C3C" w:tentative="1">
      <w:start w:val="1"/>
      <w:numFmt w:val="decimal"/>
      <w:lvlText w:val="%2."/>
      <w:lvlJc w:val="left"/>
      <w:pPr>
        <w:tabs>
          <w:tab w:val="num" w:pos="1440"/>
        </w:tabs>
        <w:ind w:left="1440" w:hanging="360"/>
      </w:pPr>
    </w:lvl>
    <w:lvl w:ilvl="2" w:tplc="6A629AE6" w:tentative="1">
      <w:start w:val="1"/>
      <w:numFmt w:val="decimal"/>
      <w:lvlText w:val="%3."/>
      <w:lvlJc w:val="left"/>
      <w:pPr>
        <w:tabs>
          <w:tab w:val="num" w:pos="2160"/>
        </w:tabs>
        <w:ind w:left="2160" w:hanging="360"/>
      </w:pPr>
    </w:lvl>
    <w:lvl w:ilvl="3" w:tplc="DD0E0DE4" w:tentative="1">
      <w:start w:val="1"/>
      <w:numFmt w:val="decimal"/>
      <w:lvlText w:val="%4."/>
      <w:lvlJc w:val="left"/>
      <w:pPr>
        <w:tabs>
          <w:tab w:val="num" w:pos="2880"/>
        </w:tabs>
        <w:ind w:left="2880" w:hanging="360"/>
      </w:pPr>
    </w:lvl>
    <w:lvl w:ilvl="4" w:tplc="52EA5CBC" w:tentative="1">
      <w:start w:val="1"/>
      <w:numFmt w:val="decimal"/>
      <w:lvlText w:val="%5."/>
      <w:lvlJc w:val="left"/>
      <w:pPr>
        <w:tabs>
          <w:tab w:val="num" w:pos="3600"/>
        </w:tabs>
        <w:ind w:left="3600" w:hanging="360"/>
      </w:pPr>
    </w:lvl>
    <w:lvl w:ilvl="5" w:tplc="F4E23D7C" w:tentative="1">
      <w:start w:val="1"/>
      <w:numFmt w:val="decimal"/>
      <w:lvlText w:val="%6."/>
      <w:lvlJc w:val="left"/>
      <w:pPr>
        <w:tabs>
          <w:tab w:val="num" w:pos="4320"/>
        </w:tabs>
        <w:ind w:left="4320" w:hanging="360"/>
      </w:pPr>
    </w:lvl>
    <w:lvl w:ilvl="6" w:tplc="496E6444" w:tentative="1">
      <w:start w:val="1"/>
      <w:numFmt w:val="decimal"/>
      <w:lvlText w:val="%7."/>
      <w:lvlJc w:val="left"/>
      <w:pPr>
        <w:tabs>
          <w:tab w:val="num" w:pos="5040"/>
        </w:tabs>
        <w:ind w:left="5040" w:hanging="360"/>
      </w:pPr>
    </w:lvl>
    <w:lvl w:ilvl="7" w:tplc="11949E70" w:tentative="1">
      <w:start w:val="1"/>
      <w:numFmt w:val="decimal"/>
      <w:lvlText w:val="%8."/>
      <w:lvlJc w:val="left"/>
      <w:pPr>
        <w:tabs>
          <w:tab w:val="num" w:pos="5760"/>
        </w:tabs>
        <w:ind w:left="5760" w:hanging="360"/>
      </w:pPr>
    </w:lvl>
    <w:lvl w:ilvl="8" w:tplc="ABF2D8EE" w:tentative="1">
      <w:start w:val="1"/>
      <w:numFmt w:val="decimal"/>
      <w:lvlText w:val="%9."/>
      <w:lvlJc w:val="left"/>
      <w:pPr>
        <w:tabs>
          <w:tab w:val="num" w:pos="6480"/>
        </w:tabs>
        <w:ind w:left="6480" w:hanging="360"/>
      </w:pPr>
    </w:lvl>
  </w:abstractNum>
  <w:abstractNum w:abstractNumId="10" w15:restartNumberingAfterBreak="0">
    <w:nsid w:val="3D7A1F35"/>
    <w:multiLevelType w:val="hybridMultilevel"/>
    <w:tmpl w:val="C5CE04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D96632A"/>
    <w:multiLevelType w:val="hybridMultilevel"/>
    <w:tmpl w:val="5E00B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0A293C"/>
    <w:multiLevelType w:val="hybridMultilevel"/>
    <w:tmpl w:val="7E586AE4"/>
    <w:lvl w:ilvl="0" w:tplc="3B521914">
      <w:start w:val="1"/>
      <w:numFmt w:val="lowerRoman"/>
      <w:lvlText w:val="%1)"/>
      <w:lvlJc w:val="left"/>
      <w:pPr>
        <w:ind w:left="1146" w:hanging="72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13" w15:restartNumberingAfterBreak="0">
    <w:nsid w:val="3F0B433B"/>
    <w:multiLevelType w:val="hybridMultilevel"/>
    <w:tmpl w:val="E6AE2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AA6AD8"/>
    <w:multiLevelType w:val="hybridMultilevel"/>
    <w:tmpl w:val="3D26332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2156456"/>
    <w:multiLevelType w:val="hybridMultilevel"/>
    <w:tmpl w:val="EAEC0A2C"/>
    <w:lvl w:ilvl="0" w:tplc="BBA42190">
      <w:start w:val="5"/>
      <w:numFmt w:val="decimal"/>
      <w:lvlText w:val="%1."/>
      <w:lvlJc w:val="left"/>
      <w:pPr>
        <w:tabs>
          <w:tab w:val="num" w:pos="720"/>
        </w:tabs>
        <w:ind w:left="720" w:hanging="360"/>
      </w:pPr>
    </w:lvl>
    <w:lvl w:ilvl="1" w:tplc="0CAA5430" w:tentative="1">
      <w:start w:val="1"/>
      <w:numFmt w:val="decimal"/>
      <w:lvlText w:val="%2."/>
      <w:lvlJc w:val="left"/>
      <w:pPr>
        <w:tabs>
          <w:tab w:val="num" w:pos="1440"/>
        </w:tabs>
        <w:ind w:left="1440" w:hanging="360"/>
      </w:pPr>
    </w:lvl>
    <w:lvl w:ilvl="2" w:tplc="4C724ABA" w:tentative="1">
      <w:start w:val="1"/>
      <w:numFmt w:val="decimal"/>
      <w:lvlText w:val="%3."/>
      <w:lvlJc w:val="left"/>
      <w:pPr>
        <w:tabs>
          <w:tab w:val="num" w:pos="2160"/>
        </w:tabs>
        <w:ind w:left="2160" w:hanging="360"/>
      </w:pPr>
    </w:lvl>
    <w:lvl w:ilvl="3" w:tplc="15385ACA" w:tentative="1">
      <w:start w:val="1"/>
      <w:numFmt w:val="decimal"/>
      <w:lvlText w:val="%4."/>
      <w:lvlJc w:val="left"/>
      <w:pPr>
        <w:tabs>
          <w:tab w:val="num" w:pos="2880"/>
        </w:tabs>
        <w:ind w:left="2880" w:hanging="360"/>
      </w:pPr>
    </w:lvl>
    <w:lvl w:ilvl="4" w:tplc="89089FF0" w:tentative="1">
      <w:start w:val="1"/>
      <w:numFmt w:val="decimal"/>
      <w:lvlText w:val="%5."/>
      <w:lvlJc w:val="left"/>
      <w:pPr>
        <w:tabs>
          <w:tab w:val="num" w:pos="3600"/>
        </w:tabs>
        <w:ind w:left="3600" w:hanging="360"/>
      </w:pPr>
    </w:lvl>
    <w:lvl w:ilvl="5" w:tplc="6A04A2DA" w:tentative="1">
      <w:start w:val="1"/>
      <w:numFmt w:val="decimal"/>
      <w:lvlText w:val="%6."/>
      <w:lvlJc w:val="left"/>
      <w:pPr>
        <w:tabs>
          <w:tab w:val="num" w:pos="4320"/>
        </w:tabs>
        <w:ind w:left="4320" w:hanging="360"/>
      </w:pPr>
    </w:lvl>
    <w:lvl w:ilvl="6" w:tplc="3248456A" w:tentative="1">
      <w:start w:val="1"/>
      <w:numFmt w:val="decimal"/>
      <w:lvlText w:val="%7."/>
      <w:lvlJc w:val="left"/>
      <w:pPr>
        <w:tabs>
          <w:tab w:val="num" w:pos="5040"/>
        </w:tabs>
        <w:ind w:left="5040" w:hanging="360"/>
      </w:pPr>
    </w:lvl>
    <w:lvl w:ilvl="7" w:tplc="43F2EAC2" w:tentative="1">
      <w:start w:val="1"/>
      <w:numFmt w:val="decimal"/>
      <w:lvlText w:val="%8."/>
      <w:lvlJc w:val="left"/>
      <w:pPr>
        <w:tabs>
          <w:tab w:val="num" w:pos="5760"/>
        </w:tabs>
        <w:ind w:left="5760" w:hanging="360"/>
      </w:pPr>
    </w:lvl>
    <w:lvl w:ilvl="8" w:tplc="CD42EACC" w:tentative="1">
      <w:start w:val="1"/>
      <w:numFmt w:val="decimal"/>
      <w:lvlText w:val="%9."/>
      <w:lvlJc w:val="left"/>
      <w:pPr>
        <w:tabs>
          <w:tab w:val="num" w:pos="6480"/>
        </w:tabs>
        <w:ind w:left="6480" w:hanging="360"/>
      </w:pPr>
    </w:lvl>
  </w:abstractNum>
  <w:abstractNum w:abstractNumId="16" w15:restartNumberingAfterBreak="0">
    <w:nsid w:val="43F01F3B"/>
    <w:multiLevelType w:val="hybridMultilevel"/>
    <w:tmpl w:val="D840C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1672E6"/>
    <w:multiLevelType w:val="hybridMultilevel"/>
    <w:tmpl w:val="56BE2E74"/>
    <w:lvl w:ilvl="0" w:tplc="89E485AE">
      <w:numFmt w:val="bullet"/>
      <w:lvlText w:val="•"/>
      <w:lvlJc w:val="left"/>
      <w:pPr>
        <w:ind w:left="413" w:hanging="284"/>
      </w:pPr>
      <w:rPr>
        <w:rFonts w:ascii="Cambria" w:eastAsia="Cambria" w:hAnsi="Cambria" w:cs="Cambria" w:hint="default"/>
        <w:w w:val="104"/>
        <w:sz w:val="16"/>
        <w:szCs w:val="16"/>
      </w:rPr>
    </w:lvl>
    <w:lvl w:ilvl="1" w:tplc="DC4045CE">
      <w:numFmt w:val="bullet"/>
      <w:lvlText w:val="•"/>
      <w:lvlJc w:val="left"/>
      <w:pPr>
        <w:ind w:left="950" w:hanging="284"/>
      </w:pPr>
      <w:rPr>
        <w:rFonts w:hint="default"/>
      </w:rPr>
    </w:lvl>
    <w:lvl w:ilvl="2" w:tplc="804A1104">
      <w:numFmt w:val="bullet"/>
      <w:lvlText w:val="•"/>
      <w:lvlJc w:val="left"/>
      <w:pPr>
        <w:ind w:left="1480" w:hanging="284"/>
      </w:pPr>
      <w:rPr>
        <w:rFonts w:hint="default"/>
      </w:rPr>
    </w:lvl>
    <w:lvl w:ilvl="3" w:tplc="31FE522A">
      <w:numFmt w:val="bullet"/>
      <w:lvlText w:val="•"/>
      <w:lvlJc w:val="left"/>
      <w:pPr>
        <w:ind w:left="2011" w:hanging="284"/>
      </w:pPr>
      <w:rPr>
        <w:rFonts w:hint="default"/>
      </w:rPr>
    </w:lvl>
    <w:lvl w:ilvl="4" w:tplc="8FD0BE08">
      <w:numFmt w:val="bullet"/>
      <w:lvlText w:val="•"/>
      <w:lvlJc w:val="left"/>
      <w:pPr>
        <w:ind w:left="2541" w:hanging="284"/>
      </w:pPr>
      <w:rPr>
        <w:rFonts w:hint="default"/>
      </w:rPr>
    </w:lvl>
    <w:lvl w:ilvl="5" w:tplc="D4626CC4">
      <w:numFmt w:val="bullet"/>
      <w:lvlText w:val="•"/>
      <w:lvlJc w:val="left"/>
      <w:pPr>
        <w:ind w:left="3072" w:hanging="284"/>
      </w:pPr>
      <w:rPr>
        <w:rFonts w:hint="default"/>
      </w:rPr>
    </w:lvl>
    <w:lvl w:ilvl="6" w:tplc="2978601E">
      <w:numFmt w:val="bullet"/>
      <w:lvlText w:val="•"/>
      <w:lvlJc w:val="left"/>
      <w:pPr>
        <w:ind w:left="3602" w:hanging="284"/>
      </w:pPr>
      <w:rPr>
        <w:rFonts w:hint="default"/>
      </w:rPr>
    </w:lvl>
    <w:lvl w:ilvl="7" w:tplc="D682EAD8">
      <w:numFmt w:val="bullet"/>
      <w:lvlText w:val="•"/>
      <w:lvlJc w:val="left"/>
      <w:pPr>
        <w:ind w:left="4133" w:hanging="284"/>
      </w:pPr>
      <w:rPr>
        <w:rFonts w:hint="default"/>
      </w:rPr>
    </w:lvl>
    <w:lvl w:ilvl="8" w:tplc="258831AA">
      <w:numFmt w:val="bullet"/>
      <w:lvlText w:val="•"/>
      <w:lvlJc w:val="left"/>
      <w:pPr>
        <w:ind w:left="4663" w:hanging="284"/>
      </w:pPr>
      <w:rPr>
        <w:rFonts w:hint="default"/>
      </w:rPr>
    </w:lvl>
  </w:abstractNum>
  <w:abstractNum w:abstractNumId="18" w15:restartNumberingAfterBreak="0">
    <w:nsid w:val="482A253F"/>
    <w:multiLevelType w:val="hybridMultilevel"/>
    <w:tmpl w:val="14B240D8"/>
    <w:lvl w:ilvl="0" w:tplc="2F6C9104">
      <w:start w:val="1"/>
      <w:numFmt w:val="decimal"/>
      <w:lvlText w:val="%1."/>
      <w:lvlJc w:val="left"/>
      <w:pPr>
        <w:tabs>
          <w:tab w:val="num" w:pos="720"/>
        </w:tabs>
        <w:ind w:left="720" w:hanging="360"/>
      </w:pPr>
    </w:lvl>
    <w:lvl w:ilvl="1" w:tplc="B2E0B26C" w:tentative="1">
      <w:start w:val="1"/>
      <w:numFmt w:val="decimal"/>
      <w:lvlText w:val="%2."/>
      <w:lvlJc w:val="left"/>
      <w:pPr>
        <w:tabs>
          <w:tab w:val="num" w:pos="1440"/>
        </w:tabs>
        <w:ind w:left="1440" w:hanging="360"/>
      </w:pPr>
    </w:lvl>
    <w:lvl w:ilvl="2" w:tplc="738E80DA" w:tentative="1">
      <w:start w:val="1"/>
      <w:numFmt w:val="decimal"/>
      <w:lvlText w:val="%3."/>
      <w:lvlJc w:val="left"/>
      <w:pPr>
        <w:tabs>
          <w:tab w:val="num" w:pos="2160"/>
        </w:tabs>
        <w:ind w:left="2160" w:hanging="360"/>
      </w:pPr>
    </w:lvl>
    <w:lvl w:ilvl="3" w:tplc="A984D412" w:tentative="1">
      <w:start w:val="1"/>
      <w:numFmt w:val="decimal"/>
      <w:lvlText w:val="%4."/>
      <w:lvlJc w:val="left"/>
      <w:pPr>
        <w:tabs>
          <w:tab w:val="num" w:pos="2880"/>
        </w:tabs>
        <w:ind w:left="2880" w:hanging="360"/>
      </w:pPr>
    </w:lvl>
    <w:lvl w:ilvl="4" w:tplc="5D64448E" w:tentative="1">
      <w:start w:val="1"/>
      <w:numFmt w:val="decimal"/>
      <w:lvlText w:val="%5."/>
      <w:lvlJc w:val="left"/>
      <w:pPr>
        <w:tabs>
          <w:tab w:val="num" w:pos="3600"/>
        </w:tabs>
        <w:ind w:left="3600" w:hanging="360"/>
      </w:pPr>
    </w:lvl>
    <w:lvl w:ilvl="5" w:tplc="63D0A8C2" w:tentative="1">
      <w:start w:val="1"/>
      <w:numFmt w:val="decimal"/>
      <w:lvlText w:val="%6."/>
      <w:lvlJc w:val="left"/>
      <w:pPr>
        <w:tabs>
          <w:tab w:val="num" w:pos="4320"/>
        </w:tabs>
        <w:ind w:left="4320" w:hanging="360"/>
      </w:pPr>
    </w:lvl>
    <w:lvl w:ilvl="6" w:tplc="8FE00048" w:tentative="1">
      <w:start w:val="1"/>
      <w:numFmt w:val="decimal"/>
      <w:lvlText w:val="%7."/>
      <w:lvlJc w:val="left"/>
      <w:pPr>
        <w:tabs>
          <w:tab w:val="num" w:pos="5040"/>
        </w:tabs>
        <w:ind w:left="5040" w:hanging="360"/>
      </w:pPr>
    </w:lvl>
    <w:lvl w:ilvl="7" w:tplc="3BFA5F24" w:tentative="1">
      <w:start w:val="1"/>
      <w:numFmt w:val="decimal"/>
      <w:lvlText w:val="%8."/>
      <w:lvlJc w:val="left"/>
      <w:pPr>
        <w:tabs>
          <w:tab w:val="num" w:pos="5760"/>
        </w:tabs>
        <w:ind w:left="5760" w:hanging="360"/>
      </w:pPr>
    </w:lvl>
    <w:lvl w:ilvl="8" w:tplc="71FC7582" w:tentative="1">
      <w:start w:val="1"/>
      <w:numFmt w:val="decimal"/>
      <w:lvlText w:val="%9."/>
      <w:lvlJc w:val="left"/>
      <w:pPr>
        <w:tabs>
          <w:tab w:val="num" w:pos="6480"/>
        </w:tabs>
        <w:ind w:left="6480" w:hanging="360"/>
      </w:pPr>
    </w:lvl>
  </w:abstractNum>
  <w:abstractNum w:abstractNumId="19" w15:restartNumberingAfterBreak="0">
    <w:nsid w:val="4D085FE4"/>
    <w:multiLevelType w:val="hybridMultilevel"/>
    <w:tmpl w:val="E9121D24"/>
    <w:lvl w:ilvl="0" w:tplc="4D4E0DEE">
      <w:start w:val="1"/>
      <w:numFmt w:val="decimal"/>
      <w:lvlText w:val="%1."/>
      <w:lvlJc w:val="left"/>
      <w:pPr>
        <w:tabs>
          <w:tab w:val="num" w:pos="720"/>
        </w:tabs>
        <w:ind w:left="720" w:hanging="360"/>
      </w:pPr>
    </w:lvl>
    <w:lvl w:ilvl="1" w:tplc="BA5C0C6A" w:tentative="1">
      <w:start w:val="1"/>
      <w:numFmt w:val="decimal"/>
      <w:lvlText w:val="%2."/>
      <w:lvlJc w:val="left"/>
      <w:pPr>
        <w:tabs>
          <w:tab w:val="num" w:pos="1440"/>
        </w:tabs>
        <w:ind w:left="1440" w:hanging="360"/>
      </w:pPr>
    </w:lvl>
    <w:lvl w:ilvl="2" w:tplc="90FEDEB6" w:tentative="1">
      <w:start w:val="1"/>
      <w:numFmt w:val="decimal"/>
      <w:lvlText w:val="%3."/>
      <w:lvlJc w:val="left"/>
      <w:pPr>
        <w:tabs>
          <w:tab w:val="num" w:pos="2160"/>
        </w:tabs>
        <w:ind w:left="2160" w:hanging="360"/>
      </w:pPr>
    </w:lvl>
    <w:lvl w:ilvl="3" w:tplc="910A9C98" w:tentative="1">
      <w:start w:val="1"/>
      <w:numFmt w:val="decimal"/>
      <w:lvlText w:val="%4."/>
      <w:lvlJc w:val="left"/>
      <w:pPr>
        <w:tabs>
          <w:tab w:val="num" w:pos="2880"/>
        </w:tabs>
        <w:ind w:left="2880" w:hanging="360"/>
      </w:pPr>
    </w:lvl>
    <w:lvl w:ilvl="4" w:tplc="E81068A2" w:tentative="1">
      <w:start w:val="1"/>
      <w:numFmt w:val="decimal"/>
      <w:lvlText w:val="%5."/>
      <w:lvlJc w:val="left"/>
      <w:pPr>
        <w:tabs>
          <w:tab w:val="num" w:pos="3600"/>
        </w:tabs>
        <w:ind w:left="3600" w:hanging="360"/>
      </w:pPr>
    </w:lvl>
    <w:lvl w:ilvl="5" w:tplc="94445A68" w:tentative="1">
      <w:start w:val="1"/>
      <w:numFmt w:val="decimal"/>
      <w:lvlText w:val="%6."/>
      <w:lvlJc w:val="left"/>
      <w:pPr>
        <w:tabs>
          <w:tab w:val="num" w:pos="4320"/>
        </w:tabs>
        <w:ind w:left="4320" w:hanging="360"/>
      </w:pPr>
    </w:lvl>
    <w:lvl w:ilvl="6" w:tplc="B6764DD0" w:tentative="1">
      <w:start w:val="1"/>
      <w:numFmt w:val="decimal"/>
      <w:lvlText w:val="%7."/>
      <w:lvlJc w:val="left"/>
      <w:pPr>
        <w:tabs>
          <w:tab w:val="num" w:pos="5040"/>
        </w:tabs>
        <w:ind w:left="5040" w:hanging="360"/>
      </w:pPr>
    </w:lvl>
    <w:lvl w:ilvl="7" w:tplc="82A42E22" w:tentative="1">
      <w:start w:val="1"/>
      <w:numFmt w:val="decimal"/>
      <w:lvlText w:val="%8."/>
      <w:lvlJc w:val="left"/>
      <w:pPr>
        <w:tabs>
          <w:tab w:val="num" w:pos="5760"/>
        </w:tabs>
        <w:ind w:left="5760" w:hanging="360"/>
      </w:pPr>
    </w:lvl>
    <w:lvl w:ilvl="8" w:tplc="3D346F3C" w:tentative="1">
      <w:start w:val="1"/>
      <w:numFmt w:val="decimal"/>
      <w:lvlText w:val="%9."/>
      <w:lvlJc w:val="left"/>
      <w:pPr>
        <w:tabs>
          <w:tab w:val="num" w:pos="6480"/>
        </w:tabs>
        <w:ind w:left="6480" w:hanging="360"/>
      </w:pPr>
    </w:lvl>
  </w:abstractNum>
  <w:abstractNum w:abstractNumId="20" w15:restartNumberingAfterBreak="0">
    <w:nsid w:val="51060AF6"/>
    <w:multiLevelType w:val="hybridMultilevel"/>
    <w:tmpl w:val="6CF8E31A"/>
    <w:lvl w:ilvl="0" w:tplc="154ECD76">
      <w:start w:val="1"/>
      <w:numFmt w:val="decimal"/>
      <w:lvlText w:val="%1."/>
      <w:lvlJc w:val="left"/>
      <w:pPr>
        <w:ind w:left="360" w:hanging="360"/>
      </w:pPr>
      <w:rPr>
        <w:rFonts w:asciiTheme="minorHAnsi" w:hAnsiTheme="minorHAnsi"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4C30FAA"/>
    <w:multiLevelType w:val="hybridMultilevel"/>
    <w:tmpl w:val="D30AD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A17430"/>
    <w:multiLevelType w:val="hybridMultilevel"/>
    <w:tmpl w:val="6332FE52"/>
    <w:lvl w:ilvl="0" w:tplc="E410DCE0">
      <w:start w:val="17"/>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F15360"/>
    <w:multiLevelType w:val="hybridMultilevel"/>
    <w:tmpl w:val="944A7086"/>
    <w:lvl w:ilvl="0" w:tplc="2EF8325C">
      <w:start w:val="1"/>
      <w:numFmt w:val="decimal"/>
      <w:lvlText w:val="%1."/>
      <w:lvlJc w:val="left"/>
      <w:pPr>
        <w:tabs>
          <w:tab w:val="num" w:pos="720"/>
        </w:tabs>
        <w:ind w:left="720" w:hanging="360"/>
      </w:pPr>
    </w:lvl>
    <w:lvl w:ilvl="1" w:tplc="560EEED6" w:tentative="1">
      <w:start w:val="1"/>
      <w:numFmt w:val="decimal"/>
      <w:lvlText w:val="%2."/>
      <w:lvlJc w:val="left"/>
      <w:pPr>
        <w:tabs>
          <w:tab w:val="num" w:pos="1440"/>
        </w:tabs>
        <w:ind w:left="1440" w:hanging="360"/>
      </w:pPr>
    </w:lvl>
    <w:lvl w:ilvl="2" w:tplc="1D3033DC" w:tentative="1">
      <w:start w:val="1"/>
      <w:numFmt w:val="decimal"/>
      <w:lvlText w:val="%3."/>
      <w:lvlJc w:val="left"/>
      <w:pPr>
        <w:tabs>
          <w:tab w:val="num" w:pos="2160"/>
        </w:tabs>
        <w:ind w:left="2160" w:hanging="360"/>
      </w:pPr>
    </w:lvl>
    <w:lvl w:ilvl="3" w:tplc="F288FA86" w:tentative="1">
      <w:start w:val="1"/>
      <w:numFmt w:val="decimal"/>
      <w:lvlText w:val="%4."/>
      <w:lvlJc w:val="left"/>
      <w:pPr>
        <w:tabs>
          <w:tab w:val="num" w:pos="2880"/>
        </w:tabs>
        <w:ind w:left="2880" w:hanging="360"/>
      </w:pPr>
    </w:lvl>
    <w:lvl w:ilvl="4" w:tplc="69D47D20" w:tentative="1">
      <w:start w:val="1"/>
      <w:numFmt w:val="decimal"/>
      <w:lvlText w:val="%5."/>
      <w:lvlJc w:val="left"/>
      <w:pPr>
        <w:tabs>
          <w:tab w:val="num" w:pos="3600"/>
        </w:tabs>
        <w:ind w:left="3600" w:hanging="360"/>
      </w:pPr>
    </w:lvl>
    <w:lvl w:ilvl="5" w:tplc="CB006616" w:tentative="1">
      <w:start w:val="1"/>
      <w:numFmt w:val="decimal"/>
      <w:lvlText w:val="%6."/>
      <w:lvlJc w:val="left"/>
      <w:pPr>
        <w:tabs>
          <w:tab w:val="num" w:pos="4320"/>
        </w:tabs>
        <w:ind w:left="4320" w:hanging="360"/>
      </w:pPr>
    </w:lvl>
    <w:lvl w:ilvl="6" w:tplc="F06E7018" w:tentative="1">
      <w:start w:val="1"/>
      <w:numFmt w:val="decimal"/>
      <w:lvlText w:val="%7."/>
      <w:lvlJc w:val="left"/>
      <w:pPr>
        <w:tabs>
          <w:tab w:val="num" w:pos="5040"/>
        </w:tabs>
        <w:ind w:left="5040" w:hanging="360"/>
      </w:pPr>
    </w:lvl>
    <w:lvl w:ilvl="7" w:tplc="A89631B4" w:tentative="1">
      <w:start w:val="1"/>
      <w:numFmt w:val="decimal"/>
      <w:lvlText w:val="%8."/>
      <w:lvlJc w:val="left"/>
      <w:pPr>
        <w:tabs>
          <w:tab w:val="num" w:pos="5760"/>
        </w:tabs>
        <w:ind w:left="5760" w:hanging="360"/>
      </w:pPr>
    </w:lvl>
    <w:lvl w:ilvl="8" w:tplc="33884E18" w:tentative="1">
      <w:start w:val="1"/>
      <w:numFmt w:val="decimal"/>
      <w:lvlText w:val="%9."/>
      <w:lvlJc w:val="left"/>
      <w:pPr>
        <w:tabs>
          <w:tab w:val="num" w:pos="6480"/>
        </w:tabs>
        <w:ind w:left="6480" w:hanging="360"/>
      </w:pPr>
    </w:lvl>
  </w:abstractNum>
  <w:abstractNum w:abstractNumId="24" w15:restartNumberingAfterBreak="0">
    <w:nsid w:val="5D56043A"/>
    <w:multiLevelType w:val="multilevel"/>
    <w:tmpl w:val="69AEB596"/>
    <w:numStyleLink w:val="BulletsList"/>
  </w:abstractNum>
  <w:abstractNum w:abstractNumId="25" w15:restartNumberingAfterBreak="0">
    <w:nsid w:val="69B63C42"/>
    <w:multiLevelType w:val="hybridMultilevel"/>
    <w:tmpl w:val="6B38D86A"/>
    <w:lvl w:ilvl="0" w:tplc="181079A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6A3DDD"/>
    <w:multiLevelType w:val="hybridMultilevel"/>
    <w:tmpl w:val="D652A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4F81BD" w:themeColor="accent1"/>
      </w:rPr>
    </w:lvl>
    <w:lvl w:ilvl="1">
      <w:start w:val="1"/>
      <w:numFmt w:val="bullet"/>
      <w:pStyle w:val="Bullet2"/>
      <w:lvlText w:val="–"/>
      <w:lvlJc w:val="left"/>
      <w:pPr>
        <w:tabs>
          <w:tab w:val="num" w:pos="568"/>
        </w:tabs>
        <w:ind w:left="568" w:hanging="284"/>
      </w:pPr>
      <w:rPr>
        <w:rFonts w:ascii="Arial" w:hAnsi="Arial" w:hint="default"/>
        <w:color w:val="4F81BD" w:themeColor="accent1"/>
      </w:rPr>
    </w:lvl>
    <w:lvl w:ilvl="2">
      <w:start w:val="1"/>
      <w:numFmt w:val="bullet"/>
      <w:pStyle w:val="Bullet3"/>
      <w:lvlText w:val="»"/>
      <w:lvlJc w:val="left"/>
      <w:pPr>
        <w:tabs>
          <w:tab w:val="num" w:pos="852"/>
        </w:tabs>
        <w:ind w:left="852" w:hanging="285"/>
      </w:pPr>
      <w:rPr>
        <w:rFonts w:ascii="Arial" w:hAnsi="Arial" w:hint="default"/>
        <w:color w:val="4F81BD"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8" w15:restartNumberingAfterBreak="0">
    <w:nsid w:val="756204B5"/>
    <w:multiLevelType w:val="hybridMultilevel"/>
    <w:tmpl w:val="068C6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726980"/>
    <w:multiLevelType w:val="hybridMultilevel"/>
    <w:tmpl w:val="24B484AA"/>
    <w:lvl w:ilvl="0" w:tplc="FC0C14CA">
      <w:start w:val="1"/>
      <w:numFmt w:val="bullet"/>
      <w:lvlText w:val=""/>
      <w:lvlJc w:val="left"/>
      <w:pPr>
        <w:tabs>
          <w:tab w:val="num" w:pos="720"/>
        </w:tabs>
        <w:ind w:left="720" w:hanging="360"/>
      </w:pPr>
      <w:rPr>
        <w:rFonts w:ascii="Wingdings" w:hAnsi="Wingdings" w:hint="default"/>
      </w:rPr>
    </w:lvl>
    <w:lvl w:ilvl="1" w:tplc="107EF388" w:tentative="1">
      <w:start w:val="1"/>
      <w:numFmt w:val="bullet"/>
      <w:lvlText w:val=""/>
      <w:lvlJc w:val="left"/>
      <w:pPr>
        <w:tabs>
          <w:tab w:val="num" w:pos="1440"/>
        </w:tabs>
        <w:ind w:left="1440" w:hanging="360"/>
      </w:pPr>
      <w:rPr>
        <w:rFonts w:ascii="Wingdings" w:hAnsi="Wingdings" w:hint="default"/>
      </w:rPr>
    </w:lvl>
    <w:lvl w:ilvl="2" w:tplc="6526FAA2" w:tentative="1">
      <w:start w:val="1"/>
      <w:numFmt w:val="bullet"/>
      <w:lvlText w:val=""/>
      <w:lvlJc w:val="left"/>
      <w:pPr>
        <w:tabs>
          <w:tab w:val="num" w:pos="2160"/>
        </w:tabs>
        <w:ind w:left="2160" w:hanging="360"/>
      </w:pPr>
      <w:rPr>
        <w:rFonts w:ascii="Wingdings" w:hAnsi="Wingdings" w:hint="default"/>
      </w:rPr>
    </w:lvl>
    <w:lvl w:ilvl="3" w:tplc="CA92BADA" w:tentative="1">
      <w:start w:val="1"/>
      <w:numFmt w:val="bullet"/>
      <w:lvlText w:val=""/>
      <w:lvlJc w:val="left"/>
      <w:pPr>
        <w:tabs>
          <w:tab w:val="num" w:pos="2880"/>
        </w:tabs>
        <w:ind w:left="2880" w:hanging="360"/>
      </w:pPr>
      <w:rPr>
        <w:rFonts w:ascii="Wingdings" w:hAnsi="Wingdings" w:hint="default"/>
      </w:rPr>
    </w:lvl>
    <w:lvl w:ilvl="4" w:tplc="B3682546" w:tentative="1">
      <w:start w:val="1"/>
      <w:numFmt w:val="bullet"/>
      <w:lvlText w:val=""/>
      <w:lvlJc w:val="left"/>
      <w:pPr>
        <w:tabs>
          <w:tab w:val="num" w:pos="3600"/>
        </w:tabs>
        <w:ind w:left="3600" w:hanging="360"/>
      </w:pPr>
      <w:rPr>
        <w:rFonts w:ascii="Wingdings" w:hAnsi="Wingdings" w:hint="default"/>
      </w:rPr>
    </w:lvl>
    <w:lvl w:ilvl="5" w:tplc="7A34B9B4" w:tentative="1">
      <w:start w:val="1"/>
      <w:numFmt w:val="bullet"/>
      <w:lvlText w:val=""/>
      <w:lvlJc w:val="left"/>
      <w:pPr>
        <w:tabs>
          <w:tab w:val="num" w:pos="4320"/>
        </w:tabs>
        <w:ind w:left="4320" w:hanging="360"/>
      </w:pPr>
      <w:rPr>
        <w:rFonts w:ascii="Wingdings" w:hAnsi="Wingdings" w:hint="default"/>
      </w:rPr>
    </w:lvl>
    <w:lvl w:ilvl="6" w:tplc="E408C9A6" w:tentative="1">
      <w:start w:val="1"/>
      <w:numFmt w:val="bullet"/>
      <w:lvlText w:val=""/>
      <w:lvlJc w:val="left"/>
      <w:pPr>
        <w:tabs>
          <w:tab w:val="num" w:pos="5040"/>
        </w:tabs>
        <w:ind w:left="5040" w:hanging="360"/>
      </w:pPr>
      <w:rPr>
        <w:rFonts w:ascii="Wingdings" w:hAnsi="Wingdings" w:hint="default"/>
      </w:rPr>
    </w:lvl>
    <w:lvl w:ilvl="7" w:tplc="645228AC" w:tentative="1">
      <w:start w:val="1"/>
      <w:numFmt w:val="bullet"/>
      <w:lvlText w:val=""/>
      <w:lvlJc w:val="left"/>
      <w:pPr>
        <w:tabs>
          <w:tab w:val="num" w:pos="5760"/>
        </w:tabs>
        <w:ind w:left="5760" w:hanging="360"/>
      </w:pPr>
      <w:rPr>
        <w:rFonts w:ascii="Wingdings" w:hAnsi="Wingdings" w:hint="default"/>
      </w:rPr>
    </w:lvl>
    <w:lvl w:ilvl="8" w:tplc="D0A25BA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800B75"/>
    <w:multiLevelType w:val="hybridMultilevel"/>
    <w:tmpl w:val="4C12C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68E7AAD"/>
    <w:multiLevelType w:val="hybridMultilevel"/>
    <w:tmpl w:val="3D22A268"/>
    <w:lvl w:ilvl="0" w:tplc="0F626960">
      <w:start w:val="1"/>
      <w:numFmt w:val="bullet"/>
      <w:lvlText w:val=""/>
      <w:lvlJc w:val="left"/>
      <w:pPr>
        <w:tabs>
          <w:tab w:val="num" w:pos="720"/>
        </w:tabs>
        <w:ind w:left="720" w:hanging="360"/>
      </w:pPr>
      <w:rPr>
        <w:rFonts w:ascii="Wingdings 2" w:hAnsi="Wingdings 2" w:hint="default"/>
      </w:rPr>
    </w:lvl>
    <w:lvl w:ilvl="1" w:tplc="E604DF0C">
      <w:start w:val="1"/>
      <w:numFmt w:val="bullet"/>
      <w:lvlText w:val=""/>
      <w:lvlJc w:val="left"/>
      <w:pPr>
        <w:tabs>
          <w:tab w:val="num" w:pos="1440"/>
        </w:tabs>
        <w:ind w:left="1440" w:hanging="360"/>
      </w:pPr>
      <w:rPr>
        <w:rFonts w:ascii="Wingdings 2" w:hAnsi="Wingdings 2" w:hint="default"/>
      </w:rPr>
    </w:lvl>
    <w:lvl w:ilvl="2" w:tplc="934A048E" w:tentative="1">
      <w:start w:val="1"/>
      <w:numFmt w:val="bullet"/>
      <w:lvlText w:val=""/>
      <w:lvlJc w:val="left"/>
      <w:pPr>
        <w:tabs>
          <w:tab w:val="num" w:pos="2160"/>
        </w:tabs>
        <w:ind w:left="2160" w:hanging="360"/>
      </w:pPr>
      <w:rPr>
        <w:rFonts w:ascii="Wingdings 2" w:hAnsi="Wingdings 2" w:hint="default"/>
      </w:rPr>
    </w:lvl>
    <w:lvl w:ilvl="3" w:tplc="1E503954" w:tentative="1">
      <w:start w:val="1"/>
      <w:numFmt w:val="bullet"/>
      <w:lvlText w:val=""/>
      <w:lvlJc w:val="left"/>
      <w:pPr>
        <w:tabs>
          <w:tab w:val="num" w:pos="2880"/>
        </w:tabs>
        <w:ind w:left="2880" w:hanging="360"/>
      </w:pPr>
      <w:rPr>
        <w:rFonts w:ascii="Wingdings 2" w:hAnsi="Wingdings 2" w:hint="default"/>
      </w:rPr>
    </w:lvl>
    <w:lvl w:ilvl="4" w:tplc="B1DE3692" w:tentative="1">
      <w:start w:val="1"/>
      <w:numFmt w:val="bullet"/>
      <w:lvlText w:val=""/>
      <w:lvlJc w:val="left"/>
      <w:pPr>
        <w:tabs>
          <w:tab w:val="num" w:pos="3600"/>
        </w:tabs>
        <w:ind w:left="3600" w:hanging="360"/>
      </w:pPr>
      <w:rPr>
        <w:rFonts w:ascii="Wingdings 2" w:hAnsi="Wingdings 2" w:hint="default"/>
      </w:rPr>
    </w:lvl>
    <w:lvl w:ilvl="5" w:tplc="D1BCB70A" w:tentative="1">
      <w:start w:val="1"/>
      <w:numFmt w:val="bullet"/>
      <w:lvlText w:val=""/>
      <w:lvlJc w:val="left"/>
      <w:pPr>
        <w:tabs>
          <w:tab w:val="num" w:pos="4320"/>
        </w:tabs>
        <w:ind w:left="4320" w:hanging="360"/>
      </w:pPr>
      <w:rPr>
        <w:rFonts w:ascii="Wingdings 2" w:hAnsi="Wingdings 2" w:hint="default"/>
      </w:rPr>
    </w:lvl>
    <w:lvl w:ilvl="6" w:tplc="74E4F062" w:tentative="1">
      <w:start w:val="1"/>
      <w:numFmt w:val="bullet"/>
      <w:lvlText w:val=""/>
      <w:lvlJc w:val="left"/>
      <w:pPr>
        <w:tabs>
          <w:tab w:val="num" w:pos="5040"/>
        </w:tabs>
        <w:ind w:left="5040" w:hanging="360"/>
      </w:pPr>
      <w:rPr>
        <w:rFonts w:ascii="Wingdings 2" w:hAnsi="Wingdings 2" w:hint="default"/>
      </w:rPr>
    </w:lvl>
    <w:lvl w:ilvl="7" w:tplc="6B0C062A" w:tentative="1">
      <w:start w:val="1"/>
      <w:numFmt w:val="bullet"/>
      <w:lvlText w:val=""/>
      <w:lvlJc w:val="left"/>
      <w:pPr>
        <w:tabs>
          <w:tab w:val="num" w:pos="5760"/>
        </w:tabs>
        <w:ind w:left="5760" w:hanging="360"/>
      </w:pPr>
      <w:rPr>
        <w:rFonts w:ascii="Wingdings 2" w:hAnsi="Wingdings 2" w:hint="default"/>
      </w:rPr>
    </w:lvl>
    <w:lvl w:ilvl="8" w:tplc="C3A894AC"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71664A9"/>
    <w:multiLevelType w:val="hybridMultilevel"/>
    <w:tmpl w:val="03FAFDD2"/>
    <w:lvl w:ilvl="0" w:tplc="1F1AA386">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DA4EA9"/>
    <w:multiLevelType w:val="hybridMultilevel"/>
    <w:tmpl w:val="360CEE06"/>
    <w:lvl w:ilvl="0" w:tplc="DE2A7B1C">
      <w:start w:val="1"/>
      <w:numFmt w:val="bullet"/>
      <w:pStyle w:val="SDAbulletpoints"/>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32A19"/>
    <w:multiLevelType w:val="hybridMultilevel"/>
    <w:tmpl w:val="7BC6C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9A1695"/>
    <w:multiLevelType w:val="hybridMultilevel"/>
    <w:tmpl w:val="2D325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29"/>
  </w:num>
  <w:num w:numId="5">
    <w:abstractNumId w:val="9"/>
  </w:num>
  <w:num w:numId="6">
    <w:abstractNumId w:val="31"/>
  </w:num>
  <w:num w:numId="7">
    <w:abstractNumId w:val="7"/>
  </w:num>
  <w:num w:numId="8">
    <w:abstractNumId w:val="23"/>
  </w:num>
  <w:num w:numId="9">
    <w:abstractNumId w:val="15"/>
  </w:num>
  <w:num w:numId="10">
    <w:abstractNumId w:val="18"/>
  </w:num>
  <w:num w:numId="11">
    <w:abstractNumId w:val="1"/>
  </w:num>
  <w:num w:numId="12">
    <w:abstractNumId w:val="35"/>
  </w:num>
  <w:num w:numId="13">
    <w:abstractNumId w:val="16"/>
  </w:num>
  <w:num w:numId="14">
    <w:abstractNumId w:val="30"/>
  </w:num>
  <w:num w:numId="15">
    <w:abstractNumId w:val="22"/>
  </w:num>
  <w:num w:numId="16">
    <w:abstractNumId w:val="21"/>
  </w:num>
  <w:num w:numId="17">
    <w:abstractNumId w:val="13"/>
  </w:num>
  <w:num w:numId="18">
    <w:abstractNumId w:val="28"/>
  </w:num>
  <w:num w:numId="19">
    <w:abstractNumId w:val="11"/>
  </w:num>
  <w:num w:numId="20">
    <w:abstractNumId w:val="2"/>
  </w:num>
  <w:num w:numId="21">
    <w:abstractNumId w:val="32"/>
  </w:num>
  <w:num w:numId="22">
    <w:abstractNumId w:val="4"/>
  </w:num>
  <w:num w:numId="23">
    <w:abstractNumId w:val="5"/>
  </w:num>
  <w:num w:numId="24">
    <w:abstractNumId w:val="33"/>
  </w:num>
  <w:num w:numId="25">
    <w:abstractNumId w:val="8"/>
  </w:num>
  <w:num w:numId="26">
    <w:abstractNumId w:val="34"/>
  </w:num>
  <w:num w:numId="27">
    <w:abstractNumId w:val="14"/>
  </w:num>
  <w:num w:numId="28">
    <w:abstractNumId w:val="26"/>
  </w:num>
  <w:num w:numId="29">
    <w:abstractNumId w:val="17"/>
  </w:num>
  <w:num w:numId="30">
    <w:abstractNumId w:val="27"/>
  </w:num>
  <w:num w:numId="31">
    <w:abstractNumId w:val="24"/>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
  </w:num>
  <w:num w:numId="36">
    <w:abstractNumId w:val="2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4F"/>
    <w:rsid w:val="00000668"/>
    <w:rsid w:val="0002728B"/>
    <w:rsid w:val="000411F9"/>
    <w:rsid w:val="0004779C"/>
    <w:rsid w:val="0005523F"/>
    <w:rsid w:val="00057125"/>
    <w:rsid w:val="00064702"/>
    <w:rsid w:val="0006767D"/>
    <w:rsid w:val="000740DB"/>
    <w:rsid w:val="000760CE"/>
    <w:rsid w:val="00076BBD"/>
    <w:rsid w:val="000835A9"/>
    <w:rsid w:val="00087087"/>
    <w:rsid w:val="000956F7"/>
    <w:rsid w:val="00096F76"/>
    <w:rsid w:val="000B0D2F"/>
    <w:rsid w:val="000B160F"/>
    <w:rsid w:val="000B2A79"/>
    <w:rsid w:val="000B55C8"/>
    <w:rsid w:val="000B64D8"/>
    <w:rsid w:val="000C398F"/>
    <w:rsid w:val="000D2440"/>
    <w:rsid w:val="000D64C6"/>
    <w:rsid w:val="000E7AD0"/>
    <w:rsid w:val="000F0D4A"/>
    <w:rsid w:val="000F34FE"/>
    <w:rsid w:val="000F6048"/>
    <w:rsid w:val="00107D7A"/>
    <w:rsid w:val="00116811"/>
    <w:rsid w:val="00126A49"/>
    <w:rsid w:val="00130CCA"/>
    <w:rsid w:val="00131E1E"/>
    <w:rsid w:val="00140F34"/>
    <w:rsid w:val="0014153E"/>
    <w:rsid w:val="00143A3D"/>
    <w:rsid w:val="00143F5A"/>
    <w:rsid w:val="00154A83"/>
    <w:rsid w:val="00170DDD"/>
    <w:rsid w:val="0017225F"/>
    <w:rsid w:val="00181F20"/>
    <w:rsid w:val="001824EC"/>
    <w:rsid w:val="0018463C"/>
    <w:rsid w:val="00185CF2"/>
    <w:rsid w:val="00192EF2"/>
    <w:rsid w:val="00193297"/>
    <w:rsid w:val="001B139E"/>
    <w:rsid w:val="001B6839"/>
    <w:rsid w:val="001D74BC"/>
    <w:rsid w:val="001D7588"/>
    <w:rsid w:val="001F2158"/>
    <w:rsid w:val="0020133E"/>
    <w:rsid w:val="0020221A"/>
    <w:rsid w:val="0023359C"/>
    <w:rsid w:val="00246023"/>
    <w:rsid w:val="002551F2"/>
    <w:rsid w:val="002617FD"/>
    <w:rsid w:val="002639CD"/>
    <w:rsid w:val="002679C8"/>
    <w:rsid w:val="0029496C"/>
    <w:rsid w:val="002A1F7A"/>
    <w:rsid w:val="002A2173"/>
    <w:rsid w:val="002A3D64"/>
    <w:rsid w:val="002A3FE8"/>
    <w:rsid w:val="002B4626"/>
    <w:rsid w:val="002B72B5"/>
    <w:rsid w:val="002C2EBB"/>
    <w:rsid w:val="002D504C"/>
    <w:rsid w:val="0031228F"/>
    <w:rsid w:val="00312CB3"/>
    <w:rsid w:val="0032700B"/>
    <w:rsid w:val="0034389F"/>
    <w:rsid w:val="00344A74"/>
    <w:rsid w:val="00354933"/>
    <w:rsid w:val="00356268"/>
    <w:rsid w:val="00363A28"/>
    <w:rsid w:val="003679D9"/>
    <w:rsid w:val="003701AC"/>
    <w:rsid w:val="003754C1"/>
    <w:rsid w:val="003B54C4"/>
    <w:rsid w:val="003B73B0"/>
    <w:rsid w:val="003C66E3"/>
    <w:rsid w:val="003C7D2C"/>
    <w:rsid w:val="003D3B2B"/>
    <w:rsid w:val="003E0FD1"/>
    <w:rsid w:val="003E1273"/>
    <w:rsid w:val="003E5BD7"/>
    <w:rsid w:val="003E6EF7"/>
    <w:rsid w:val="003F06E6"/>
    <w:rsid w:val="003F3301"/>
    <w:rsid w:val="003F43AB"/>
    <w:rsid w:val="003F46E3"/>
    <w:rsid w:val="003F5D1E"/>
    <w:rsid w:val="004157B5"/>
    <w:rsid w:val="004213DA"/>
    <w:rsid w:val="0042565B"/>
    <w:rsid w:val="00441BCB"/>
    <w:rsid w:val="00482ED4"/>
    <w:rsid w:val="00486381"/>
    <w:rsid w:val="004A0532"/>
    <w:rsid w:val="004A31D7"/>
    <w:rsid w:val="004A3F2F"/>
    <w:rsid w:val="004B1798"/>
    <w:rsid w:val="004B5FBC"/>
    <w:rsid w:val="004C0FD9"/>
    <w:rsid w:val="004C3C51"/>
    <w:rsid w:val="004D0EC0"/>
    <w:rsid w:val="004D2159"/>
    <w:rsid w:val="004E0368"/>
    <w:rsid w:val="004E4CFC"/>
    <w:rsid w:val="004F121D"/>
    <w:rsid w:val="004F2E93"/>
    <w:rsid w:val="005043E7"/>
    <w:rsid w:val="00505C3A"/>
    <w:rsid w:val="00511C0C"/>
    <w:rsid w:val="005167B6"/>
    <w:rsid w:val="00520A60"/>
    <w:rsid w:val="00527245"/>
    <w:rsid w:val="005321BB"/>
    <w:rsid w:val="00536998"/>
    <w:rsid w:val="00541004"/>
    <w:rsid w:val="00544165"/>
    <w:rsid w:val="0055471E"/>
    <w:rsid w:val="00570E07"/>
    <w:rsid w:val="00572CB0"/>
    <w:rsid w:val="005806F8"/>
    <w:rsid w:val="005972EB"/>
    <w:rsid w:val="005C1C00"/>
    <w:rsid w:val="005C35F5"/>
    <w:rsid w:val="005C3D38"/>
    <w:rsid w:val="005D3B6E"/>
    <w:rsid w:val="005E585D"/>
    <w:rsid w:val="005F3340"/>
    <w:rsid w:val="00601713"/>
    <w:rsid w:val="00613203"/>
    <w:rsid w:val="00614E2E"/>
    <w:rsid w:val="0061597E"/>
    <w:rsid w:val="0061667A"/>
    <w:rsid w:val="006179AD"/>
    <w:rsid w:val="006448F0"/>
    <w:rsid w:val="00652ADA"/>
    <w:rsid w:val="00654419"/>
    <w:rsid w:val="00666294"/>
    <w:rsid w:val="00672054"/>
    <w:rsid w:val="00676F85"/>
    <w:rsid w:val="00680C3E"/>
    <w:rsid w:val="006825DC"/>
    <w:rsid w:val="006833B9"/>
    <w:rsid w:val="006834AA"/>
    <w:rsid w:val="00683D00"/>
    <w:rsid w:val="006842CA"/>
    <w:rsid w:val="0068632C"/>
    <w:rsid w:val="00690747"/>
    <w:rsid w:val="00692539"/>
    <w:rsid w:val="0069670F"/>
    <w:rsid w:val="006969A2"/>
    <w:rsid w:val="006A1B06"/>
    <w:rsid w:val="006A4A69"/>
    <w:rsid w:val="006A7F80"/>
    <w:rsid w:val="006D31FA"/>
    <w:rsid w:val="006E601B"/>
    <w:rsid w:val="006F41CE"/>
    <w:rsid w:val="007014D0"/>
    <w:rsid w:val="00702409"/>
    <w:rsid w:val="0070312D"/>
    <w:rsid w:val="00703572"/>
    <w:rsid w:val="0070647D"/>
    <w:rsid w:val="00720ABC"/>
    <w:rsid w:val="00724B96"/>
    <w:rsid w:val="0072715B"/>
    <w:rsid w:val="00727C7F"/>
    <w:rsid w:val="0073070F"/>
    <w:rsid w:val="00746DE9"/>
    <w:rsid w:val="007638F3"/>
    <w:rsid w:val="007702FA"/>
    <w:rsid w:val="007744C3"/>
    <w:rsid w:val="00790C26"/>
    <w:rsid w:val="00791E9E"/>
    <w:rsid w:val="00792042"/>
    <w:rsid w:val="007B10E1"/>
    <w:rsid w:val="007B16CE"/>
    <w:rsid w:val="007B7BF1"/>
    <w:rsid w:val="007C41C5"/>
    <w:rsid w:val="007F1387"/>
    <w:rsid w:val="007F4917"/>
    <w:rsid w:val="007F5ADA"/>
    <w:rsid w:val="007F69E6"/>
    <w:rsid w:val="0080708D"/>
    <w:rsid w:val="00813B3F"/>
    <w:rsid w:val="00816C61"/>
    <w:rsid w:val="00824BFB"/>
    <w:rsid w:val="00832938"/>
    <w:rsid w:val="008476B1"/>
    <w:rsid w:val="00847CF5"/>
    <w:rsid w:val="00851878"/>
    <w:rsid w:val="0086449B"/>
    <w:rsid w:val="00867168"/>
    <w:rsid w:val="0087036D"/>
    <w:rsid w:val="0087200F"/>
    <w:rsid w:val="00877167"/>
    <w:rsid w:val="00890533"/>
    <w:rsid w:val="00896AE4"/>
    <w:rsid w:val="008B069A"/>
    <w:rsid w:val="008B6468"/>
    <w:rsid w:val="008B78A9"/>
    <w:rsid w:val="008D3767"/>
    <w:rsid w:val="008D508F"/>
    <w:rsid w:val="008D5F9A"/>
    <w:rsid w:val="008E31C6"/>
    <w:rsid w:val="008F32B1"/>
    <w:rsid w:val="008F6EED"/>
    <w:rsid w:val="00900F97"/>
    <w:rsid w:val="00911D03"/>
    <w:rsid w:val="00913F38"/>
    <w:rsid w:val="00935A84"/>
    <w:rsid w:val="0094739B"/>
    <w:rsid w:val="00947A67"/>
    <w:rsid w:val="00952ED4"/>
    <w:rsid w:val="00962137"/>
    <w:rsid w:val="0096410B"/>
    <w:rsid w:val="00983E53"/>
    <w:rsid w:val="00996051"/>
    <w:rsid w:val="00997537"/>
    <w:rsid w:val="00997C2A"/>
    <w:rsid w:val="009A0B49"/>
    <w:rsid w:val="009A0B64"/>
    <w:rsid w:val="009A7D30"/>
    <w:rsid w:val="009B69CB"/>
    <w:rsid w:val="009C5213"/>
    <w:rsid w:val="009C5561"/>
    <w:rsid w:val="009D3E8C"/>
    <w:rsid w:val="009D4261"/>
    <w:rsid w:val="009E1DBB"/>
    <w:rsid w:val="00A14383"/>
    <w:rsid w:val="00A21DE1"/>
    <w:rsid w:val="00A24CD9"/>
    <w:rsid w:val="00A30941"/>
    <w:rsid w:val="00A33731"/>
    <w:rsid w:val="00A50F09"/>
    <w:rsid w:val="00A603C3"/>
    <w:rsid w:val="00A63BFB"/>
    <w:rsid w:val="00A91E23"/>
    <w:rsid w:val="00A97EE1"/>
    <w:rsid w:val="00AD0732"/>
    <w:rsid w:val="00AD7660"/>
    <w:rsid w:val="00AE5CA6"/>
    <w:rsid w:val="00AF2ED4"/>
    <w:rsid w:val="00AF6174"/>
    <w:rsid w:val="00B021AF"/>
    <w:rsid w:val="00B155A0"/>
    <w:rsid w:val="00B24B58"/>
    <w:rsid w:val="00B24DCC"/>
    <w:rsid w:val="00B25807"/>
    <w:rsid w:val="00B36A1D"/>
    <w:rsid w:val="00B41375"/>
    <w:rsid w:val="00B429C9"/>
    <w:rsid w:val="00B56C8B"/>
    <w:rsid w:val="00B62778"/>
    <w:rsid w:val="00B6568F"/>
    <w:rsid w:val="00B90DB1"/>
    <w:rsid w:val="00B90EFD"/>
    <w:rsid w:val="00B96634"/>
    <w:rsid w:val="00BA4309"/>
    <w:rsid w:val="00BA4A9D"/>
    <w:rsid w:val="00BB708C"/>
    <w:rsid w:val="00BD5E39"/>
    <w:rsid w:val="00BE702C"/>
    <w:rsid w:val="00C02346"/>
    <w:rsid w:val="00C17DEB"/>
    <w:rsid w:val="00C23142"/>
    <w:rsid w:val="00C40AF0"/>
    <w:rsid w:val="00C42DD2"/>
    <w:rsid w:val="00C50BE0"/>
    <w:rsid w:val="00C528EB"/>
    <w:rsid w:val="00C53914"/>
    <w:rsid w:val="00C5592D"/>
    <w:rsid w:val="00C63A5F"/>
    <w:rsid w:val="00C67CEC"/>
    <w:rsid w:val="00CA4224"/>
    <w:rsid w:val="00CA52D1"/>
    <w:rsid w:val="00CC01A1"/>
    <w:rsid w:val="00CC0457"/>
    <w:rsid w:val="00D03DA8"/>
    <w:rsid w:val="00D14107"/>
    <w:rsid w:val="00D1768A"/>
    <w:rsid w:val="00D253AA"/>
    <w:rsid w:val="00D3053A"/>
    <w:rsid w:val="00D32221"/>
    <w:rsid w:val="00D3695C"/>
    <w:rsid w:val="00D56CB5"/>
    <w:rsid w:val="00D64185"/>
    <w:rsid w:val="00D66B0A"/>
    <w:rsid w:val="00D8069B"/>
    <w:rsid w:val="00DB649B"/>
    <w:rsid w:val="00DF2F6B"/>
    <w:rsid w:val="00DF7DAA"/>
    <w:rsid w:val="00E01732"/>
    <w:rsid w:val="00E06D27"/>
    <w:rsid w:val="00E2054F"/>
    <w:rsid w:val="00E3725B"/>
    <w:rsid w:val="00E4381E"/>
    <w:rsid w:val="00E470B0"/>
    <w:rsid w:val="00E52FF0"/>
    <w:rsid w:val="00E53984"/>
    <w:rsid w:val="00E70085"/>
    <w:rsid w:val="00E7078C"/>
    <w:rsid w:val="00E727EB"/>
    <w:rsid w:val="00E76BB5"/>
    <w:rsid w:val="00E97532"/>
    <w:rsid w:val="00EA6236"/>
    <w:rsid w:val="00EB038C"/>
    <w:rsid w:val="00EC7B79"/>
    <w:rsid w:val="00ED1176"/>
    <w:rsid w:val="00ED2F57"/>
    <w:rsid w:val="00EF625D"/>
    <w:rsid w:val="00F3558C"/>
    <w:rsid w:val="00F43F24"/>
    <w:rsid w:val="00F46D07"/>
    <w:rsid w:val="00F61175"/>
    <w:rsid w:val="00F74E5F"/>
    <w:rsid w:val="00F9570E"/>
    <w:rsid w:val="00F95841"/>
    <w:rsid w:val="00FA268D"/>
    <w:rsid w:val="00FB04BD"/>
    <w:rsid w:val="00FD64BB"/>
    <w:rsid w:val="00FE4F0A"/>
    <w:rsid w:val="00FF561E"/>
    <w:rsid w:val="00FF7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A05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C5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9C5213"/>
    <w:pPr>
      <w:keepLines w:val="0"/>
      <w:spacing w:before="240" w:after="60"/>
      <w:outlineLvl w:val="1"/>
    </w:pPr>
    <w:rPr>
      <w:rFonts w:ascii="Arial" w:eastAsia="Times New Roman" w:hAnsi="Arial" w:cs="Arial"/>
      <w:bCs w:val="0"/>
      <w:iCs/>
      <w:color w:val="auto"/>
      <w:sz w:val="24"/>
      <w:szCs w:val="22"/>
      <w:lang w:eastAsia="en-AU"/>
    </w:rPr>
  </w:style>
  <w:style w:type="paragraph" w:styleId="Heading3">
    <w:name w:val="heading 3"/>
    <w:basedOn w:val="Normal"/>
    <w:next w:val="Normal"/>
    <w:link w:val="Heading3Char"/>
    <w:unhideWhenUsed/>
    <w:qFormat/>
    <w:rsid w:val="002B462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054F"/>
    <w:pPr>
      <w:pBdr>
        <w:bottom w:val="single" w:sz="8" w:space="4" w:color="215868" w:themeColor="accent5" w:themeShade="80"/>
      </w:pBdr>
      <w:spacing w:before="120" w:after="300"/>
      <w:contextualSpacing/>
    </w:pPr>
    <w:rPr>
      <w:rFonts w:asciiTheme="majorHAnsi" w:eastAsiaTheme="majorEastAsia" w:hAnsiTheme="majorHAnsi" w:cstheme="majorBidi"/>
      <w:color w:val="0F243E" w:themeColor="text2" w:themeShade="80"/>
      <w:spacing w:val="5"/>
      <w:kern w:val="28"/>
      <w:sz w:val="52"/>
      <w:szCs w:val="52"/>
      <w:lang w:eastAsia="en-AU"/>
    </w:rPr>
  </w:style>
  <w:style w:type="character" w:customStyle="1" w:styleId="TitleChar">
    <w:name w:val="Title Char"/>
    <w:basedOn w:val="DefaultParagraphFont"/>
    <w:link w:val="Title"/>
    <w:uiPriority w:val="10"/>
    <w:rsid w:val="00E2054F"/>
    <w:rPr>
      <w:rFonts w:asciiTheme="majorHAnsi" w:eastAsiaTheme="majorEastAsia" w:hAnsiTheme="majorHAnsi" w:cstheme="majorBidi"/>
      <w:color w:val="0F243E" w:themeColor="text2" w:themeShade="80"/>
      <w:spacing w:val="5"/>
      <w:kern w:val="28"/>
      <w:sz w:val="52"/>
      <w:szCs w:val="52"/>
    </w:rPr>
  </w:style>
  <w:style w:type="character" w:styleId="SubtleEmphasis">
    <w:name w:val="Subtle Emphasis"/>
    <w:basedOn w:val="DefaultParagraphFont"/>
    <w:uiPriority w:val="19"/>
    <w:qFormat/>
    <w:rsid w:val="00E2054F"/>
    <w:rPr>
      <w:i/>
      <w:iCs/>
      <w:color w:val="auto"/>
    </w:rPr>
  </w:style>
  <w:style w:type="character" w:styleId="FootnoteReference">
    <w:name w:val="footnote reference"/>
    <w:basedOn w:val="DefaultParagraphFont"/>
    <w:uiPriority w:val="99"/>
    <w:rsid w:val="00E2054F"/>
    <w:rPr>
      <w:rFonts w:ascii="Times New Roman" w:hAnsi="Times New Roman"/>
      <w:position w:val="6"/>
      <w:sz w:val="18"/>
      <w:vertAlign w:val="baseline"/>
    </w:rPr>
  </w:style>
  <w:style w:type="paragraph" w:styleId="FootnoteText">
    <w:name w:val="footnote text"/>
    <w:basedOn w:val="BodyText"/>
    <w:link w:val="FootnoteTextChar"/>
    <w:uiPriority w:val="99"/>
    <w:rsid w:val="00E2054F"/>
    <w:pPr>
      <w:tabs>
        <w:tab w:val="left" w:pos="284"/>
      </w:tabs>
      <w:spacing w:before="60" w:after="0" w:line="220" w:lineRule="exact"/>
      <w:ind w:left="284" w:hanging="284"/>
    </w:pPr>
    <w:rPr>
      <w:sz w:val="20"/>
      <w:szCs w:val="20"/>
      <w:lang w:eastAsia="en-AU"/>
    </w:rPr>
  </w:style>
  <w:style w:type="character" w:customStyle="1" w:styleId="FootnoteTextChar">
    <w:name w:val="Footnote Text Char"/>
    <w:basedOn w:val="DefaultParagraphFont"/>
    <w:link w:val="FootnoteText"/>
    <w:uiPriority w:val="99"/>
    <w:rsid w:val="00E2054F"/>
  </w:style>
  <w:style w:type="paragraph" w:styleId="List2">
    <w:name w:val="List 2"/>
    <w:basedOn w:val="Normal"/>
    <w:uiPriority w:val="99"/>
    <w:unhideWhenUsed/>
    <w:rsid w:val="00E2054F"/>
    <w:pPr>
      <w:spacing w:before="120" w:line="300" w:lineRule="atLeast"/>
      <w:ind w:left="568" w:hanging="284"/>
    </w:pPr>
    <w:rPr>
      <w:szCs w:val="20"/>
      <w:lang w:eastAsia="en-AU"/>
    </w:rPr>
  </w:style>
  <w:style w:type="paragraph" w:styleId="BodyText">
    <w:name w:val="Body Text"/>
    <w:basedOn w:val="Normal"/>
    <w:link w:val="BodyTextChar"/>
    <w:rsid w:val="00E2054F"/>
    <w:pPr>
      <w:spacing w:after="120"/>
    </w:pPr>
  </w:style>
  <w:style w:type="character" w:customStyle="1" w:styleId="BodyTextChar">
    <w:name w:val="Body Text Char"/>
    <w:basedOn w:val="DefaultParagraphFont"/>
    <w:link w:val="BodyText"/>
    <w:rsid w:val="00E2054F"/>
    <w:rPr>
      <w:sz w:val="24"/>
      <w:szCs w:val="24"/>
      <w:lang w:eastAsia="en-US"/>
    </w:rPr>
  </w:style>
  <w:style w:type="paragraph" w:styleId="List">
    <w:name w:val="List"/>
    <w:basedOn w:val="Normal"/>
    <w:rsid w:val="00877167"/>
    <w:pPr>
      <w:ind w:left="283" w:hanging="283"/>
      <w:contextualSpacing/>
    </w:p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
    <w:basedOn w:val="Normal"/>
    <w:link w:val="ListParagraphChar"/>
    <w:uiPriority w:val="34"/>
    <w:qFormat/>
    <w:rsid w:val="002C2EBB"/>
    <w:pPr>
      <w:ind w:left="720"/>
      <w:contextualSpacing/>
    </w:pPr>
    <w:rPr>
      <w:lang w:val="fr-FR" w:eastAsia="fr-FR"/>
    </w:rPr>
  </w:style>
  <w:style w:type="paragraph" w:styleId="Header">
    <w:name w:val="header"/>
    <w:basedOn w:val="Normal"/>
    <w:link w:val="HeaderChar"/>
    <w:rsid w:val="000F0D4A"/>
    <w:pPr>
      <w:tabs>
        <w:tab w:val="center" w:pos="4513"/>
        <w:tab w:val="right" w:pos="9026"/>
      </w:tabs>
    </w:pPr>
  </w:style>
  <w:style w:type="character" w:customStyle="1" w:styleId="HeaderChar">
    <w:name w:val="Header Char"/>
    <w:basedOn w:val="DefaultParagraphFont"/>
    <w:link w:val="Header"/>
    <w:rsid w:val="000F0D4A"/>
    <w:rPr>
      <w:sz w:val="24"/>
      <w:szCs w:val="24"/>
      <w:lang w:eastAsia="en-US"/>
    </w:rPr>
  </w:style>
  <w:style w:type="paragraph" w:styleId="Footer">
    <w:name w:val="footer"/>
    <w:basedOn w:val="Normal"/>
    <w:link w:val="FooterChar"/>
    <w:uiPriority w:val="99"/>
    <w:rsid w:val="000F0D4A"/>
    <w:pPr>
      <w:tabs>
        <w:tab w:val="center" w:pos="4513"/>
        <w:tab w:val="right" w:pos="9026"/>
      </w:tabs>
    </w:pPr>
  </w:style>
  <w:style w:type="character" w:customStyle="1" w:styleId="FooterChar">
    <w:name w:val="Footer Char"/>
    <w:basedOn w:val="DefaultParagraphFont"/>
    <w:link w:val="Footer"/>
    <w:uiPriority w:val="99"/>
    <w:rsid w:val="000F0D4A"/>
    <w:rPr>
      <w:sz w:val="24"/>
      <w:szCs w:val="24"/>
      <w:lang w:eastAsia="en-US"/>
    </w:rPr>
  </w:style>
  <w:style w:type="character" w:styleId="CommentReference">
    <w:name w:val="annotation reference"/>
    <w:basedOn w:val="DefaultParagraphFont"/>
    <w:semiHidden/>
    <w:unhideWhenUsed/>
    <w:rsid w:val="00DF2F6B"/>
    <w:rPr>
      <w:sz w:val="16"/>
      <w:szCs w:val="16"/>
    </w:rPr>
  </w:style>
  <w:style w:type="paragraph" w:styleId="CommentText">
    <w:name w:val="annotation text"/>
    <w:basedOn w:val="Normal"/>
    <w:link w:val="CommentTextChar"/>
    <w:unhideWhenUsed/>
    <w:rsid w:val="00DF2F6B"/>
    <w:rPr>
      <w:sz w:val="20"/>
      <w:szCs w:val="20"/>
    </w:rPr>
  </w:style>
  <w:style w:type="character" w:customStyle="1" w:styleId="CommentTextChar">
    <w:name w:val="Comment Text Char"/>
    <w:basedOn w:val="DefaultParagraphFont"/>
    <w:link w:val="CommentText"/>
    <w:rsid w:val="00DF2F6B"/>
    <w:rPr>
      <w:lang w:eastAsia="en-US"/>
    </w:rPr>
  </w:style>
  <w:style w:type="paragraph" w:styleId="CommentSubject">
    <w:name w:val="annotation subject"/>
    <w:basedOn w:val="CommentText"/>
    <w:next w:val="CommentText"/>
    <w:link w:val="CommentSubjectChar"/>
    <w:semiHidden/>
    <w:unhideWhenUsed/>
    <w:rsid w:val="00DF2F6B"/>
    <w:rPr>
      <w:b/>
      <w:bCs/>
    </w:rPr>
  </w:style>
  <w:style w:type="character" w:customStyle="1" w:styleId="CommentSubjectChar">
    <w:name w:val="Comment Subject Char"/>
    <w:basedOn w:val="CommentTextChar"/>
    <w:link w:val="CommentSubject"/>
    <w:semiHidden/>
    <w:rsid w:val="00DF2F6B"/>
    <w:rPr>
      <w:b/>
      <w:bCs/>
      <w:lang w:eastAsia="en-US"/>
    </w:rPr>
  </w:style>
  <w:style w:type="paragraph" w:styleId="BalloonText">
    <w:name w:val="Balloon Text"/>
    <w:basedOn w:val="Normal"/>
    <w:link w:val="BalloonTextChar"/>
    <w:semiHidden/>
    <w:unhideWhenUsed/>
    <w:rsid w:val="00DF2F6B"/>
    <w:rPr>
      <w:rFonts w:ascii="Segoe UI" w:hAnsi="Segoe UI" w:cs="Segoe UI"/>
      <w:sz w:val="18"/>
      <w:szCs w:val="18"/>
    </w:rPr>
  </w:style>
  <w:style w:type="character" w:customStyle="1" w:styleId="BalloonTextChar">
    <w:name w:val="Balloon Text Char"/>
    <w:basedOn w:val="DefaultParagraphFont"/>
    <w:link w:val="BalloonText"/>
    <w:semiHidden/>
    <w:rsid w:val="00DF2F6B"/>
    <w:rPr>
      <w:rFonts w:ascii="Segoe UI" w:hAnsi="Segoe UI" w:cs="Segoe UI"/>
      <w:sz w:val="18"/>
      <w:szCs w:val="18"/>
      <w:lang w:eastAsia="en-US"/>
    </w:rPr>
  </w:style>
  <w:style w:type="paragraph" w:customStyle="1" w:styleId="DocName">
    <w:name w:val="DocName"/>
    <w:basedOn w:val="Normal"/>
    <w:link w:val="DocNameChar"/>
    <w:rsid w:val="009C5213"/>
    <w:pPr>
      <w:jc w:val="center"/>
    </w:pPr>
    <w:rPr>
      <w:rFonts w:ascii="Arial" w:hAnsi="Arial"/>
      <w:b/>
      <w:bCs/>
      <w:sz w:val="28"/>
    </w:rPr>
  </w:style>
  <w:style w:type="character" w:customStyle="1" w:styleId="DocNameChar">
    <w:name w:val="DocName Char"/>
    <w:link w:val="DocName"/>
    <w:rsid w:val="009C5213"/>
    <w:rPr>
      <w:rFonts w:ascii="Arial" w:hAnsi="Arial"/>
      <w:b/>
      <w:bCs/>
      <w:sz w:val="28"/>
      <w:szCs w:val="24"/>
      <w:lang w:eastAsia="en-US"/>
    </w:rPr>
  </w:style>
  <w:style w:type="character" w:customStyle="1" w:styleId="Heading2Char">
    <w:name w:val="Heading 2 Char"/>
    <w:basedOn w:val="DefaultParagraphFont"/>
    <w:link w:val="Heading2"/>
    <w:rsid w:val="009C5213"/>
    <w:rPr>
      <w:rFonts w:ascii="Arial" w:hAnsi="Arial" w:cs="Arial"/>
      <w:b/>
      <w:iCs/>
      <w:sz w:val="24"/>
      <w:szCs w:val="22"/>
    </w:rPr>
  </w:style>
  <w:style w:type="paragraph" w:customStyle="1" w:styleId="Table-normal-text">
    <w:name w:val="Table-normal-text"/>
    <w:basedOn w:val="Normal"/>
    <w:rsid w:val="009C5213"/>
    <w:pPr>
      <w:spacing w:before="60"/>
    </w:pPr>
    <w:rPr>
      <w:rFonts w:ascii="Arial" w:hAnsi="Arial"/>
      <w:sz w:val="20"/>
    </w:rPr>
  </w:style>
  <w:style w:type="character" w:customStyle="1" w:styleId="Heading1Char">
    <w:name w:val="Heading 1 Char"/>
    <w:basedOn w:val="DefaultParagraphFont"/>
    <w:link w:val="Heading1"/>
    <w:rsid w:val="009C5213"/>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semiHidden/>
    <w:unhideWhenUsed/>
    <w:rsid w:val="00813B3F"/>
    <w:rPr>
      <w:rFonts w:ascii="Times New Roman" w:hAnsi="Times New Roman" w:cs="Times New Roman" w:hint="default"/>
      <w:color w:val="000000"/>
      <w:u w:val="single"/>
    </w:rPr>
  </w:style>
  <w:style w:type="paragraph" w:customStyle="1" w:styleId="SDAbodytext">
    <w:name w:val="SDA body text"/>
    <w:basedOn w:val="Normal"/>
    <w:link w:val="SDAbodytextChar"/>
    <w:qFormat/>
    <w:rsid w:val="000F34FE"/>
    <w:pPr>
      <w:spacing w:before="120" w:after="120"/>
    </w:pPr>
    <w:rPr>
      <w:rFonts w:asciiTheme="minorHAnsi" w:eastAsiaTheme="minorHAnsi" w:hAnsiTheme="minorHAnsi" w:cstheme="minorBidi"/>
      <w:sz w:val="22"/>
      <w:szCs w:val="22"/>
    </w:rPr>
  </w:style>
  <w:style w:type="character" w:customStyle="1" w:styleId="SDAbodytextChar">
    <w:name w:val="SDA body text Char"/>
    <w:basedOn w:val="DefaultParagraphFont"/>
    <w:link w:val="SDAbodytext"/>
    <w:rsid w:val="000F34FE"/>
    <w:rPr>
      <w:rFonts w:asciiTheme="minorHAnsi" w:eastAsiaTheme="minorHAnsi" w:hAnsiTheme="minorHAnsi" w:cstheme="minorBidi"/>
      <w:sz w:val="22"/>
      <w:szCs w:val="22"/>
      <w:lang w:eastAsia="en-US"/>
    </w:rPr>
  </w:style>
  <w:style w:type="paragraph" w:customStyle="1" w:styleId="SDAbulletpoints">
    <w:name w:val="SDA bullet points"/>
    <w:basedOn w:val="SDAbodytext"/>
    <w:link w:val="SDAbulletpointsChar"/>
    <w:qFormat/>
    <w:rsid w:val="000F34FE"/>
    <w:pPr>
      <w:numPr>
        <w:numId w:val="24"/>
      </w:numPr>
    </w:pPr>
  </w:style>
  <w:style w:type="character" w:customStyle="1" w:styleId="SDAbulletpointsChar">
    <w:name w:val="SDA bullet points Char"/>
    <w:basedOn w:val="SDAbodytextChar"/>
    <w:link w:val="SDAbulletpoints"/>
    <w:rsid w:val="000F34FE"/>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181F20"/>
    <w:rPr>
      <w:b/>
      <w:bCs/>
    </w:rPr>
  </w:style>
  <w:style w:type="paragraph" w:customStyle="1" w:styleId="TableParagraph">
    <w:name w:val="Table Paragraph"/>
    <w:basedOn w:val="Normal"/>
    <w:uiPriority w:val="1"/>
    <w:qFormat/>
    <w:rsid w:val="004A3F2F"/>
    <w:pPr>
      <w:widowControl w:val="0"/>
      <w:autoSpaceDE w:val="0"/>
      <w:autoSpaceDN w:val="0"/>
    </w:pPr>
    <w:rPr>
      <w:rFonts w:ascii="Arial" w:eastAsia="Arial" w:hAnsi="Arial" w:cs="Arial"/>
      <w:sz w:val="22"/>
      <w:szCs w:val="22"/>
      <w:lang w:val="en-US"/>
    </w:rPr>
  </w:style>
  <w:style w:type="paragraph" w:styleId="Revision">
    <w:name w:val="Revision"/>
    <w:hidden/>
    <w:uiPriority w:val="99"/>
    <w:semiHidden/>
    <w:rsid w:val="001B6839"/>
    <w:rPr>
      <w:sz w:val="24"/>
      <w:szCs w:val="24"/>
      <w:lang w:eastAsia="en-US"/>
    </w:rPr>
  </w:style>
  <w:style w:type="paragraph" w:customStyle="1" w:styleId="Bullet1">
    <w:name w:val="Bullet 1"/>
    <w:basedOn w:val="Normal"/>
    <w:qFormat/>
    <w:rsid w:val="00B24DCC"/>
    <w:pPr>
      <w:numPr>
        <w:numId w:val="31"/>
      </w:numPr>
      <w:tabs>
        <w:tab w:val="left" w:pos="567"/>
      </w:tabs>
      <w:suppressAutoHyphens/>
      <w:spacing w:before="60" w:after="60" w:line="260" w:lineRule="atLeast"/>
    </w:pPr>
    <w:rPr>
      <w:rFonts w:asciiTheme="minorHAnsi" w:eastAsiaTheme="minorHAnsi" w:hAnsiTheme="minorHAnsi" w:cstheme="minorBidi"/>
      <w:color w:val="1F497D" w:themeColor="text2"/>
      <w:sz w:val="22"/>
      <w:szCs w:val="22"/>
      <w:lang w:val="en-GB"/>
    </w:rPr>
  </w:style>
  <w:style w:type="paragraph" w:customStyle="1" w:styleId="Bullet2">
    <w:name w:val="Bullet 2"/>
    <w:basedOn w:val="Bullet1"/>
    <w:qFormat/>
    <w:rsid w:val="00B24DCC"/>
    <w:pPr>
      <w:numPr>
        <w:ilvl w:val="1"/>
      </w:numPr>
      <w:tabs>
        <w:tab w:val="clear" w:pos="568"/>
        <w:tab w:val="left" w:pos="851"/>
      </w:tabs>
    </w:pPr>
  </w:style>
  <w:style w:type="paragraph" w:customStyle="1" w:styleId="Bullet3">
    <w:name w:val="Bullet 3"/>
    <w:basedOn w:val="Bullet2"/>
    <w:qFormat/>
    <w:rsid w:val="00B24DCC"/>
    <w:pPr>
      <w:numPr>
        <w:ilvl w:val="2"/>
      </w:numPr>
      <w:tabs>
        <w:tab w:val="clear" w:pos="852"/>
        <w:tab w:val="left" w:pos="1134"/>
      </w:tabs>
    </w:pPr>
  </w:style>
  <w:style w:type="numbering" w:customStyle="1" w:styleId="BulletsList">
    <w:name w:val="Bullets List"/>
    <w:uiPriority w:val="99"/>
    <w:rsid w:val="00B24DCC"/>
    <w:pPr>
      <w:numPr>
        <w:numId w:val="30"/>
      </w:numPr>
    </w:pPr>
  </w:style>
  <w:style w:type="character" w:customStyle="1" w:styleId="Heading3Char">
    <w:name w:val="Heading 3 Char"/>
    <w:basedOn w:val="DefaultParagraphFont"/>
    <w:link w:val="Heading3"/>
    <w:rsid w:val="002B4626"/>
    <w:rPr>
      <w:rFonts w:asciiTheme="majorHAnsi" w:eastAsiaTheme="majorEastAsia" w:hAnsiTheme="majorHAnsi" w:cstheme="majorBidi"/>
      <w:color w:val="243F60" w:themeColor="accent1" w:themeShade="7F"/>
      <w:sz w:val="24"/>
      <w:szCs w:val="24"/>
      <w:lang w:eastAsia="en-US"/>
    </w:rPr>
  </w:style>
  <w:style w:type="character" w:styleId="IntenseReference">
    <w:name w:val="Intense Reference"/>
    <w:basedOn w:val="DefaultParagraphFont"/>
    <w:uiPriority w:val="32"/>
    <w:qFormat/>
    <w:rsid w:val="002B4626"/>
    <w:rPr>
      <w:rFonts w:asciiTheme="minorHAnsi" w:hAnsiTheme="minorHAnsi"/>
      <w:b/>
      <w:bCs/>
      <w:caps w:val="0"/>
      <w:smallCaps/>
      <w:color w:val="F79646" w:themeColor="accent6"/>
      <w:spacing w:val="5"/>
    </w:rPr>
  </w:style>
  <w:style w:type="table" w:customStyle="1" w:styleId="ODETable">
    <w:name w:val="ODE Table"/>
    <w:basedOn w:val="TableNormal"/>
    <w:uiPriority w:val="99"/>
    <w:rsid w:val="002B4626"/>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8064A2" w:themeFill="accent4"/>
    </w:tcPr>
    <w:tblStylePr w:type="firstRow">
      <w:tblPr/>
      <w:tcPr>
        <w:shd w:val="clear" w:color="auto" w:fill="C0504D" w:themeFill="accent2"/>
      </w:tcPr>
    </w:tblStylePr>
  </w:style>
  <w:style w:type="paragraph" w:customStyle="1" w:styleId="Tablebullets">
    <w:name w:val="Table bullets"/>
    <w:link w:val="TablebulletsChar"/>
    <w:qFormat/>
    <w:rsid w:val="002B4626"/>
    <w:pPr>
      <w:numPr>
        <w:numId w:val="32"/>
      </w:numPr>
    </w:pPr>
    <w:rPr>
      <w:rFonts w:ascii="Helvetica" w:hAnsi="Helvetica" w:cs="Helvetica"/>
      <w:color w:val="000000" w:themeColor="text1"/>
      <w:sz w:val="24"/>
      <w:szCs w:val="24"/>
      <w:lang w:val="en-GB" w:eastAsia="en-US"/>
    </w:rPr>
  </w:style>
  <w:style w:type="character" w:customStyle="1" w:styleId="TablebulletsChar">
    <w:name w:val="Table bullets Char"/>
    <w:basedOn w:val="BodyTextChar"/>
    <w:link w:val="Tablebullets"/>
    <w:rsid w:val="002B4626"/>
    <w:rPr>
      <w:rFonts w:ascii="Helvetica" w:hAnsi="Helvetica" w:cs="Helvetica"/>
      <w:color w:val="000000" w:themeColor="text1"/>
      <w:sz w:val="24"/>
      <w:szCs w:val="24"/>
      <w:lang w:val="en-GB" w:eastAsia="en-US"/>
    </w:rPr>
  </w:style>
  <w:style w:type="paragraph" w:customStyle="1" w:styleId="Bodytxt">
    <w:name w:val="Bodytxt"/>
    <w:basedOn w:val="Normal"/>
    <w:link w:val="BodytxtChar"/>
    <w:rsid w:val="00363A28"/>
    <w:pPr>
      <w:spacing w:after="120"/>
      <w:ind w:left="720"/>
      <w:jc w:val="both"/>
    </w:pPr>
    <w:rPr>
      <w:rFonts w:ascii="Calibri" w:hAnsi="Calibri"/>
      <w:sz w:val="22"/>
    </w:rPr>
  </w:style>
  <w:style w:type="paragraph" w:customStyle="1" w:styleId="Bullets">
    <w:name w:val="Bullets"/>
    <w:basedOn w:val="Bodytxt"/>
    <w:rsid w:val="00363A28"/>
    <w:pPr>
      <w:numPr>
        <w:numId w:val="35"/>
      </w:numPr>
      <w:tabs>
        <w:tab w:val="clear" w:pos="1814"/>
        <w:tab w:val="num" w:pos="720"/>
      </w:tabs>
      <w:spacing w:after="60"/>
      <w:ind w:left="720" w:hanging="360"/>
    </w:pPr>
    <w:rPr>
      <w:lang w:val="en-GB"/>
    </w:rPr>
  </w:style>
  <w:style w:type="paragraph" w:customStyle="1" w:styleId="Bullets-last">
    <w:name w:val="Bullets - last"/>
    <w:basedOn w:val="Bullets"/>
    <w:next w:val="Bodytxt"/>
    <w:rsid w:val="00363A28"/>
    <w:pPr>
      <w:spacing w:after="120"/>
    </w:pPr>
  </w:style>
  <w:style w:type="character" w:customStyle="1" w:styleId="BodytxtChar">
    <w:name w:val="Bodytxt Char"/>
    <w:link w:val="Bodytxt"/>
    <w:rsid w:val="00363A28"/>
    <w:rPr>
      <w:rFonts w:ascii="Calibri" w:hAnsi="Calibri"/>
      <w:sz w:val="22"/>
      <w:szCs w:val="24"/>
      <w:lang w:eastAsia="en-US"/>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locked/>
    <w:rsid w:val="00BB708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47270">
      <w:bodyDiv w:val="1"/>
      <w:marLeft w:val="0"/>
      <w:marRight w:val="0"/>
      <w:marTop w:val="0"/>
      <w:marBottom w:val="0"/>
      <w:divBdr>
        <w:top w:val="none" w:sz="0" w:space="0" w:color="auto"/>
        <w:left w:val="none" w:sz="0" w:space="0" w:color="auto"/>
        <w:bottom w:val="none" w:sz="0" w:space="0" w:color="auto"/>
        <w:right w:val="none" w:sz="0" w:space="0" w:color="auto"/>
      </w:divBdr>
      <w:divsChild>
        <w:div w:id="530604466">
          <w:marLeft w:val="1008"/>
          <w:marRight w:val="0"/>
          <w:marTop w:val="101"/>
          <w:marBottom w:val="0"/>
          <w:divBdr>
            <w:top w:val="none" w:sz="0" w:space="0" w:color="auto"/>
            <w:left w:val="none" w:sz="0" w:space="0" w:color="auto"/>
            <w:bottom w:val="none" w:sz="0" w:space="0" w:color="auto"/>
            <w:right w:val="none" w:sz="0" w:space="0" w:color="auto"/>
          </w:divBdr>
        </w:div>
        <w:div w:id="1254123615">
          <w:marLeft w:val="1008"/>
          <w:marRight w:val="0"/>
          <w:marTop w:val="101"/>
          <w:marBottom w:val="0"/>
          <w:divBdr>
            <w:top w:val="none" w:sz="0" w:space="0" w:color="auto"/>
            <w:left w:val="none" w:sz="0" w:space="0" w:color="auto"/>
            <w:bottom w:val="none" w:sz="0" w:space="0" w:color="auto"/>
            <w:right w:val="none" w:sz="0" w:space="0" w:color="auto"/>
          </w:divBdr>
        </w:div>
      </w:divsChild>
    </w:div>
    <w:div w:id="283930838">
      <w:bodyDiv w:val="1"/>
      <w:marLeft w:val="0"/>
      <w:marRight w:val="0"/>
      <w:marTop w:val="0"/>
      <w:marBottom w:val="0"/>
      <w:divBdr>
        <w:top w:val="none" w:sz="0" w:space="0" w:color="auto"/>
        <w:left w:val="none" w:sz="0" w:space="0" w:color="auto"/>
        <w:bottom w:val="none" w:sz="0" w:space="0" w:color="auto"/>
        <w:right w:val="none" w:sz="0" w:space="0" w:color="auto"/>
      </w:divBdr>
      <w:divsChild>
        <w:div w:id="663584375">
          <w:marLeft w:val="720"/>
          <w:marRight w:val="0"/>
          <w:marTop w:val="120"/>
          <w:marBottom w:val="0"/>
          <w:divBdr>
            <w:top w:val="none" w:sz="0" w:space="0" w:color="auto"/>
            <w:left w:val="none" w:sz="0" w:space="0" w:color="auto"/>
            <w:bottom w:val="none" w:sz="0" w:space="0" w:color="auto"/>
            <w:right w:val="none" w:sz="0" w:space="0" w:color="auto"/>
          </w:divBdr>
        </w:div>
        <w:div w:id="1617441214">
          <w:marLeft w:val="720"/>
          <w:marRight w:val="0"/>
          <w:marTop w:val="120"/>
          <w:marBottom w:val="0"/>
          <w:divBdr>
            <w:top w:val="none" w:sz="0" w:space="0" w:color="auto"/>
            <w:left w:val="none" w:sz="0" w:space="0" w:color="auto"/>
            <w:bottom w:val="none" w:sz="0" w:space="0" w:color="auto"/>
            <w:right w:val="none" w:sz="0" w:space="0" w:color="auto"/>
          </w:divBdr>
        </w:div>
        <w:div w:id="1621959636">
          <w:marLeft w:val="720"/>
          <w:marRight w:val="0"/>
          <w:marTop w:val="120"/>
          <w:marBottom w:val="0"/>
          <w:divBdr>
            <w:top w:val="none" w:sz="0" w:space="0" w:color="auto"/>
            <w:left w:val="none" w:sz="0" w:space="0" w:color="auto"/>
            <w:bottom w:val="none" w:sz="0" w:space="0" w:color="auto"/>
            <w:right w:val="none" w:sz="0" w:space="0" w:color="auto"/>
          </w:divBdr>
        </w:div>
        <w:div w:id="1720665478">
          <w:marLeft w:val="720"/>
          <w:marRight w:val="0"/>
          <w:marTop w:val="120"/>
          <w:marBottom w:val="0"/>
          <w:divBdr>
            <w:top w:val="none" w:sz="0" w:space="0" w:color="auto"/>
            <w:left w:val="none" w:sz="0" w:space="0" w:color="auto"/>
            <w:bottom w:val="none" w:sz="0" w:space="0" w:color="auto"/>
            <w:right w:val="none" w:sz="0" w:space="0" w:color="auto"/>
          </w:divBdr>
        </w:div>
      </w:divsChild>
    </w:div>
    <w:div w:id="817187854">
      <w:bodyDiv w:val="1"/>
      <w:marLeft w:val="0"/>
      <w:marRight w:val="0"/>
      <w:marTop w:val="0"/>
      <w:marBottom w:val="0"/>
      <w:divBdr>
        <w:top w:val="none" w:sz="0" w:space="0" w:color="auto"/>
        <w:left w:val="none" w:sz="0" w:space="0" w:color="auto"/>
        <w:bottom w:val="none" w:sz="0" w:space="0" w:color="auto"/>
        <w:right w:val="none" w:sz="0" w:space="0" w:color="auto"/>
      </w:divBdr>
    </w:div>
    <w:div w:id="1079601284">
      <w:bodyDiv w:val="1"/>
      <w:marLeft w:val="0"/>
      <w:marRight w:val="0"/>
      <w:marTop w:val="0"/>
      <w:marBottom w:val="0"/>
      <w:divBdr>
        <w:top w:val="none" w:sz="0" w:space="0" w:color="auto"/>
        <w:left w:val="none" w:sz="0" w:space="0" w:color="auto"/>
        <w:bottom w:val="none" w:sz="0" w:space="0" w:color="auto"/>
        <w:right w:val="none" w:sz="0" w:space="0" w:color="auto"/>
      </w:divBdr>
    </w:div>
    <w:div w:id="1114713685">
      <w:bodyDiv w:val="1"/>
      <w:marLeft w:val="0"/>
      <w:marRight w:val="0"/>
      <w:marTop w:val="0"/>
      <w:marBottom w:val="0"/>
      <w:divBdr>
        <w:top w:val="none" w:sz="0" w:space="0" w:color="auto"/>
        <w:left w:val="none" w:sz="0" w:space="0" w:color="auto"/>
        <w:bottom w:val="none" w:sz="0" w:space="0" w:color="auto"/>
        <w:right w:val="none" w:sz="0" w:space="0" w:color="auto"/>
      </w:divBdr>
      <w:divsChild>
        <w:div w:id="12847539">
          <w:marLeft w:val="1008"/>
          <w:marRight w:val="0"/>
          <w:marTop w:val="101"/>
          <w:marBottom w:val="0"/>
          <w:divBdr>
            <w:top w:val="none" w:sz="0" w:space="0" w:color="auto"/>
            <w:left w:val="none" w:sz="0" w:space="0" w:color="auto"/>
            <w:bottom w:val="none" w:sz="0" w:space="0" w:color="auto"/>
            <w:right w:val="none" w:sz="0" w:space="0" w:color="auto"/>
          </w:divBdr>
        </w:div>
        <w:div w:id="440876385">
          <w:marLeft w:val="1008"/>
          <w:marRight w:val="0"/>
          <w:marTop w:val="101"/>
          <w:marBottom w:val="0"/>
          <w:divBdr>
            <w:top w:val="none" w:sz="0" w:space="0" w:color="auto"/>
            <w:left w:val="none" w:sz="0" w:space="0" w:color="auto"/>
            <w:bottom w:val="none" w:sz="0" w:space="0" w:color="auto"/>
            <w:right w:val="none" w:sz="0" w:space="0" w:color="auto"/>
          </w:divBdr>
        </w:div>
        <w:div w:id="562256230">
          <w:marLeft w:val="1008"/>
          <w:marRight w:val="0"/>
          <w:marTop w:val="101"/>
          <w:marBottom w:val="0"/>
          <w:divBdr>
            <w:top w:val="none" w:sz="0" w:space="0" w:color="auto"/>
            <w:left w:val="none" w:sz="0" w:space="0" w:color="auto"/>
            <w:bottom w:val="none" w:sz="0" w:space="0" w:color="auto"/>
            <w:right w:val="none" w:sz="0" w:space="0" w:color="auto"/>
          </w:divBdr>
        </w:div>
        <w:div w:id="1866211362">
          <w:marLeft w:val="1008"/>
          <w:marRight w:val="0"/>
          <w:marTop w:val="101"/>
          <w:marBottom w:val="0"/>
          <w:divBdr>
            <w:top w:val="none" w:sz="0" w:space="0" w:color="auto"/>
            <w:left w:val="none" w:sz="0" w:space="0" w:color="auto"/>
            <w:bottom w:val="none" w:sz="0" w:space="0" w:color="auto"/>
            <w:right w:val="none" w:sz="0" w:space="0" w:color="auto"/>
          </w:divBdr>
        </w:div>
        <w:div w:id="2115392412">
          <w:marLeft w:val="1008"/>
          <w:marRight w:val="0"/>
          <w:marTop w:val="101"/>
          <w:marBottom w:val="0"/>
          <w:divBdr>
            <w:top w:val="none" w:sz="0" w:space="0" w:color="auto"/>
            <w:left w:val="none" w:sz="0" w:space="0" w:color="auto"/>
            <w:bottom w:val="none" w:sz="0" w:space="0" w:color="auto"/>
            <w:right w:val="none" w:sz="0" w:space="0" w:color="auto"/>
          </w:divBdr>
        </w:div>
      </w:divsChild>
    </w:div>
    <w:div w:id="1131631500">
      <w:bodyDiv w:val="1"/>
      <w:marLeft w:val="0"/>
      <w:marRight w:val="0"/>
      <w:marTop w:val="0"/>
      <w:marBottom w:val="0"/>
      <w:divBdr>
        <w:top w:val="none" w:sz="0" w:space="0" w:color="auto"/>
        <w:left w:val="none" w:sz="0" w:space="0" w:color="auto"/>
        <w:bottom w:val="none" w:sz="0" w:space="0" w:color="auto"/>
        <w:right w:val="none" w:sz="0" w:space="0" w:color="auto"/>
      </w:divBdr>
      <w:divsChild>
        <w:div w:id="268664522">
          <w:marLeft w:val="720"/>
          <w:marRight w:val="0"/>
          <w:marTop w:val="120"/>
          <w:marBottom w:val="0"/>
          <w:divBdr>
            <w:top w:val="none" w:sz="0" w:space="0" w:color="auto"/>
            <w:left w:val="none" w:sz="0" w:space="0" w:color="auto"/>
            <w:bottom w:val="none" w:sz="0" w:space="0" w:color="auto"/>
            <w:right w:val="none" w:sz="0" w:space="0" w:color="auto"/>
          </w:divBdr>
        </w:div>
        <w:div w:id="604460832">
          <w:marLeft w:val="720"/>
          <w:marRight w:val="0"/>
          <w:marTop w:val="120"/>
          <w:marBottom w:val="0"/>
          <w:divBdr>
            <w:top w:val="none" w:sz="0" w:space="0" w:color="auto"/>
            <w:left w:val="none" w:sz="0" w:space="0" w:color="auto"/>
            <w:bottom w:val="none" w:sz="0" w:space="0" w:color="auto"/>
            <w:right w:val="none" w:sz="0" w:space="0" w:color="auto"/>
          </w:divBdr>
        </w:div>
        <w:div w:id="782963598">
          <w:marLeft w:val="432"/>
          <w:marRight w:val="0"/>
          <w:marTop w:val="120"/>
          <w:marBottom w:val="0"/>
          <w:divBdr>
            <w:top w:val="none" w:sz="0" w:space="0" w:color="auto"/>
            <w:left w:val="none" w:sz="0" w:space="0" w:color="auto"/>
            <w:bottom w:val="none" w:sz="0" w:space="0" w:color="auto"/>
            <w:right w:val="none" w:sz="0" w:space="0" w:color="auto"/>
          </w:divBdr>
        </w:div>
        <w:div w:id="1103376352">
          <w:marLeft w:val="720"/>
          <w:marRight w:val="0"/>
          <w:marTop w:val="120"/>
          <w:marBottom w:val="0"/>
          <w:divBdr>
            <w:top w:val="none" w:sz="0" w:space="0" w:color="auto"/>
            <w:left w:val="none" w:sz="0" w:space="0" w:color="auto"/>
            <w:bottom w:val="none" w:sz="0" w:space="0" w:color="auto"/>
            <w:right w:val="none" w:sz="0" w:space="0" w:color="auto"/>
          </w:divBdr>
        </w:div>
        <w:div w:id="1328316378">
          <w:marLeft w:val="720"/>
          <w:marRight w:val="0"/>
          <w:marTop w:val="120"/>
          <w:marBottom w:val="0"/>
          <w:divBdr>
            <w:top w:val="none" w:sz="0" w:space="0" w:color="auto"/>
            <w:left w:val="none" w:sz="0" w:space="0" w:color="auto"/>
            <w:bottom w:val="none" w:sz="0" w:space="0" w:color="auto"/>
            <w:right w:val="none" w:sz="0" w:space="0" w:color="auto"/>
          </w:divBdr>
        </w:div>
        <w:div w:id="1337610287">
          <w:marLeft w:val="720"/>
          <w:marRight w:val="0"/>
          <w:marTop w:val="120"/>
          <w:marBottom w:val="0"/>
          <w:divBdr>
            <w:top w:val="none" w:sz="0" w:space="0" w:color="auto"/>
            <w:left w:val="none" w:sz="0" w:space="0" w:color="auto"/>
            <w:bottom w:val="none" w:sz="0" w:space="0" w:color="auto"/>
            <w:right w:val="none" w:sz="0" w:space="0" w:color="auto"/>
          </w:divBdr>
        </w:div>
        <w:div w:id="1769695073">
          <w:marLeft w:val="720"/>
          <w:marRight w:val="0"/>
          <w:marTop w:val="120"/>
          <w:marBottom w:val="0"/>
          <w:divBdr>
            <w:top w:val="none" w:sz="0" w:space="0" w:color="auto"/>
            <w:left w:val="none" w:sz="0" w:space="0" w:color="auto"/>
            <w:bottom w:val="none" w:sz="0" w:space="0" w:color="auto"/>
            <w:right w:val="none" w:sz="0" w:space="0" w:color="auto"/>
          </w:divBdr>
        </w:div>
        <w:div w:id="1786540657">
          <w:marLeft w:val="720"/>
          <w:marRight w:val="0"/>
          <w:marTop w:val="120"/>
          <w:marBottom w:val="0"/>
          <w:divBdr>
            <w:top w:val="none" w:sz="0" w:space="0" w:color="auto"/>
            <w:left w:val="none" w:sz="0" w:space="0" w:color="auto"/>
            <w:bottom w:val="none" w:sz="0" w:space="0" w:color="auto"/>
            <w:right w:val="none" w:sz="0" w:space="0" w:color="auto"/>
          </w:divBdr>
        </w:div>
        <w:div w:id="2009022193">
          <w:marLeft w:val="720"/>
          <w:marRight w:val="0"/>
          <w:marTop w:val="120"/>
          <w:marBottom w:val="0"/>
          <w:divBdr>
            <w:top w:val="none" w:sz="0" w:space="0" w:color="auto"/>
            <w:left w:val="none" w:sz="0" w:space="0" w:color="auto"/>
            <w:bottom w:val="none" w:sz="0" w:space="0" w:color="auto"/>
            <w:right w:val="none" w:sz="0" w:space="0" w:color="auto"/>
          </w:divBdr>
        </w:div>
      </w:divsChild>
    </w:div>
    <w:div w:id="1271162752">
      <w:bodyDiv w:val="1"/>
      <w:marLeft w:val="0"/>
      <w:marRight w:val="0"/>
      <w:marTop w:val="0"/>
      <w:marBottom w:val="0"/>
      <w:divBdr>
        <w:top w:val="none" w:sz="0" w:space="0" w:color="auto"/>
        <w:left w:val="none" w:sz="0" w:space="0" w:color="auto"/>
        <w:bottom w:val="none" w:sz="0" w:space="0" w:color="auto"/>
        <w:right w:val="none" w:sz="0" w:space="0" w:color="auto"/>
      </w:divBdr>
    </w:div>
    <w:div w:id="1425687314">
      <w:bodyDiv w:val="1"/>
      <w:marLeft w:val="0"/>
      <w:marRight w:val="0"/>
      <w:marTop w:val="0"/>
      <w:marBottom w:val="0"/>
      <w:divBdr>
        <w:top w:val="none" w:sz="0" w:space="0" w:color="auto"/>
        <w:left w:val="none" w:sz="0" w:space="0" w:color="auto"/>
        <w:bottom w:val="none" w:sz="0" w:space="0" w:color="auto"/>
        <w:right w:val="none" w:sz="0" w:space="0" w:color="auto"/>
      </w:divBdr>
      <w:divsChild>
        <w:div w:id="375005649">
          <w:marLeft w:val="720"/>
          <w:marRight w:val="0"/>
          <w:marTop w:val="120"/>
          <w:marBottom w:val="0"/>
          <w:divBdr>
            <w:top w:val="none" w:sz="0" w:space="0" w:color="auto"/>
            <w:left w:val="none" w:sz="0" w:space="0" w:color="auto"/>
            <w:bottom w:val="none" w:sz="0" w:space="0" w:color="auto"/>
            <w:right w:val="none" w:sz="0" w:space="0" w:color="auto"/>
          </w:divBdr>
        </w:div>
        <w:div w:id="376052654">
          <w:marLeft w:val="720"/>
          <w:marRight w:val="0"/>
          <w:marTop w:val="120"/>
          <w:marBottom w:val="0"/>
          <w:divBdr>
            <w:top w:val="none" w:sz="0" w:space="0" w:color="auto"/>
            <w:left w:val="none" w:sz="0" w:space="0" w:color="auto"/>
            <w:bottom w:val="none" w:sz="0" w:space="0" w:color="auto"/>
            <w:right w:val="none" w:sz="0" w:space="0" w:color="auto"/>
          </w:divBdr>
        </w:div>
        <w:div w:id="986085009">
          <w:marLeft w:val="720"/>
          <w:marRight w:val="0"/>
          <w:marTop w:val="120"/>
          <w:marBottom w:val="0"/>
          <w:divBdr>
            <w:top w:val="none" w:sz="0" w:space="0" w:color="auto"/>
            <w:left w:val="none" w:sz="0" w:space="0" w:color="auto"/>
            <w:bottom w:val="none" w:sz="0" w:space="0" w:color="auto"/>
            <w:right w:val="none" w:sz="0" w:space="0" w:color="auto"/>
          </w:divBdr>
        </w:div>
        <w:div w:id="1777868559">
          <w:marLeft w:val="720"/>
          <w:marRight w:val="0"/>
          <w:marTop w:val="120"/>
          <w:marBottom w:val="0"/>
          <w:divBdr>
            <w:top w:val="none" w:sz="0" w:space="0" w:color="auto"/>
            <w:left w:val="none" w:sz="0" w:space="0" w:color="auto"/>
            <w:bottom w:val="none" w:sz="0" w:space="0" w:color="auto"/>
            <w:right w:val="none" w:sz="0" w:space="0" w:color="auto"/>
          </w:divBdr>
        </w:div>
      </w:divsChild>
    </w:div>
    <w:div w:id="1830056821">
      <w:bodyDiv w:val="1"/>
      <w:marLeft w:val="0"/>
      <w:marRight w:val="0"/>
      <w:marTop w:val="0"/>
      <w:marBottom w:val="0"/>
      <w:divBdr>
        <w:top w:val="none" w:sz="0" w:space="0" w:color="auto"/>
        <w:left w:val="none" w:sz="0" w:space="0" w:color="auto"/>
        <w:bottom w:val="none" w:sz="0" w:space="0" w:color="auto"/>
        <w:right w:val="none" w:sz="0" w:space="0" w:color="auto"/>
      </w:divBdr>
    </w:div>
    <w:div w:id="1968967519">
      <w:bodyDiv w:val="1"/>
      <w:marLeft w:val="0"/>
      <w:marRight w:val="0"/>
      <w:marTop w:val="0"/>
      <w:marBottom w:val="0"/>
      <w:divBdr>
        <w:top w:val="none" w:sz="0" w:space="0" w:color="auto"/>
        <w:left w:val="none" w:sz="0" w:space="0" w:color="auto"/>
        <w:bottom w:val="none" w:sz="0" w:space="0" w:color="auto"/>
        <w:right w:val="none" w:sz="0" w:space="0" w:color="auto"/>
      </w:divBdr>
    </w:div>
    <w:div w:id="2102292290">
      <w:bodyDiv w:val="1"/>
      <w:marLeft w:val="0"/>
      <w:marRight w:val="0"/>
      <w:marTop w:val="0"/>
      <w:marBottom w:val="0"/>
      <w:divBdr>
        <w:top w:val="none" w:sz="0" w:space="0" w:color="auto"/>
        <w:left w:val="none" w:sz="0" w:space="0" w:color="auto"/>
        <w:bottom w:val="none" w:sz="0" w:space="0" w:color="auto"/>
        <w:right w:val="none" w:sz="0" w:space="0" w:color="auto"/>
      </w:divBdr>
    </w:div>
    <w:div w:id="2136215964">
      <w:bodyDiv w:val="1"/>
      <w:marLeft w:val="0"/>
      <w:marRight w:val="0"/>
      <w:marTop w:val="0"/>
      <w:marBottom w:val="0"/>
      <w:divBdr>
        <w:top w:val="none" w:sz="0" w:space="0" w:color="auto"/>
        <w:left w:val="none" w:sz="0" w:space="0" w:color="auto"/>
        <w:bottom w:val="none" w:sz="0" w:space="0" w:color="auto"/>
        <w:right w:val="none" w:sz="0" w:space="0" w:color="auto"/>
      </w:divBdr>
      <w:divsChild>
        <w:div w:id="82846996">
          <w:marLeft w:val="720"/>
          <w:marRight w:val="0"/>
          <w:marTop w:val="120"/>
          <w:marBottom w:val="0"/>
          <w:divBdr>
            <w:top w:val="none" w:sz="0" w:space="0" w:color="auto"/>
            <w:left w:val="none" w:sz="0" w:space="0" w:color="auto"/>
            <w:bottom w:val="none" w:sz="0" w:space="0" w:color="auto"/>
            <w:right w:val="none" w:sz="0" w:space="0" w:color="auto"/>
          </w:divBdr>
        </w:div>
        <w:div w:id="1047413247">
          <w:marLeft w:val="720"/>
          <w:marRight w:val="0"/>
          <w:marTop w:val="120"/>
          <w:marBottom w:val="0"/>
          <w:divBdr>
            <w:top w:val="none" w:sz="0" w:space="0" w:color="auto"/>
            <w:left w:val="none" w:sz="0" w:space="0" w:color="auto"/>
            <w:bottom w:val="none" w:sz="0" w:space="0" w:color="auto"/>
            <w:right w:val="none" w:sz="0" w:space="0" w:color="auto"/>
          </w:divBdr>
        </w:div>
        <w:div w:id="1471556733">
          <w:marLeft w:val="720"/>
          <w:marRight w:val="0"/>
          <w:marTop w:val="120"/>
          <w:marBottom w:val="0"/>
          <w:divBdr>
            <w:top w:val="none" w:sz="0" w:space="0" w:color="auto"/>
            <w:left w:val="none" w:sz="0" w:space="0" w:color="auto"/>
            <w:bottom w:val="none" w:sz="0" w:space="0" w:color="auto"/>
            <w:right w:val="none" w:sz="0" w:space="0" w:color="auto"/>
          </w:divBdr>
        </w:div>
        <w:div w:id="1730223853">
          <w:marLeft w:val="720"/>
          <w:marRight w:val="0"/>
          <w:marTop w:val="120"/>
          <w:marBottom w:val="0"/>
          <w:divBdr>
            <w:top w:val="none" w:sz="0" w:space="0" w:color="auto"/>
            <w:left w:val="none" w:sz="0" w:space="0" w:color="auto"/>
            <w:bottom w:val="none" w:sz="0" w:space="0" w:color="auto"/>
            <w:right w:val="none" w:sz="0" w:space="0" w:color="auto"/>
          </w:divBdr>
        </w:div>
        <w:div w:id="190606612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5BEB-D0B9-449A-AE21-0348FF4F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3764</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strategic review of Australia’s support for peacebuilding in conflict-affected Mindanao 2020</dc:title>
  <dc:subject/>
  <dc:creator/>
  <cp:keywords/>
  <dc:description/>
  <cp:lastModifiedBy/>
  <cp:revision>1</cp:revision>
  <dcterms:created xsi:type="dcterms:W3CDTF">2020-12-04T00:33:00Z</dcterms:created>
  <dcterms:modified xsi:type="dcterms:W3CDTF">2020-12-04T00:39:00Z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cbe2a281-0595-4464-b334-ea047e84b456</vt:lpwstr>
  </property>
  <property fmtid="{D5CDD505-2E9C-101B-9397-08002B2CF9AE}" pid="3" name="SEC">
    <vt:lpwstr>OFFICIAL</vt:lpwstr>
  </property>
</Properties>
</file>