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9514279"/>
        <w:docPartObj>
          <w:docPartGallery w:val="Cover Pages"/>
          <w:docPartUnique/>
        </w:docPartObj>
      </w:sdtPr>
      <w:sdtEndPr/>
      <w:sdtContent>
        <w:p w14:paraId="3224ADD5" w14:textId="36ACDD50" w:rsidR="003F1B0B" w:rsidRDefault="009D7BF9" w:rsidP="00EA041C">
          <w:r>
            <w:rPr>
              <w:noProof/>
            </w:rPr>
            <mc:AlternateContent>
              <mc:Choice Requires="wps">
                <w:drawing>
                  <wp:inline distT="0" distB="0" distL="0" distR="0" wp14:anchorId="2FDDD990" wp14:editId="423AEF7F">
                    <wp:extent cx="6048375" cy="6858000"/>
                    <wp:effectExtent l="0" t="0" r="0" b="0"/>
                    <wp:docPr id="1472152406" name="Text Box 122"/>
                    <wp:cNvGraphicFramePr/>
                    <a:graphic xmlns:a="http://schemas.openxmlformats.org/drawingml/2006/main">
                      <a:graphicData uri="http://schemas.microsoft.com/office/word/2010/wordprocessingShape">
                        <wps:wsp>
                          <wps:cNvSpPr txBox="1"/>
                          <wps:spPr>
                            <a:xfrm>
                              <a:off x="0" y="0"/>
                              <a:ext cx="6048375" cy="685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56"/>
                                    <w:szCs w:val="5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8706CA0" w14:textId="1C626561" w:rsidR="003F1B0B" w:rsidRPr="003F1B0B" w:rsidRDefault="003F1B0B">
                                    <w:pPr>
                                      <w:pStyle w:val="NoSpacing"/>
                                      <w:pBdr>
                                        <w:bottom w:val="single" w:sz="6" w:space="4" w:color="7F7F7F" w:themeColor="text1" w:themeTint="80"/>
                                      </w:pBdr>
                                      <w:rPr>
                                        <w:rFonts w:asciiTheme="majorHAnsi" w:eastAsiaTheme="majorEastAsia" w:hAnsiTheme="majorHAnsi" w:cstheme="majorBidi"/>
                                        <w:color w:val="595959" w:themeColor="text1" w:themeTint="A6"/>
                                        <w:sz w:val="56"/>
                                        <w:szCs w:val="56"/>
                                      </w:rPr>
                                    </w:pPr>
                                    <w:r w:rsidRPr="003F1B0B">
                                      <w:rPr>
                                        <w:rFonts w:asciiTheme="majorHAnsi" w:eastAsiaTheme="majorEastAsia" w:hAnsiTheme="majorHAnsi" w:cstheme="majorBidi"/>
                                        <w:color w:val="595959" w:themeColor="text1" w:themeTint="A6"/>
                                        <w:sz w:val="56"/>
                                        <w:szCs w:val="56"/>
                                      </w:rPr>
                                      <w:t>Strategic Review Report: Occupied Palestinian Territories Humanitarian and Development Program</w:t>
                                    </w:r>
                                    <w:r w:rsidR="003E2B2F">
                                      <w:rPr>
                                        <w:rFonts w:asciiTheme="majorHAnsi" w:eastAsiaTheme="majorEastAsia" w:hAnsiTheme="majorHAnsi" w:cstheme="majorBidi"/>
                                        <w:color w:val="595959" w:themeColor="text1" w:themeTint="A6"/>
                                        <w:sz w:val="56"/>
                                        <w:szCs w:val="56"/>
                                      </w:rPr>
                                      <w:t xml:space="preserve"> (2019 – 22)</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043B80" w14:textId="2E1B3232" w:rsidR="003F1B0B" w:rsidRDefault="005A40A9">
                                    <w:pPr>
                                      <w:pStyle w:val="NoSpacing"/>
                                      <w:spacing w:before="240"/>
                                      <w:rPr>
                                        <w:caps/>
                                        <w:color w:val="44546A" w:themeColor="text2"/>
                                        <w:sz w:val="36"/>
                                        <w:szCs w:val="36"/>
                                      </w:rPr>
                                    </w:pPr>
                                    <w:r>
                                      <w:rPr>
                                        <w:caps/>
                                        <w:color w:val="44546A" w:themeColor="text2"/>
                                        <w:sz w:val="36"/>
                                        <w:szCs w:val="36"/>
                                      </w:rPr>
                                      <w:t>final report october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inline>
                </w:drawing>
              </mc:Choice>
              <mc:Fallback>
                <w:pict>
                  <v:shapetype w14:anchorId="2FDDD990" id="_x0000_t202" coordsize="21600,21600" o:spt="202" path="m,l,21600r21600,l21600,xe">
                    <v:stroke joinstyle="miter"/>
                    <v:path gradientshapeok="t" o:connecttype="rect"/>
                  </v:shapetype>
                  <v:shape id="Text Box 122" o:spid="_x0000_s1026" type="#_x0000_t202" style="width:476.25pt;height:54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" filled="f" stroked="f" strokeweight=".5pt">
                    <v:textbox inset="36pt,36pt,36pt,36pt">
                      <w:txbxContent>
                        <w:sdt>
                          <w:sdtPr>
                            <w:rPr>
                              <w:rFonts w:asciiTheme="majorHAnsi" w:eastAsiaTheme="majorEastAsia" w:hAnsiTheme="majorHAnsi" w:cstheme="majorBidi"/>
                              <w:color w:val="595959" w:themeColor="text1" w:themeTint="A6"/>
                              <w:sz w:val="56"/>
                              <w:szCs w:val="56"/>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8706CA0" w14:textId="1C626561" w:rsidR="003F1B0B" w:rsidRPr="003F1B0B" w:rsidRDefault="003F1B0B">
                              <w:pPr>
                                <w:pStyle w:val="NoSpacing"/>
                                <w:pBdr>
                                  <w:bottom w:val="single" w:sz="6" w:space="4" w:color="7F7F7F" w:themeColor="text1" w:themeTint="80"/>
                                </w:pBdr>
                                <w:rPr>
                                  <w:rFonts w:asciiTheme="majorHAnsi" w:eastAsiaTheme="majorEastAsia" w:hAnsiTheme="majorHAnsi" w:cstheme="majorBidi"/>
                                  <w:color w:val="595959" w:themeColor="text1" w:themeTint="A6"/>
                                  <w:sz w:val="56"/>
                                  <w:szCs w:val="56"/>
                                </w:rPr>
                              </w:pPr>
                              <w:r w:rsidRPr="003F1B0B">
                                <w:rPr>
                                  <w:rFonts w:asciiTheme="majorHAnsi" w:eastAsiaTheme="majorEastAsia" w:hAnsiTheme="majorHAnsi" w:cstheme="majorBidi"/>
                                  <w:color w:val="595959" w:themeColor="text1" w:themeTint="A6"/>
                                  <w:sz w:val="56"/>
                                  <w:szCs w:val="56"/>
                                </w:rPr>
                                <w:t>Strategic Review Report: Occupied Palestinian Territories Humanitarian and Development Program</w:t>
                              </w:r>
                              <w:r w:rsidR="003E2B2F">
                                <w:rPr>
                                  <w:rFonts w:asciiTheme="majorHAnsi" w:eastAsiaTheme="majorEastAsia" w:hAnsiTheme="majorHAnsi" w:cstheme="majorBidi"/>
                                  <w:color w:val="595959" w:themeColor="text1" w:themeTint="A6"/>
                                  <w:sz w:val="56"/>
                                  <w:szCs w:val="56"/>
                                </w:rPr>
                                <w:t xml:space="preserve"> (2019 – 22)</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043B80" w14:textId="2E1B3232" w:rsidR="003F1B0B" w:rsidRDefault="005A40A9">
                              <w:pPr>
                                <w:pStyle w:val="NoSpacing"/>
                                <w:spacing w:before="240"/>
                                <w:rPr>
                                  <w:caps/>
                                  <w:color w:val="44546A" w:themeColor="text2"/>
                                  <w:sz w:val="36"/>
                                  <w:szCs w:val="36"/>
                                </w:rPr>
                              </w:pPr>
                              <w:r>
                                <w:rPr>
                                  <w:caps/>
                                  <w:color w:val="44546A" w:themeColor="text2"/>
                                  <w:sz w:val="36"/>
                                  <w:szCs w:val="36"/>
                                </w:rPr>
                                <w:t>final report october 2023</w:t>
                              </w:r>
                            </w:p>
                          </w:sdtContent>
                        </w:sdt>
                      </w:txbxContent>
                    </v:textbox>
                    <w10:anchorlock/>
                  </v:shape>
                </w:pict>
              </mc:Fallback>
            </mc:AlternateContent>
          </w:r>
          <w:r w:rsidR="00150EA9">
            <w:br/>
          </w:r>
          <w:r w:rsidR="003F1B0B">
            <w:br w:type="page"/>
          </w:r>
        </w:p>
      </w:sdtContent>
    </w:sdt>
    <w:p w14:paraId="2C20BCF5" w14:textId="2B3F0C9C" w:rsidR="00947259" w:rsidRPr="00111917" w:rsidRDefault="00111917" w:rsidP="00EA041C">
      <w:r w:rsidRPr="00111917">
        <w:lastRenderedPageBreak/>
        <w:t xml:space="preserve">Acknowledgements </w:t>
      </w:r>
    </w:p>
    <w:p w14:paraId="5EE04F65" w14:textId="0C0EF4F9" w:rsidR="00B767B5" w:rsidRPr="00111917" w:rsidRDefault="00947259" w:rsidP="00EA041C">
      <w:r w:rsidRPr="00111917">
        <w:t xml:space="preserve">The support of </w:t>
      </w:r>
      <w:r w:rsidR="000432F6" w:rsidRPr="00111917">
        <w:t>the Department of Foreign Affairs and Trade</w:t>
      </w:r>
      <w:r w:rsidR="00027CC5" w:rsidRPr="00111917">
        <w:t xml:space="preserve"> in</w:t>
      </w:r>
      <w:r w:rsidRPr="00111917">
        <w:t xml:space="preserve"> </w:t>
      </w:r>
      <w:r w:rsidR="00027CC5" w:rsidRPr="00111917">
        <w:t xml:space="preserve">Australia and at Post, </w:t>
      </w:r>
      <w:r w:rsidRPr="00111917">
        <w:t>and Australia</w:t>
      </w:r>
      <w:r w:rsidR="000629E9" w:rsidRPr="00111917">
        <w:t>’s</w:t>
      </w:r>
      <w:r w:rsidRPr="00111917">
        <w:t xml:space="preserve"> </w:t>
      </w:r>
      <w:r w:rsidR="006460C4" w:rsidRPr="00111917">
        <w:t xml:space="preserve">partners and </w:t>
      </w:r>
      <w:r w:rsidRPr="00111917">
        <w:t xml:space="preserve">stakeholders of </w:t>
      </w:r>
      <w:r w:rsidR="000629E9" w:rsidRPr="00111917">
        <w:t xml:space="preserve">its </w:t>
      </w:r>
      <w:r w:rsidR="00617CBF" w:rsidRPr="00111917">
        <w:t>Occupied Palestinian Territories</w:t>
      </w:r>
      <w:r w:rsidR="000629E9" w:rsidRPr="00111917">
        <w:t xml:space="preserve"> </w:t>
      </w:r>
      <w:r w:rsidR="00617CBF" w:rsidRPr="00111917">
        <w:t>humanitarian and development</w:t>
      </w:r>
      <w:r w:rsidR="000629E9" w:rsidRPr="00111917">
        <w:t xml:space="preserve"> program are</w:t>
      </w:r>
      <w:r w:rsidRPr="00111917">
        <w:t xml:space="preserve"> acknowledged with appreciation. </w:t>
      </w:r>
      <w:r w:rsidR="00B767B5" w:rsidRPr="00111917">
        <w:t>The authors of the report are indebted to those who volunteered their time for interview for th</w:t>
      </w:r>
      <w:r w:rsidR="00A1018C" w:rsidRPr="00111917">
        <w:t>is</w:t>
      </w:r>
      <w:r w:rsidR="00B767B5" w:rsidRPr="00111917">
        <w:t xml:space="preserve"> Strategic Review.</w:t>
      </w:r>
    </w:p>
    <w:p w14:paraId="336ED217" w14:textId="54669CDF" w:rsidR="00796987" w:rsidRPr="00111917" w:rsidRDefault="00947259" w:rsidP="00EA041C">
      <w:r w:rsidRPr="00111917">
        <w:t xml:space="preserve">The views expressed in this report are those of the independent consultants, and do not represent the views of </w:t>
      </w:r>
      <w:r w:rsidR="00A1018C" w:rsidRPr="00111917">
        <w:t>the Department of Foreign Aff</w:t>
      </w:r>
      <w:r w:rsidR="00F35CF7" w:rsidRPr="00111917">
        <w:t>airs and Trade</w:t>
      </w:r>
      <w:r w:rsidR="000629E9" w:rsidRPr="00111917">
        <w:t xml:space="preserve"> or the Australian Government.</w:t>
      </w:r>
    </w:p>
    <w:p w14:paraId="660F15F7" w14:textId="46281E93" w:rsidR="00C475A5" w:rsidRPr="00111917" w:rsidRDefault="00C475A5" w:rsidP="00EA041C">
      <w:r w:rsidRPr="00111917">
        <w:t>Report prepared by:</w:t>
      </w:r>
    </w:p>
    <w:p w14:paraId="54FE7AD6" w14:textId="427C2A38" w:rsidR="00C475A5" w:rsidRPr="00111917" w:rsidRDefault="00C475A5" w:rsidP="00EA041C">
      <w:r w:rsidRPr="00111917">
        <w:t xml:space="preserve">Chris Northey and Jo-Hannah Lavey – Alinea International </w:t>
      </w:r>
    </w:p>
    <w:p w14:paraId="3C014877" w14:textId="77777777" w:rsidR="00796987" w:rsidRDefault="00796987" w:rsidP="00EA041C">
      <w:r>
        <w:br w:type="page"/>
      </w:r>
    </w:p>
    <w:sdt>
      <w:sdtPr>
        <w:rPr>
          <w:rFonts w:asciiTheme="minorHAnsi" w:eastAsiaTheme="minorHAnsi" w:hAnsiTheme="minorHAnsi" w:cstheme="minorBidi"/>
          <w:color w:val="auto"/>
          <w:kern w:val="2"/>
          <w:sz w:val="22"/>
          <w:szCs w:val="22"/>
          <w:lang w:val="en-AU"/>
          <w14:ligatures w14:val="standardContextual"/>
        </w:rPr>
        <w:id w:val="-632328724"/>
        <w:docPartObj>
          <w:docPartGallery w:val="Table of Contents"/>
          <w:docPartUnique/>
        </w:docPartObj>
      </w:sdtPr>
      <w:sdtEndPr>
        <w:rPr>
          <w:b/>
          <w:bCs/>
          <w:noProof/>
        </w:rPr>
      </w:sdtEndPr>
      <w:sdtContent>
        <w:p w14:paraId="5F949A51" w14:textId="52F9432B" w:rsidR="00166B70" w:rsidRDefault="00166B70">
          <w:pPr>
            <w:pStyle w:val="TOCHeading"/>
          </w:pPr>
          <w:r>
            <w:t>Table of Contents</w:t>
          </w:r>
        </w:p>
        <w:p w14:paraId="1CC3F359" w14:textId="6EFAA16B" w:rsidR="00166B70" w:rsidRDefault="00166B70">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p>
        <w:p w14:paraId="245B4CEA" w14:textId="31D3F0EE" w:rsidR="00166B70" w:rsidRDefault="007A3280">
          <w:pPr>
            <w:pStyle w:val="TOC1"/>
            <w:tabs>
              <w:tab w:val="right" w:leader="dot" w:pos="9016"/>
            </w:tabs>
            <w:rPr>
              <w:rFonts w:eastAsiaTheme="minorEastAsia"/>
              <w:b w:val="0"/>
              <w:bCs w:val="0"/>
              <w:noProof/>
              <w:lang w:eastAsia="en-AU"/>
            </w:rPr>
          </w:pPr>
          <w:hyperlink w:anchor="_Toc173326290" w:history="1">
            <w:r w:rsidR="00166B70" w:rsidRPr="00636D0E">
              <w:rPr>
                <w:rStyle w:val="Hyperlink"/>
                <w:noProof/>
              </w:rPr>
              <w:t>Executive Summary</w:t>
            </w:r>
            <w:r w:rsidR="00166B70">
              <w:rPr>
                <w:noProof/>
                <w:webHidden/>
              </w:rPr>
              <w:tab/>
            </w:r>
            <w:r w:rsidR="00166B70">
              <w:rPr>
                <w:noProof/>
                <w:webHidden/>
              </w:rPr>
              <w:fldChar w:fldCharType="begin"/>
            </w:r>
            <w:r w:rsidR="00166B70">
              <w:rPr>
                <w:noProof/>
                <w:webHidden/>
              </w:rPr>
              <w:instrText xml:space="preserve"> PAGEREF _Toc173326290 \h </w:instrText>
            </w:r>
            <w:r w:rsidR="00166B70">
              <w:rPr>
                <w:noProof/>
                <w:webHidden/>
              </w:rPr>
            </w:r>
            <w:r w:rsidR="00166B70">
              <w:rPr>
                <w:noProof/>
                <w:webHidden/>
              </w:rPr>
              <w:fldChar w:fldCharType="separate"/>
            </w:r>
            <w:r w:rsidR="008748DA">
              <w:rPr>
                <w:noProof/>
                <w:webHidden/>
              </w:rPr>
              <w:t>4</w:t>
            </w:r>
            <w:r w:rsidR="00166B70">
              <w:rPr>
                <w:noProof/>
                <w:webHidden/>
              </w:rPr>
              <w:fldChar w:fldCharType="end"/>
            </w:r>
          </w:hyperlink>
        </w:p>
        <w:p w14:paraId="1D18D182" w14:textId="1C3DFE15" w:rsidR="00166B70" w:rsidRDefault="007A3280">
          <w:pPr>
            <w:pStyle w:val="TOC1"/>
            <w:tabs>
              <w:tab w:val="left" w:pos="440"/>
              <w:tab w:val="right" w:leader="dot" w:pos="9016"/>
            </w:tabs>
            <w:rPr>
              <w:rFonts w:eastAsiaTheme="minorEastAsia"/>
              <w:b w:val="0"/>
              <w:bCs w:val="0"/>
              <w:noProof/>
              <w:lang w:eastAsia="en-AU"/>
            </w:rPr>
          </w:pPr>
          <w:hyperlink w:anchor="_Toc173326294" w:history="1">
            <w:r w:rsidR="00166B70" w:rsidRPr="00636D0E">
              <w:rPr>
                <w:rStyle w:val="Hyperlink"/>
                <w:noProof/>
              </w:rPr>
              <w:t>1.</w:t>
            </w:r>
            <w:r w:rsidR="00166B70">
              <w:rPr>
                <w:rFonts w:eastAsiaTheme="minorEastAsia"/>
                <w:b w:val="0"/>
                <w:bCs w:val="0"/>
                <w:noProof/>
                <w:lang w:eastAsia="en-AU"/>
              </w:rPr>
              <w:tab/>
            </w:r>
            <w:r w:rsidR="00166B70" w:rsidRPr="00636D0E">
              <w:rPr>
                <w:rStyle w:val="Hyperlink"/>
                <w:noProof/>
              </w:rPr>
              <w:t>Introduction</w:t>
            </w:r>
            <w:r w:rsidR="00166B70">
              <w:rPr>
                <w:noProof/>
                <w:webHidden/>
              </w:rPr>
              <w:tab/>
            </w:r>
            <w:r w:rsidR="00166B70">
              <w:rPr>
                <w:noProof/>
                <w:webHidden/>
              </w:rPr>
              <w:fldChar w:fldCharType="begin"/>
            </w:r>
            <w:r w:rsidR="00166B70">
              <w:rPr>
                <w:noProof/>
                <w:webHidden/>
              </w:rPr>
              <w:instrText xml:space="preserve"> PAGEREF _Toc173326294 \h </w:instrText>
            </w:r>
            <w:r w:rsidR="00166B70">
              <w:rPr>
                <w:noProof/>
                <w:webHidden/>
              </w:rPr>
            </w:r>
            <w:r w:rsidR="00166B70">
              <w:rPr>
                <w:noProof/>
                <w:webHidden/>
              </w:rPr>
              <w:fldChar w:fldCharType="separate"/>
            </w:r>
            <w:r w:rsidR="008748DA">
              <w:rPr>
                <w:noProof/>
                <w:webHidden/>
              </w:rPr>
              <w:t>6</w:t>
            </w:r>
            <w:r w:rsidR="00166B70">
              <w:rPr>
                <w:noProof/>
                <w:webHidden/>
              </w:rPr>
              <w:fldChar w:fldCharType="end"/>
            </w:r>
          </w:hyperlink>
        </w:p>
        <w:p w14:paraId="7145D86B" w14:textId="40AAB8E8" w:rsidR="00166B70" w:rsidRDefault="007A3280">
          <w:pPr>
            <w:pStyle w:val="TOC1"/>
            <w:tabs>
              <w:tab w:val="left" w:pos="440"/>
              <w:tab w:val="right" w:leader="dot" w:pos="9016"/>
            </w:tabs>
            <w:rPr>
              <w:rFonts w:eastAsiaTheme="minorEastAsia"/>
              <w:b w:val="0"/>
              <w:bCs w:val="0"/>
              <w:noProof/>
              <w:lang w:eastAsia="en-AU"/>
            </w:rPr>
          </w:pPr>
          <w:hyperlink w:anchor="_Toc173326300" w:history="1">
            <w:r w:rsidR="00166B70" w:rsidRPr="00636D0E">
              <w:rPr>
                <w:rStyle w:val="Hyperlink"/>
                <w:noProof/>
              </w:rPr>
              <w:t>2.</w:t>
            </w:r>
            <w:r w:rsidR="00166B70">
              <w:rPr>
                <w:rFonts w:eastAsiaTheme="minorEastAsia"/>
                <w:b w:val="0"/>
                <w:bCs w:val="0"/>
                <w:noProof/>
                <w:lang w:eastAsia="en-AU"/>
              </w:rPr>
              <w:tab/>
            </w:r>
            <w:r w:rsidR="00166B70" w:rsidRPr="00636D0E">
              <w:rPr>
                <w:rStyle w:val="Hyperlink"/>
                <w:noProof/>
              </w:rPr>
              <w:t>Review Findings</w:t>
            </w:r>
            <w:r w:rsidR="00166B70">
              <w:rPr>
                <w:noProof/>
                <w:webHidden/>
              </w:rPr>
              <w:tab/>
            </w:r>
            <w:r w:rsidR="00166B70">
              <w:rPr>
                <w:noProof/>
                <w:webHidden/>
              </w:rPr>
              <w:fldChar w:fldCharType="begin"/>
            </w:r>
            <w:r w:rsidR="00166B70">
              <w:rPr>
                <w:noProof/>
                <w:webHidden/>
              </w:rPr>
              <w:instrText xml:space="preserve"> PAGEREF _Toc173326300 \h </w:instrText>
            </w:r>
            <w:r w:rsidR="00166B70">
              <w:rPr>
                <w:noProof/>
                <w:webHidden/>
              </w:rPr>
            </w:r>
            <w:r w:rsidR="00166B70">
              <w:rPr>
                <w:noProof/>
                <w:webHidden/>
              </w:rPr>
              <w:fldChar w:fldCharType="separate"/>
            </w:r>
            <w:r w:rsidR="008748DA">
              <w:rPr>
                <w:noProof/>
                <w:webHidden/>
              </w:rPr>
              <w:t>10</w:t>
            </w:r>
            <w:r w:rsidR="00166B70">
              <w:rPr>
                <w:noProof/>
                <w:webHidden/>
              </w:rPr>
              <w:fldChar w:fldCharType="end"/>
            </w:r>
          </w:hyperlink>
        </w:p>
        <w:p w14:paraId="4BB1F691" w14:textId="2560CD2D" w:rsidR="00166B70" w:rsidRDefault="007A3280">
          <w:pPr>
            <w:pStyle w:val="TOC1"/>
            <w:tabs>
              <w:tab w:val="right" w:leader="dot" w:pos="9016"/>
            </w:tabs>
            <w:rPr>
              <w:rFonts w:eastAsiaTheme="minorEastAsia"/>
              <w:b w:val="0"/>
              <w:bCs w:val="0"/>
              <w:noProof/>
              <w:lang w:eastAsia="en-AU"/>
            </w:rPr>
          </w:pPr>
          <w:hyperlink w:anchor="_Toc173326323" w:history="1">
            <w:r w:rsidR="00166B70" w:rsidRPr="00636D0E">
              <w:rPr>
                <w:rStyle w:val="Hyperlink"/>
                <w:noProof/>
              </w:rPr>
              <w:t xml:space="preserve">3. </w:t>
            </w:r>
            <w:r w:rsidR="00C841D0">
              <w:rPr>
                <w:rStyle w:val="Hyperlink"/>
                <w:noProof/>
              </w:rPr>
              <w:t xml:space="preserve">    </w:t>
            </w:r>
            <w:r w:rsidR="00166B70" w:rsidRPr="00636D0E">
              <w:rPr>
                <w:rStyle w:val="Hyperlink"/>
                <w:noProof/>
              </w:rPr>
              <w:t>Review Recommendations</w:t>
            </w:r>
            <w:r w:rsidR="00166B70">
              <w:rPr>
                <w:noProof/>
                <w:webHidden/>
              </w:rPr>
              <w:tab/>
            </w:r>
            <w:r w:rsidR="00166B70">
              <w:rPr>
                <w:noProof/>
                <w:webHidden/>
              </w:rPr>
              <w:fldChar w:fldCharType="begin"/>
            </w:r>
            <w:r w:rsidR="00166B70">
              <w:rPr>
                <w:noProof/>
                <w:webHidden/>
              </w:rPr>
              <w:instrText xml:space="preserve"> PAGEREF _Toc173326323 \h </w:instrText>
            </w:r>
            <w:r w:rsidR="00166B70">
              <w:rPr>
                <w:noProof/>
                <w:webHidden/>
              </w:rPr>
            </w:r>
            <w:r w:rsidR="00166B70">
              <w:rPr>
                <w:noProof/>
                <w:webHidden/>
              </w:rPr>
              <w:fldChar w:fldCharType="separate"/>
            </w:r>
            <w:r w:rsidR="008748DA">
              <w:rPr>
                <w:noProof/>
                <w:webHidden/>
              </w:rPr>
              <w:t>19</w:t>
            </w:r>
            <w:r w:rsidR="00166B70">
              <w:rPr>
                <w:noProof/>
                <w:webHidden/>
              </w:rPr>
              <w:fldChar w:fldCharType="end"/>
            </w:r>
          </w:hyperlink>
        </w:p>
        <w:p w14:paraId="62F0F9D4" w14:textId="652F7CE1" w:rsidR="00166B70" w:rsidRDefault="00166B70">
          <w:r>
            <w:rPr>
              <w:b/>
              <w:bCs/>
              <w:noProof/>
            </w:rPr>
            <w:fldChar w:fldCharType="end"/>
          </w:r>
        </w:p>
      </w:sdtContent>
    </w:sdt>
    <w:p w14:paraId="4347148B" w14:textId="77777777" w:rsidR="002243DD" w:rsidRDefault="002243DD" w:rsidP="00EA041C">
      <w:pPr>
        <w:rPr>
          <w:rFonts w:asciiTheme="majorHAnsi" w:eastAsiaTheme="majorEastAsia" w:hAnsiTheme="majorHAnsi" w:cstheme="majorBidi"/>
          <w:color w:val="2F5496" w:themeColor="accent1" w:themeShade="BF"/>
          <w:sz w:val="26"/>
          <w:szCs w:val="26"/>
        </w:rPr>
      </w:pPr>
      <w:r>
        <w:br w:type="page"/>
      </w:r>
    </w:p>
    <w:p w14:paraId="2B9C228C" w14:textId="1867751D" w:rsidR="00DA4D82" w:rsidRDefault="009D4DB2" w:rsidP="00EA041C">
      <w:pPr>
        <w:pStyle w:val="Heading2"/>
      </w:pPr>
      <w:bookmarkStart w:id="0" w:name="_Toc173326289"/>
      <w:r w:rsidRPr="0080752C">
        <w:lastRenderedPageBreak/>
        <w:t>Abbreviations Table</w:t>
      </w:r>
      <w:bookmarkEnd w:id="0"/>
      <w:r w:rsidRPr="00577246">
        <w:t xml:space="preserve"> </w:t>
      </w:r>
    </w:p>
    <w:p w14:paraId="663135BB" w14:textId="2D8A3EE8" w:rsidR="009D4DB2" w:rsidRDefault="009D4DB2" w:rsidP="00EA041C">
      <w:r>
        <w:t xml:space="preserve">ACFID </w:t>
      </w:r>
      <w:r>
        <w:tab/>
      </w:r>
      <w:r>
        <w:tab/>
        <w:t>Australian Council for International Development</w:t>
      </w:r>
    </w:p>
    <w:p w14:paraId="08E72F8A" w14:textId="77777777" w:rsidR="009D4DB2" w:rsidRDefault="009D4DB2" w:rsidP="00EA041C">
      <w:r>
        <w:t xml:space="preserve">ALPC </w:t>
      </w:r>
      <w:r>
        <w:tab/>
      </w:r>
      <w:r>
        <w:tab/>
        <w:t xml:space="preserve">Artificial Limbs and Polio Centre </w:t>
      </w:r>
    </w:p>
    <w:p w14:paraId="28176420" w14:textId="77777777" w:rsidR="009D4DB2" w:rsidRDefault="009D4DB2" w:rsidP="00EA041C">
      <w:r>
        <w:t xml:space="preserve">AMENCA </w:t>
      </w:r>
      <w:r>
        <w:tab/>
        <w:t>Australia Middle East NGO Cooperation Agreement</w:t>
      </w:r>
    </w:p>
    <w:p w14:paraId="2468F2CC" w14:textId="77777777" w:rsidR="009D4DB2" w:rsidRDefault="009D4DB2" w:rsidP="00EA041C">
      <w:r>
        <w:t xml:space="preserve">ANCP </w:t>
      </w:r>
      <w:r>
        <w:tab/>
      </w:r>
      <w:r>
        <w:tab/>
        <w:t>Australian NGO Cooperation Program</w:t>
      </w:r>
    </w:p>
    <w:p w14:paraId="69374769" w14:textId="77777777" w:rsidR="009D4DB2" w:rsidRDefault="009D4DB2" w:rsidP="00EA041C">
      <w:r>
        <w:t xml:space="preserve">DFAT </w:t>
      </w:r>
      <w:r>
        <w:tab/>
      </w:r>
      <w:r>
        <w:tab/>
        <w:t>Department of Foreign Affairs and Trade</w:t>
      </w:r>
    </w:p>
    <w:p w14:paraId="08BB760B" w14:textId="77777777" w:rsidR="009D4DB2" w:rsidRDefault="009D4DB2" w:rsidP="00EA041C">
      <w:r>
        <w:t>EU</w:t>
      </w:r>
      <w:r>
        <w:tab/>
      </w:r>
      <w:r>
        <w:tab/>
        <w:t>European Union</w:t>
      </w:r>
    </w:p>
    <w:p w14:paraId="1AAC30E1" w14:textId="70A14A21" w:rsidR="009D4DB2" w:rsidRDefault="009D4DB2" w:rsidP="00EA041C">
      <w:pPr>
        <w:rPr>
          <w:lang w:val="en-US"/>
        </w:rPr>
      </w:pPr>
      <w:r>
        <w:rPr>
          <w:lang w:val="en-US"/>
        </w:rPr>
        <w:t>ICRC</w:t>
      </w:r>
      <w:r>
        <w:rPr>
          <w:lang w:val="en-US"/>
        </w:rPr>
        <w:tab/>
      </w:r>
      <w:r>
        <w:rPr>
          <w:lang w:val="en-US"/>
        </w:rPr>
        <w:tab/>
        <w:t xml:space="preserve">International Committee of the Red Cross </w:t>
      </w:r>
    </w:p>
    <w:p w14:paraId="5ADBFA02" w14:textId="77777777" w:rsidR="009D4DB2" w:rsidRDefault="009D4DB2" w:rsidP="00EA041C">
      <w:pPr>
        <w:rPr>
          <w:lang w:val="en-US"/>
        </w:rPr>
      </w:pPr>
      <w:r>
        <w:rPr>
          <w:lang w:val="en-US"/>
        </w:rPr>
        <w:t>IHL</w:t>
      </w:r>
      <w:r>
        <w:rPr>
          <w:lang w:val="en-US"/>
        </w:rPr>
        <w:tab/>
      </w:r>
      <w:r>
        <w:rPr>
          <w:lang w:val="en-US"/>
        </w:rPr>
        <w:tab/>
        <w:t>International Humanitarian Law</w:t>
      </w:r>
    </w:p>
    <w:p w14:paraId="79BE982C" w14:textId="21EC05DD" w:rsidR="00A1234E" w:rsidRDefault="00A1234E" w:rsidP="00EA041C">
      <w:pPr>
        <w:rPr>
          <w:lang w:val="en-US"/>
        </w:rPr>
      </w:pPr>
      <w:r>
        <w:rPr>
          <w:lang w:val="en-US"/>
        </w:rPr>
        <w:t>IMR</w:t>
      </w:r>
      <w:r>
        <w:rPr>
          <w:lang w:val="en-US"/>
        </w:rPr>
        <w:tab/>
      </w:r>
      <w:r>
        <w:rPr>
          <w:lang w:val="en-US"/>
        </w:rPr>
        <w:tab/>
        <w:t>Investment Monitoring Report</w:t>
      </w:r>
    </w:p>
    <w:p w14:paraId="29FE55DA" w14:textId="0C598953" w:rsidR="006D2931" w:rsidRDefault="006D2931" w:rsidP="00EA041C">
      <w:pPr>
        <w:rPr>
          <w:lang w:val="en-US"/>
        </w:rPr>
      </w:pPr>
      <w:r>
        <w:rPr>
          <w:lang w:val="en-US"/>
        </w:rPr>
        <w:t>M&amp;E</w:t>
      </w:r>
      <w:r>
        <w:rPr>
          <w:lang w:val="en-US"/>
        </w:rPr>
        <w:tab/>
      </w:r>
      <w:r>
        <w:rPr>
          <w:lang w:val="en-US"/>
        </w:rPr>
        <w:tab/>
        <w:t>Monitoring and Evaluation</w:t>
      </w:r>
    </w:p>
    <w:p w14:paraId="44130980" w14:textId="77777777" w:rsidR="009D4DB2" w:rsidRDefault="009D4DB2" w:rsidP="00EA041C">
      <w:pPr>
        <w:rPr>
          <w:lang w:val="en-US"/>
        </w:rPr>
      </w:pPr>
      <w:r>
        <w:rPr>
          <w:lang w:val="en-US"/>
        </w:rPr>
        <w:t>NGO</w:t>
      </w:r>
      <w:r>
        <w:rPr>
          <w:lang w:val="en-US"/>
        </w:rPr>
        <w:tab/>
      </w:r>
      <w:r>
        <w:rPr>
          <w:lang w:val="en-US"/>
        </w:rPr>
        <w:tab/>
      </w:r>
      <w:proofErr w:type="gramStart"/>
      <w:r>
        <w:rPr>
          <w:lang w:val="en-US"/>
        </w:rPr>
        <w:t>Non-government</w:t>
      </w:r>
      <w:proofErr w:type="gramEnd"/>
      <w:r>
        <w:rPr>
          <w:lang w:val="en-US"/>
        </w:rPr>
        <w:t xml:space="preserve"> organisation</w:t>
      </w:r>
    </w:p>
    <w:p w14:paraId="2960471F" w14:textId="77777777" w:rsidR="009D4DB2" w:rsidRDefault="009D4DB2" w:rsidP="00EA041C">
      <w:r>
        <w:t xml:space="preserve">OCHA </w:t>
      </w:r>
      <w:r>
        <w:tab/>
      </w:r>
      <w:r>
        <w:tab/>
        <w:t>(UN) Office for the Coordination of Humanitarian Affairs</w:t>
      </w:r>
    </w:p>
    <w:p w14:paraId="6D953F02" w14:textId="15BC9748" w:rsidR="009D4DB2" w:rsidRDefault="009D4DB2" w:rsidP="00EA041C">
      <w:r>
        <w:t>OPT</w:t>
      </w:r>
      <w:r w:rsidR="004B28D6">
        <w:t>s</w:t>
      </w:r>
      <w:r>
        <w:tab/>
      </w:r>
      <w:r>
        <w:tab/>
        <w:t>Occupied Palestinian Territories</w:t>
      </w:r>
    </w:p>
    <w:p w14:paraId="119F2C43" w14:textId="77777777" w:rsidR="009D4DB2" w:rsidRDefault="009D4DB2" w:rsidP="00EA041C">
      <w:r>
        <w:t>PA</w:t>
      </w:r>
      <w:r>
        <w:tab/>
      </w:r>
      <w:r>
        <w:tab/>
        <w:t>Palestinian Authority</w:t>
      </w:r>
    </w:p>
    <w:p w14:paraId="65DB78BE" w14:textId="70756E66" w:rsidR="00A1234E" w:rsidRDefault="00A1234E" w:rsidP="00EA041C">
      <w:pPr>
        <w:rPr>
          <w:lang w:val="en-US"/>
        </w:rPr>
      </w:pPr>
      <w:r>
        <w:t>PPA</w:t>
      </w:r>
      <w:r>
        <w:tab/>
      </w:r>
      <w:r>
        <w:tab/>
        <w:t>Partner Performance Assessment</w:t>
      </w:r>
    </w:p>
    <w:p w14:paraId="2271B59F" w14:textId="77777777" w:rsidR="009D4DB2" w:rsidRDefault="009D4DB2" w:rsidP="00EA041C">
      <w:pPr>
        <w:rPr>
          <w:lang w:val="en-US"/>
        </w:rPr>
      </w:pPr>
      <w:r>
        <w:rPr>
          <w:lang w:val="en-US"/>
        </w:rPr>
        <w:t>PSEAH</w:t>
      </w:r>
      <w:r>
        <w:rPr>
          <w:lang w:val="en-US"/>
        </w:rPr>
        <w:tab/>
      </w:r>
      <w:r>
        <w:rPr>
          <w:lang w:val="en-US"/>
        </w:rPr>
        <w:tab/>
        <w:t>Prevention of sexual exploitation, abuse and harassment</w:t>
      </w:r>
    </w:p>
    <w:p w14:paraId="7F515FD6" w14:textId="77777777" w:rsidR="009D4DB2" w:rsidRDefault="009D4DB2" w:rsidP="00EA041C">
      <w:pPr>
        <w:rPr>
          <w:lang w:val="en-US"/>
        </w:rPr>
      </w:pPr>
      <w:r>
        <w:rPr>
          <w:lang w:val="en-US"/>
        </w:rPr>
        <w:t>UNICEF</w:t>
      </w:r>
      <w:r>
        <w:rPr>
          <w:lang w:val="en-US"/>
        </w:rPr>
        <w:tab/>
      </w:r>
      <w:r>
        <w:rPr>
          <w:lang w:val="en-US"/>
        </w:rPr>
        <w:tab/>
        <w:t>United Nations Children’s Fund</w:t>
      </w:r>
    </w:p>
    <w:p w14:paraId="6FD69517" w14:textId="77777777" w:rsidR="009D4DB2" w:rsidRDefault="009D4DB2" w:rsidP="00EA041C">
      <w:pPr>
        <w:rPr>
          <w:lang w:val="en-US"/>
        </w:rPr>
      </w:pPr>
      <w:r>
        <w:rPr>
          <w:lang w:val="en-US"/>
        </w:rPr>
        <w:t>UNOPS</w:t>
      </w:r>
      <w:r>
        <w:rPr>
          <w:lang w:val="en-US"/>
        </w:rPr>
        <w:tab/>
      </w:r>
      <w:r>
        <w:rPr>
          <w:lang w:val="en-US"/>
        </w:rPr>
        <w:tab/>
        <w:t>United Nations Office for Project Services</w:t>
      </w:r>
    </w:p>
    <w:p w14:paraId="16229968" w14:textId="77777777" w:rsidR="009D4DB2" w:rsidRDefault="009D4DB2" w:rsidP="00EA041C">
      <w:pPr>
        <w:rPr>
          <w:lang w:val="en-US"/>
        </w:rPr>
      </w:pPr>
      <w:r>
        <w:rPr>
          <w:lang w:val="en-US"/>
        </w:rPr>
        <w:t xml:space="preserve">UNRWA </w:t>
      </w:r>
      <w:r>
        <w:rPr>
          <w:lang w:val="en-US"/>
        </w:rPr>
        <w:tab/>
        <w:t>United Nations Relief and Works Agency for Palestinian Refugees</w:t>
      </w:r>
    </w:p>
    <w:p w14:paraId="4863DC9C" w14:textId="77777777" w:rsidR="009D4DB2" w:rsidRDefault="009D4DB2" w:rsidP="00EA041C">
      <w:pPr>
        <w:rPr>
          <w:lang w:val="en-US"/>
        </w:rPr>
      </w:pPr>
      <w:r>
        <w:rPr>
          <w:lang w:val="en-US"/>
        </w:rPr>
        <w:t>WB</w:t>
      </w:r>
      <w:r>
        <w:rPr>
          <w:lang w:val="en-US"/>
        </w:rPr>
        <w:tab/>
      </w:r>
      <w:r>
        <w:rPr>
          <w:lang w:val="en-US"/>
        </w:rPr>
        <w:tab/>
        <w:t>World Bank</w:t>
      </w:r>
    </w:p>
    <w:p w14:paraId="3A131E7F" w14:textId="77777777" w:rsidR="009D4DB2" w:rsidRDefault="009D4DB2" w:rsidP="00EA041C">
      <w:pPr>
        <w:rPr>
          <w:lang w:val="en-US"/>
        </w:rPr>
      </w:pPr>
      <w:r>
        <w:rPr>
          <w:lang w:val="en-US"/>
        </w:rPr>
        <w:t>WASH</w:t>
      </w:r>
      <w:r>
        <w:rPr>
          <w:lang w:val="en-US"/>
        </w:rPr>
        <w:tab/>
      </w:r>
      <w:r>
        <w:rPr>
          <w:lang w:val="en-US"/>
        </w:rPr>
        <w:tab/>
        <w:t>Water, sanitation and hygiene</w:t>
      </w:r>
    </w:p>
    <w:p w14:paraId="0A85AF1A" w14:textId="77777777" w:rsidR="009D4DB2" w:rsidRDefault="009D4DB2" w:rsidP="00EA041C">
      <w:pPr>
        <w:rPr>
          <w:lang w:val="en-US"/>
        </w:rPr>
      </w:pPr>
      <w:r>
        <w:rPr>
          <w:lang w:val="en-US"/>
        </w:rPr>
        <w:t>WHO</w:t>
      </w:r>
      <w:r>
        <w:rPr>
          <w:lang w:val="en-US"/>
        </w:rPr>
        <w:tab/>
      </w:r>
      <w:r>
        <w:rPr>
          <w:lang w:val="en-US"/>
        </w:rPr>
        <w:tab/>
        <w:t>World Health Organisation</w:t>
      </w:r>
    </w:p>
    <w:p w14:paraId="0B1AB1F5" w14:textId="77777777" w:rsidR="009D4DB2" w:rsidRDefault="009D4DB2" w:rsidP="00EA041C">
      <w:pPr>
        <w:rPr>
          <w:rFonts w:asciiTheme="majorHAnsi" w:eastAsiaTheme="majorEastAsia" w:hAnsiTheme="majorHAnsi" w:cstheme="majorBidi"/>
          <w:color w:val="2F5496" w:themeColor="accent1" w:themeShade="BF"/>
          <w:sz w:val="26"/>
          <w:szCs w:val="26"/>
        </w:rPr>
      </w:pPr>
      <w:r>
        <w:br w:type="page"/>
      </w:r>
    </w:p>
    <w:p w14:paraId="096750D9" w14:textId="6CEAE9DD" w:rsidR="005A40A9" w:rsidRDefault="005A40A9" w:rsidP="00EA041C">
      <w:pPr>
        <w:pStyle w:val="Heading1"/>
      </w:pPr>
      <w:bookmarkStart w:id="1" w:name="_Toc173326290"/>
      <w:r w:rsidRPr="0080752C">
        <w:lastRenderedPageBreak/>
        <w:t>Executive Summary</w:t>
      </w:r>
      <w:bookmarkEnd w:id="1"/>
    </w:p>
    <w:p w14:paraId="5B955B7D" w14:textId="5013E0A5" w:rsidR="005A40A9" w:rsidRDefault="005A40A9" w:rsidP="00EA041C">
      <w:pPr>
        <w:rPr>
          <w:lang w:val="en-US"/>
        </w:rPr>
      </w:pPr>
      <w:r w:rsidRPr="00100FBB">
        <w:rPr>
          <w:lang w:val="en-US"/>
        </w:rPr>
        <w:t>Th</w:t>
      </w:r>
      <w:r w:rsidR="00870B70">
        <w:rPr>
          <w:lang w:val="en-US"/>
        </w:rPr>
        <w:t>is</w:t>
      </w:r>
      <w:r w:rsidRPr="00100FBB">
        <w:rPr>
          <w:lang w:val="en-US"/>
        </w:rPr>
        <w:t xml:space="preserve"> review</w:t>
      </w:r>
      <w:r>
        <w:rPr>
          <w:lang w:val="en-US"/>
        </w:rPr>
        <w:t xml:space="preserve"> report is </w:t>
      </w:r>
      <w:r w:rsidRPr="00100FBB">
        <w:rPr>
          <w:lang w:val="en-US"/>
        </w:rPr>
        <w:t xml:space="preserve">focused on </w:t>
      </w:r>
      <w:r>
        <w:rPr>
          <w:lang w:val="en-US"/>
        </w:rPr>
        <w:t>Australia’s</w:t>
      </w:r>
      <w:r w:rsidRPr="00100FBB">
        <w:rPr>
          <w:lang w:val="en-US"/>
        </w:rPr>
        <w:t xml:space="preserve"> </w:t>
      </w:r>
      <w:r>
        <w:rPr>
          <w:lang w:val="en-US"/>
        </w:rPr>
        <w:t>Occupied Palestinian Territories (</w:t>
      </w:r>
      <w:r w:rsidRPr="00100FBB">
        <w:rPr>
          <w:lang w:val="en-US"/>
        </w:rPr>
        <w:t>OPT</w:t>
      </w:r>
      <w:r w:rsidR="00AB1DF7">
        <w:rPr>
          <w:lang w:val="en-US"/>
        </w:rPr>
        <w:t>s</w:t>
      </w:r>
      <w:r>
        <w:rPr>
          <w:lang w:val="en-US"/>
        </w:rPr>
        <w:t xml:space="preserve">) </w:t>
      </w:r>
      <w:r w:rsidRPr="00100FBB">
        <w:rPr>
          <w:lang w:val="en-US"/>
        </w:rPr>
        <w:t>bilateral program</w:t>
      </w:r>
      <w:r w:rsidR="00870B70">
        <w:rPr>
          <w:lang w:val="en-US"/>
        </w:rPr>
        <w:t>; it</w:t>
      </w:r>
      <w:r w:rsidR="00462A3D">
        <w:rPr>
          <w:lang w:val="en-US"/>
        </w:rPr>
        <w:t xml:space="preserve"> </w:t>
      </w:r>
      <w:r w:rsidRPr="00100FBB">
        <w:rPr>
          <w:lang w:val="en-US"/>
        </w:rPr>
        <w:t>consider</w:t>
      </w:r>
      <w:r>
        <w:rPr>
          <w:lang w:val="en-US"/>
        </w:rPr>
        <w:t>s and highlights both</w:t>
      </w:r>
      <w:r w:rsidRPr="00100FBB">
        <w:rPr>
          <w:lang w:val="en-US"/>
        </w:rPr>
        <w:t xml:space="preserve"> the achievements and challenges of the program. This report provides forward-looking recommendations for future investments and partners for humanitarian and development assistance to the OPT</w:t>
      </w:r>
      <w:r w:rsidR="00951F3D">
        <w:rPr>
          <w:lang w:val="en-US"/>
        </w:rPr>
        <w:t>s</w:t>
      </w:r>
      <w:r w:rsidRPr="00100FBB">
        <w:rPr>
          <w:lang w:val="en-US"/>
        </w:rPr>
        <w:t>, in line with Australia’s international development policies and bilateral priorities. The review has considered individual investments, as well as the package of Australian support as a whole</w:t>
      </w:r>
      <w:r>
        <w:rPr>
          <w:lang w:val="en-US"/>
        </w:rPr>
        <w:t xml:space="preserve"> between </w:t>
      </w:r>
      <w:r w:rsidRPr="00D72970">
        <w:rPr>
          <w:lang w:val="en-US"/>
        </w:rPr>
        <w:t>1 July 2019 to 31 December 2022</w:t>
      </w:r>
      <w:r w:rsidR="00870B70">
        <w:rPr>
          <w:lang w:val="en-US"/>
        </w:rPr>
        <w:t>.</w:t>
      </w:r>
    </w:p>
    <w:p w14:paraId="5A02910D" w14:textId="522FDBA1" w:rsidR="005A40A9" w:rsidRPr="00842751" w:rsidRDefault="005A40A9" w:rsidP="00EA041C">
      <w:pPr>
        <w:rPr>
          <w:b/>
          <w:bCs/>
          <w:color w:val="000000" w:themeColor="text1"/>
          <w:sz w:val="24"/>
          <w:szCs w:val="24"/>
        </w:rPr>
      </w:pPr>
      <w:r w:rsidRPr="00246E24">
        <w:rPr>
          <w:lang w:val="en-US"/>
        </w:rPr>
        <w:t>Overall, Australia’s humanitarian assistance and development cooperation program is demonstrating effectiveness and impact in the context of ongoing conflict and protracted crises in the OPT</w:t>
      </w:r>
      <w:r w:rsidR="00951F3D">
        <w:rPr>
          <w:lang w:val="en-US"/>
        </w:rPr>
        <w:t>s</w:t>
      </w:r>
      <w:r w:rsidRPr="00246E24">
        <w:rPr>
          <w:lang w:val="en-US"/>
        </w:rPr>
        <w:t>. The current partners to the program are ICRC, UNRWA and UNOPS</w:t>
      </w:r>
      <w:r>
        <w:rPr>
          <w:lang w:val="en-US"/>
        </w:rPr>
        <w:t xml:space="preserve">, </w:t>
      </w:r>
      <w:r w:rsidR="008B3F12">
        <w:rPr>
          <w:lang w:val="en-US"/>
        </w:rPr>
        <w:t xml:space="preserve">The </w:t>
      </w:r>
      <w:r>
        <w:rPr>
          <w:lang w:val="en-US"/>
        </w:rPr>
        <w:t>Fred Hollows</w:t>
      </w:r>
      <w:r w:rsidR="008B3F12">
        <w:rPr>
          <w:lang w:val="en-US"/>
        </w:rPr>
        <w:t xml:space="preserve"> Foundation</w:t>
      </w:r>
      <w:r>
        <w:rPr>
          <w:lang w:val="en-US"/>
        </w:rPr>
        <w:t xml:space="preserve"> </w:t>
      </w:r>
      <w:r w:rsidR="00653234">
        <w:rPr>
          <w:lang w:val="en-US"/>
        </w:rPr>
        <w:t>and ANCP</w:t>
      </w:r>
      <w:r w:rsidR="00F62920">
        <w:rPr>
          <w:lang w:val="en-US"/>
        </w:rPr>
        <w:t xml:space="preserve"> NGO partner</w:t>
      </w:r>
      <w:r w:rsidR="00653234">
        <w:rPr>
          <w:lang w:val="en-US"/>
        </w:rPr>
        <w:t>s</w:t>
      </w:r>
      <w:r>
        <w:rPr>
          <w:lang w:val="en-US"/>
        </w:rPr>
        <w:t xml:space="preserve">, all of which are providing relevant and effective humanitarian and resilience support to Palestinian communities in the West Bank and Gaza. DFAT and its delivery partners are managing risk appropriately given the resources available. The program is having a positive impact on the humanitarian needs of Palestinians, as well as mainstreaming gender and disability inclusion through activities. Other findings are detailed below. </w:t>
      </w:r>
    </w:p>
    <w:p w14:paraId="2F837EA8" w14:textId="77777777" w:rsidR="005A40A9" w:rsidRPr="002025B2" w:rsidRDefault="005A40A9" w:rsidP="00EA041C">
      <w:pPr>
        <w:pStyle w:val="Heading2"/>
      </w:pPr>
      <w:bookmarkStart w:id="2" w:name="_Toc173326291"/>
      <w:r w:rsidRPr="002025B2">
        <w:t>Findings</w:t>
      </w:r>
      <w:bookmarkEnd w:id="2"/>
      <w:r w:rsidRPr="002025B2">
        <w:t xml:space="preserve"> </w:t>
      </w:r>
    </w:p>
    <w:p w14:paraId="01F26F81" w14:textId="6D848A56" w:rsidR="005A40A9" w:rsidRDefault="005A40A9" w:rsidP="00EA041C">
      <w:pPr>
        <w:pStyle w:val="ListParagraph"/>
        <w:numPr>
          <w:ilvl w:val="0"/>
          <w:numId w:val="4"/>
        </w:numPr>
      </w:pPr>
      <w:r>
        <w:t>The</w:t>
      </w:r>
      <w:r w:rsidRPr="0080752C">
        <w:t xml:space="preserve"> program is demonstrating effectiveness and impact in the context of ongoing conflict and protracted crises in the </w:t>
      </w:r>
      <w:r>
        <w:t>O</w:t>
      </w:r>
      <w:r w:rsidR="007F134F">
        <w:t>PTs</w:t>
      </w:r>
      <w:r>
        <w:t>.</w:t>
      </w:r>
    </w:p>
    <w:p w14:paraId="4CAC6933" w14:textId="77777777" w:rsidR="005A40A9" w:rsidRDefault="005A40A9" w:rsidP="00EA041C">
      <w:pPr>
        <w:pStyle w:val="ListParagraph"/>
        <w:numPr>
          <w:ilvl w:val="0"/>
          <w:numId w:val="4"/>
        </w:numPr>
      </w:pPr>
      <w:r w:rsidRPr="0080752C">
        <w:t xml:space="preserve">Australia’s program is highly relevant, with current </w:t>
      </w:r>
      <w:r>
        <w:t>partners highlighting</w:t>
      </w:r>
      <w:r w:rsidRPr="0080752C">
        <w:t xml:space="preserve"> its flexibility and complementarity.</w:t>
      </w:r>
    </w:p>
    <w:p w14:paraId="0D4CB25C" w14:textId="77777777" w:rsidR="005A40A9" w:rsidRDefault="005A40A9" w:rsidP="00EA041C">
      <w:pPr>
        <w:pStyle w:val="ListParagraph"/>
        <w:numPr>
          <w:ilvl w:val="0"/>
          <w:numId w:val="4"/>
        </w:numPr>
      </w:pPr>
      <w:r w:rsidRPr="0080752C">
        <w:t xml:space="preserve">There is good evidence of </w:t>
      </w:r>
      <w:r>
        <w:t>gender equality</w:t>
      </w:r>
      <w:r w:rsidRPr="0080752C">
        <w:t xml:space="preserve"> considerations in the program, </w:t>
      </w:r>
      <w:r>
        <w:t>primarily</w:t>
      </w:r>
      <w:r w:rsidRPr="0080752C">
        <w:t xml:space="preserve"> through mainstreaming approaches by implementing partner</w:t>
      </w:r>
      <w:r>
        <w:t>s in program delivery.</w:t>
      </w:r>
    </w:p>
    <w:p w14:paraId="52631BF5" w14:textId="77777777" w:rsidR="005A40A9" w:rsidRDefault="005A40A9" w:rsidP="00EA041C">
      <w:pPr>
        <w:pStyle w:val="ListParagraph"/>
        <w:numPr>
          <w:ilvl w:val="0"/>
          <w:numId w:val="4"/>
        </w:numPr>
      </w:pPr>
      <w:r w:rsidRPr="0080752C">
        <w:t>Australia’s</w:t>
      </w:r>
      <w:r>
        <w:t xml:space="preserve"> </w:t>
      </w:r>
      <w:r w:rsidRPr="0080752C">
        <w:t>program</w:t>
      </w:r>
      <w:r>
        <w:t xml:space="preserve"> is addressing the effects of the humanitarian and development crises, and this could be further strengthened through greater visibility of Australia’s advocacy commitments, particularly promoting respect for human rights and international humanitarian law (IHL) and protection from violence. </w:t>
      </w:r>
    </w:p>
    <w:p w14:paraId="3F346A1C" w14:textId="77777777" w:rsidR="005A40A9" w:rsidRPr="003C424F" w:rsidRDefault="005A40A9" w:rsidP="00EA041C">
      <w:pPr>
        <w:pStyle w:val="ListParagraph"/>
        <w:numPr>
          <w:ilvl w:val="0"/>
          <w:numId w:val="4"/>
        </w:numPr>
      </w:pPr>
      <w:r w:rsidRPr="003C424F">
        <w:t>DFAT’s investment risk management practices are adequate given resources available.</w:t>
      </w:r>
    </w:p>
    <w:p w14:paraId="58D7816C" w14:textId="77777777" w:rsidR="005A40A9" w:rsidRPr="003C424F" w:rsidRDefault="005A40A9" w:rsidP="00EA041C">
      <w:pPr>
        <w:pStyle w:val="ListParagraph"/>
        <w:numPr>
          <w:ilvl w:val="0"/>
          <w:numId w:val="4"/>
        </w:numPr>
      </w:pPr>
      <w:r w:rsidRPr="003C424F">
        <w:t>DFAT tailors its risk management practices to the risk profile of each organisation. Organisational risk profiles substantively inform preferred modalities and the selection of implementing partners. This is a highly appropriate strategy given the time available for program and risk management.</w:t>
      </w:r>
    </w:p>
    <w:p w14:paraId="5E8CF07D" w14:textId="77777777" w:rsidR="005A40A9" w:rsidRPr="00A408AD" w:rsidRDefault="005A40A9" w:rsidP="00EA041C">
      <w:pPr>
        <w:pStyle w:val="ListParagraph"/>
        <w:numPr>
          <w:ilvl w:val="0"/>
          <w:numId w:val="4"/>
        </w:numPr>
      </w:pPr>
      <w:r w:rsidRPr="003C424F">
        <w:t>All partners responding to the risk questionnaire report strong controls and systems to prevent and respond to risks of diversion of aid funds.</w:t>
      </w:r>
    </w:p>
    <w:p w14:paraId="5FF2C699" w14:textId="2C3E4D38" w:rsidR="005A40A9" w:rsidRPr="003C424F" w:rsidRDefault="005A40A9" w:rsidP="00EA041C">
      <w:pPr>
        <w:pStyle w:val="ListParagraph"/>
        <w:numPr>
          <w:ilvl w:val="0"/>
          <w:numId w:val="4"/>
        </w:numPr>
      </w:pPr>
      <w:r>
        <w:t xml:space="preserve">The program is human resource intensive due to the challenges </w:t>
      </w:r>
      <w:r w:rsidR="00AB7411">
        <w:t xml:space="preserve">involved in </w:t>
      </w:r>
      <w:r>
        <w:t>navigating a restricted and complex operating environment</w:t>
      </w:r>
      <w:r w:rsidR="00D3524D">
        <w:t xml:space="preserve">. </w:t>
      </w:r>
      <w:r w:rsidR="00FE1DAE">
        <w:t>This is further compounded by the administrative burden of a</w:t>
      </w:r>
      <w:r>
        <w:t>nnual program funding cycles</w:t>
      </w:r>
      <w:r w:rsidR="00B55312">
        <w:t>, rather than multi-</w:t>
      </w:r>
      <w:r w:rsidR="00FE1DAE">
        <w:t>year</w:t>
      </w:r>
      <w:r>
        <w:t xml:space="preserve">. </w:t>
      </w:r>
      <w:r w:rsidRPr="003C424F">
        <w:t xml:space="preserve"> </w:t>
      </w:r>
    </w:p>
    <w:p w14:paraId="12C51E29" w14:textId="77777777" w:rsidR="005A40A9" w:rsidRPr="00EA041C" w:rsidRDefault="005A40A9" w:rsidP="00EA041C">
      <w:pPr>
        <w:pStyle w:val="Heading2"/>
      </w:pPr>
      <w:bookmarkStart w:id="3" w:name="_Toc173326292"/>
      <w:r w:rsidRPr="00EA041C">
        <w:t>Recommendations</w:t>
      </w:r>
      <w:bookmarkEnd w:id="3"/>
    </w:p>
    <w:p w14:paraId="62361C75" w14:textId="1E621106" w:rsidR="005A40A9" w:rsidRDefault="005A40A9" w:rsidP="00EA041C">
      <w:pPr>
        <w:pStyle w:val="ListParagraph"/>
        <w:numPr>
          <w:ilvl w:val="0"/>
          <w:numId w:val="5"/>
        </w:numPr>
      </w:pPr>
      <w:r w:rsidRPr="0080752C">
        <w:t>A program approach</w:t>
      </w:r>
      <w:r>
        <w:t xml:space="preserve"> with multi-year funding</w:t>
      </w:r>
      <w:r w:rsidRPr="0080752C">
        <w:t xml:space="preserve"> is </w:t>
      </w:r>
      <w:r>
        <w:t>recommended</w:t>
      </w:r>
      <w:r w:rsidRPr="0080752C">
        <w:t xml:space="preserve"> for </w:t>
      </w:r>
      <w:r w:rsidR="00DE2996">
        <w:t>a</w:t>
      </w:r>
      <w:r w:rsidRPr="0080752C">
        <w:t xml:space="preserve"> future aid program to provide increased coherence and evidence to </w:t>
      </w:r>
      <w:r>
        <w:t xml:space="preserve">align with advocacy and policy </w:t>
      </w:r>
      <w:r w:rsidRPr="0080752C">
        <w:t>engagement.</w:t>
      </w:r>
      <w:r>
        <w:t xml:space="preserve"> The program should focus on humanitarian and resilience pillars, with humanitarian response support continuing to take priority given the trending escalation of the conflict. </w:t>
      </w:r>
    </w:p>
    <w:p w14:paraId="50EEAF76" w14:textId="77777777" w:rsidR="005A40A9" w:rsidRDefault="005A40A9" w:rsidP="00EA041C">
      <w:pPr>
        <w:pStyle w:val="ListParagraph"/>
        <w:numPr>
          <w:ilvl w:val="0"/>
          <w:numId w:val="5"/>
        </w:numPr>
      </w:pPr>
      <w:r w:rsidRPr="00EB5A7B">
        <w:t>The review recommends engaging DFAT's stakeholders and constituents in a process to select partners for multi-year funding.</w:t>
      </w:r>
    </w:p>
    <w:p w14:paraId="717DA452" w14:textId="4F496C7B" w:rsidR="00F2026A" w:rsidRDefault="005A40A9" w:rsidP="00EA041C">
      <w:pPr>
        <w:pStyle w:val="ListParagraph"/>
        <w:numPr>
          <w:ilvl w:val="0"/>
          <w:numId w:val="5"/>
        </w:numPr>
      </w:pPr>
      <w:r>
        <w:lastRenderedPageBreak/>
        <w:t>DFAT should be more directive to partners on expectations for gender equality considerations to be an integral part of design, implementation, monitoring and evaluation</w:t>
      </w:r>
      <w:r w:rsidR="00C773CD">
        <w:t>,</w:t>
      </w:r>
      <w:r>
        <w:t xml:space="preserve"> in line with Australia’s International Development Policy. </w:t>
      </w:r>
    </w:p>
    <w:p w14:paraId="51741BA4" w14:textId="19B28AA5" w:rsidR="005A40A9" w:rsidRDefault="005A40A9" w:rsidP="00EA041C">
      <w:pPr>
        <w:pStyle w:val="ListParagraph"/>
        <w:numPr>
          <w:ilvl w:val="0"/>
          <w:numId w:val="5"/>
        </w:numPr>
      </w:pPr>
      <w:r>
        <w:t xml:space="preserve">DFAT to consider the inclusion of an additional 1 – 2 partners (multilateral or NGO) to the program. These could be working in the thematic area of gender equality to support Australia’s gender equality commitments and / or in the economic development and social protection sectors. </w:t>
      </w:r>
    </w:p>
    <w:p w14:paraId="6E553D04" w14:textId="77777777" w:rsidR="005A40A9" w:rsidRDefault="005A40A9" w:rsidP="00EA041C">
      <w:pPr>
        <w:pStyle w:val="ListParagraph"/>
        <w:numPr>
          <w:ilvl w:val="0"/>
          <w:numId w:val="5"/>
        </w:numPr>
      </w:pPr>
      <w:r>
        <w:t>Climate change adaptation and mitigation is best integrated into current thematic priorities.</w:t>
      </w:r>
    </w:p>
    <w:p w14:paraId="5712A582" w14:textId="0A9D6D7E" w:rsidR="005A40A9" w:rsidRDefault="005A40A9" w:rsidP="00EA041C">
      <w:pPr>
        <w:pStyle w:val="ListParagraph"/>
        <w:numPr>
          <w:ilvl w:val="0"/>
          <w:numId w:val="5"/>
        </w:numPr>
      </w:pPr>
      <w:r>
        <w:t xml:space="preserve">Budget planning, including multi-year funding, will facilitate the two-track objectives of a program approach with targeted advocacy. </w:t>
      </w:r>
    </w:p>
    <w:p w14:paraId="01644B2A" w14:textId="77777777" w:rsidR="005A40A9" w:rsidRDefault="005A40A9" w:rsidP="00EA041C">
      <w:pPr>
        <w:pStyle w:val="ListParagraph"/>
        <w:numPr>
          <w:ilvl w:val="0"/>
          <w:numId w:val="5"/>
        </w:numPr>
      </w:pPr>
      <w:r>
        <w:t>DFAT should m</w:t>
      </w:r>
      <w:r w:rsidRPr="00E33078">
        <w:t>aintain the high levels of attention to risk management in humanitarian and development investment</w:t>
      </w:r>
      <w:r>
        <w:t>s</w:t>
      </w:r>
      <w:r w:rsidRPr="00E33078">
        <w:t>.</w:t>
      </w:r>
      <w:r>
        <w:t xml:space="preserve"> </w:t>
      </w:r>
      <w:r w:rsidRPr="0043699A">
        <w:rPr>
          <w:lang w:eastAsia="en-AU"/>
        </w:rPr>
        <w:t>Building on the efforts to date, the review identified opportunities to strengthen aspects of DFAT’s risk management</w:t>
      </w:r>
      <w:r>
        <w:rPr>
          <w:lang w:eastAsia="en-AU"/>
        </w:rPr>
        <w:t>.</w:t>
      </w:r>
    </w:p>
    <w:p w14:paraId="5BAD3DC9" w14:textId="77777777" w:rsidR="005A40A9" w:rsidRPr="00842751" w:rsidRDefault="005A40A9" w:rsidP="00EA041C">
      <w:pPr>
        <w:pStyle w:val="Heading2"/>
      </w:pPr>
      <w:bookmarkStart w:id="4" w:name="_Toc173326293"/>
      <w:r w:rsidRPr="00842751">
        <w:t>Epilogue</w:t>
      </w:r>
      <w:bookmarkEnd w:id="4"/>
    </w:p>
    <w:p w14:paraId="31572E91" w14:textId="18F645F0" w:rsidR="00FD257F" w:rsidRDefault="005A40A9" w:rsidP="00EA041C">
      <w:r>
        <w:t>The OPT</w:t>
      </w:r>
      <w:r w:rsidR="008D7D2D">
        <w:t>s</w:t>
      </w:r>
      <w:r>
        <w:t xml:space="preserve"> Strategic Review Report was </w:t>
      </w:r>
      <w:r w:rsidR="006667AA">
        <w:t xml:space="preserve">finalised and </w:t>
      </w:r>
      <w:r>
        <w:t>submitted at the onset of the</w:t>
      </w:r>
      <w:r w:rsidR="00B84EE7">
        <w:t xml:space="preserve"> October</w:t>
      </w:r>
      <w:r>
        <w:t xml:space="preserve"> 2023 Israel </w:t>
      </w:r>
      <w:r w:rsidR="00E76F61">
        <w:t>Hamas</w:t>
      </w:r>
      <w:r>
        <w:t xml:space="preserve"> conflict. </w:t>
      </w:r>
      <w:r w:rsidR="00A12A31">
        <w:t xml:space="preserve">DFAT’s existing approach </w:t>
      </w:r>
      <w:r w:rsidR="00292135">
        <w:t xml:space="preserve">of </w:t>
      </w:r>
      <w:r w:rsidR="00A12A31">
        <w:t xml:space="preserve">partnering with long-term, established and respected </w:t>
      </w:r>
      <w:r w:rsidR="00CD24F6">
        <w:t xml:space="preserve">multilateral </w:t>
      </w:r>
      <w:r w:rsidR="00A12A31">
        <w:t xml:space="preserve">organisations </w:t>
      </w:r>
      <w:r w:rsidR="00F21EEB">
        <w:t>with capabilities to adapt and respond immediately in times of crisis has enabled it to</w:t>
      </w:r>
      <w:r w:rsidR="00A12A31">
        <w:t xml:space="preserve"> pivot quickly </w:t>
      </w:r>
      <w:r w:rsidR="00F21EEB">
        <w:t xml:space="preserve">and meet </w:t>
      </w:r>
      <w:r w:rsidR="00BB055A">
        <w:t>urgent humanitarian needs.</w:t>
      </w:r>
    </w:p>
    <w:p w14:paraId="3EA698F7" w14:textId="692E1BA1" w:rsidR="00292135" w:rsidRDefault="005A40A9" w:rsidP="00EA041C">
      <w:r>
        <w:t>The conflict has reinforced the findings and recommendations of this report</w:t>
      </w:r>
      <w:r w:rsidR="000422C2">
        <w:t xml:space="preserve"> on the program</w:t>
      </w:r>
      <w:r w:rsidR="00DE65C1">
        <w:t>, particularly</w:t>
      </w:r>
      <w:r w:rsidR="0052197E">
        <w:t xml:space="preserve"> the</w:t>
      </w:r>
      <w:r w:rsidR="007133EC">
        <w:t xml:space="preserve"> need to maintain its humanitarian focus</w:t>
      </w:r>
      <w:r w:rsidR="0052197E">
        <w:t xml:space="preserve"> and the effectiveness of current partners. </w:t>
      </w:r>
      <w:r w:rsidR="004D0311">
        <w:t xml:space="preserve">In addition, Australia’s </w:t>
      </w:r>
      <w:r w:rsidR="00A015D8">
        <w:t>call</w:t>
      </w:r>
      <w:r w:rsidR="004D0311">
        <w:t xml:space="preserve"> for </w:t>
      </w:r>
      <w:r w:rsidR="00D85FDB">
        <w:t xml:space="preserve">all parties to the conflict to respect international humanitarian law </w:t>
      </w:r>
      <w:r w:rsidR="006B79BA">
        <w:t xml:space="preserve">will likely be a key </w:t>
      </w:r>
      <w:r w:rsidR="00A015D8">
        <w:t xml:space="preserve">advocacy pillar going forward, as noted </w:t>
      </w:r>
      <w:r w:rsidR="0001073E">
        <w:t xml:space="preserve">by the review. </w:t>
      </w:r>
      <w:r w:rsidR="00D00854">
        <w:t>While meeting</w:t>
      </w:r>
      <w:r w:rsidR="0001073E">
        <w:t xml:space="preserve"> the</w:t>
      </w:r>
      <w:r w:rsidR="00D00854">
        <w:t xml:space="preserve"> immediate humanitarian need</w:t>
      </w:r>
      <w:r w:rsidR="00624678">
        <w:t>s will likely remain the focus of the program</w:t>
      </w:r>
      <w:r w:rsidR="0001073E">
        <w:t xml:space="preserve"> for the foreseeable future</w:t>
      </w:r>
      <w:r w:rsidR="00624678">
        <w:t>, DFAT may want to consider</w:t>
      </w:r>
      <w:r w:rsidR="006E3C74">
        <w:t xml:space="preserve"> what form of reconstruction</w:t>
      </w:r>
      <w:r w:rsidR="00F02126">
        <w:t xml:space="preserve"> or rehabilitation</w:t>
      </w:r>
      <w:r w:rsidR="006E3C74">
        <w:t xml:space="preserve"> support </w:t>
      </w:r>
      <w:r w:rsidR="00F02126">
        <w:t xml:space="preserve">to </w:t>
      </w:r>
      <w:r w:rsidR="00CB1F0F">
        <w:t>include as part of its program</w:t>
      </w:r>
      <w:r w:rsidR="00F02126">
        <w:t xml:space="preserve">. </w:t>
      </w:r>
    </w:p>
    <w:p w14:paraId="20283B56" w14:textId="09C7CABC" w:rsidR="00ED1258" w:rsidRDefault="002A12A5" w:rsidP="00EA041C">
      <w:r>
        <w:t>Recommendations</w:t>
      </w:r>
      <w:r w:rsidR="004172E9">
        <w:t xml:space="preserve"> </w:t>
      </w:r>
      <w:r w:rsidR="00DE65C1">
        <w:t>relati</w:t>
      </w:r>
      <w:r>
        <w:t xml:space="preserve">ng </w:t>
      </w:r>
      <w:r w:rsidR="00DE65C1">
        <w:t xml:space="preserve">to </w:t>
      </w:r>
      <w:r w:rsidR="00AF72B9">
        <w:t xml:space="preserve">engaging stakeholders and constituents in a process to select </w:t>
      </w:r>
      <w:r w:rsidR="005C03D7">
        <w:t>partners and</w:t>
      </w:r>
      <w:r w:rsidR="00AF72B9">
        <w:t xml:space="preserve"> taking a program approach with multi-year funding with both humanitarian and resilience pillars</w:t>
      </w:r>
      <w:r w:rsidR="00ED1258">
        <w:t>, remain highly relevant</w:t>
      </w:r>
      <w:r w:rsidR="00AF72B9">
        <w:t xml:space="preserve">. </w:t>
      </w:r>
    </w:p>
    <w:p w14:paraId="2CB9E420" w14:textId="77777777" w:rsidR="00ED1258" w:rsidRDefault="00ED1258" w:rsidP="00EA041C">
      <w:r>
        <w:br w:type="page"/>
      </w:r>
    </w:p>
    <w:p w14:paraId="154DE681" w14:textId="3F940CC3" w:rsidR="00FA15F6" w:rsidRPr="00D203B8" w:rsidRDefault="00FA15F6" w:rsidP="00EA041C">
      <w:pPr>
        <w:pStyle w:val="Heading1"/>
        <w:numPr>
          <w:ilvl w:val="0"/>
          <w:numId w:val="13"/>
        </w:numPr>
      </w:pPr>
      <w:bookmarkStart w:id="5" w:name="_Toc173326294"/>
      <w:r>
        <w:lastRenderedPageBreak/>
        <w:t>Introduction</w:t>
      </w:r>
      <w:bookmarkEnd w:id="5"/>
    </w:p>
    <w:p w14:paraId="17BF79C2" w14:textId="36711173" w:rsidR="0048531E" w:rsidRPr="0080752C" w:rsidRDefault="0016102D" w:rsidP="00EA041C">
      <w:pPr>
        <w:pStyle w:val="Heading2"/>
      </w:pPr>
      <w:bookmarkStart w:id="6" w:name="_Toc173326295"/>
      <w:r w:rsidRPr="0080752C">
        <w:t>Background</w:t>
      </w:r>
      <w:bookmarkEnd w:id="6"/>
      <w:r w:rsidR="00D12F98" w:rsidRPr="0080752C">
        <w:t xml:space="preserve"> </w:t>
      </w:r>
    </w:p>
    <w:p w14:paraId="1499D853" w14:textId="1D9F9DDB" w:rsidR="00376E0A" w:rsidRPr="00EA041C" w:rsidRDefault="001B69C7" w:rsidP="00EA041C">
      <w:r w:rsidRPr="00EA041C">
        <w:t xml:space="preserve">The </w:t>
      </w:r>
      <w:r w:rsidR="00A51C7D" w:rsidRPr="00EA041C">
        <w:t xml:space="preserve">Occupied </w:t>
      </w:r>
      <w:r w:rsidRPr="00EA041C">
        <w:t>Palestinian Territories</w:t>
      </w:r>
      <w:r w:rsidR="00AF2DBC" w:rsidRPr="00F124AC">
        <w:rPr>
          <w:rStyle w:val="FootnoteReference"/>
          <w:kern w:val="0"/>
          <w:sz w:val="20"/>
          <w:szCs w:val="20"/>
          <w14:ligatures w14:val="none"/>
        </w:rPr>
        <w:footnoteReference w:id="1"/>
      </w:r>
      <w:r w:rsidR="00A51C7D" w:rsidRPr="00EA041C">
        <w:t xml:space="preserve"> (OPT</w:t>
      </w:r>
      <w:r w:rsidR="00951F3D" w:rsidRPr="00EA041C">
        <w:t>s</w:t>
      </w:r>
      <w:r w:rsidR="00A51C7D" w:rsidRPr="00EA041C">
        <w:t>) is</w:t>
      </w:r>
      <w:r w:rsidRPr="00EA041C">
        <w:t xml:space="preserve"> one of the poorest areas in the Middle East. It is unlikely to emerge from a state of protracted crisis until a political solution is found to the ongoing situation between Israel and the </w:t>
      </w:r>
      <w:r w:rsidR="00541714" w:rsidRPr="00EA041C">
        <w:t>OPT</w:t>
      </w:r>
      <w:r w:rsidR="00951F3D" w:rsidRPr="00EA041C">
        <w:t>s</w:t>
      </w:r>
      <w:r w:rsidRPr="00EA041C">
        <w:t xml:space="preserve">. Australia’s humanitarian assistance and development cooperation </w:t>
      </w:r>
      <w:r w:rsidR="007B2403" w:rsidRPr="00EA041C">
        <w:t xml:space="preserve">program is intended to </w:t>
      </w:r>
      <w:r w:rsidRPr="00EA041C">
        <w:t>respond to Palestinians’ needs and support Australia’s interest in a stable</w:t>
      </w:r>
      <w:r w:rsidR="00151B74" w:rsidRPr="00EA041C">
        <w:t xml:space="preserve"> and</w:t>
      </w:r>
      <w:r w:rsidRPr="00EA041C">
        <w:t xml:space="preserve"> secure Middle East.</w:t>
      </w:r>
    </w:p>
    <w:p w14:paraId="1892D777" w14:textId="133FC428" w:rsidR="00376E0A" w:rsidRPr="0080752C" w:rsidRDefault="001B69C7" w:rsidP="00EA041C">
      <w:r w:rsidRPr="0080752C">
        <w:t xml:space="preserve">International humanitarian assistance and development cooperation provides a degree of stability to what is a complex and fragile situation. UNOCHA assesses that of a population of 5.5 million people, 2.1 million people have humanitarian needs, with most of these located in Gaza. In FY 2021-22, DFAT provided around $29 million in assistance to the </w:t>
      </w:r>
      <w:r w:rsidR="003B517A">
        <w:t>OPT</w:t>
      </w:r>
      <w:r w:rsidR="00951F3D">
        <w:t>s</w:t>
      </w:r>
      <w:r w:rsidR="00BC126B">
        <w:t xml:space="preserve">, with </w:t>
      </w:r>
      <w:r w:rsidRPr="0080752C">
        <w:t xml:space="preserve">92 per cent </w:t>
      </w:r>
      <w:r w:rsidR="00BC126B">
        <w:t>being</w:t>
      </w:r>
      <w:r w:rsidRPr="0080752C">
        <w:t xml:space="preserve"> humanitarian aid. Additionally, the Palestinian Authority</w:t>
      </w:r>
      <w:r w:rsidR="00086F2B">
        <w:t xml:space="preserve"> (PA)</w:t>
      </w:r>
      <w:r w:rsidRPr="0080752C">
        <w:t xml:space="preserve">, the governing authority of the </w:t>
      </w:r>
      <w:r w:rsidR="00477C2B">
        <w:t>OPTs</w:t>
      </w:r>
      <w:r w:rsidRPr="0080752C">
        <w:t xml:space="preserve">, faces significant financial and institutional challenges while </w:t>
      </w:r>
      <w:r w:rsidR="00C76E23">
        <w:t>United Nations (</w:t>
      </w:r>
      <w:r w:rsidRPr="0080752C">
        <w:t>UN</w:t>
      </w:r>
      <w:r w:rsidR="00C76E23">
        <w:t>)</w:t>
      </w:r>
      <w:r w:rsidRPr="0080752C">
        <w:t xml:space="preserve"> agencies, and their partners, face funding shortfalls. </w:t>
      </w:r>
    </w:p>
    <w:p w14:paraId="1A136CD3" w14:textId="0CD4DDF0" w:rsidR="00376E0A" w:rsidRPr="0080752C" w:rsidRDefault="001B69C7" w:rsidP="00EA041C">
      <w:r w:rsidRPr="0080752C">
        <w:t>Australia’s largest partner is the United Nations Relief and Works Agency for Palestine Refugees in the Near East (UNRWA). In 2022-23, Australia doubled its funding to UNRWA to $20 million. UNRWA provides predominately education, health, and social services to Palestinian refugees in Gaza, the West Bank, Jordan, Lebanon, and Syria. Because of the sensitive and political nature of UNRWA’s work, it is often exposed to allegations of breaches of humanitarian principles, particularly neutrality. DFAT regularly engages and makes representations to UNRWA to ensure it remains responsive and accountable.</w:t>
      </w:r>
    </w:p>
    <w:p w14:paraId="76022F3D" w14:textId="5D52FCA7" w:rsidR="00376E0A" w:rsidRPr="0080752C" w:rsidRDefault="001B69C7" w:rsidP="00EA041C">
      <w:r w:rsidRPr="0080752C">
        <w:t xml:space="preserve">In recent years Australia has provided funding to the International Committee of the Red Cross (ICRC), the United Nations Office for Project Services (UNOPS), UNICEF and the World Health Organization (WHO). Since the onset of the COVID-19 pandemic, the balance of Australia’s assistance has focused on supporting humanitarian needs, including health security. </w:t>
      </w:r>
    </w:p>
    <w:p w14:paraId="1277FB11" w14:textId="1093CD33" w:rsidR="004730B2" w:rsidRPr="0080752C" w:rsidRDefault="004730B2" w:rsidP="00EA041C">
      <w:pPr>
        <w:pStyle w:val="Heading2"/>
      </w:pPr>
      <w:bookmarkStart w:id="7" w:name="_Toc173326296"/>
      <w:r w:rsidRPr="0080752C">
        <w:t>Context</w:t>
      </w:r>
      <w:bookmarkEnd w:id="7"/>
    </w:p>
    <w:p w14:paraId="2EA835FA" w14:textId="53B382E9" w:rsidR="00D66511" w:rsidRDefault="00862FC8" w:rsidP="00EA041C">
      <w:r w:rsidRPr="0080752C">
        <w:t>The operating environment is extremely restrictive and controlled, adding layers of complexity to the delivery of the aid program. Effective navigation of this complex and dynamic environment is resource - human and financial - intensive.</w:t>
      </w:r>
      <w:r w:rsidR="002A44E7" w:rsidRPr="002A44E7">
        <w:t xml:space="preserve"> </w:t>
      </w:r>
      <w:r w:rsidR="002A44E7">
        <w:t>O</w:t>
      </w:r>
      <w:r w:rsidR="002A44E7" w:rsidRPr="002A44E7">
        <w:t>peration</w:t>
      </w:r>
      <w:r w:rsidR="002A44E7">
        <w:t>al</w:t>
      </w:r>
      <w:r w:rsidR="002A44E7" w:rsidRPr="002A44E7">
        <w:t xml:space="preserve"> space</w:t>
      </w:r>
      <w:r w:rsidR="00AC09A1">
        <w:t xml:space="preserve"> for the aid sector</w:t>
      </w:r>
      <w:r w:rsidR="002A44E7">
        <w:t xml:space="preserve"> is shrinking</w:t>
      </w:r>
      <w:r w:rsidR="00EB4777">
        <w:t xml:space="preserve"> due to the constraints</w:t>
      </w:r>
      <w:r w:rsidR="00B22735">
        <w:t xml:space="preserve"> imposed by all parties </w:t>
      </w:r>
      <w:r w:rsidR="00A957EF">
        <w:t>to the conflic</w:t>
      </w:r>
      <w:r w:rsidR="00F03EA1">
        <w:t>t</w:t>
      </w:r>
      <w:r w:rsidR="00AC09A1">
        <w:t xml:space="preserve">. Most </w:t>
      </w:r>
      <w:r w:rsidR="00E016DF">
        <w:t>review respondents noted additional work and resources are</w:t>
      </w:r>
      <w:r w:rsidR="00473B32">
        <w:t xml:space="preserve"> required to effectively </w:t>
      </w:r>
      <w:r w:rsidR="00AC09A1">
        <w:t>manage</w:t>
      </w:r>
      <w:r w:rsidR="00473B32">
        <w:t xml:space="preserve"> these </w:t>
      </w:r>
      <w:r w:rsidR="00B63219">
        <w:t>constraints</w:t>
      </w:r>
      <w:r w:rsidR="00473B32">
        <w:t xml:space="preserve">. </w:t>
      </w:r>
    </w:p>
    <w:p w14:paraId="6D8A3BF4" w14:textId="06BB96C5" w:rsidR="00F22181" w:rsidRPr="0080752C" w:rsidRDefault="00862FC8" w:rsidP="00EA041C">
      <w:r w:rsidRPr="0080752C">
        <w:t xml:space="preserve">It is a </w:t>
      </w:r>
      <w:r w:rsidR="001B69C7" w:rsidRPr="0080752C">
        <w:t xml:space="preserve">challenging operational environment from a risk management and safeguards perspective. The Australian Government paused its funding to NGOs in Gaza in November 2021 due to risks NGOs may be pressured into paying fees and taxes to the de facto authority, Hamas. In March 2022 Hamas was listed in its entirety as a terrorist entity under the Australian Criminal Code Act 1995. Hamas is also designated for the purposes of counter-terrorism financing sanctions under the Charter of the United Nations Act, 1945 (COTUNA). Australia has continued to provide support in Gaza through UN </w:t>
      </w:r>
      <w:r w:rsidR="001B69C7" w:rsidRPr="0080752C">
        <w:lastRenderedPageBreak/>
        <w:t>partners and the ICRC</w:t>
      </w:r>
      <w:r w:rsidR="00C654F5">
        <w:t xml:space="preserve">, </w:t>
      </w:r>
      <w:r w:rsidR="00307AE6">
        <w:t>which employ large cohorts of</w:t>
      </w:r>
      <w:r w:rsidR="00C654F5">
        <w:t xml:space="preserve"> Palestinian staff</w:t>
      </w:r>
      <w:r w:rsidR="00307AE6">
        <w:t>,</w:t>
      </w:r>
      <w:r w:rsidR="00C654F5">
        <w:t xml:space="preserve"> including in management positions</w:t>
      </w:r>
      <w:r w:rsidR="00307AE6">
        <w:t>. This is a go</w:t>
      </w:r>
      <w:r w:rsidR="002177CC">
        <w:t xml:space="preserve">od indication that localisation efforts </w:t>
      </w:r>
      <w:r w:rsidR="002707C1">
        <w:t xml:space="preserve">of current partners are ongoing. </w:t>
      </w:r>
    </w:p>
    <w:p w14:paraId="7D13114F" w14:textId="6593BE29" w:rsidR="00CB1F0F" w:rsidRDefault="00394893" w:rsidP="00EA041C">
      <w:r w:rsidRPr="0080752C">
        <w:t xml:space="preserve">Australia’s </w:t>
      </w:r>
      <w:r w:rsidR="00AC09A1">
        <w:t xml:space="preserve">aid </w:t>
      </w:r>
      <w:r w:rsidRPr="0080752C">
        <w:t>program comes under a significant amount of scrutiny domestically</w:t>
      </w:r>
      <w:r w:rsidR="00E715F1">
        <w:t xml:space="preserve">, </w:t>
      </w:r>
      <w:r w:rsidR="00243050" w:rsidRPr="0080752C">
        <w:t>with</w:t>
      </w:r>
      <w:r w:rsidR="007167F0">
        <w:t xml:space="preserve"> the standing government and</w:t>
      </w:r>
      <w:r w:rsidR="00243050" w:rsidRPr="0080752C">
        <w:t xml:space="preserve"> multiple interest groups</w:t>
      </w:r>
      <w:r w:rsidR="005C3F6D" w:rsidRPr="0080752C">
        <w:t xml:space="preserve"> focused on often granular </w:t>
      </w:r>
      <w:r w:rsidR="00C16E44">
        <w:t>aspects</w:t>
      </w:r>
      <w:r w:rsidR="005C3F6D" w:rsidRPr="0080752C">
        <w:t xml:space="preserve"> of the program.</w:t>
      </w:r>
      <w:r w:rsidR="005338AF">
        <w:t xml:space="preserve"> </w:t>
      </w:r>
      <w:r w:rsidR="005C3F6D" w:rsidRPr="0080752C">
        <w:t xml:space="preserve">Navigating this </w:t>
      </w:r>
      <w:r w:rsidR="00D93F48" w:rsidRPr="0080752C">
        <w:t xml:space="preserve">context </w:t>
      </w:r>
      <w:r w:rsidR="00133CE3" w:rsidRPr="0080752C">
        <w:t>effectively</w:t>
      </w:r>
      <w:r w:rsidR="00824D90">
        <w:t>, including internal DFAT attention,</w:t>
      </w:r>
      <w:r w:rsidR="00B57283" w:rsidRPr="0080752C">
        <w:t xml:space="preserve"> </w:t>
      </w:r>
      <w:r w:rsidR="00230697" w:rsidRPr="0080752C">
        <w:t>requires significant</w:t>
      </w:r>
      <w:r w:rsidR="00D93F48" w:rsidRPr="0080752C">
        <w:t xml:space="preserve"> time and resources </w:t>
      </w:r>
      <w:r w:rsidR="00820D82" w:rsidRPr="0080752C">
        <w:t xml:space="preserve">on the part of DFAT Desk and Post staff. </w:t>
      </w:r>
    </w:p>
    <w:p w14:paraId="1A19018D" w14:textId="271C2062" w:rsidR="0016102D" w:rsidRPr="0080752C" w:rsidRDefault="0016102D" w:rsidP="00EA041C">
      <w:pPr>
        <w:pStyle w:val="Heading2"/>
      </w:pPr>
      <w:bookmarkStart w:id="8" w:name="_Toc173326297"/>
      <w:r w:rsidRPr="0080752C">
        <w:t>Review Purpose</w:t>
      </w:r>
      <w:bookmarkEnd w:id="8"/>
    </w:p>
    <w:p w14:paraId="3189DF60" w14:textId="6FF30661" w:rsidR="00346CB8" w:rsidRPr="0080752C" w:rsidRDefault="00346CB8" w:rsidP="00EA041C">
      <w:r w:rsidRPr="0080752C">
        <w:t xml:space="preserve">The review </w:t>
      </w:r>
      <w:r w:rsidR="00336EFE" w:rsidRPr="0080752C">
        <w:t>has</w:t>
      </w:r>
      <w:r w:rsidRPr="0080752C">
        <w:t xml:space="preserve"> focus</w:t>
      </w:r>
      <w:r w:rsidR="00336EFE" w:rsidRPr="0080752C">
        <w:t>ed</w:t>
      </w:r>
      <w:r w:rsidRPr="0080752C">
        <w:t xml:space="preserve"> on the </w:t>
      </w:r>
      <w:r w:rsidR="00336EFE" w:rsidRPr="0080752C">
        <w:t>O</w:t>
      </w:r>
      <w:r w:rsidR="00F707D4" w:rsidRPr="0080752C">
        <w:t>PT</w:t>
      </w:r>
      <w:r w:rsidR="00951F3D">
        <w:t>s</w:t>
      </w:r>
      <w:r w:rsidRPr="0080752C">
        <w:t xml:space="preserve"> bilateral program with the objective of assessing program performance in line with the </w:t>
      </w:r>
      <w:r w:rsidR="00336EFE" w:rsidRPr="0080752C">
        <w:t>priorities</w:t>
      </w:r>
      <w:r w:rsidRPr="0080752C">
        <w:t xml:space="preserve"> of Australia’s humanitarian and development policies. It </w:t>
      </w:r>
      <w:r w:rsidR="00336EFE" w:rsidRPr="0080752C">
        <w:t>has</w:t>
      </w:r>
      <w:r w:rsidRPr="0080752C">
        <w:t xml:space="preserve"> consider</w:t>
      </w:r>
      <w:r w:rsidR="00336EFE" w:rsidRPr="0080752C">
        <w:t>ed</w:t>
      </w:r>
      <w:r w:rsidRPr="0080752C">
        <w:t xml:space="preserve"> the achievements and challenges of the program. Th</w:t>
      </w:r>
      <w:r w:rsidR="00336EFE" w:rsidRPr="0080752C">
        <w:t>is review report provides</w:t>
      </w:r>
      <w:r w:rsidRPr="0080752C">
        <w:t xml:space="preserve"> forward-looking recommendations for future investments and partners for humanitarian and development assistance to the </w:t>
      </w:r>
      <w:r w:rsidR="00336EFE" w:rsidRPr="0080752C">
        <w:t>OPT</w:t>
      </w:r>
      <w:r w:rsidR="00951F3D">
        <w:t>s</w:t>
      </w:r>
      <w:r w:rsidRPr="0080752C">
        <w:t xml:space="preserve">, in line with Australia’s international development policies and bilateral priorities. The review </w:t>
      </w:r>
      <w:r w:rsidR="00F707D4" w:rsidRPr="0080752C">
        <w:t xml:space="preserve">has </w:t>
      </w:r>
      <w:r w:rsidRPr="0080752C">
        <w:t>consider</w:t>
      </w:r>
      <w:r w:rsidR="00F707D4" w:rsidRPr="0080752C">
        <w:t>ed</w:t>
      </w:r>
      <w:r w:rsidRPr="0080752C">
        <w:t xml:space="preserve"> individual investment</w:t>
      </w:r>
      <w:r w:rsidR="00F707D4" w:rsidRPr="0080752C">
        <w:t xml:space="preserve">s, </w:t>
      </w:r>
      <w:r w:rsidRPr="0080752C">
        <w:t>as well as the package of Australian support as a whole.</w:t>
      </w:r>
    </w:p>
    <w:p w14:paraId="0A06AA26" w14:textId="193FFBB2" w:rsidR="0016102D" w:rsidRPr="0080752C" w:rsidRDefault="0016102D" w:rsidP="00EA041C">
      <w:pPr>
        <w:pStyle w:val="Heading2"/>
      </w:pPr>
      <w:bookmarkStart w:id="9" w:name="_Toc173326298"/>
      <w:r w:rsidRPr="0080752C">
        <w:t>Review Scope</w:t>
      </w:r>
      <w:bookmarkEnd w:id="9"/>
    </w:p>
    <w:p w14:paraId="006C3A90" w14:textId="02CACD56" w:rsidR="00A845C7" w:rsidRPr="0080752C" w:rsidRDefault="00A845C7" w:rsidP="00EA041C">
      <w:pPr>
        <w:rPr>
          <w:lang w:eastAsia="en-AU"/>
        </w:rPr>
      </w:pPr>
      <w:r w:rsidRPr="0080752C">
        <w:rPr>
          <w:lang w:eastAsia="en-AU"/>
        </w:rPr>
        <w:t xml:space="preserve">The review </w:t>
      </w:r>
      <w:r w:rsidR="00F707D4" w:rsidRPr="0080752C">
        <w:rPr>
          <w:lang w:eastAsia="en-AU"/>
        </w:rPr>
        <w:t xml:space="preserve">scope included </w:t>
      </w:r>
      <w:r w:rsidRPr="0080752C">
        <w:rPr>
          <w:lang w:eastAsia="en-AU"/>
        </w:rPr>
        <w:t xml:space="preserve">bilateral project funding from </w:t>
      </w:r>
      <w:bookmarkStart w:id="10" w:name="_Hlk147823866"/>
      <w:r w:rsidRPr="0080752C">
        <w:rPr>
          <w:lang w:eastAsia="en-AU"/>
        </w:rPr>
        <w:t>1 July 2019 to 31 December 2022</w:t>
      </w:r>
      <w:bookmarkEnd w:id="10"/>
      <w:r w:rsidRPr="0080752C">
        <w:rPr>
          <w:lang w:eastAsia="en-AU"/>
        </w:rPr>
        <w:t xml:space="preserve">. Investments covered by the review include Australia’s partnerships with the following </w:t>
      </w:r>
      <w:r w:rsidR="00ED1B02">
        <w:rPr>
          <w:lang w:eastAsia="en-AU"/>
        </w:rPr>
        <w:t xml:space="preserve">organisations </w:t>
      </w:r>
      <w:r w:rsidR="00ED1B02" w:rsidRPr="0080752C">
        <w:rPr>
          <w:lang w:eastAsia="en-AU"/>
        </w:rPr>
        <w:t>in</w:t>
      </w:r>
      <w:r w:rsidRPr="0080752C">
        <w:rPr>
          <w:lang w:eastAsia="en-AU"/>
        </w:rPr>
        <w:t xml:space="preserve"> the </w:t>
      </w:r>
      <w:r w:rsidR="008E6948">
        <w:rPr>
          <w:lang w:eastAsia="en-AU"/>
        </w:rPr>
        <w:t>OPT</w:t>
      </w:r>
      <w:r w:rsidR="00951F3D">
        <w:rPr>
          <w:lang w:eastAsia="en-AU"/>
        </w:rPr>
        <w:t>s</w:t>
      </w:r>
      <w:r w:rsidR="00F707D4" w:rsidRPr="0080752C">
        <w:rPr>
          <w:lang w:eastAsia="en-AU"/>
        </w:rPr>
        <w:t>.</w:t>
      </w:r>
    </w:p>
    <w:p w14:paraId="530F499A" w14:textId="77777777" w:rsidR="00A845C7" w:rsidRPr="0080752C" w:rsidRDefault="00A845C7" w:rsidP="00EA041C">
      <w:pPr>
        <w:rPr>
          <w:lang w:eastAsia="en-AU"/>
        </w:rPr>
      </w:pPr>
      <w:r w:rsidRPr="0080752C">
        <w:rPr>
          <w:lang w:eastAsia="en-AU"/>
        </w:rPr>
        <w:t>Table 1: Primary Partners and Funding Summary - Active</w:t>
      </w:r>
    </w:p>
    <w:tbl>
      <w:tblPr>
        <w:tblStyle w:val="TablePlain"/>
        <w:tblW w:w="0" w:type="auto"/>
        <w:tblLook w:val="0420" w:firstRow="1" w:lastRow="0" w:firstColumn="0" w:lastColumn="0" w:noHBand="0" w:noVBand="1"/>
      </w:tblPr>
      <w:tblGrid>
        <w:gridCol w:w="1673"/>
        <w:gridCol w:w="2833"/>
        <w:gridCol w:w="2126"/>
        <w:gridCol w:w="2394"/>
      </w:tblGrid>
      <w:tr w:rsidR="001B3FD5" w:rsidRPr="0080752C" w14:paraId="7B9C742D" w14:textId="77777777" w:rsidTr="001B3FD5">
        <w:trPr>
          <w:cnfStyle w:val="100000000000" w:firstRow="1" w:lastRow="0" w:firstColumn="0" w:lastColumn="0" w:oddVBand="0" w:evenVBand="0" w:oddHBand="0" w:evenHBand="0" w:firstRowFirstColumn="0" w:firstRowLastColumn="0" w:lastRowFirstColumn="0" w:lastRowLastColumn="0"/>
          <w:trHeight w:val="20"/>
        </w:trPr>
        <w:tc>
          <w:tcPr>
            <w:tcW w:w="1673" w:type="dxa"/>
          </w:tcPr>
          <w:p w14:paraId="0C8787FE" w14:textId="77777777" w:rsidR="001B3FD5" w:rsidRPr="0080752C" w:rsidRDefault="001B3FD5" w:rsidP="00EA041C">
            <w:pPr>
              <w:rPr>
                <w:rFonts w:eastAsia="Century Gothic"/>
              </w:rPr>
            </w:pPr>
            <w:r w:rsidRPr="0080752C">
              <w:rPr>
                <w:rFonts w:eastAsia="Century Gothic"/>
              </w:rPr>
              <w:t>Partner</w:t>
            </w:r>
          </w:p>
        </w:tc>
        <w:tc>
          <w:tcPr>
            <w:tcW w:w="2833" w:type="dxa"/>
          </w:tcPr>
          <w:p w14:paraId="4678E18E" w14:textId="77777777" w:rsidR="001B3FD5" w:rsidRPr="0080752C" w:rsidRDefault="001B3FD5" w:rsidP="00EA041C">
            <w:pPr>
              <w:rPr>
                <w:rFonts w:eastAsia="Century Gothic"/>
              </w:rPr>
            </w:pPr>
            <w:r w:rsidRPr="0080752C">
              <w:rPr>
                <w:rFonts w:eastAsia="Century Gothic"/>
              </w:rPr>
              <w:t>Investment</w:t>
            </w:r>
          </w:p>
        </w:tc>
        <w:tc>
          <w:tcPr>
            <w:tcW w:w="2126" w:type="dxa"/>
          </w:tcPr>
          <w:p w14:paraId="138E018D" w14:textId="12767092" w:rsidR="001B3FD5" w:rsidRPr="0080752C" w:rsidRDefault="001B3FD5" w:rsidP="00EA041C">
            <w:pPr>
              <w:rPr>
                <w:rFonts w:eastAsia="Century Gothic"/>
              </w:rPr>
            </w:pPr>
            <w:r w:rsidRPr="001B3FD5">
              <w:rPr>
                <w:rFonts w:eastAsia="Century Gothic"/>
              </w:rPr>
              <w:t>Funding Period</w:t>
            </w:r>
          </w:p>
        </w:tc>
        <w:tc>
          <w:tcPr>
            <w:tcW w:w="2394" w:type="dxa"/>
          </w:tcPr>
          <w:p w14:paraId="2671ECF7" w14:textId="21A35F5C" w:rsidR="001B3FD5" w:rsidRPr="0080752C" w:rsidRDefault="001B3FD5" w:rsidP="00EA041C">
            <w:pPr>
              <w:rPr>
                <w:rFonts w:eastAsia="Century Gothic"/>
              </w:rPr>
            </w:pPr>
            <w:r w:rsidRPr="0080752C">
              <w:rPr>
                <w:rFonts w:eastAsia="Century Gothic"/>
              </w:rPr>
              <w:t>Funding</w:t>
            </w:r>
          </w:p>
        </w:tc>
      </w:tr>
      <w:tr w:rsidR="001B3FD5" w:rsidRPr="0080752C" w14:paraId="3AFA09CE" w14:textId="77777777" w:rsidTr="001B3FD5">
        <w:trPr>
          <w:cnfStyle w:val="000000100000" w:firstRow="0" w:lastRow="0" w:firstColumn="0" w:lastColumn="0" w:oddVBand="0" w:evenVBand="0" w:oddHBand="1" w:evenHBand="0" w:firstRowFirstColumn="0" w:firstRowLastColumn="0" w:lastRowFirstColumn="0" w:lastRowLastColumn="0"/>
          <w:trHeight w:val="20"/>
        </w:trPr>
        <w:tc>
          <w:tcPr>
            <w:tcW w:w="1673" w:type="dxa"/>
          </w:tcPr>
          <w:p w14:paraId="3C21E83F" w14:textId="77777777" w:rsidR="001B3FD5" w:rsidRPr="0080752C" w:rsidRDefault="001B3FD5" w:rsidP="00EA041C">
            <w:pPr>
              <w:rPr>
                <w:rFonts w:eastAsia="Century Gothic"/>
              </w:rPr>
            </w:pPr>
            <w:r w:rsidRPr="0080752C">
              <w:rPr>
                <w:rFonts w:eastAsia="Century Gothic"/>
              </w:rPr>
              <w:t>UNRWA</w:t>
            </w:r>
          </w:p>
        </w:tc>
        <w:tc>
          <w:tcPr>
            <w:tcW w:w="2833" w:type="dxa"/>
          </w:tcPr>
          <w:p w14:paraId="7BD78323" w14:textId="77777777" w:rsidR="001B3FD5" w:rsidRPr="0080752C" w:rsidRDefault="001B3FD5" w:rsidP="00EA041C">
            <w:pPr>
              <w:rPr>
                <w:rFonts w:eastAsia="Century Gothic"/>
              </w:rPr>
            </w:pPr>
            <w:r w:rsidRPr="0080752C">
              <w:rPr>
                <w:rFonts w:eastAsia="Century Gothic"/>
              </w:rPr>
              <w:t>UNRWA Partnership Framework 2016-23</w:t>
            </w:r>
          </w:p>
        </w:tc>
        <w:tc>
          <w:tcPr>
            <w:tcW w:w="2126" w:type="dxa"/>
          </w:tcPr>
          <w:p w14:paraId="7207A27A" w14:textId="131481DE" w:rsidR="001B3FD5" w:rsidRPr="0080752C" w:rsidRDefault="001B3FD5" w:rsidP="00EA041C">
            <w:pPr>
              <w:rPr>
                <w:rFonts w:eastAsia="Century Gothic"/>
              </w:rPr>
            </w:pPr>
            <w:r>
              <w:rPr>
                <w:rFonts w:eastAsia="Century Gothic"/>
              </w:rPr>
              <w:t>2016-2023</w:t>
            </w:r>
          </w:p>
        </w:tc>
        <w:tc>
          <w:tcPr>
            <w:tcW w:w="2394" w:type="dxa"/>
          </w:tcPr>
          <w:p w14:paraId="15CED625" w14:textId="50A200DB" w:rsidR="001B3FD5" w:rsidRPr="0080752C" w:rsidRDefault="001B3FD5" w:rsidP="00EA041C">
            <w:pPr>
              <w:rPr>
                <w:rFonts w:eastAsia="Century Gothic"/>
              </w:rPr>
            </w:pPr>
            <w:r w:rsidRPr="0080752C">
              <w:rPr>
                <w:rFonts w:eastAsia="Century Gothic"/>
              </w:rPr>
              <w:t>123,000,000</w:t>
            </w:r>
          </w:p>
        </w:tc>
      </w:tr>
      <w:tr w:rsidR="001B3FD5" w:rsidRPr="0080752C" w14:paraId="6A1F0B05" w14:textId="77777777" w:rsidTr="001B3FD5">
        <w:trPr>
          <w:trHeight w:val="20"/>
        </w:trPr>
        <w:tc>
          <w:tcPr>
            <w:tcW w:w="1673" w:type="dxa"/>
          </w:tcPr>
          <w:p w14:paraId="2556FECD" w14:textId="77777777" w:rsidR="001B3FD5" w:rsidRPr="0080752C" w:rsidRDefault="001B3FD5" w:rsidP="00EA041C">
            <w:pPr>
              <w:rPr>
                <w:rFonts w:eastAsia="Century Gothic"/>
              </w:rPr>
            </w:pPr>
            <w:r w:rsidRPr="0080752C">
              <w:rPr>
                <w:rFonts w:eastAsia="Century Gothic"/>
              </w:rPr>
              <w:t>ICRC</w:t>
            </w:r>
          </w:p>
        </w:tc>
        <w:tc>
          <w:tcPr>
            <w:tcW w:w="2833" w:type="dxa"/>
          </w:tcPr>
          <w:p w14:paraId="1579C595" w14:textId="26D3928C" w:rsidR="001B3FD5" w:rsidRPr="0080752C" w:rsidRDefault="001B3FD5" w:rsidP="00EA041C">
            <w:pPr>
              <w:rPr>
                <w:rFonts w:eastAsia="Century Gothic"/>
              </w:rPr>
            </w:pPr>
            <w:r w:rsidRPr="0080752C">
              <w:rPr>
                <w:rFonts w:eastAsia="Century Gothic"/>
              </w:rPr>
              <w:t xml:space="preserve">Support to the ICRC in </w:t>
            </w:r>
            <w:r>
              <w:rPr>
                <w:rFonts w:eastAsia="Century Gothic"/>
              </w:rPr>
              <w:t>OPT</w:t>
            </w:r>
            <w:r w:rsidR="00951F3D">
              <w:rPr>
                <w:rFonts w:eastAsia="Century Gothic"/>
              </w:rPr>
              <w:t>s</w:t>
            </w:r>
            <w:r w:rsidRPr="0080752C">
              <w:rPr>
                <w:rFonts w:eastAsia="Century Gothic"/>
              </w:rPr>
              <w:t xml:space="preserve"> (x 2)</w:t>
            </w:r>
          </w:p>
        </w:tc>
        <w:tc>
          <w:tcPr>
            <w:tcW w:w="2126" w:type="dxa"/>
          </w:tcPr>
          <w:p w14:paraId="57CF93F3" w14:textId="29AD3738" w:rsidR="001B3FD5" w:rsidRPr="0080752C" w:rsidRDefault="00FF36B3" w:rsidP="00EA041C">
            <w:pPr>
              <w:rPr>
                <w:rFonts w:eastAsia="Century Gothic"/>
              </w:rPr>
            </w:pPr>
            <w:r>
              <w:rPr>
                <w:rFonts w:eastAsia="Century Gothic"/>
              </w:rPr>
              <w:t>2021-2023</w:t>
            </w:r>
          </w:p>
        </w:tc>
        <w:tc>
          <w:tcPr>
            <w:tcW w:w="2394" w:type="dxa"/>
          </w:tcPr>
          <w:p w14:paraId="7B9DA710" w14:textId="12D6DC56" w:rsidR="001B3FD5" w:rsidRPr="0080752C" w:rsidRDefault="001B3FD5" w:rsidP="00EA041C">
            <w:pPr>
              <w:rPr>
                <w:rFonts w:eastAsia="Century Gothic"/>
              </w:rPr>
            </w:pPr>
            <w:r w:rsidRPr="0080752C">
              <w:rPr>
                <w:rFonts w:eastAsia="Century Gothic"/>
              </w:rPr>
              <w:t>23,900,000</w:t>
            </w:r>
          </w:p>
        </w:tc>
      </w:tr>
      <w:tr w:rsidR="001B3FD5" w:rsidRPr="0080752C" w14:paraId="3712D1A6" w14:textId="77777777" w:rsidTr="001B3FD5">
        <w:trPr>
          <w:cnfStyle w:val="000000100000" w:firstRow="0" w:lastRow="0" w:firstColumn="0" w:lastColumn="0" w:oddVBand="0" w:evenVBand="0" w:oddHBand="1" w:evenHBand="0" w:firstRowFirstColumn="0" w:firstRowLastColumn="0" w:lastRowFirstColumn="0" w:lastRowLastColumn="0"/>
          <w:trHeight w:val="20"/>
        </w:trPr>
        <w:tc>
          <w:tcPr>
            <w:tcW w:w="1673" w:type="dxa"/>
          </w:tcPr>
          <w:p w14:paraId="43F6A28C" w14:textId="77777777" w:rsidR="001B3FD5" w:rsidRPr="0080752C" w:rsidRDefault="001B3FD5" w:rsidP="00EA041C">
            <w:pPr>
              <w:rPr>
                <w:rFonts w:eastAsia="Century Gothic"/>
              </w:rPr>
            </w:pPr>
            <w:r w:rsidRPr="0080752C">
              <w:rPr>
                <w:rFonts w:eastAsia="Century Gothic"/>
              </w:rPr>
              <w:t>UNOPS</w:t>
            </w:r>
          </w:p>
        </w:tc>
        <w:tc>
          <w:tcPr>
            <w:tcW w:w="2833" w:type="dxa"/>
          </w:tcPr>
          <w:p w14:paraId="67C6A5A1" w14:textId="77777777" w:rsidR="001B3FD5" w:rsidRPr="0080752C" w:rsidRDefault="001B3FD5" w:rsidP="00EA041C">
            <w:pPr>
              <w:rPr>
                <w:rFonts w:eastAsia="Century Gothic"/>
              </w:rPr>
            </w:pPr>
            <w:r w:rsidRPr="0080752C">
              <w:rPr>
                <w:rFonts w:eastAsia="Century Gothic"/>
              </w:rPr>
              <w:t>UNOPS Partnership Arrangement</w:t>
            </w:r>
          </w:p>
        </w:tc>
        <w:tc>
          <w:tcPr>
            <w:tcW w:w="2126" w:type="dxa"/>
          </w:tcPr>
          <w:p w14:paraId="35D78DC9" w14:textId="2337E3E1" w:rsidR="001B3FD5" w:rsidRPr="0080752C" w:rsidRDefault="00FF36B3" w:rsidP="00EA041C">
            <w:pPr>
              <w:rPr>
                <w:rFonts w:eastAsia="Century Gothic"/>
              </w:rPr>
            </w:pPr>
            <w:r>
              <w:rPr>
                <w:rFonts w:eastAsia="Century Gothic"/>
              </w:rPr>
              <w:t>2021-2022</w:t>
            </w:r>
          </w:p>
        </w:tc>
        <w:tc>
          <w:tcPr>
            <w:tcW w:w="2394" w:type="dxa"/>
          </w:tcPr>
          <w:p w14:paraId="4ACD0A59" w14:textId="7F9297D4" w:rsidR="001B3FD5" w:rsidRPr="0080752C" w:rsidRDefault="001B3FD5" w:rsidP="00EA041C">
            <w:pPr>
              <w:rPr>
                <w:rFonts w:eastAsia="Century Gothic"/>
              </w:rPr>
            </w:pPr>
            <w:r w:rsidRPr="0080752C">
              <w:rPr>
                <w:rFonts w:eastAsia="Century Gothic"/>
              </w:rPr>
              <w:t>4,000,000</w:t>
            </w:r>
          </w:p>
        </w:tc>
      </w:tr>
      <w:tr w:rsidR="001B3FD5" w:rsidRPr="0080752C" w14:paraId="765BB509" w14:textId="77777777" w:rsidTr="001B3FD5">
        <w:trPr>
          <w:trHeight w:val="20"/>
        </w:trPr>
        <w:tc>
          <w:tcPr>
            <w:tcW w:w="1673" w:type="dxa"/>
          </w:tcPr>
          <w:p w14:paraId="6801948F" w14:textId="77777777" w:rsidR="001B3FD5" w:rsidRPr="0080752C" w:rsidRDefault="001B3FD5" w:rsidP="00EA041C">
            <w:pPr>
              <w:rPr>
                <w:rFonts w:eastAsia="Century Gothic"/>
              </w:rPr>
            </w:pPr>
            <w:r w:rsidRPr="0080752C">
              <w:rPr>
                <w:rFonts w:eastAsia="Century Gothic"/>
              </w:rPr>
              <w:t>UNOPS</w:t>
            </w:r>
          </w:p>
        </w:tc>
        <w:tc>
          <w:tcPr>
            <w:tcW w:w="2833" w:type="dxa"/>
          </w:tcPr>
          <w:p w14:paraId="1FAD2830" w14:textId="77777777" w:rsidR="001B3FD5" w:rsidRPr="0080752C" w:rsidRDefault="001B3FD5" w:rsidP="00EA041C">
            <w:pPr>
              <w:rPr>
                <w:rFonts w:eastAsia="Century Gothic"/>
              </w:rPr>
            </w:pPr>
            <w:r w:rsidRPr="0080752C">
              <w:rPr>
                <w:rFonts w:eastAsia="Century Gothic"/>
              </w:rPr>
              <w:t>Support to UNOPS for ACU and PMU</w:t>
            </w:r>
          </w:p>
        </w:tc>
        <w:tc>
          <w:tcPr>
            <w:tcW w:w="2126" w:type="dxa"/>
          </w:tcPr>
          <w:p w14:paraId="5E91FFEB" w14:textId="450566F8" w:rsidR="001B3FD5" w:rsidRPr="0080752C" w:rsidRDefault="005F0154" w:rsidP="00EA041C">
            <w:pPr>
              <w:rPr>
                <w:rFonts w:eastAsia="Century Gothic"/>
              </w:rPr>
            </w:pPr>
            <w:r>
              <w:rPr>
                <w:rFonts w:eastAsia="Century Gothic"/>
              </w:rPr>
              <w:t>2018-2021</w:t>
            </w:r>
          </w:p>
        </w:tc>
        <w:tc>
          <w:tcPr>
            <w:tcW w:w="2394" w:type="dxa"/>
          </w:tcPr>
          <w:p w14:paraId="50EB850A" w14:textId="49A874B4" w:rsidR="001B3FD5" w:rsidRPr="0080752C" w:rsidRDefault="001B3FD5" w:rsidP="00EA041C">
            <w:pPr>
              <w:rPr>
                <w:rFonts w:eastAsia="Century Gothic"/>
              </w:rPr>
            </w:pPr>
            <w:r w:rsidRPr="0080752C">
              <w:rPr>
                <w:rFonts w:eastAsia="Century Gothic"/>
              </w:rPr>
              <w:t>5,500,000</w:t>
            </w:r>
          </w:p>
        </w:tc>
      </w:tr>
    </w:tbl>
    <w:p w14:paraId="6A8397CA" w14:textId="77777777" w:rsidR="00EA041C" w:rsidRDefault="00EA041C" w:rsidP="00EA041C">
      <w:pPr>
        <w:rPr>
          <w:lang w:eastAsia="en-AU"/>
        </w:rPr>
      </w:pPr>
      <w:bookmarkStart w:id="11" w:name="_Hlk140751311"/>
    </w:p>
    <w:p w14:paraId="56984FA8" w14:textId="77777777" w:rsidR="00EA041C" w:rsidRDefault="00EA041C">
      <w:pPr>
        <w:spacing w:after="0"/>
        <w:rPr>
          <w:lang w:eastAsia="en-AU"/>
        </w:rPr>
      </w:pPr>
      <w:r>
        <w:rPr>
          <w:lang w:eastAsia="en-AU"/>
        </w:rPr>
        <w:br w:type="page"/>
      </w:r>
    </w:p>
    <w:p w14:paraId="3AB80D89" w14:textId="55631E90" w:rsidR="00A845C7" w:rsidRPr="0080752C" w:rsidRDefault="00A845C7" w:rsidP="00EA041C">
      <w:pPr>
        <w:rPr>
          <w:lang w:eastAsia="en-AU"/>
        </w:rPr>
      </w:pPr>
      <w:r w:rsidRPr="0080752C">
        <w:rPr>
          <w:lang w:eastAsia="en-AU"/>
        </w:rPr>
        <w:lastRenderedPageBreak/>
        <w:t>Table 2: Primary Partners and Funding Summary</w:t>
      </w:r>
      <w:bookmarkEnd w:id="11"/>
      <w:r w:rsidRPr="0080752C">
        <w:rPr>
          <w:lang w:eastAsia="en-AU"/>
        </w:rPr>
        <w:t xml:space="preserve"> – Closed</w:t>
      </w:r>
    </w:p>
    <w:tbl>
      <w:tblPr>
        <w:tblStyle w:val="TablePlain"/>
        <w:tblW w:w="0" w:type="auto"/>
        <w:tblLook w:val="0420" w:firstRow="1" w:lastRow="0" w:firstColumn="0" w:lastColumn="0" w:noHBand="0" w:noVBand="1"/>
      </w:tblPr>
      <w:tblGrid>
        <w:gridCol w:w="1735"/>
        <w:gridCol w:w="3249"/>
        <w:gridCol w:w="1897"/>
        <w:gridCol w:w="2145"/>
      </w:tblGrid>
      <w:tr w:rsidR="001B3FD5" w:rsidRPr="0080752C" w14:paraId="0334AB37" w14:textId="77777777" w:rsidTr="001B3FD5">
        <w:trPr>
          <w:cnfStyle w:val="100000000000" w:firstRow="1" w:lastRow="0" w:firstColumn="0" w:lastColumn="0" w:oddVBand="0" w:evenVBand="0" w:oddHBand="0" w:evenHBand="0" w:firstRowFirstColumn="0" w:firstRowLastColumn="0" w:lastRowFirstColumn="0" w:lastRowLastColumn="0"/>
          <w:trHeight w:val="20"/>
        </w:trPr>
        <w:tc>
          <w:tcPr>
            <w:tcW w:w="1735" w:type="dxa"/>
          </w:tcPr>
          <w:p w14:paraId="41EC246D" w14:textId="77777777" w:rsidR="001B3FD5" w:rsidRPr="0080752C" w:rsidRDefault="001B3FD5" w:rsidP="00EA041C">
            <w:pPr>
              <w:rPr>
                <w:rFonts w:eastAsia="Century Gothic"/>
              </w:rPr>
            </w:pPr>
            <w:bookmarkStart w:id="12" w:name="_Hlk140751732"/>
            <w:r w:rsidRPr="0080752C">
              <w:rPr>
                <w:rFonts w:eastAsia="Century Gothic"/>
              </w:rPr>
              <w:t>Partner</w:t>
            </w:r>
          </w:p>
        </w:tc>
        <w:tc>
          <w:tcPr>
            <w:tcW w:w="3249" w:type="dxa"/>
          </w:tcPr>
          <w:p w14:paraId="1B3E3368" w14:textId="77777777" w:rsidR="001B3FD5" w:rsidRPr="0080752C" w:rsidRDefault="001B3FD5" w:rsidP="00EA041C">
            <w:pPr>
              <w:rPr>
                <w:rFonts w:eastAsia="Century Gothic"/>
              </w:rPr>
            </w:pPr>
            <w:r w:rsidRPr="0080752C">
              <w:rPr>
                <w:rFonts w:eastAsia="Century Gothic"/>
              </w:rPr>
              <w:t>Investment</w:t>
            </w:r>
          </w:p>
        </w:tc>
        <w:tc>
          <w:tcPr>
            <w:tcW w:w="1897" w:type="dxa"/>
          </w:tcPr>
          <w:p w14:paraId="330F08F3" w14:textId="6901C56C" w:rsidR="001B3FD5" w:rsidRPr="0080752C" w:rsidRDefault="001B3FD5" w:rsidP="00EA041C">
            <w:pPr>
              <w:rPr>
                <w:rFonts w:eastAsia="Century Gothic"/>
              </w:rPr>
            </w:pPr>
            <w:r w:rsidRPr="001B3FD5">
              <w:rPr>
                <w:rFonts w:eastAsia="Century Gothic"/>
              </w:rPr>
              <w:t>Funding Period</w:t>
            </w:r>
          </w:p>
        </w:tc>
        <w:tc>
          <w:tcPr>
            <w:tcW w:w="2145" w:type="dxa"/>
          </w:tcPr>
          <w:p w14:paraId="3C46CD09" w14:textId="3ACF0567" w:rsidR="001B3FD5" w:rsidRPr="0080752C" w:rsidRDefault="001B3FD5" w:rsidP="00EA041C">
            <w:pPr>
              <w:rPr>
                <w:rFonts w:eastAsia="Century Gothic"/>
              </w:rPr>
            </w:pPr>
            <w:r w:rsidRPr="0080752C">
              <w:rPr>
                <w:rFonts w:eastAsia="Century Gothic"/>
              </w:rPr>
              <w:t>Funding</w:t>
            </w:r>
          </w:p>
        </w:tc>
      </w:tr>
      <w:tr w:rsidR="001B3FD5" w:rsidRPr="0080752C" w14:paraId="54FC756D" w14:textId="77777777" w:rsidTr="001B3FD5">
        <w:trPr>
          <w:cnfStyle w:val="000000100000" w:firstRow="0" w:lastRow="0" w:firstColumn="0" w:lastColumn="0" w:oddVBand="0" w:evenVBand="0" w:oddHBand="1" w:evenHBand="0" w:firstRowFirstColumn="0" w:firstRowLastColumn="0" w:lastRowFirstColumn="0" w:lastRowLastColumn="0"/>
          <w:trHeight w:val="20"/>
        </w:trPr>
        <w:tc>
          <w:tcPr>
            <w:tcW w:w="1735" w:type="dxa"/>
          </w:tcPr>
          <w:p w14:paraId="16990166" w14:textId="77777777" w:rsidR="001B3FD5" w:rsidRPr="0080752C" w:rsidRDefault="001B3FD5" w:rsidP="00EA041C">
            <w:pPr>
              <w:rPr>
                <w:rFonts w:eastAsia="Century Gothic"/>
              </w:rPr>
            </w:pPr>
            <w:r w:rsidRPr="0080752C">
              <w:rPr>
                <w:rFonts w:eastAsia="Century Gothic"/>
              </w:rPr>
              <w:t>UNICEF</w:t>
            </w:r>
          </w:p>
        </w:tc>
        <w:tc>
          <w:tcPr>
            <w:tcW w:w="3249" w:type="dxa"/>
          </w:tcPr>
          <w:p w14:paraId="06D7642D" w14:textId="77777777" w:rsidR="001B3FD5" w:rsidRPr="0080752C" w:rsidRDefault="001B3FD5" w:rsidP="00EA041C">
            <w:pPr>
              <w:rPr>
                <w:rFonts w:eastAsia="Century Gothic"/>
              </w:rPr>
            </w:pPr>
            <w:r w:rsidRPr="0080752C">
              <w:rPr>
                <w:rFonts w:eastAsia="Century Gothic"/>
              </w:rPr>
              <w:t>Support to UNICEF’s PT Aid Program</w:t>
            </w:r>
          </w:p>
        </w:tc>
        <w:tc>
          <w:tcPr>
            <w:tcW w:w="1897" w:type="dxa"/>
          </w:tcPr>
          <w:p w14:paraId="0156F66C" w14:textId="539E52CB" w:rsidR="001B3FD5" w:rsidRPr="0080752C" w:rsidRDefault="003C614C" w:rsidP="00EA041C">
            <w:pPr>
              <w:rPr>
                <w:rFonts w:eastAsia="Century Gothic"/>
              </w:rPr>
            </w:pPr>
            <w:r>
              <w:rPr>
                <w:rFonts w:eastAsia="Century Gothic"/>
              </w:rPr>
              <w:t>2021-2023</w:t>
            </w:r>
          </w:p>
        </w:tc>
        <w:tc>
          <w:tcPr>
            <w:tcW w:w="2145" w:type="dxa"/>
          </w:tcPr>
          <w:p w14:paraId="102ACCB8" w14:textId="6485F00C" w:rsidR="001B3FD5" w:rsidRPr="0080752C" w:rsidRDefault="001B3FD5" w:rsidP="00EA041C">
            <w:pPr>
              <w:rPr>
                <w:rFonts w:eastAsia="Century Gothic"/>
              </w:rPr>
            </w:pPr>
            <w:r w:rsidRPr="0080752C">
              <w:rPr>
                <w:rFonts w:eastAsia="Century Gothic"/>
              </w:rPr>
              <w:t>4,950,000</w:t>
            </w:r>
          </w:p>
        </w:tc>
      </w:tr>
      <w:tr w:rsidR="001B3FD5" w:rsidRPr="0080752C" w14:paraId="4B6618BD" w14:textId="77777777" w:rsidTr="001B3FD5">
        <w:trPr>
          <w:trHeight w:val="20"/>
        </w:trPr>
        <w:tc>
          <w:tcPr>
            <w:tcW w:w="1735" w:type="dxa"/>
          </w:tcPr>
          <w:p w14:paraId="7431B47B" w14:textId="77777777" w:rsidR="001B3FD5" w:rsidRPr="0080752C" w:rsidRDefault="001B3FD5" w:rsidP="00EA041C">
            <w:pPr>
              <w:rPr>
                <w:rFonts w:eastAsia="Century Gothic"/>
              </w:rPr>
            </w:pPr>
            <w:r w:rsidRPr="0080752C">
              <w:rPr>
                <w:rFonts w:eastAsia="Century Gothic"/>
              </w:rPr>
              <w:t>UNOCHA and ICRC</w:t>
            </w:r>
          </w:p>
        </w:tc>
        <w:tc>
          <w:tcPr>
            <w:tcW w:w="3249" w:type="dxa"/>
          </w:tcPr>
          <w:p w14:paraId="31E5C360" w14:textId="1FEB8DCF" w:rsidR="001B3FD5" w:rsidRPr="0080752C" w:rsidRDefault="001B3FD5" w:rsidP="00EA041C">
            <w:pPr>
              <w:rPr>
                <w:rFonts w:eastAsia="Century Gothic"/>
              </w:rPr>
            </w:pPr>
            <w:r w:rsidRPr="0080752C">
              <w:rPr>
                <w:rFonts w:eastAsia="Century Gothic"/>
              </w:rPr>
              <w:t>Palestinian Territories Humanitarian Investments</w:t>
            </w:r>
          </w:p>
        </w:tc>
        <w:tc>
          <w:tcPr>
            <w:tcW w:w="1897" w:type="dxa"/>
          </w:tcPr>
          <w:p w14:paraId="742A9C08" w14:textId="1B0E3F96" w:rsidR="001B3FD5" w:rsidRPr="0080752C" w:rsidRDefault="00FF36B3" w:rsidP="00EA041C">
            <w:pPr>
              <w:rPr>
                <w:rFonts w:eastAsia="Century Gothic"/>
              </w:rPr>
            </w:pPr>
            <w:r>
              <w:rPr>
                <w:rFonts w:eastAsia="Century Gothic"/>
              </w:rPr>
              <w:t>2018-2021</w:t>
            </w:r>
          </w:p>
        </w:tc>
        <w:tc>
          <w:tcPr>
            <w:tcW w:w="2145" w:type="dxa"/>
          </w:tcPr>
          <w:p w14:paraId="56851AE8" w14:textId="2E6F0549" w:rsidR="001B3FD5" w:rsidRPr="0080752C" w:rsidRDefault="001B3FD5" w:rsidP="00EA041C">
            <w:pPr>
              <w:rPr>
                <w:rFonts w:eastAsia="Century Gothic"/>
              </w:rPr>
            </w:pPr>
            <w:r w:rsidRPr="0080752C">
              <w:rPr>
                <w:rFonts w:eastAsia="Century Gothic"/>
              </w:rPr>
              <w:t>18,800,000</w:t>
            </w:r>
          </w:p>
        </w:tc>
      </w:tr>
      <w:tr w:rsidR="001B3FD5" w:rsidRPr="0080752C" w14:paraId="34C4B071" w14:textId="77777777" w:rsidTr="001B3FD5">
        <w:trPr>
          <w:cnfStyle w:val="000000100000" w:firstRow="0" w:lastRow="0" w:firstColumn="0" w:lastColumn="0" w:oddVBand="0" w:evenVBand="0" w:oddHBand="1" w:evenHBand="0" w:firstRowFirstColumn="0" w:firstRowLastColumn="0" w:lastRowFirstColumn="0" w:lastRowLastColumn="0"/>
          <w:trHeight w:val="20"/>
        </w:trPr>
        <w:tc>
          <w:tcPr>
            <w:tcW w:w="1735" w:type="dxa"/>
          </w:tcPr>
          <w:p w14:paraId="26CFD810" w14:textId="77777777" w:rsidR="001B3FD5" w:rsidRPr="0080752C" w:rsidRDefault="001B3FD5" w:rsidP="00EA041C">
            <w:pPr>
              <w:rPr>
                <w:rFonts w:eastAsia="Century Gothic"/>
              </w:rPr>
            </w:pPr>
            <w:r w:rsidRPr="0080752C">
              <w:rPr>
                <w:rFonts w:eastAsia="Century Gothic"/>
              </w:rPr>
              <w:t>WHO</w:t>
            </w:r>
          </w:p>
        </w:tc>
        <w:tc>
          <w:tcPr>
            <w:tcW w:w="3249" w:type="dxa"/>
          </w:tcPr>
          <w:p w14:paraId="0EA0A9A5" w14:textId="77777777" w:rsidR="001B3FD5" w:rsidRPr="0080752C" w:rsidRDefault="001B3FD5" w:rsidP="00EA041C">
            <w:pPr>
              <w:rPr>
                <w:rFonts w:eastAsia="Century Gothic"/>
              </w:rPr>
            </w:pPr>
            <w:r w:rsidRPr="0080752C">
              <w:rPr>
                <w:rFonts w:eastAsia="Century Gothic"/>
              </w:rPr>
              <w:t>Scaling up COVID-19 Response in the West Bank and Gaza</w:t>
            </w:r>
          </w:p>
        </w:tc>
        <w:tc>
          <w:tcPr>
            <w:tcW w:w="1897" w:type="dxa"/>
          </w:tcPr>
          <w:p w14:paraId="7F0D2504" w14:textId="2E7A7151" w:rsidR="001B3FD5" w:rsidRPr="0080752C" w:rsidRDefault="00657C8C" w:rsidP="00EA041C">
            <w:pPr>
              <w:rPr>
                <w:rFonts w:eastAsia="Century Gothic"/>
              </w:rPr>
            </w:pPr>
            <w:r>
              <w:rPr>
                <w:rFonts w:eastAsia="Century Gothic"/>
              </w:rPr>
              <w:t>2021-2022</w:t>
            </w:r>
          </w:p>
        </w:tc>
        <w:tc>
          <w:tcPr>
            <w:tcW w:w="2145" w:type="dxa"/>
          </w:tcPr>
          <w:p w14:paraId="4498CB86" w14:textId="5EE7D617" w:rsidR="001B3FD5" w:rsidRPr="0080752C" w:rsidRDefault="001B3FD5" w:rsidP="00EA041C">
            <w:pPr>
              <w:rPr>
                <w:rFonts w:eastAsia="Century Gothic"/>
              </w:rPr>
            </w:pPr>
            <w:r w:rsidRPr="0080752C">
              <w:rPr>
                <w:rFonts w:eastAsia="Century Gothic"/>
              </w:rPr>
              <w:t>1,000,000</w:t>
            </w:r>
          </w:p>
        </w:tc>
      </w:tr>
      <w:bookmarkEnd w:id="12"/>
    </w:tbl>
    <w:p w14:paraId="46D3BF1B" w14:textId="77777777" w:rsidR="00A845C7" w:rsidRDefault="00A845C7" w:rsidP="00EA041C">
      <w:pPr>
        <w:rPr>
          <w:lang w:eastAsia="en-AU"/>
        </w:rPr>
      </w:pPr>
    </w:p>
    <w:p w14:paraId="44574AAC" w14:textId="619D2FF5" w:rsidR="00A845C7" w:rsidRPr="0080752C" w:rsidRDefault="00A845C7" w:rsidP="00EA041C">
      <w:pPr>
        <w:rPr>
          <w:lang w:eastAsia="en-AU"/>
        </w:rPr>
      </w:pPr>
      <w:r w:rsidRPr="0080752C">
        <w:rPr>
          <w:lang w:eastAsia="en-AU"/>
        </w:rPr>
        <w:t xml:space="preserve">Table 3: </w:t>
      </w:r>
      <w:r w:rsidR="00063266">
        <w:rPr>
          <w:lang w:eastAsia="en-AU"/>
        </w:rPr>
        <w:t xml:space="preserve">Broader </w:t>
      </w:r>
      <w:r w:rsidRPr="0080752C">
        <w:rPr>
          <w:lang w:eastAsia="en-AU"/>
        </w:rPr>
        <w:t>Partners and Funding Summary</w:t>
      </w:r>
    </w:p>
    <w:tbl>
      <w:tblPr>
        <w:tblStyle w:val="TablePlain"/>
        <w:tblW w:w="0" w:type="auto"/>
        <w:tblLook w:val="0420" w:firstRow="1" w:lastRow="0" w:firstColumn="0" w:lastColumn="0" w:noHBand="0" w:noVBand="1"/>
      </w:tblPr>
      <w:tblGrid>
        <w:gridCol w:w="1819"/>
        <w:gridCol w:w="3190"/>
        <w:gridCol w:w="1880"/>
        <w:gridCol w:w="2137"/>
      </w:tblGrid>
      <w:tr w:rsidR="001B3FD5" w:rsidRPr="0080752C" w14:paraId="34881F30" w14:textId="77777777" w:rsidTr="001B3FD5">
        <w:trPr>
          <w:cnfStyle w:val="100000000000" w:firstRow="1" w:lastRow="0" w:firstColumn="0" w:lastColumn="0" w:oddVBand="0" w:evenVBand="0" w:oddHBand="0" w:evenHBand="0" w:firstRowFirstColumn="0" w:firstRowLastColumn="0" w:lastRowFirstColumn="0" w:lastRowLastColumn="0"/>
          <w:trHeight w:val="20"/>
        </w:trPr>
        <w:tc>
          <w:tcPr>
            <w:tcW w:w="1819" w:type="dxa"/>
          </w:tcPr>
          <w:p w14:paraId="63D8767C" w14:textId="77777777" w:rsidR="001B3FD5" w:rsidRPr="0080752C" w:rsidRDefault="001B3FD5" w:rsidP="00EA041C">
            <w:pPr>
              <w:rPr>
                <w:rFonts w:eastAsia="Century Gothic"/>
              </w:rPr>
            </w:pPr>
            <w:r w:rsidRPr="0080752C">
              <w:rPr>
                <w:rFonts w:eastAsia="Century Gothic"/>
              </w:rPr>
              <w:t>Partner</w:t>
            </w:r>
          </w:p>
        </w:tc>
        <w:tc>
          <w:tcPr>
            <w:tcW w:w="3190" w:type="dxa"/>
          </w:tcPr>
          <w:p w14:paraId="02465043" w14:textId="77777777" w:rsidR="001B3FD5" w:rsidRPr="0080752C" w:rsidRDefault="001B3FD5" w:rsidP="00EA041C">
            <w:pPr>
              <w:rPr>
                <w:rFonts w:eastAsia="Century Gothic"/>
              </w:rPr>
            </w:pPr>
            <w:r w:rsidRPr="0080752C">
              <w:rPr>
                <w:rFonts w:eastAsia="Century Gothic"/>
              </w:rPr>
              <w:t>Investment</w:t>
            </w:r>
          </w:p>
        </w:tc>
        <w:tc>
          <w:tcPr>
            <w:tcW w:w="1880" w:type="dxa"/>
          </w:tcPr>
          <w:p w14:paraId="01269971" w14:textId="03FFB534" w:rsidR="001B3FD5" w:rsidRPr="0080752C" w:rsidRDefault="001B3FD5" w:rsidP="00EA041C">
            <w:pPr>
              <w:rPr>
                <w:rFonts w:eastAsia="Century Gothic"/>
              </w:rPr>
            </w:pPr>
            <w:r w:rsidRPr="001B3FD5">
              <w:rPr>
                <w:rFonts w:eastAsia="Century Gothic"/>
              </w:rPr>
              <w:t>Funding Period</w:t>
            </w:r>
          </w:p>
        </w:tc>
        <w:tc>
          <w:tcPr>
            <w:tcW w:w="2137" w:type="dxa"/>
          </w:tcPr>
          <w:p w14:paraId="5E81CC51" w14:textId="5F13440D" w:rsidR="001B3FD5" w:rsidRPr="0080752C" w:rsidRDefault="001B3FD5" w:rsidP="00EA041C">
            <w:pPr>
              <w:rPr>
                <w:rFonts w:eastAsia="Century Gothic"/>
              </w:rPr>
            </w:pPr>
            <w:r w:rsidRPr="0080752C">
              <w:rPr>
                <w:rFonts w:eastAsia="Century Gothic"/>
              </w:rPr>
              <w:t>Funding</w:t>
            </w:r>
          </w:p>
        </w:tc>
      </w:tr>
      <w:tr w:rsidR="001B3FD5" w:rsidRPr="0080752C" w14:paraId="2C9234ED" w14:textId="77777777" w:rsidTr="001B3FD5">
        <w:trPr>
          <w:cnfStyle w:val="000000100000" w:firstRow="0" w:lastRow="0" w:firstColumn="0" w:lastColumn="0" w:oddVBand="0" w:evenVBand="0" w:oddHBand="1" w:evenHBand="0" w:firstRowFirstColumn="0" w:firstRowLastColumn="0" w:lastRowFirstColumn="0" w:lastRowLastColumn="0"/>
          <w:trHeight w:val="20"/>
        </w:trPr>
        <w:tc>
          <w:tcPr>
            <w:tcW w:w="1819" w:type="dxa"/>
          </w:tcPr>
          <w:p w14:paraId="65214429" w14:textId="1E1B9500" w:rsidR="001B3FD5" w:rsidRPr="0080752C" w:rsidRDefault="001B3FD5" w:rsidP="00EA041C">
            <w:pPr>
              <w:rPr>
                <w:rFonts w:eastAsia="Century Gothic"/>
              </w:rPr>
            </w:pPr>
            <w:r w:rsidRPr="0080752C">
              <w:rPr>
                <w:rFonts w:eastAsia="Century Gothic"/>
              </w:rPr>
              <w:t>NGO Consortium (CARE, Oxfam, APHEDA) and Cardno</w:t>
            </w:r>
            <w:r>
              <w:rPr>
                <w:rFonts w:eastAsia="Century Gothic"/>
              </w:rPr>
              <w:t>*</w:t>
            </w:r>
          </w:p>
        </w:tc>
        <w:tc>
          <w:tcPr>
            <w:tcW w:w="3190" w:type="dxa"/>
          </w:tcPr>
          <w:p w14:paraId="4840BCEC" w14:textId="77777777" w:rsidR="001B3FD5" w:rsidRPr="0080752C" w:rsidRDefault="001B3FD5" w:rsidP="00EA041C">
            <w:pPr>
              <w:rPr>
                <w:rFonts w:eastAsia="Century Gothic"/>
              </w:rPr>
            </w:pPr>
            <w:r w:rsidRPr="0080752C">
              <w:rPr>
                <w:rFonts w:eastAsia="Century Gothic"/>
              </w:rPr>
              <w:t>Palestinian Farmers Connecting to Market</w:t>
            </w:r>
          </w:p>
          <w:p w14:paraId="769C9661" w14:textId="77777777" w:rsidR="001B3FD5" w:rsidRPr="0080752C" w:rsidRDefault="001B3FD5" w:rsidP="00EA041C">
            <w:pPr>
              <w:rPr>
                <w:rFonts w:eastAsia="Century Gothic"/>
              </w:rPr>
            </w:pPr>
            <w:r w:rsidRPr="0080752C">
              <w:rPr>
                <w:rFonts w:eastAsia="Century Gothic"/>
              </w:rPr>
              <w:t>(AMENCA 3)</w:t>
            </w:r>
          </w:p>
        </w:tc>
        <w:tc>
          <w:tcPr>
            <w:tcW w:w="1880" w:type="dxa"/>
          </w:tcPr>
          <w:p w14:paraId="02CC4EFC" w14:textId="5C4EB6D7" w:rsidR="001B3FD5" w:rsidRPr="0080752C" w:rsidRDefault="005F0154" w:rsidP="00EA041C">
            <w:pPr>
              <w:rPr>
                <w:rFonts w:eastAsia="Century Gothic"/>
              </w:rPr>
            </w:pPr>
            <w:r>
              <w:rPr>
                <w:rFonts w:eastAsia="Century Gothic"/>
              </w:rPr>
              <w:t>2014-2021</w:t>
            </w:r>
          </w:p>
        </w:tc>
        <w:tc>
          <w:tcPr>
            <w:tcW w:w="2137" w:type="dxa"/>
          </w:tcPr>
          <w:p w14:paraId="7041EF9C" w14:textId="6E064D31" w:rsidR="001B3FD5" w:rsidRPr="0080752C" w:rsidRDefault="001B3FD5" w:rsidP="00EA041C">
            <w:pPr>
              <w:rPr>
                <w:rFonts w:eastAsia="Century Gothic"/>
              </w:rPr>
            </w:pPr>
            <w:r w:rsidRPr="0080752C">
              <w:rPr>
                <w:rFonts w:eastAsia="Century Gothic"/>
              </w:rPr>
              <w:t>28,462,378</w:t>
            </w:r>
          </w:p>
        </w:tc>
      </w:tr>
      <w:tr w:rsidR="001B3FD5" w:rsidRPr="0080752C" w14:paraId="22A7EDCE" w14:textId="77777777" w:rsidTr="001B3FD5">
        <w:trPr>
          <w:trHeight w:val="20"/>
        </w:trPr>
        <w:tc>
          <w:tcPr>
            <w:tcW w:w="1819" w:type="dxa"/>
          </w:tcPr>
          <w:p w14:paraId="00052851" w14:textId="6AB24CEB" w:rsidR="001B3FD5" w:rsidRPr="0080752C" w:rsidRDefault="001B3FD5" w:rsidP="00EA041C">
            <w:pPr>
              <w:rPr>
                <w:rFonts w:eastAsia="Century Gothic"/>
              </w:rPr>
            </w:pPr>
            <w:r w:rsidRPr="0080752C">
              <w:rPr>
                <w:rFonts w:eastAsia="Century Gothic"/>
              </w:rPr>
              <w:t>World Bank</w:t>
            </w:r>
            <w:r>
              <w:rPr>
                <w:rFonts w:eastAsia="Century Gothic"/>
              </w:rPr>
              <w:t>*</w:t>
            </w:r>
          </w:p>
        </w:tc>
        <w:tc>
          <w:tcPr>
            <w:tcW w:w="3190" w:type="dxa"/>
          </w:tcPr>
          <w:p w14:paraId="60E85216" w14:textId="77777777" w:rsidR="001B3FD5" w:rsidRPr="0080752C" w:rsidRDefault="001B3FD5" w:rsidP="00EA041C">
            <w:pPr>
              <w:rPr>
                <w:rFonts w:eastAsia="Century Gothic"/>
              </w:rPr>
            </w:pPr>
            <w:r w:rsidRPr="0080752C">
              <w:rPr>
                <w:rFonts w:eastAsia="Century Gothic"/>
              </w:rPr>
              <w:t>Funding to PA through World Bank Trust Fund</w:t>
            </w:r>
          </w:p>
        </w:tc>
        <w:tc>
          <w:tcPr>
            <w:tcW w:w="1880" w:type="dxa"/>
          </w:tcPr>
          <w:p w14:paraId="26D878B9" w14:textId="4EAA5FD8" w:rsidR="001B3FD5" w:rsidRPr="0080752C" w:rsidRDefault="00657C8C" w:rsidP="00EA041C">
            <w:pPr>
              <w:rPr>
                <w:rFonts w:eastAsia="Century Gothic"/>
              </w:rPr>
            </w:pPr>
            <w:r>
              <w:rPr>
                <w:rFonts w:eastAsia="Century Gothic"/>
              </w:rPr>
              <w:t>2017-2020</w:t>
            </w:r>
          </w:p>
        </w:tc>
        <w:tc>
          <w:tcPr>
            <w:tcW w:w="2137" w:type="dxa"/>
          </w:tcPr>
          <w:p w14:paraId="4BA20BB5" w14:textId="7A3A3A38" w:rsidR="001B3FD5" w:rsidRPr="0080752C" w:rsidRDefault="001B3FD5" w:rsidP="00EA041C">
            <w:pPr>
              <w:rPr>
                <w:rFonts w:eastAsia="Century Gothic"/>
              </w:rPr>
            </w:pPr>
            <w:r w:rsidRPr="0080752C">
              <w:rPr>
                <w:rFonts w:eastAsia="Century Gothic"/>
              </w:rPr>
              <w:t>10,000,000</w:t>
            </w:r>
          </w:p>
        </w:tc>
      </w:tr>
      <w:tr w:rsidR="001B3FD5" w:rsidRPr="0080752C" w14:paraId="650245A7" w14:textId="77777777" w:rsidTr="001B3FD5">
        <w:trPr>
          <w:cnfStyle w:val="000000100000" w:firstRow="0" w:lastRow="0" w:firstColumn="0" w:lastColumn="0" w:oddVBand="0" w:evenVBand="0" w:oddHBand="1" w:evenHBand="0" w:firstRowFirstColumn="0" w:firstRowLastColumn="0" w:lastRowFirstColumn="0" w:lastRowLastColumn="0"/>
          <w:trHeight w:val="20"/>
        </w:trPr>
        <w:tc>
          <w:tcPr>
            <w:tcW w:w="1819" w:type="dxa"/>
          </w:tcPr>
          <w:p w14:paraId="1F5AC384" w14:textId="74CEA721" w:rsidR="001B3FD5" w:rsidRPr="0080752C" w:rsidRDefault="001B3FD5" w:rsidP="00EA041C">
            <w:pPr>
              <w:rPr>
                <w:rFonts w:eastAsia="Century Gothic"/>
              </w:rPr>
            </w:pPr>
            <w:r w:rsidRPr="0080752C">
              <w:rPr>
                <w:rFonts w:eastAsia="Century Gothic"/>
              </w:rPr>
              <w:t>St John Eye Hospital and Fred Hollows Foundation</w:t>
            </w:r>
            <w:r>
              <w:rPr>
                <w:rFonts w:eastAsia="Century Gothic"/>
              </w:rPr>
              <w:t>**</w:t>
            </w:r>
          </w:p>
        </w:tc>
        <w:tc>
          <w:tcPr>
            <w:tcW w:w="3190" w:type="dxa"/>
          </w:tcPr>
          <w:p w14:paraId="780B63F6" w14:textId="77777777" w:rsidR="001B3FD5" w:rsidRPr="0080752C" w:rsidRDefault="001B3FD5" w:rsidP="00EA041C">
            <w:pPr>
              <w:rPr>
                <w:rFonts w:eastAsia="Century Gothic"/>
              </w:rPr>
            </w:pPr>
            <w:r w:rsidRPr="0080752C">
              <w:rPr>
                <w:rFonts w:eastAsia="Century Gothic"/>
              </w:rPr>
              <w:t>St John Eye Hospital and Fred Hollows Foundation</w:t>
            </w:r>
          </w:p>
        </w:tc>
        <w:tc>
          <w:tcPr>
            <w:tcW w:w="1880" w:type="dxa"/>
          </w:tcPr>
          <w:p w14:paraId="6677D0B2" w14:textId="5C2D611D" w:rsidR="001B3FD5" w:rsidRPr="0080752C" w:rsidRDefault="003C614C" w:rsidP="00EA041C">
            <w:pPr>
              <w:rPr>
                <w:rFonts w:eastAsia="Century Gothic"/>
              </w:rPr>
            </w:pPr>
            <w:r>
              <w:rPr>
                <w:rFonts w:eastAsia="Century Gothic"/>
              </w:rPr>
              <w:t>2023-2025</w:t>
            </w:r>
          </w:p>
        </w:tc>
        <w:tc>
          <w:tcPr>
            <w:tcW w:w="2137" w:type="dxa"/>
          </w:tcPr>
          <w:p w14:paraId="6806B95E" w14:textId="5A0E0237" w:rsidR="001B3FD5" w:rsidRPr="0080752C" w:rsidRDefault="001B3FD5" w:rsidP="00EA041C">
            <w:pPr>
              <w:rPr>
                <w:rFonts w:eastAsia="Century Gothic"/>
              </w:rPr>
            </w:pPr>
            <w:r w:rsidRPr="0080752C">
              <w:rPr>
                <w:rFonts w:eastAsia="Century Gothic"/>
              </w:rPr>
              <w:t>2,000,000</w:t>
            </w:r>
          </w:p>
        </w:tc>
      </w:tr>
    </w:tbl>
    <w:p w14:paraId="706F882D" w14:textId="77777777" w:rsidR="00633F03" w:rsidRDefault="00A845C7" w:rsidP="00EA041C">
      <w:pPr>
        <w:rPr>
          <w:lang w:eastAsia="en-AU"/>
        </w:rPr>
      </w:pPr>
      <w:r w:rsidRPr="0080752C">
        <w:rPr>
          <w:sz w:val="20"/>
          <w:szCs w:val="24"/>
          <w:lang w:eastAsia="en-AU"/>
        </w:rPr>
        <w:t xml:space="preserve">* </w:t>
      </w:r>
      <w:r w:rsidR="001F3F2E">
        <w:rPr>
          <w:lang w:eastAsia="en-AU"/>
        </w:rPr>
        <w:t xml:space="preserve">Partnerships were being phased out </w:t>
      </w:r>
      <w:r w:rsidR="00063266">
        <w:rPr>
          <w:lang w:eastAsia="en-AU"/>
        </w:rPr>
        <w:t>at the early stage of the review period</w:t>
      </w:r>
      <w:r w:rsidR="00415B16">
        <w:rPr>
          <w:lang w:eastAsia="en-AU"/>
        </w:rPr>
        <w:t>.</w:t>
      </w:r>
    </w:p>
    <w:p w14:paraId="23371733" w14:textId="0484A9B7" w:rsidR="00A845C7" w:rsidRPr="0080752C" w:rsidRDefault="00063266" w:rsidP="00EA041C">
      <w:pPr>
        <w:rPr>
          <w:sz w:val="20"/>
          <w:szCs w:val="24"/>
          <w:lang w:eastAsia="en-AU"/>
        </w:rPr>
      </w:pPr>
      <w:r>
        <w:rPr>
          <w:lang w:eastAsia="en-AU"/>
        </w:rPr>
        <w:t>** Commenced in May 2023</w:t>
      </w:r>
      <w:r w:rsidR="00A845C7" w:rsidRPr="0080752C">
        <w:rPr>
          <w:sz w:val="20"/>
          <w:szCs w:val="24"/>
          <w:lang w:eastAsia="en-AU"/>
        </w:rPr>
        <w:t xml:space="preserve">. </w:t>
      </w:r>
    </w:p>
    <w:p w14:paraId="1381B8DA" w14:textId="7E2D718F" w:rsidR="00A845C7" w:rsidRPr="0080752C" w:rsidRDefault="00A845C7" w:rsidP="00EA041C">
      <w:pPr>
        <w:rPr>
          <w:lang w:eastAsia="en-AU"/>
        </w:rPr>
      </w:pPr>
      <w:r w:rsidRPr="0080752C">
        <w:rPr>
          <w:lang w:eastAsia="en-AU"/>
        </w:rPr>
        <w:t>Other aid investments such as the Australia Awards, Australia Assists and the Australia NGO Cooperation Program</w:t>
      </w:r>
      <w:r w:rsidR="008F6FC0">
        <w:rPr>
          <w:lang w:eastAsia="en-AU"/>
        </w:rPr>
        <w:t xml:space="preserve"> (ANCP)</w:t>
      </w:r>
      <w:r w:rsidRPr="0080752C">
        <w:rPr>
          <w:lang w:eastAsia="en-AU"/>
        </w:rPr>
        <w:t xml:space="preserve"> </w:t>
      </w:r>
      <w:r w:rsidR="008E7B3F" w:rsidRPr="0080752C">
        <w:rPr>
          <w:lang w:eastAsia="en-AU"/>
        </w:rPr>
        <w:t>were</w:t>
      </w:r>
      <w:r w:rsidRPr="0080752C">
        <w:rPr>
          <w:lang w:eastAsia="en-AU"/>
        </w:rPr>
        <w:t xml:space="preserve"> included in the review scope and </w:t>
      </w:r>
      <w:r w:rsidR="008E7B3F" w:rsidRPr="0080752C">
        <w:rPr>
          <w:lang w:eastAsia="en-AU"/>
        </w:rPr>
        <w:t>were</w:t>
      </w:r>
      <w:r w:rsidR="00F04CB4" w:rsidRPr="0080752C">
        <w:rPr>
          <w:lang w:eastAsia="en-AU"/>
        </w:rPr>
        <w:t xml:space="preserve"> </w:t>
      </w:r>
      <w:r w:rsidRPr="0080752C">
        <w:rPr>
          <w:lang w:eastAsia="en-AU"/>
        </w:rPr>
        <w:t>considered in relation to the abovementioned investments.</w:t>
      </w:r>
    </w:p>
    <w:p w14:paraId="729D34F2" w14:textId="6D727755" w:rsidR="00A845C7" w:rsidRPr="0080752C" w:rsidRDefault="00A845C7" w:rsidP="00EA041C">
      <w:pPr>
        <w:rPr>
          <w:lang w:eastAsia="en-AU"/>
        </w:rPr>
      </w:pPr>
      <w:r w:rsidRPr="0080752C">
        <w:rPr>
          <w:lang w:eastAsia="en-AU"/>
        </w:rPr>
        <w:t xml:space="preserve">The review </w:t>
      </w:r>
      <w:r w:rsidR="00F04CB4" w:rsidRPr="0080752C">
        <w:rPr>
          <w:lang w:eastAsia="en-AU"/>
        </w:rPr>
        <w:t>was</w:t>
      </w:r>
      <w:r w:rsidRPr="0080752C">
        <w:rPr>
          <w:lang w:eastAsia="en-AU"/>
        </w:rPr>
        <w:t xml:space="preserve"> conducted in accordance with DFAT’s Ethical Research and Evaluation Guidance; Design, Monitoring and Evaluation Standards (2022); and Development Evaluation Policy. </w:t>
      </w:r>
      <w:r w:rsidR="00F04CB4" w:rsidRPr="0080752C">
        <w:rPr>
          <w:lang w:eastAsia="en-AU"/>
        </w:rPr>
        <w:t>The final, approved version of this report will be published</w:t>
      </w:r>
      <w:r w:rsidRPr="0080752C">
        <w:rPr>
          <w:lang w:eastAsia="en-AU"/>
        </w:rPr>
        <w:t xml:space="preserve"> in line with DFAT’s extant policy. </w:t>
      </w:r>
    </w:p>
    <w:p w14:paraId="5BE6976C" w14:textId="55DDA089" w:rsidR="0016102D" w:rsidRPr="0080752C" w:rsidRDefault="0016102D" w:rsidP="00EA041C">
      <w:pPr>
        <w:pStyle w:val="Heading2"/>
      </w:pPr>
      <w:bookmarkStart w:id="13" w:name="_Toc173326299"/>
      <w:r w:rsidRPr="0080752C">
        <w:t>Review Methodology</w:t>
      </w:r>
      <w:bookmarkEnd w:id="13"/>
    </w:p>
    <w:p w14:paraId="4B1089B7" w14:textId="2040DD3F" w:rsidR="00A27184" w:rsidRPr="0080752C" w:rsidRDefault="00847DAE" w:rsidP="00EA041C">
      <w:pPr>
        <w:rPr>
          <w:lang w:eastAsia="en-AU"/>
        </w:rPr>
      </w:pPr>
      <w:r w:rsidRPr="0080752C">
        <w:rPr>
          <w:lang w:eastAsia="en-AU"/>
        </w:rPr>
        <w:t>The review use</w:t>
      </w:r>
      <w:r w:rsidR="00C47906" w:rsidRPr="0080752C">
        <w:rPr>
          <w:lang w:eastAsia="en-AU"/>
        </w:rPr>
        <w:t>d</w:t>
      </w:r>
      <w:r w:rsidRPr="0080752C">
        <w:rPr>
          <w:lang w:eastAsia="en-AU"/>
        </w:rPr>
        <w:t xml:space="preserve"> a mixed methods approach, combining key informant interviews, document and literature review, questionnaire, and quantitative data analysis (as feasible). </w:t>
      </w:r>
      <w:r w:rsidR="0009509A">
        <w:rPr>
          <w:lang w:eastAsia="en-AU"/>
        </w:rPr>
        <w:t>R</w:t>
      </w:r>
      <w:r w:rsidR="0010318A" w:rsidRPr="0080752C">
        <w:rPr>
          <w:lang w:eastAsia="en-AU"/>
        </w:rPr>
        <w:t>eview team members visited</w:t>
      </w:r>
      <w:r w:rsidR="005B1605">
        <w:rPr>
          <w:lang w:eastAsia="en-AU"/>
        </w:rPr>
        <w:t xml:space="preserve"> </w:t>
      </w:r>
      <w:r w:rsidR="00707CD7">
        <w:rPr>
          <w:lang w:eastAsia="en-AU"/>
        </w:rPr>
        <w:t>the</w:t>
      </w:r>
      <w:r w:rsidR="0010318A" w:rsidRPr="0080752C">
        <w:rPr>
          <w:lang w:eastAsia="en-AU"/>
        </w:rPr>
        <w:t xml:space="preserve"> OPT</w:t>
      </w:r>
      <w:r w:rsidR="00951F3D">
        <w:rPr>
          <w:lang w:eastAsia="en-AU"/>
        </w:rPr>
        <w:t>s</w:t>
      </w:r>
      <w:r w:rsidR="0010318A" w:rsidRPr="0080752C">
        <w:rPr>
          <w:lang w:eastAsia="en-AU"/>
        </w:rPr>
        <w:t xml:space="preserve"> and Israel between 2 – 9 September 2023 </w:t>
      </w:r>
      <w:r w:rsidRPr="0080752C">
        <w:rPr>
          <w:lang w:eastAsia="en-AU"/>
        </w:rPr>
        <w:t xml:space="preserve">to meet in-person with key stakeholders </w:t>
      </w:r>
      <w:r w:rsidRPr="0080752C">
        <w:rPr>
          <w:lang w:eastAsia="en-AU"/>
        </w:rPr>
        <w:lastRenderedPageBreak/>
        <w:t xml:space="preserve">and gain a better understanding of the context and program outcomes. </w:t>
      </w:r>
      <w:r w:rsidR="00A27184" w:rsidRPr="0080752C">
        <w:rPr>
          <w:lang w:eastAsia="en-AU"/>
        </w:rPr>
        <w:t>The review mission included the following</w:t>
      </w:r>
      <w:r w:rsidR="00547754" w:rsidRPr="0080752C">
        <w:rPr>
          <w:lang w:eastAsia="en-AU"/>
        </w:rPr>
        <w:t>:</w:t>
      </w:r>
    </w:p>
    <w:p w14:paraId="234B9DCF" w14:textId="43EE8AA1" w:rsidR="00A27184" w:rsidRPr="0080752C" w:rsidRDefault="00847DAE" w:rsidP="00EA041C">
      <w:pPr>
        <w:pStyle w:val="ListParagraph"/>
        <w:numPr>
          <w:ilvl w:val="0"/>
          <w:numId w:val="3"/>
        </w:numPr>
        <w:rPr>
          <w:lang w:eastAsia="en-AU"/>
        </w:rPr>
      </w:pPr>
      <w:r w:rsidRPr="0080752C">
        <w:rPr>
          <w:lang w:eastAsia="en-AU"/>
        </w:rPr>
        <w:t>Site visits of key projects in both the West Bank and Gaza</w:t>
      </w:r>
      <w:r w:rsidR="00A27184" w:rsidRPr="0080752C">
        <w:rPr>
          <w:lang w:eastAsia="en-AU"/>
        </w:rPr>
        <w:t>.</w:t>
      </w:r>
      <w:r w:rsidRPr="0080752C">
        <w:rPr>
          <w:lang w:eastAsia="en-AU"/>
        </w:rPr>
        <w:t xml:space="preserve"> </w:t>
      </w:r>
    </w:p>
    <w:p w14:paraId="0231D62D" w14:textId="36478C83" w:rsidR="00A27184" w:rsidRPr="0080752C" w:rsidRDefault="00847DAE" w:rsidP="00EA041C">
      <w:pPr>
        <w:pStyle w:val="ListParagraph"/>
        <w:numPr>
          <w:ilvl w:val="0"/>
          <w:numId w:val="3"/>
        </w:numPr>
        <w:rPr>
          <w:lang w:eastAsia="en-AU"/>
        </w:rPr>
      </w:pPr>
      <w:r w:rsidRPr="0080752C">
        <w:rPr>
          <w:lang w:eastAsia="en-AU"/>
        </w:rPr>
        <w:t>In-person interviews with key partners and stakeholders such as the Palestinian Authority</w:t>
      </w:r>
      <w:r w:rsidR="0089232A" w:rsidRPr="0080752C">
        <w:rPr>
          <w:lang w:eastAsia="en-AU"/>
        </w:rPr>
        <w:t xml:space="preserve"> </w:t>
      </w:r>
      <w:r w:rsidRPr="0080752C">
        <w:rPr>
          <w:lang w:eastAsia="en-AU"/>
        </w:rPr>
        <w:t>and civil society (including civil society actors that focus on women’s rights and people with disabilities)</w:t>
      </w:r>
      <w:r w:rsidR="00F10908" w:rsidRPr="0080752C">
        <w:rPr>
          <w:lang w:eastAsia="en-AU"/>
        </w:rPr>
        <w:t>.</w:t>
      </w:r>
      <w:r w:rsidRPr="0080752C">
        <w:rPr>
          <w:lang w:eastAsia="en-AU"/>
        </w:rPr>
        <w:t xml:space="preserve"> </w:t>
      </w:r>
    </w:p>
    <w:p w14:paraId="4BBB7195" w14:textId="382094BF" w:rsidR="00847DAE" w:rsidRPr="0080752C" w:rsidRDefault="00847DAE" w:rsidP="00EA041C">
      <w:pPr>
        <w:pStyle w:val="ListParagraph"/>
        <w:numPr>
          <w:ilvl w:val="0"/>
          <w:numId w:val="3"/>
        </w:numPr>
        <w:rPr>
          <w:lang w:eastAsia="en-AU"/>
        </w:rPr>
      </w:pPr>
      <w:r w:rsidRPr="0080752C">
        <w:rPr>
          <w:lang w:eastAsia="en-AU"/>
        </w:rPr>
        <w:t>Engagement with other donors, UN agencies</w:t>
      </w:r>
      <w:r w:rsidR="0089232A" w:rsidRPr="0080752C">
        <w:rPr>
          <w:lang w:eastAsia="en-AU"/>
        </w:rPr>
        <w:t xml:space="preserve">, Israeli NGOs and </w:t>
      </w:r>
      <w:r w:rsidRPr="0080752C">
        <w:rPr>
          <w:lang w:eastAsia="en-AU"/>
        </w:rPr>
        <w:t>INGOs.</w:t>
      </w:r>
    </w:p>
    <w:p w14:paraId="1DC907E0" w14:textId="207BEDC2" w:rsidR="00C30652" w:rsidRPr="0080752C" w:rsidRDefault="00F10908" w:rsidP="00EA041C">
      <w:pPr>
        <w:rPr>
          <w:lang w:eastAsia="en-AU"/>
        </w:rPr>
      </w:pPr>
      <w:r w:rsidRPr="0080752C">
        <w:rPr>
          <w:lang w:eastAsia="en-AU"/>
        </w:rPr>
        <w:t>The primary d</w:t>
      </w:r>
      <w:r w:rsidR="00194725" w:rsidRPr="0080752C">
        <w:rPr>
          <w:lang w:eastAsia="en-AU"/>
        </w:rPr>
        <w:t xml:space="preserve">ata collection methods used </w:t>
      </w:r>
      <w:r w:rsidRPr="0080752C">
        <w:rPr>
          <w:lang w:eastAsia="en-AU"/>
        </w:rPr>
        <w:t>for</w:t>
      </w:r>
      <w:r w:rsidR="00194725" w:rsidRPr="0080752C">
        <w:rPr>
          <w:lang w:eastAsia="en-AU"/>
        </w:rPr>
        <w:t xml:space="preserve"> the review </w:t>
      </w:r>
      <w:r w:rsidR="00C30652" w:rsidRPr="0080752C">
        <w:rPr>
          <w:lang w:eastAsia="en-AU"/>
        </w:rPr>
        <w:t>were:</w:t>
      </w:r>
    </w:p>
    <w:p w14:paraId="32F65E3E" w14:textId="648C4C3A" w:rsidR="00C30652" w:rsidRPr="0080752C" w:rsidRDefault="00C30652" w:rsidP="00EA041C">
      <w:pPr>
        <w:pStyle w:val="ListParagraph"/>
        <w:numPr>
          <w:ilvl w:val="0"/>
          <w:numId w:val="1"/>
        </w:numPr>
        <w:rPr>
          <w:lang w:eastAsia="en-AU"/>
        </w:rPr>
      </w:pPr>
      <w:r w:rsidRPr="0080752C">
        <w:rPr>
          <w:lang w:eastAsia="en-AU"/>
        </w:rPr>
        <w:t xml:space="preserve">Document </w:t>
      </w:r>
      <w:r w:rsidR="0059341C">
        <w:rPr>
          <w:lang w:eastAsia="en-AU"/>
        </w:rPr>
        <w:t>R</w:t>
      </w:r>
      <w:r w:rsidRPr="0080752C">
        <w:rPr>
          <w:lang w:eastAsia="en-AU"/>
        </w:rPr>
        <w:t>eview</w:t>
      </w:r>
    </w:p>
    <w:p w14:paraId="5816AF5F" w14:textId="35E973A7" w:rsidR="00C30652" w:rsidRPr="0080752C" w:rsidRDefault="00C30652" w:rsidP="00EA041C">
      <w:pPr>
        <w:pStyle w:val="ListParagraph"/>
        <w:numPr>
          <w:ilvl w:val="0"/>
          <w:numId w:val="1"/>
        </w:numPr>
        <w:rPr>
          <w:lang w:eastAsia="en-AU"/>
        </w:rPr>
      </w:pPr>
      <w:r w:rsidRPr="0080752C">
        <w:rPr>
          <w:lang w:eastAsia="en-AU"/>
        </w:rPr>
        <w:t>Key Informant Interviews</w:t>
      </w:r>
    </w:p>
    <w:p w14:paraId="1745F821" w14:textId="77B1A6F2" w:rsidR="00C30652" w:rsidRDefault="002D3916" w:rsidP="00EA041C">
      <w:pPr>
        <w:pStyle w:val="ListParagraph"/>
        <w:numPr>
          <w:ilvl w:val="0"/>
          <w:numId w:val="1"/>
        </w:numPr>
        <w:rPr>
          <w:lang w:eastAsia="en-AU"/>
        </w:rPr>
      </w:pPr>
      <w:r>
        <w:rPr>
          <w:lang w:eastAsia="en-AU"/>
        </w:rPr>
        <w:t xml:space="preserve">Risk </w:t>
      </w:r>
      <w:r w:rsidR="00C30652" w:rsidRPr="0080752C">
        <w:rPr>
          <w:lang w:eastAsia="en-AU"/>
        </w:rPr>
        <w:t>Questionnaire</w:t>
      </w:r>
    </w:p>
    <w:p w14:paraId="4885EE52" w14:textId="347FEEDB" w:rsidR="007514A5" w:rsidRPr="007514A5" w:rsidRDefault="007514A5" w:rsidP="00EA041C">
      <w:pPr>
        <w:rPr>
          <w:lang w:eastAsia="en-AU"/>
        </w:rPr>
      </w:pPr>
      <w:r>
        <w:rPr>
          <w:lang w:eastAsia="en-AU"/>
        </w:rPr>
        <w:t xml:space="preserve">The document review included </w:t>
      </w:r>
      <w:r w:rsidR="001623CD">
        <w:rPr>
          <w:lang w:eastAsia="en-AU"/>
        </w:rPr>
        <w:t>existing monitoring and evaluation data generated by partner reports, risk matrices</w:t>
      </w:r>
      <w:r w:rsidR="0052162B">
        <w:rPr>
          <w:lang w:eastAsia="en-AU"/>
        </w:rPr>
        <w:t>,</w:t>
      </w:r>
      <w:r w:rsidR="00682B85">
        <w:rPr>
          <w:lang w:eastAsia="en-AU"/>
        </w:rPr>
        <w:t xml:space="preserve"> </w:t>
      </w:r>
      <w:r w:rsidR="00745D87">
        <w:rPr>
          <w:lang w:eastAsia="en-AU"/>
        </w:rPr>
        <w:t xml:space="preserve">Investment Monitoring Reports (IMR) </w:t>
      </w:r>
      <w:r w:rsidR="00682B85">
        <w:rPr>
          <w:lang w:eastAsia="en-AU"/>
        </w:rPr>
        <w:t>and DFAT’s Partner Performance Assessments (PPA). These were helpful in establishing an evidence base for the findings in the report</w:t>
      </w:r>
      <w:r w:rsidR="00547C41">
        <w:rPr>
          <w:lang w:eastAsia="en-AU"/>
        </w:rPr>
        <w:t xml:space="preserve">. </w:t>
      </w:r>
    </w:p>
    <w:p w14:paraId="5892E3E4" w14:textId="32EE0D49" w:rsidR="00847DAE" w:rsidRPr="0080752C" w:rsidRDefault="00847DAE" w:rsidP="00EA041C">
      <w:pPr>
        <w:rPr>
          <w:lang w:eastAsia="en-AU"/>
        </w:rPr>
      </w:pPr>
      <w:r w:rsidRPr="0080752C">
        <w:rPr>
          <w:lang w:eastAsia="en-AU"/>
        </w:rPr>
        <w:t xml:space="preserve">Findings and recommendations emerging from the review </w:t>
      </w:r>
      <w:r w:rsidR="00F057A4">
        <w:rPr>
          <w:lang w:eastAsia="en-AU"/>
        </w:rPr>
        <w:t>are</w:t>
      </w:r>
      <w:r w:rsidRPr="0080752C">
        <w:rPr>
          <w:lang w:eastAsia="en-AU"/>
        </w:rPr>
        <w:t xml:space="preserve"> evidence based and </w:t>
      </w:r>
      <w:r w:rsidR="00F057A4">
        <w:rPr>
          <w:lang w:eastAsia="en-AU"/>
        </w:rPr>
        <w:t xml:space="preserve">have been </w:t>
      </w:r>
      <w:r w:rsidRPr="0080752C">
        <w:rPr>
          <w:lang w:eastAsia="en-AU"/>
        </w:rPr>
        <w:t>triangulated</w:t>
      </w:r>
      <w:r w:rsidR="00F10908" w:rsidRPr="0080752C">
        <w:rPr>
          <w:lang w:eastAsia="en-AU"/>
        </w:rPr>
        <w:t xml:space="preserve"> as much as possible</w:t>
      </w:r>
      <w:r w:rsidRPr="0080752C">
        <w:rPr>
          <w:lang w:eastAsia="en-AU"/>
        </w:rPr>
        <w:t xml:space="preserve">. Research </w:t>
      </w:r>
      <w:r w:rsidR="00216767" w:rsidRPr="0080752C">
        <w:rPr>
          <w:lang w:eastAsia="en-AU"/>
        </w:rPr>
        <w:t>has been</w:t>
      </w:r>
      <w:r w:rsidRPr="0080752C">
        <w:rPr>
          <w:lang w:eastAsia="en-AU"/>
        </w:rPr>
        <w:t xml:space="preserve"> largely qualitative, using quantitative data when available and relevant. </w:t>
      </w:r>
    </w:p>
    <w:p w14:paraId="354FA16B" w14:textId="77777777" w:rsidR="00FA15F6" w:rsidRDefault="00FA15F6" w:rsidP="00EA041C">
      <w:pPr>
        <w:rPr>
          <w:rFonts w:asciiTheme="majorHAnsi" w:eastAsiaTheme="majorEastAsia" w:hAnsiTheme="majorHAnsi" w:cstheme="majorBidi"/>
          <w:color w:val="2F5496" w:themeColor="accent1" w:themeShade="BF"/>
          <w:sz w:val="26"/>
          <w:szCs w:val="26"/>
        </w:rPr>
      </w:pPr>
      <w:r>
        <w:br w:type="page"/>
      </w:r>
    </w:p>
    <w:p w14:paraId="00361615" w14:textId="635D0791" w:rsidR="00FA15F6" w:rsidRPr="00FA15F6" w:rsidRDefault="00D12F98" w:rsidP="00EA041C">
      <w:pPr>
        <w:pStyle w:val="Heading1"/>
        <w:numPr>
          <w:ilvl w:val="0"/>
          <w:numId w:val="13"/>
        </w:numPr>
      </w:pPr>
      <w:bookmarkStart w:id="14" w:name="_Toc173326300"/>
      <w:r w:rsidRPr="0080752C">
        <w:lastRenderedPageBreak/>
        <w:t>Review Findings</w:t>
      </w:r>
      <w:bookmarkEnd w:id="14"/>
    </w:p>
    <w:p w14:paraId="0A89C536" w14:textId="77777777" w:rsidR="00A816EF" w:rsidRDefault="008E37B1" w:rsidP="00EA041C">
      <w:pPr>
        <w:rPr>
          <w:color w:val="000000" w:themeColor="text1"/>
          <w:sz w:val="24"/>
          <w:szCs w:val="24"/>
        </w:rPr>
      </w:pPr>
      <w:r w:rsidRPr="008E37B1">
        <w:rPr>
          <w:noProof/>
        </w:rPr>
        <mc:AlternateContent>
          <mc:Choice Requires="wps">
            <w:drawing>
              <wp:inline distT="0" distB="0" distL="0" distR="0" wp14:anchorId="00394336" wp14:editId="736E9871">
                <wp:extent cx="5852160" cy="594360"/>
                <wp:effectExtent l="0" t="0" r="1524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94360"/>
                        </a:xfrm>
                        <a:prstGeom prst="rect">
                          <a:avLst/>
                        </a:prstGeom>
                        <a:solidFill>
                          <a:srgbClr val="FFFFFF"/>
                        </a:solidFill>
                        <a:ln w="9525">
                          <a:solidFill>
                            <a:srgbClr val="000000"/>
                          </a:solidFill>
                          <a:miter lim="800000"/>
                          <a:headEnd/>
                          <a:tailEnd/>
                        </a:ln>
                      </wps:spPr>
                      <wps:txbx>
                        <w:txbxContent>
                          <w:p w14:paraId="1520767D" w14:textId="12ED95A9" w:rsidR="008E37B1" w:rsidRDefault="008E37B1" w:rsidP="00EA041C">
                            <w:r w:rsidRPr="008E37B1">
                              <w:t>Has Australia’s humanitarian assistance and development cooperation to the Occupied Palestinian Territories met its objectives at an investment level? Is programming effective in the context of conflict and protracted crises?</w:t>
                            </w:r>
                          </w:p>
                        </w:txbxContent>
                      </wps:txbx>
                      <wps:bodyPr rot="0" vert="horz" wrap="square" lIns="91440" tIns="45720" rIns="91440" bIns="45720" anchor="t" anchorCtr="0">
                        <a:noAutofit/>
                      </wps:bodyPr>
                    </wps:wsp>
                  </a:graphicData>
                </a:graphic>
              </wp:inline>
            </w:drawing>
          </mc:Choice>
          <mc:Fallback>
            <w:pict>
              <v:shape w14:anchorId="00394336" id="Text Box 2" o:spid="_x0000_s1027" type="#_x0000_t202" style="width:460.8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">
                <v:textbox>
                  <w:txbxContent>
                    <w:p w14:paraId="1520767D" w14:textId="12ED95A9" w:rsidR="008E37B1" w:rsidRDefault="008E37B1" w:rsidP="00EA041C">
                      <w:r w:rsidRPr="008E37B1">
                        <w:t>Has Australia’s humanitarian assistance and development cooperation to the Occupied Palestinian Territories met its objectives at an investment level? Is programming effective in the context of conflict and protracted crises?</w:t>
                      </w:r>
                    </w:p>
                  </w:txbxContent>
                </v:textbox>
                <w10:anchorlock/>
              </v:shape>
            </w:pict>
          </mc:Fallback>
        </mc:AlternateContent>
      </w:r>
    </w:p>
    <w:p w14:paraId="68DF2F54" w14:textId="625F67EE" w:rsidR="009926E9" w:rsidRPr="00842751" w:rsidRDefault="00D203B8" w:rsidP="00EA041C">
      <w:pPr>
        <w:pStyle w:val="Heading2"/>
      </w:pPr>
      <w:bookmarkStart w:id="15" w:name="_Toc173326301"/>
      <w:r w:rsidRPr="00842751">
        <w:t xml:space="preserve">2.1 </w:t>
      </w:r>
      <w:r w:rsidR="0075451D" w:rsidRPr="00842751">
        <w:t>E</w:t>
      </w:r>
      <w:r w:rsidR="006F190D" w:rsidRPr="00842751">
        <w:t>fficien</w:t>
      </w:r>
      <w:r w:rsidR="0075451D" w:rsidRPr="00842751">
        <w:t>cy</w:t>
      </w:r>
      <w:r w:rsidR="006F190D" w:rsidRPr="00842751">
        <w:t xml:space="preserve"> and </w:t>
      </w:r>
      <w:r w:rsidR="0075451D" w:rsidRPr="00842751">
        <w:t>Effectiveness</w:t>
      </w:r>
      <w:bookmarkEnd w:id="15"/>
      <w:r w:rsidR="006F190D" w:rsidRPr="00842751">
        <w:t xml:space="preserve"> </w:t>
      </w:r>
    </w:p>
    <w:p w14:paraId="54465EE8" w14:textId="52638579" w:rsidR="00C4284F" w:rsidRPr="0029476D" w:rsidRDefault="00C4284F" w:rsidP="00EA041C">
      <w:pPr>
        <w:pStyle w:val="Heading3"/>
      </w:pPr>
      <w:bookmarkStart w:id="16" w:name="_Toc173326302"/>
      <w:r w:rsidRPr="0029476D">
        <w:t>2.1.</w:t>
      </w:r>
      <w:r w:rsidR="0029476D">
        <w:t>1</w:t>
      </w:r>
      <w:r w:rsidRPr="0029476D">
        <w:t xml:space="preserve"> </w:t>
      </w:r>
      <w:r w:rsidRPr="002025B2">
        <w:t>Current</w:t>
      </w:r>
      <w:r w:rsidRPr="0029476D">
        <w:t xml:space="preserve"> partners and </w:t>
      </w:r>
      <w:r w:rsidR="0029476D" w:rsidRPr="0029476D">
        <w:t>priorities</w:t>
      </w:r>
      <w:bookmarkEnd w:id="16"/>
    </w:p>
    <w:p w14:paraId="0864565E" w14:textId="1CD7260C" w:rsidR="0049041C" w:rsidRDefault="0075451D" w:rsidP="00EA041C">
      <w:r w:rsidRPr="0080752C">
        <w:t xml:space="preserve">Overall, </w:t>
      </w:r>
      <w:bookmarkStart w:id="17" w:name="_Hlk146887540"/>
      <w:r w:rsidR="00036710">
        <w:t>Australia’s humanitarian assistance and development cooperation</w:t>
      </w:r>
      <w:r w:rsidRPr="0080752C">
        <w:t xml:space="preserve"> program is demonstrating</w:t>
      </w:r>
      <w:r w:rsidR="00CC497C" w:rsidRPr="0080752C">
        <w:t xml:space="preserve"> </w:t>
      </w:r>
      <w:r w:rsidRPr="0080752C">
        <w:t>effectiveness</w:t>
      </w:r>
      <w:r w:rsidR="00CC497C" w:rsidRPr="0080752C">
        <w:t xml:space="preserve"> and impact</w:t>
      </w:r>
      <w:r w:rsidRPr="0080752C">
        <w:t xml:space="preserve"> in the context of </w:t>
      </w:r>
      <w:r w:rsidR="002F7425" w:rsidRPr="0080752C">
        <w:t xml:space="preserve">ongoing </w:t>
      </w:r>
      <w:r w:rsidRPr="0080752C">
        <w:t>conflict and protracted crises</w:t>
      </w:r>
      <w:r w:rsidR="002F7425" w:rsidRPr="0080752C">
        <w:t xml:space="preserve"> in the OPT</w:t>
      </w:r>
      <w:r w:rsidR="00951F3D">
        <w:t>s</w:t>
      </w:r>
      <w:r w:rsidRPr="0080752C">
        <w:t xml:space="preserve">. </w:t>
      </w:r>
      <w:bookmarkEnd w:id="17"/>
      <w:r w:rsidR="00911CA0">
        <w:t>The current partners to the program are ICRC, UNRWA and UNOP</w:t>
      </w:r>
      <w:r w:rsidR="0049041C">
        <w:t xml:space="preserve">S. </w:t>
      </w:r>
    </w:p>
    <w:p w14:paraId="3335AA95" w14:textId="39B3FEE9" w:rsidR="0049041C" w:rsidRDefault="0049041C" w:rsidP="00EA041C">
      <w:r w:rsidRPr="00294433">
        <w:rPr>
          <w:u w:val="single"/>
        </w:rPr>
        <w:t>ICRC</w:t>
      </w:r>
      <w:r>
        <w:t>: Programs</w:t>
      </w:r>
      <w:r w:rsidR="00B66D32">
        <w:t xml:space="preserve"> delivered by ICRC are very responsive to </w:t>
      </w:r>
      <w:r w:rsidR="00856268">
        <w:t xml:space="preserve">the </w:t>
      </w:r>
      <w:r w:rsidR="00B66D32">
        <w:t>needs</w:t>
      </w:r>
      <w:r w:rsidR="00856268">
        <w:t xml:space="preserve"> of Palestinians</w:t>
      </w:r>
      <w:r w:rsidR="00B66D32">
        <w:t xml:space="preserve"> through the provision of</w:t>
      </w:r>
      <w:r w:rsidR="00856268">
        <w:t xml:space="preserve"> water</w:t>
      </w:r>
      <w:r w:rsidR="0099121F">
        <w:t xml:space="preserve">, sanitation and hygiene (WASH), </w:t>
      </w:r>
      <w:r w:rsidR="00CE2A61" w:rsidRPr="00CE2A61">
        <w:t xml:space="preserve">agriculture and health </w:t>
      </w:r>
      <w:r w:rsidR="0099121F">
        <w:t>activities</w:t>
      </w:r>
      <w:r w:rsidR="009231FF">
        <w:t>,</w:t>
      </w:r>
      <w:r w:rsidR="00CE2A61" w:rsidRPr="00CE2A61">
        <w:t xml:space="preserve"> and supporting households that are economically insecure. ICRC </w:t>
      </w:r>
      <w:r w:rsidR="007E599F">
        <w:t>leads on</w:t>
      </w:r>
      <w:r w:rsidR="00CE2A61" w:rsidRPr="00CE2A61">
        <w:t xml:space="preserve"> international humanitarian law (IHL)</w:t>
      </w:r>
      <w:r w:rsidR="00F74716">
        <w:t xml:space="preserve"> dialogue</w:t>
      </w:r>
      <w:r w:rsidR="00CE2A61" w:rsidRPr="00CE2A61">
        <w:t xml:space="preserve"> with parties engaged in conflict within the </w:t>
      </w:r>
      <w:r w:rsidR="006E1353">
        <w:t>OPT</w:t>
      </w:r>
      <w:r w:rsidR="00951F3D">
        <w:t>s</w:t>
      </w:r>
      <w:r w:rsidR="003101B8">
        <w:t>,</w:t>
      </w:r>
      <w:r w:rsidR="004138E1">
        <w:t xml:space="preserve"> and is uni</w:t>
      </w:r>
      <w:r w:rsidR="00CE2A61" w:rsidRPr="00CE2A61">
        <w:t>quely positioned as an impartial, neutral and independent organisation</w:t>
      </w:r>
      <w:r w:rsidR="006E1353">
        <w:t>.</w:t>
      </w:r>
    </w:p>
    <w:p w14:paraId="7BA051F2" w14:textId="0BD4BE16" w:rsidR="005A29DD" w:rsidRPr="005D21E8" w:rsidRDefault="0049041C" w:rsidP="00EA041C">
      <w:r w:rsidRPr="00294433">
        <w:rPr>
          <w:u w:val="single"/>
        </w:rPr>
        <w:t>UNRWA</w:t>
      </w:r>
      <w:r w:rsidR="00515D48">
        <w:t xml:space="preserve"> </w:t>
      </w:r>
      <w:r w:rsidR="007D6FDC">
        <w:t>i</w:t>
      </w:r>
      <w:r w:rsidR="00515D48">
        <w:t>n Gaza</w:t>
      </w:r>
      <w:r w:rsidR="001C3808">
        <w:t xml:space="preserve"> and the West Bank</w:t>
      </w:r>
      <w:r w:rsidR="00515D48">
        <w:t xml:space="preserve"> </w:t>
      </w:r>
      <w:r w:rsidR="000E293B">
        <w:t xml:space="preserve">is effectively addressing needs through </w:t>
      </w:r>
      <w:r w:rsidR="001D027B">
        <w:t>providing</w:t>
      </w:r>
      <w:r w:rsidR="005D21E8">
        <w:t xml:space="preserve"> </w:t>
      </w:r>
      <w:r w:rsidR="005D21E8" w:rsidRPr="005D21E8">
        <w:rPr>
          <w:rStyle w:val="normaltextrun"/>
          <w:rFonts w:ascii="Calibri" w:hAnsi="Calibri" w:cs="Calibri"/>
          <w:shd w:val="clear" w:color="auto" w:fill="FFFFFF"/>
        </w:rPr>
        <w:t>health services, education, and relief and social services, including social protection</w:t>
      </w:r>
      <w:r w:rsidR="007C0382">
        <w:rPr>
          <w:rStyle w:val="normaltextrun"/>
          <w:rFonts w:ascii="Calibri" w:hAnsi="Calibri" w:cs="Calibri"/>
          <w:shd w:val="clear" w:color="auto" w:fill="FFFFFF"/>
        </w:rPr>
        <w:t xml:space="preserve"> responses</w:t>
      </w:r>
      <w:r w:rsidR="00283718">
        <w:rPr>
          <w:rStyle w:val="normaltextrun"/>
          <w:rFonts w:ascii="Calibri" w:hAnsi="Calibri" w:cs="Calibri"/>
          <w:shd w:val="clear" w:color="auto" w:fill="FFFFFF"/>
        </w:rPr>
        <w:t xml:space="preserve">. </w:t>
      </w:r>
      <w:r w:rsidR="007419DE">
        <w:rPr>
          <w:rStyle w:val="normaltextrun"/>
          <w:rFonts w:ascii="Calibri" w:hAnsi="Calibri" w:cs="Calibri"/>
          <w:shd w:val="clear" w:color="auto" w:fill="FFFFFF"/>
        </w:rPr>
        <w:t>Given the operating context</w:t>
      </w:r>
      <w:r w:rsidR="007C0382">
        <w:rPr>
          <w:rStyle w:val="normaltextrun"/>
          <w:rFonts w:ascii="Calibri" w:hAnsi="Calibri" w:cs="Calibri"/>
          <w:shd w:val="clear" w:color="auto" w:fill="FFFFFF"/>
        </w:rPr>
        <w:t>, particularly for</w:t>
      </w:r>
      <w:r w:rsidR="007419DE">
        <w:rPr>
          <w:rStyle w:val="normaltextrun"/>
          <w:rFonts w:ascii="Calibri" w:hAnsi="Calibri" w:cs="Calibri"/>
          <w:shd w:val="clear" w:color="auto" w:fill="FFFFFF"/>
        </w:rPr>
        <w:t xml:space="preserve"> Gaza</w:t>
      </w:r>
      <w:r w:rsidR="00053C44">
        <w:rPr>
          <w:rStyle w:val="normaltextrun"/>
          <w:rFonts w:ascii="Calibri" w:hAnsi="Calibri" w:cs="Calibri"/>
          <w:shd w:val="clear" w:color="auto" w:fill="FFFFFF"/>
        </w:rPr>
        <w:t>, these essential services are best delivered by UNRWA which has both mandate and capacity</w:t>
      </w:r>
      <w:r w:rsidR="009D32AC">
        <w:rPr>
          <w:rStyle w:val="normaltextrun"/>
          <w:rFonts w:ascii="Calibri" w:hAnsi="Calibri" w:cs="Calibri"/>
          <w:shd w:val="clear" w:color="auto" w:fill="FFFFFF"/>
        </w:rPr>
        <w:t>,</w:t>
      </w:r>
      <w:r w:rsidR="00053C44">
        <w:rPr>
          <w:rStyle w:val="normaltextrun"/>
          <w:rFonts w:ascii="Calibri" w:hAnsi="Calibri" w:cs="Calibri"/>
          <w:shd w:val="clear" w:color="auto" w:fill="FFFFFF"/>
        </w:rPr>
        <w:t xml:space="preserve"> </w:t>
      </w:r>
      <w:r w:rsidR="009D32AC">
        <w:rPr>
          <w:rStyle w:val="normaltextrun"/>
          <w:rFonts w:ascii="Calibri" w:hAnsi="Calibri" w:cs="Calibri"/>
          <w:shd w:val="clear" w:color="auto" w:fill="FFFFFF"/>
        </w:rPr>
        <w:t xml:space="preserve">and its work </w:t>
      </w:r>
      <w:r w:rsidR="005D21E8" w:rsidRPr="005D21E8">
        <w:rPr>
          <w:rStyle w:val="normaltextrun"/>
          <w:rFonts w:ascii="Calibri" w:hAnsi="Calibri" w:cs="Calibri"/>
          <w:shd w:val="clear" w:color="auto" w:fill="FFFFFF"/>
        </w:rPr>
        <w:t>supports</w:t>
      </w:r>
      <w:r w:rsidR="009D32AC">
        <w:rPr>
          <w:rStyle w:val="normaltextrun"/>
          <w:rFonts w:ascii="Calibri" w:hAnsi="Calibri" w:cs="Calibri"/>
          <w:shd w:val="clear" w:color="auto" w:fill="FFFFFF"/>
        </w:rPr>
        <w:t xml:space="preserve"> a degree of</w:t>
      </w:r>
      <w:r w:rsidR="005D21E8" w:rsidRPr="005D21E8">
        <w:rPr>
          <w:rStyle w:val="normaltextrun"/>
          <w:rFonts w:ascii="Calibri" w:hAnsi="Calibri" w:cs="Calibri"/>
          <w:shd w:val="clear" w:color="auto" w:fill="FFFFFF"/>
        </w:rPr>
        <w:t xml:space="preserve"> stability</w:t>
      </w:r>
      <w:r w:rsidR="009D32AC">
        <w:rPr>
          <w:rStyle w:val="normaltextrun"/>
          <w:rFonts w:ascii="Calibri" w:hAnsi="Calibri" w:cs="Calibri"/>
          <w:shd w:val="clear" w:color="auto" w:fill="FFFFFF"/>
        </w:rPr>
        <w:t xml:space="preserve"> in a protracted </w:t>
      </w:r>
      <w:r w:rsidR="000B1EED">
        <w:rPr>
          <w:rStyle w:val="normaltextrun"/>
          <w:rFonts w:ascii="Calibri" w:hAnsi="Calibri" w:cs="Calibri"/>
          <w:shd w:val="clear" w:color="auto" w:fill="FFFFFF"/>
        </w:rPr>
        <w:t>crisis setting.</w:t>
      </w:r>
      <w:r w:rsidR="009D32AC">
        <w:rPr>
          <w:rStyle w:val="normaltextrun"/>
          <w:rFonts w:ascii="Calibri" w:hAnsi="Calibri" w:cs="Calibri"/>
          <w:shd w:val="clear" w:color="auto" w:fill="FFFFFF"/>
        </w:rPr>
        <w:t xml:space="preserve"> </w:t>
      </w:r>
    </w:p>
    <w:p w14:paraId="2B94E022" w14:textId="719A4893" w:rsidR="00B81786" w:rsidRDefault="00B81786" w:rsidP="00EA041C">
      <w:r w:rsidRPr="0080752C">
        <w:t xml:space="preserve">The </w:t>
      </w:r>
      <w:r w:rsidRPr="00294433">
        <w:rPr>
          <w:u w:val="single"/>
        </w:rPr>
        <w:t>UNOPS Access Support Unit (ASU)</w:t>
      </w:r>
      <w:r w:rsidR="00827D3E">
        <w:t xml:space="preserve"> </w:t>
      </w:r>
      <w:r w:rsidR="009B04C0">
        <w:t>facilitates the movement of humanitarian personnel</w:t>
      </w:r>
      <w:r w:rsidR="004750A6">
        <w:t xml:space="preserve"> into Gaza and the West Bank to deliver programs. It also</w:t>
      </w:r>
      <w:r w:rsidR="00487569">
        <w:t xml:space="preserve"> </w:t>
      </w:r>
      <w:r w:rsidR="00575F71">
        <w:t xml:space="preserve">monitors the entry and use of “dual use” materials into </w:t>
      </w:r>
      <w:r w:rsidR="004044C7">
        <w:t>Gaza which support humanitarian assistance and reconstruction. T</w:t>
      </w:r>
      <w:r w:rsidR="00F81457">
        <w:t xml:space="preserve">he review finds the ASU is </w:t>
      </w:r>
      <w:r w:rsidRPr="0080752C">
        <w:t>providing essential humanitarian access and creat</w:t>
      </w:r>
      <w:r w:rsidR="006C1444" w:rsidRPr="0080752C">
        <w:t>ing</w:t>
      </w:r>
      <w:r w:rsidRPr="0080752C">
        <w:t xml:space="preserve"> a more enabling environment for the humanitarian community to deliver programs</w:t>
      </w:r>
      <w:r w:rsidR="00324BB9">
        <w:t>.</w:t>
      </w:r>
    </w:p>
    <w:p w14:paraId="24CF40C9" w14:textId="14C3DE2F" w:rsidR="00CC7C3B" w:rsidRDefault="00E01B8D" w:rsidP="00EA041C">
      <w:r w:rsidRPr="0080752C">
        <w:t xml:space="preserve">Australia’s program is highly relevant, with current </w:t>
      </w:r>
      <w:r w:rsidR="001C5E00">
        <w:t>partners highlighting this, along with</w:t>
      </w:r>
      <w:r w:rsidRPr="0080752C">
        <w:t xml:space="preserve"> its flexibility and complementarity. </w:t>
      </w:r>
      <w:r w:rsidR="009D4E26">
        <w:t>Several interviewees expressed the view</w:t>
      </w:r>
      <w:r w:rsidRPr="0080752C">
        <w:t xml:space="preserve"> Australia is </w:t>
      </w:r>
      <w:r w:rsidR="00D16E8C">
        <w:t>“</w:t>
      </w:r>
      <w:r w:rsidRPr="0080752C">
        <w:t>punching above its weight</w:t>
      </w:r>
      <w:r w:rsidR="00D16E8C">
        <w:t>”</w:t>
      </w:r>
      <w:r w:rsidR="00953908">
        <w:t xml:space="preserve"> in terms of its program</w:t>
      </w:r>
      <w:r w:rsidR="00A32567">
        <w:t xml:space="preserve"> and </w:t>
      </w:r>
      <w:r w:rsidR="00852F63">
        <w:t>engagement with</w:t>
      </w:r>
      <w:r w:rsidR="00AD388E">
        <w:t xml:space="preserve"> governance</w:t>
      </w:r>
      <w:r w:rsidR="00852F63">
        <w:t xml:space="preserve"> boards and </w:t>
      </w:r>
      <w:r w:rsidR="00AD388E">
        <w:t xml:space="preserve">other </w:t>
      </w:r>
      <w:r w:rsidR="00852F63">
        <w:t>aid coordination architecture</w:t>
      </w:r>
      <w:r w:rsidR="009D0E85">
        <w:t>, which is highly appreciated</w:t>
      </w:r>
      <w:r w:rsidR="00953908">
        <w:t>.</w:t>
      </w:r>
      <w:r w:rsidR="00DF7439">
        <w:t xml:space="preserve"> Given the program context </w:t>
      </w:r>
      <w:r w:rsidR="00FD004A">
        <w:t xml:space="preserve">is one of a protracted crisis, </w:t>
      </w:r>
      <w:r w:rsidR="00A03AC8">
        <w:t>with outbreaks of conflict, the program</w:t>
      </w:r>
      <w:r w:rsidR="00F2542D">
        <w:t>’s</w:t>
      </w:r>
      <w:r w:rsidR="00486FE2">
        <w:t xml:space="preserve"> focus on humanitarian needs</w:t>
      </w:r>
      <w:r w:rsidR="00CC7C3B">
        <w:t xml:space="preserve"> since 2019 is appropriate.</w:t>
      </w:r>
      <w:r w:rsidR="005E54E7">
        <w:t xml:space="preserve"> However, the review received consistent feedback </w:t>
      </w:r>
      <w:r w:rsidR="008219EF">
        <w:t xml:space="preserve">that the program should also consider </w:t>
      </w:r>
      <w:r w:rsidR="005E5879">
        <w:t xml:space="preserve">supporting the resilience of Palestinians, particularly through </w:t>
      </w:r>
      <w:r w:rsidR="005C1485">
        <w:t>economic development</w:t>
      </w:r>
      <w:r w:rsidR="00093D2A">
        <w:t xml:space="preserve"> for women</w:t>
      </w:r>
      <w:r w:rsidR="005C1485">
        <w:t xml:space="preserve"> and social protection mechanisms. </w:t>
      </w:r>
    </w:p>
    <w:p w14:paraId="2C66F8A1" w14:textId="4AD97E02" w:rsidR="00BC5A6F" w:rsidRDefault="00BC5A6F" w:rsidP="00EA041C">
      <w:r>
        <w:t xml:space="preserve">Representatives of the Palestinian Authority in the West Bank noted </w:t>
      </w:r>
      <w:r w:rsidR="00D16E8C">
        <w:t>their appreciation</w:t>
      </w:r>
      <w:r>
        <w:t xml:space="preserve"> for the Australia Awards program and the contributions this makes to institutional </w:t>
      </w:r>
      <w:r w:rsidR="00A17360">
        <w:t>strengthening and individual leadership</w:t>
      </w:r>
      <w:r w:rsidR="00EB3053">
        <w:t xml:space="preserve"> capa</w:t>
      </w:r>
      <w:r w:rsidR="00ED1B02">
        <w:t>bility.</w:t>
      </w:r>
      <w:r w:rsidR="005531AB">
        <w:t xml:space="preserve"> </w:t>
      </w:r>
      <w:r w:rsidR="00DB1902">
        <w:t xml:space="preserve">With climate change an emerging priority, </w:t>
      </w:r>
      <w:r w:rsidR="00457B6A">
        <w:t xml:space="preserve">studies in this field </w:t>
      </w:r>
      <w:r w:rsidR="0003561A">
        <w:t xml:space="preserve">could </w:t>
      </w:r>
      <w:r w:rsidR="00457B6A">
        <w:t>be encouraged with future awardees.</w:t>
      </w:r>
      <w:r w:rsidR="00DE4A43">
        <w:t xml:space="preserve"> (</w:t>
      </w:r>
      <w:r w:rsidR="003902A1">
        <w:t>S</w:t>
      </w:r>
      <w:r w:rsidR="00DE4A43">
        <w:t xml:space="preserve">ee </w:t>
      </w:r>
      <w:r w:rsidR="00DE4A43" w:rsidRPr="00DE4A43">
        <w:rPr>
          <w:i/>
          <w:iCs/>
        </w:rPr>
        <w:t>Climate Change</w:t>
      </w:r>
      <w:r w:rsidR="00DE4A43">
        <w:t xml:space="preserve"> section)</w:t>
      </w:r>
      <w:r w:rsidR="00457B6A">
        <w:t xml:space="preserve"> </w:t>
      </w:r>
    </w:p>
    <w:p w14:paraId="00630C2E" w14:textId="40621DB8" w:rsidR="00DF126A" w:rsidRDefault="00157E37" w:rsidP="00EA041C">
      <w:r>
        <w:t xml:space="preserve">Some interviewees </w:t>
      </w:r>
      <w:r w:rsidR="00075617">
        <w:t xml:space="preserve">highlighted the limitations of funding multilateral agencies </w:t>
      </w:r>
      <w:r w:rsidR="00136E91">
        <w:t xml:space="preserve">in terms of </w:t>
      </w:r>
      <w:r w:rsidR="00EE576F">
        <w:t xml:space="preserve">aggregated reporting and </w:t>
      </w:r>
      <w:r w:rsidR="004F6781">
        <w:t>decreased visibility of</w:t>
      </w:r>
      <w:r w:rsidR="00BF4D39">
        <w:t xml:space="preserve"> Australia’s contributions. </w:t>
      </w:r>
      <w:r w:rsidR="00964F7C">
        <w:t xml:space="preserve">DFAT has </w:t>
      </w:r>
      <w:r w:rsidR="00AF4FCC">
        <w:t>managed</w:t>
      </w:r>
      <w:r w:rsidR="00945585">
        <w:t xml:space="preserve"> to receive more attributable reporting from some partners</w:t>
      </w:r>
      <w:r w:rsidR="00AF4FCC">
        <w:t xml:space="preserve"> </w:t>
      </w:r>
      <w:r w:rsidR="00964F7C">
        <w:t xml:space="preserve">through </w:t>
      </w:r>
      <w:r w:rsidR="00AF4FCC">
        <w:t xml:space="preserve">negotiation and </w:t>
      </w:r>
      <w:r w:rsidR="006F2759">
        <w:t xml:space="preserve">maintaining </w:t>
      </w:r>
      <w:r w:rsidR="00AF4FCC">
        <w:t>effective</w:t>
      </w:r>
      <w:r w:rsidR="00964F7C">
        <w:t xml:space="preserve"> working relationships</w:t>
      </w:r>
      <w:r w:rsidR="003968FA">
        <w:t xml:space="preserve">. The review has also seen a willingness from </w:t>
      </w:r>
      <w:r w:rsidR="00E75236">
        <w:t>current</w:t>
      </w:r>
      <w:r w:rsidR="003968FA">
        <w:t xml:space="preserve"> partners to provide </w:t>
      </w:r>
      <w:r w:rsidR="008C745A">
        <w:t>more detail on how Australian funding support is being programmed</w:t>
      </w:r>
      <w:r w:rsidR="00E75236">
        <w:t>,</w:t>
      </w:r>
      <w:r w:rsidR="008C745A">
        <w:t xml:space="preserve"> which </w:t>
      </w:r>
      <w:r w:rsidR="006544A4">
        <w:t>c</w:t>
      </w:r>
      <w:r w:rsidR="002879CF">
        <w:t>ould</w:t>
      </w:r>
      <w:r w:rsidR="006544A4">
        <w:t xml:space="preserve"> be further explored</w:t>
      </w:r>
      <w:r w:rsidR="007130EF">
        <w:t xml:space="preserve"> through </w:t>
      </w:r>
      <w:r w:rsidR="00036710">
        <w:t xml:space="preserve">a </w:t>
      </w:r>
      <w:r w:rsidR="00036710">
        <w:lastRenderedPageBreak/>
        <w:t>light design process. S</w:t>
      </w:r>
      <w:r w:rsidR="00075617" w:rsidRPr="0080752C">
        <w:t>ome review stakeholders in Ramallah</w:t>
      </w:r>
      <w:r w:rsidR="006544A4">
        <w:t xml:space="preserve"> </w:t>
      </w:r>
      <w:r w:rsidR="000771A2">
        <w:t>suggested Australia’s funding of multilateral</w:t>
      </w:r>
      <w:r w:rsidR="00C16E44">
        <w:t>s</w:t>
      </w:r>
      <w:r w:rsidR="000771A2">
        <w:t xml:space="preserve"> led to a reduced profile </w:t>
      </w:r>
      <w:r w:rsidR="00C16E44">
        <w:t xml:space="preserve">for Australia </w:t>
      </w:r>
      <w:r w:rsidR="000771A2">
        <w:t xml:space="preserve">and </w:t>
      </w:r>
      <w:r w:rsidR="00075617" w:rsidRPr="0080752C">
        <w:t>encouraged consideration of new ‘flagship’ programs</w:t>
      </w:r>
      <w:r w:rsidR="00BD0BFA">
        <w:t>,</w:t>
      </w:r>
      <w:r w:rsidR="004470CE">
        <w:t xml:space="preserve"> particularly in terms of </w:t>
      </w:r>
      <w:r w:rsidR="001108E1">
        <w:t>livelihoods</w:t>
      </w:r>
      <w:r w:rsidR="00DD6FA8">
        <w:t xml:space="preserve"> and social protection.</w:t>
      </w:r>
      <w:r w:rsidR="002D39D5">
        <w:t xml:space="preserve"> This opinion </w:t>
      </w:r>
      <w:r w:rsidR="002A3AAE">
        <w:t>was not widely held</w:t>
      </w:r>
      <w:r w:rsidR="001108E1">
        <w:t xml:space="preserve"> </w:t>
      </w:r>
      <w:r w:rsidR="002A3AAE">
        <w:t xml:space="preserve">though, and it was evident that Australia continues to </w:t>
      </w:r>
      <w:r w:rsidR="00B32608">
        <w:t>have a high</w:t>
      </w:r>
      <w:r w:rsidR="001108E1">
        <w:t xml:space="preserve"> and respected</w:t>
      </w:r>
      <w:r w:rsidR="00B32608">
        <w:t xml:space="preserve"> profile, th</w:t>
      </w:r>
      <w:r w:rsidR="005A29DD">
        <w:t>r</w:t>
      </w:r>
      <w:r w:rsidR="00B32608">
        <w:t xml:space="preserve">ough the current program, as well as </w:t>
      </w:r>
      <w:r w:rsidR="001108E1">
        <w:t xml:space="preserve">the </w:t>
      </w:r>
      <w:r w:rsidR="00B32608">
        <w:t>representative mechanisms</w:t>
      </w:r>
      <w:r w:rsidR="00D13380">
        <w:t xml:space="preserve"> it engages with</w:t>
      </w:r>
      <w:r w:rsidR="00B32608">
        <w:t xml:space="preserve">. </w:t>
      </w:r>
    </w:p>
    <w:p w14:paraId="6E2C24F8" w14:textId="4D35E79C" w:rsidR="001C3FC6" w:rsidRDefault="00065E6A" w:rsidP="00EA041C">
      <w:r>
        <w:t xml:space="preserve">An alternate perspective on </w:t>
      </w:r>
      <w:r w:rsidR="003B03D2">
        <w:t xml:space="preserve">DFAT’s </w:t>
      </w:r>
      <w:r w:rsidR="006C7E55">
        <w:t>suppor</w:t>
      </w:r>
      <w:r w:rsidR="003B03D2">
        <w:t>t for</w:t>
      </w:r>
      <w:r w:rsidR="006C7E55">
        <w:t xml:space="preserve"> core</w:t>
      </w:r>
      <w:r w:rsidR="003B03D2">
        <w:t xml:space="preserve"> or global</w:t>
      </w:r>
      <w:r w:rsidR="006C7E55">
        <w:t xml:space="preserve"> funds is there is</w:t>
      </w:r>
      <w:r w:rsidR="003B03D2">
        <w:t xml:space="preserve"> </w:t>
      </w:r>
      <w:r w:rsidRPr="00065E6A">
        <w:t xml:space="preserve">a </w:t>
      </w:r>
      <w:r w:rsidR="003B03D2">
        <w:t>“</w:t>
      </w:r>
      <w:r w:rsidR="003B03D2" w:rsidRPr="00065E6A">
        <w:t>trade-off</w:t>
      </w:r>
      <w:r w:rsidR="003B03D2">
        <w:t>”</w:t>
      </w:r>
      <w:r w:rsidRPr="00065E6A">
        <w:t xml:space="preserve"> between donor attribution and partner enabling</w:t>
      </w:r>
      <w:r w:rsidR="003B03D2">
        <w:t>. W</w:t>
      </w:r>
      <w:r w:rsidRPr="00065E6A">
        <w:t>here</w:t>
      </w:r>
      <w:r w:rsidR="006C7E55">
        <w:t xml:space="preserve"> DFAT is </w:t>
      </w:r>
      <w:r w:rsidRPr="00065E6A">
        <w:t>flexible and provide</w:t>
      </w:r>
      <w:r w:rsidR="006C7E55">
        <w:t>s</w:t>
      </w:r>
      <w:r w:rsidRPr="00065E6A">
        <w:t xml:space="preserve"> core funding</w:t>
      </w:r>
      <w:r w:rsidR="006C7E55">
        <w:t xml:space="preserve">, this </w:t>
      </w:r>
      <w:r w:rsidRPr="00065E6A">
        <w:t>can assist partners in delivering on the breadth of their objectives</w:t>
      </w:r>
      <w:r w:rsidR="003B03D2">
        <w:t>,</w:t>
      </w:r>
      <w:r w:rsidRPr="00065E6A">
        <w:t xml:space="preserve"> particularly where other donors are </w:t>
      </w:r>
      <w:r w:rsidR="00950464">
        <w:t>more</w:t>
      </w:r>
      <w:r w:rsidRPr="00065E6A">
        <w:t xml:space="preserve"> prescriptive. This supports the delivery of program wide outcomes. </w:t>
      </w:r>
      <w:r w:rsidR="00FE2E45">
        <w:t>So,</w:t>
      </w:r>
      <w:r w:rsidR="00270952">
        <w:t xml:space="preserve"> while it may look </w:t>
      </w:r>
      <w:r w:rsidR="00051F06">
        <w:t xml:space="preserve">like </w:t>
      </w:r>
      <w:r w:rsidRPr="00065E6A">
        <w:t>DFAT has contributed less</w:t>
      </w:r>
      <w:r w:rsidR="00051F06">
        <w:t xml:space="preserve">, </w:t>
      </w:r>
      <w:r w:rsidR="008836E3">
        <w:t>it is</w:t>
      </w:r>
      <w:r w:rsidR="00950464">
        <w:t xml:space="preserve"> potentially</w:t>
      </w:r>
      <w:r w:rsidR="008836E3">
        <w:t xml:space="preserve"> adding greater value. </w:t>
      </w:r>
      <w:r w:rsidR="00DE7EED">
        <w:t>G</w:t>
      </w:r>
      <w:r w:rsidRPr="00065E6A">
        <w:t>ood donorship would see</w:t>
      </w:r>
      <w:r w:rsidR="00DE7EED">
        <w:t xml:space="preserve"> </w:t>
      </w:r>
      <w:r w:rsidR="00051F06">
        <w:t xml:space="preserve">DFAT </w:t>
      </w:r>
      <w:r w:rsidRPr="00065E6A">
        <w:t xml:space="preserve">doing more core-funding </w:t>
      </w:r>
      <w:r w:rsidR="00FE3CE1">
        <w:t xml:space="preserve">and </w:t>
      </w:r>
      <w:r w:rsidR="008836E3">
        <w:t>a programmatic approach</w:t>
      </w:r>
      <w:r w:rsidR="00950464">
        <w:t xml:space="preserve"> to</w:t>
      </w:r>
      <w:r w:rsidR="009635C7">
        <w:t xml:space="preserve"> a</w:t>
      </w:r>
      <w:r w:rsidR="00950464">
        <w:t xml:space="preserve"> future OPT</w:t>
      </w:r>
      <w:r w:rsidR="00951F3D">
        <w:t>s</w:t>
      </w:r>
      <w:r w:rsidR="00950464">
        <w:t xml:space="preserve"> </w:t>
      </w:r>
      <w:r w:rsidR="009635C7">
        <w:t>program</w:t>
      </w:r>
      <w:r w:rsidR="008836E3">
        <w:t xml:space="preserve"> </w:t>
      </w:r>
      <w:r w:rsidR="009635C7">
        <w:t>should</w:t>
      </w:r>
      <w:r w:rsidR="001F22FF">
        <w:t xml:space="preserve"> provide a strengthened narrative around this</w:t>
      </w:r>
      <w:r w:rsidR="001C3FC6">
        <w:t xml:space="preserve">. </w:t>
      </w:r>
    </w:p>
    <w:p w14:paraId="58F6AF6C" w14:textId="51EDFF21" w:rsidR="00AE56A4" w:rsidRPr="0080752C" w:rsidRDefault="00FE3CE1" w:rsidP="00EA041C">
      <w:r>
        <w:t xml:space="preserve">In </w:t>
      </w:r>
      <w:r w:rsidR="00224CC4" w:rsidRPr="0080752C">
        <w:t>terms of previous programs,</w:t>
      </w:r>
      <w:r w:rsidR="00A23646" w:rsidRPr="0080752C">
        <w:t xml:space="preserve"> the sustainability and viability of the agriculture value chains established by the AMENCA program provide evidence of impact which could be more broadly shared in support </w:t>
      </w:r>
      <w:r w:rsidR="004357A5" w:rsidRPr="0080752C">
        <w:t>of Australia</w:t>
      </w:r>
      <w:r w:rsidR="00D61AEE">
        <w:t>’s</w:t>
      </w:r>
      <w:r w:rsidR="004357A5" w:rsidRPr="0080752C">
        <w:t xml:space="preserve"> long term, bilateral commitment to the OPT</w:t>
      </w:r>
      <w:r w:rsidR="00951F3D">
        <w:t>s</w:t>
      </w:r>
      <w:r w:rsidR="001E604D">
        <w:t xml:space="preserve">. </w:t>
      </w:r>
      <w:r w:rsidR="00127EF9">
        <w:t>The investments in UNICEF’s fund</w:t>
      </w:r>
      <w:r w:rsidR="004172F7">
        <w:t>s meant critical gaps in the water sector and in mental health and psycho-social support for children</w:t>
      </w:r>
      <w:r w:rsidR="00E1693B">
        <w:t xml:space="preserve"> in Gaza and West Bank were covered</w:t>
      </w:r>
      <w:r w:rsidR="00C65153">
        <w:t>.</w:t>
      </w:r>
    </w:p>
    <w:p w14:paraId="1AA858F5" w14:textId="67330281" w:rsidR="006650DC" w:rsidRPr="006650DC" w:rsidRDefault="00816145" w:rsidP="00EA041C">
      <w:pPr>
        <w:rPr>
          <w:rStyle w:val="cf01"/>
          <w:rFonts w:asciiTheme="minorHAnsi" w:hAnsiTheme="minorHAnsi" w:cstheme="minorBidi"/>
          <w:sz w:val="22"/>
          <w:szCs w:val="22"/>
        </w:rPr>
      </w:pPr>
      <w:r w:rsidRPr="006A0B4F">
        <w:t xml:space="preserve">One of the key messages received by the review was </w:t>
      </w:r>
      <w:r w:rsidRPr="006A0B4F">
        <w:rPr>
          <w:rStyle w:val="cf01"/>
          <w:rFonts w:asciiTheme="minorHAnsi" w:hAnsiTheme="minorHAnsi" w:cstheme="minorHAnsi"/>
          <w:sz w:val="22"/>
          <w:szCs w:val="22"/>
        </w:rPr>
        <w:t>that Australia should a adopt more forceful policy setting</w:t>
      </w:r>
      <w:r w:rsidR="00646FBA">
        <w:rPr>
          <w:rStyle w:val="cf01"/>
          <w:rFonts w:asciiTheme="minorHAnsi" w:hAnsiTheme="minorHAnsi" w:cstheme="minorHAnsi"/>
          <w:sz w:val="22"/>
          <w:szCs w:val="22"/>
        </w:rPr>
        <w:t>,</w:t>
      </w:r>
      <w:r w:rsidR="00E77C4F">
        <w:rPr>
          <w:rStyle w:val="cf01"/>
          <w:rFonts w:asciiTheme="minorHAnsi" w:hAnsiTheme="minorHAnsi" w:cstheme="minorHAnsi"/>
          <w:sz w:val="22"/>
          <w:szCs w:val="22"/>
        </w:rPr>
        <w:t xml:space="preserve"> with the inferenc</w:t>
      </w:r>
      <w:r w:rsidR="00966B6F">
        <w:rPr>
          <w:rStyle w:val="cf01"/>
          <w:rFonts w:asciiTheme="minorHAnsi" w:hAnsiTheme="minorHAnsi" w:cstheme="minorHAnsi"/>
          <w:sz w:val="22"/>
          <w:szCs w:val="22"/>
        </w:rPr>
        <w:t>e</w:t>
      </w:r>
      <w:r w:rsidR="00E77C4F">
        <w:rPr>
          <w:rStyle w:val="cf01"/>
          <w:rFonts w:asciiTheme="minorHAnsi" w:hAnsiTheme="minorHAnsi" w:cstheme="minorHAnsi"/>
          <w:sz w:val="22"/>
          <w:szCs w:val="22"/>
        </w:rPr>
        <w:t xml:space="preserve"> the </w:t>
      </w:r>
      <w:r w:rsidR="00655268">
        <w:t>program is addressing the effects of the humanitarian and development crises but i</w:t>
      </w:r>
      <w:r w:rsidR="00787A67">
        <w:t xml:space="preserve">s not connecting this to the advocacy work it undertakes around </w:t>
      </w:r>
      <w:r w:rsidR="002E0274" w:rsidRPr="0080752C">
        <w:t xml:space="preserve">the political </w:t>
      </w:r>
      <w:r w:rsidR="00C75A41" w:rsidRPr="0080752C">
        <w:t>context</w:t>
      </w:r>
      <w:r w:rsidR="00CC2B47">
        <w:t>, particularly a res</w:t>
      </w:r>
      <w:r w:rsidR="00732F22">
        <w:t>olution to the ongoing conflict</w:t>
      </w:r>
      <w:r w:rsidR="009A6329" w:rsidRPr="0080752C">
        <w:t xml:space="preserve">. </w:t>
      </w:r>
      <w:r w:rsidR="00732F22">
        <w:t>While</w:t>
      </w:r>
      <w:r w:rsidR="00966B6F">
        <w:t xml:space="preserve"> this is outside of the review </w:t>
      </w:r>
      <w:r w:rsidR="00452AE4">
        <w:t>scope, the</w:t>
      </w:r>
      <w:r w:rsidR="009F52B5">
        <w:t xml:space="preserve"> review notes the consistency of this message</w:t>
      </w:r>
      <w:r w:rsidR="006650DC">
        <w:t xml:space="preserve"> of </w:t>
      </w:r>
      <w:r w:rsidR="00E60022">
        <w:t xml:space="preserve">Australia’s </w:t>
      </w:r>
      <w:r w:rsidR="006650DC">
        <w:t>political engagement which includes the following:</w:t>
      </w:r>
    </w:p>
    <w:p w14:paraId="60EB5787" w14:textId="68E1E3B3" w:rsidR="006650DC" w:rsidRPr="001304E4" w:rsidRDefault="006650DC" w:rsidP="00EA041C">
      <w:pPr>
        <w:pStyle w:val="pf0"/>
        <w:numPr>
          <w:ilvl w:val="0"/>
          <w:numId w:val="6"/>
        </w:numPr>
      </w:pPr>
      <w:r w:rsidRPr="001304E4">
        <w:rPr>
          <w:rStyle w:val="cf01"/>
          <w:rFonts w:asciiTheme="minorHAnsi" w:hAnsiTheme="minorHAnsi" w:cstheme="minorHAnsi"/>
          <w:sz w:val="22"/>
          <w:szCs w:val="22"/>
        </w:rPr>
        <w:t>Advocacy on adherence to international humanitarian law</w:t>
      </w:r>
      <w:r>
        <w:rPr>
          <w:rStyle w:val="cf01"/>
          <w:rFonts w:asciiTheme="minorHAnsi" w:hAnsiTheme="minorHAnsi" w:cstheme="minorHAnsi"/>
          <w:sz w:val="22"/>
          <w:szCs w:val="22"/>
        </w:rPr>
        <w:t>.</w:t>
      </w:r>
    </w:p>
    <w:p w14:paraId="3F89CD7B" w14:textId="0507C833" w:rsidR="006650DC" w:rsidRPr="001304E4" w:rsidRDefault="006650DC" w:rsidP="00EA041C">
      <w:pPr>
        <w:pStyle w:val="pf0"/>
        <w:numPr>
          <w:ilvl w:val="0"/>
          <w:numId w:val="6"/>
        </w:numPr>
      </w:pPr>
      <w:r w:rsidRPr="001304E4">
        <w:rPr>
          <w:rStyle w:val="cf01"/>
          <w:rFonts w:asciiTheme="minorHAnsi" w:hAnsiTheme="minorHAnsi" w:cstheme="minorHAnsi"/>
          <w:sz w:val="22"/>
          <w:szCs w:val="22"/>
        </w:rPr>
        <w:t>Advocacy to promote universal human rights, including the right to development</w:t>
      </w:r>
      <w:r>
        <w:rPr>
          <w:rStyle w:val="cf01"/>
          <w:rFonts w:asciiTheme="minorHAnsi" w:hAnsiTheme="minorHAnsi" w:cstheme="minorHAnsi"/>
          <w:sz w:val="22"/>
          <w:szCs w:val="22"/>
        </w:rPr>
        <w:t>.</w:t>
      </w:r>
    </w:p>
    <w:p w14:paraId="249CAFB1" w14:textId="19234BFE" w:rsidR="006650DC" w:rsidRPr="001304E4" w:rsidRDefault="006650DC" w:rsidP="00EA041C">
      <w:pPr>
        <w:pStyle w:val="pf0"/>
        <w:numPr>
          <w:ilvl w:val="0"/>
          <w:numId w:val="6"/>
        </w:numPr>
        <w:rPr>
          <w:rStyle w:val="cf01"/>
          <w:rFonts w:asciiTheme="minorHAnsi" w:hAnsiTheme="minorHAnsi" w:cstheme="minorHAnsi"/>
          <w:sz w:val="22"/>
          <w:szCs w:val="22"/>
        </w:rPr>
      </w:pPr>
      <w:r w:rsidRPr="001304E4">
        <w:rPr>
          <w:rStyle w:val="cf01"/>
          <w:rFonts w:asciiTheme="minorHAnsi" w:hAnsiTheme="minorHAnsi" w:cstheme="minorHAnsi"/>
          <w:sz w:val="22"/>
          <w:szCs w:val="22"/>
        </w:rPr>
        <w:t>Advocacy to enhance social protection measures for Palestinians including protection from harm, protection of livelihoods, protection from all forms of violence</w:t>
      </w:r>
      <w:r>
        <w:rPr>
          <w:rStyle w:val="cf01"/>
          <w:rFonts w:asciiTheme="minorHAnsi" w:hAnsiTheme="minorHAnsi" w:cstheme="minorHAnsi"/>
          <w:sz w:val="22"/>
          <w:szCs w:val="22"/>
        </w:rPr>
        <w:t xml:space="preserve">. </w:t>
      </w:r>
    </w:p>
    <w:p w14:paraId="6907410D" w14:textId="0CBD920D" w:rsidR="008A19AC" w:rsidRDefault="00452AE4" w:rsidP="00EA041C">
      <w:r>
        <w:t>Another recurrent theme</w:t>
      </w:r>
      <w:r w:rsidR="00225D00">
        <w:t xml:space="preserve"> f</w:t>
      </w:r>
      <w:r w:rsidR="00A9657E">
        <w:t xml:space="preserve">rom the interviews </w:t>
      </w:r>
      <w:r w:rsidR="00B1657D">
        <w:t xml:space="preserve">was </w:t>
      </w:r>
      <w:r w:rsidR="00356AD8">
        <w:t>that Palestinians</w:t>
      </w:r>
      <w:r w:rsidR="008C36A1">
        <w:t xml:space="preserve"> perceive themselves as</w:t>
      </w:r>
      <w:r w:rsidR="00356AD8">
        <w:t xml:space="preserve"> </w:t>
      </w:r>
      <w:r w:rsidR="00573489">
        <w:t xml:space="preserve">more than capable of overcoming </w:t>
      </w:r>
      <w:r w:rsidR="00191EB0">
        <w:t xml:space="preserve">development challenges facing the community. It is the current political </w:t>
      </w:r>
      <w:r w:rsidR="002850ED">
        <w:t xml:space="preserve">and security situation which is </w:t>
      </w:r>
      <w:r w:rsidR="006650DC">
        <w:t xml:space="preserve">constraining this and where they seek </w:t>
      </w:r>
      <w:r w:rsidR="00625F44">
        <w:t xml:space="preserve">international support. </w:t>
      </w:r>
      <w:r w:rsidR="00A448C9">
        <w:t xml:space="preserve"> </w:t>
      </w:r>
    </w:p>
    <w:p w14:paraId="16548EEC" w14:textId="1A5EABE2" w:rsidR="00396483" w:rsidRPr="001304E4" w:rsidRDefault="00A61987" w:rsidP="00EA041C">
      <w:r w:rsidRPr="00A61987">
        <w:rPr>
          <w:rStyle w:val="cf01"/>
          <w:rFonts w:asciiTheme="minorHAnsi" w:hAnsiTheme="minorHAnsi" w:cstheme="minorHAnsi"/>
          <w:sz w:val="22"/>
          <w:szCs w:val="22"/>
        </w:rPr>
        <w:t>The OPTs program will need to continue</w:t>
      </w:r>
      <w:r w:rsidR="00F16EF3">
        <w:rPr>
          <w:rStyle w:val="cf01"/>
          <w:rFonts w:asciiTheme="minorHAnsi" w:hAnsiTheme="minorHAnsi" w:cstheme="minorHAnsi"/>
          <w:sz w:val="22"/>
          <w:szCs w:val="22"/>
        </w:rPr>
        <w:t xml:space="preserve"> to</w:t>
      </w:r>
      <w:r w:rsidRPr="00A61987">
        <w:rPr>
          <w:rStyle w:val="cf01"/>
          <w:rFonts w:asciiTheme="minorHAnsi" w:hAnsiTheme="minorHAnsi" w:cstheme="minorHAnsi"/>
          <w:sz w:val="22"/>
          <w:szCs w:val="22"/>
        </w:rPr>
        <w:t xml:space="preserve"> work within and towards the parameters</w:t>
      </w:r>
      <w:r w:rsidR="00546DDF">
        <w:rPr>
          <w:rStyle w:val="cf01"/>
          <w:rFonts w:asciiTheme="minorHAnsi" w:hAnsiTheme="minorHAnsi" w:cstheme="minorHAnsi"/>
          <w:sz w:val="22"/>
          <w:szCs w:val="22"/>
        </w:rPr>
        <w:t xml:space="preserve"> of</w:t>
      </w:r>
      <w:r w:rsidRPr="00A61987">
        <w:rPr>
          <w:rStyle w:val="cf01"/>
          <w:rFonts w:asciiTheme="minorHAnsi" w:hAnsiTheme="minorHAnsi" w:cstheme="minorHAnsi"/>
          <w:sz w:val="22"/>
          <w:szCs w:val="22"/>
        </w:rPr>
        <w:t xml:space="preserve"> the Australian Government’s diplomatic objectives, which includes alignment with engagement priorities.</w:t>
      </w:r>
      <w:r>
        <w:rPr>
          <w:rStyle w:val="cf01"/>
          <w:rFonts w:asciiTheme="minorHAnsi" w:hAnsiTheme="minorHAnsi" w:cstheme="minorHAnsi"/>
          <w:sz w:val="22"/>
          <w:szCs w:val="22"/>
        </w:rPr>
        <w:t xml:space="preserve"> </w:t>
      </w:r>
      <w:r w:rsidR="0062394E">
        <w:rPr>
          <w:rStyle w:val="cf01"/>
          <w:rFonts w:asciiTheme="minorHAnsi" w:hAnsiTheme="minorHAnsi" w:cstheme="minorHAnsi"/>
          <w:sz w:val="22"/>
          <w:szCs w:val="22"/>
        </w:rPr>
        <w:t xml:space="preserve">This could include </w:t>
      </w:r>
      <w:r w:rsidR="001D340B">
        <w:rPr>
          <w:rStyle w:val="cf01"/>
          <w:rFonts w:asciiTheme="minorHAnsi" w:hAnsiTheme="minorHAnsi" w:cstheme="minorHAnsi"/>
          <w:sz w:val="22"/>
          <w:szCs w:val="22"/>
        </w:rPr>
        <w:t>activities</w:t>
      </w:r>
      <w:r w:rsidR="0062394E">
        <w:rPr>
          <w:rStyle w:val="cf01"/>
          <w:rFonts w:asciiTheme="minorHAnsi" w:hAnsiTheme="minorHAnsi" w:cstheme="minorHAnsi"/>
          <w:sz w:val="22"/>
          <w:szCs w:val="22"/>
        </w:rPr>
        <w:t xml:space="preserve"> that build local capacity to advocate for human rights</w:t>
      </w:r>
      <w:r w:rsidR="00B11144">
        <w:rPr>
          <w:rStyle w:val="cf01"/>
          <w:rFonts w:asciiTheme="minorHAnsi" w:hAnsiTheme="minorHAnsi" w:cstheme="minorHAnsi"/>
          <w:sz w:val="22"/>
          <w:szCs w:val="22"/>
        </w:rPr>
        <w:t>, as well as</w:t>
      </w:r>
      <w:r w:rsidR="00084970">
        <w:rPr>
          <w:rStyle w:val="cf01"/>
          <w:rFonts w:asciiTheme="minorHAnsi" w:hAnsiTheme="minorHAnsi" w:cstheme="minorHAnsi"/>
          <w:sz w:val="22"/>
          <w:szCs w:val="22"/>
        </w:rPr>
        <w:t xml:space="preserve"> partnerships and opportunities for DFAT to have a greater role in shaping humanitarian coordination</w:t>
      </w:r>
      <w:r w:rsidR="00AB6884">
        <w:rPr>
          <w:rStyle w:val="cf01"/>
          <w:rFonts w:asciiTheme="minorHAnsi" w:hAnsiTheme="minorHAnsi" w:cstheme="minorHAnsi"/>
          <w:sz w:val="22"/>
          <w:szCs w:val="22"/>
        </w:rPr>
        <w:t xml:space="preserve"> and policies. </w:t>
      </w:r>
      <w:r w:rsidR="00FC4FEF">
        <w:rPr>
          <w:rStyle w:val="cf01"/>
          <w:rFonts w:asciiTheme="minorHAnsi" w:hAnsiTheme="minorHAnsi" w:cstheme="minorHAnsi"/>
          <w:sz w:val="22"/>
          <w:szCs w:val="22"/>
        </w:rPr>
        <w:t xml:space="preserve"> </w:t>
      </w:r>
    </w:p>
    <w:p w14:paraId="3963222D" w14:textId="76703CCD" w:rsidR="00317164" w:rsidRPr="0080752C" w:rsidRDefault="00DF045D" w:rsidP="00EA041C">
      <w:r w:rsidRPr="0080752C">
        <w:t xml:space="preserve">In terms of the NGO program, </w:t>
      </w:r>
      <w:r w:rsidR="003623BA">
        <w:t xml:space="preserve">the current ANCP </w:t>
      </w:r>
      <w:r w:rsidR="004F6D38">
        <w:t xml:space="preserve">portfolio in the West Bank </w:t>
      </w:r>
      <w:r w:rsidR="00FB7405">
        <w:t xml:space="preserve">appears to </w:t>
      </w:r>
      <w:r w:rsidR="008F01BD">
        <w:t xml:space="preserve">be achieving good outcomes and provides an opportunity </w:t>
      </w:r>
      <w:r w:rsidR="00187293">
        <w:t xml:space="preserve">for the Australian aid program to support </w:t>
      </w:r>
      <w:r w:rsidR="00E258A8">
        <w:t>Palestinian civil society organisations.</w:t>
      </w:r>
      <w:r w:rsidR="00187293">
        <w:t xml:space="preserve"> </w:t>
      </w:r>
      <w:r w:rsidR="00AE4CB5">
        <w:t>The work of the St John’s Eye Hospital through the Fred Hollows Foundation was highlighted as an effective example of programming by several interviewees.</w:t>
      </w:r>
      <w:r w:rsidR="00C26D8C">
        <w:t xml:space="preserve"> </w:t>
      </w:r>
      <w:r w:rsidR="00187293">
        <w:t>T</w:t>
      </w:r>
      <w:r w:rsidRPr="0080752C">
        <w:t xml:space="preserve">he review notes the concern from individual NGOs and </w:t>
      </w:r>
      <w:r w:rsidR="00EE521A">
        <w:t xml:space="preserve">their </w:t>
      </w:r>
      <w:r w:rsidR="00317164" w:rsidRPr="0080752C">
        <w:t xml:space="preserve">peak bodies </w:t>
      </w:r>
      <w:r w:rsidR="009A429E">
        <w:t xml:space="preserve">in both Australia and </w:t>
      </w:r>
      <w:r w:rsidR="00554BE6">
        <w:t xml:space="preserve">the </w:t>
      </w:r>
      <w:r w:rsidR="009A429E">
        <w:t>OPT</w:t>
      </w:r>
      <w:r w:rsidR="00951F3D">
        <w:t>s</w:t>
      </w:r>
      <w:r w:rsidR="009A429E">
        <w:t xml:space="preserve"> </w:t>
      </w:r>
      <w:r w:rsidR="00317164" w:rsidRPr="0080752C">
        <w:t>of the narrowing of space for civil society and the perceived abrupt termination of ANCP</w:t>
      </w:r>
      <w:r w:rsidR="00907C7C" w:rsidRPr="0080752C">
        <w:t xml:space="preserve"> grant agreements</w:t>
      </w:r>
      <w:r w:rsidR="00317164" w:rsidRPr="0080752C">
        <w:t xml:space="preserve"> for</w:t>
      </w:r>
      <w:r w:rsidR="00907C7C" w:rsidRPr="0080752C">
        <w:t xml:space="preserve"> Gaza</w:t>
      </w:r>
      <w:r w:rsidR="00317164" w:rsidRPr="0080752C">
        <w:t xml:space="preserve"> programs</w:t>
      </w:r>
      <w:r w:rsidR="00777AC0">
        <w:t>. There was also disappointment expressed</w:t>
      </w:r>
      <w:r w:rsidR="005E3F22">
        <w:t xml:space="preserve"> on the decision to end the AMENCA program</w:t>
      </w:r>
      <w:r w:rsidR="008A3B92">
        <w:t>,</w:t>
      </w:r>
      <w:r w:rsidR="005E3F22">
        <w:t xml:space="preserve"> as it appears to have been </w:t>
      </w:r>
      <w:r w:rsidR="002B204C">
        <w:t xml:space="preserve">achieving positive outcomes and was valued as a result. </w:t>
      </w:r>
      <w:r w:rsidR="00086CE8">
        <w:t>Australian NGOs and the Australian Council for International Development (AC</w:t>
      </w:r>
      <w:r w:rsidR="00D74F50">
        <w:t>FID) participated robustly in the review process with a consistent them</w:t>
      </w:r>
      <w:r w:rsidR="0082736A">
        <w:t>e</w:t>
      </w:r>
      <w:r w:rsidR="00D74F50">
        <w:t xml:space="preserve"> of the importance</w:t>
      </w:r>
      <w:r w:rsidR="0082736A">
        <w:t xml:space="preserve"> of</w:t>
      </w:r>
      <w:r w:rsidR="00D74F50">
        <w:t xml:space="preserve"> </w:t>
      </w:r>
      <w:r w:rsidR="009C72FF">
        <w:t>support</w:t>
      </w:r>
      <w:r w:rsidR="0082736A">
        <w:t>ing</w:t>
      </w:r>
      <w:r w:rsidR="009C72FF">
        <w:t xml:space="preserve"> </w:t>
      </w:r>
      <w:r w:rsidR="009C72FF">
        <w:lastRenderedPageBreak/>
        <w:t>the work of Palestinian civil society</w:t>
      </w:r>
      <w:r w:rsidR="00B27B0F">
        <w:t xml:space="preserve"> and pushing against the shrinking of civic space</w:t>
      </w:r>
      <w:r w:rsidR="00F674B7">
        <w:t xml:space="preserve">, as highlighted in </w:t>
      </w:r>
      <w:r w:rsidR="00785425">
        <w:t>Australia’s new International Development Policy.</w:t>
      </w:r>
    </w:p>
    <w:p w14:paraId="7DD72173" w14:textId="0C9FF833" w:rsidR="006F190D" w:rsidRPr="004E1936" w:rsidRDefault="0029476D" w:rsidP="00EA041C">
      <w:pPr>
        <w:pStyle w:val="Heading3"/>
      </w:pPr>
      <w:bookmarkStart w:id="18" w:name="_Toc173326303"/>
      <w:r>
        <w:t xml:space="preserve">2.1.2 </w:t>
      </w:r>
      <w:r w:rsidR="004E1936" w:rsidRPr="00356306">
        <w:t>G</w:t>
      </w:r>
      <w:r w:rsidR="006F190D" w:rsidRPr="00356306">
        <w:t>ender</w:t>
      </w:r>
      <w:r w:rsidR="006F190D" w:rsidRPr="004E1936">
        <w:t xml:space="preserve"> equality and the empowerment of women and girls</w:t>
      </w:r>
      <w:bookmarkEnd w:id="18"/>
    </w:p>
    <w:p w14:paraId="1E6579E6" w14:textId="11EAC40F" w:rsidR="009F4EA3" w:rsidRPr="0080752C" w:rsidRDefault="00E14FF4" w:rsidP="00EA041C">
      <w:r w:rsidRPr="0080752C">
        <w:t xml:space="preserve">Gender equality and women’s empowerment are sensitive </w:t>
      </w:r>
      <w:r w:rsidR="008E6F73" w:rsidRPr="0080752C">
        <w:t>topics</w:t>
      </w:r>
      <w:r w:rsidR="00B24048" w:rsidRPr="0080752C">
        <w:t xml:space="preserve"> in the OPT</w:t>
      </w:r>
      <w:r w:rsidR="00951F3D">
        <w:t>s</w:t>
      </w:r>
      <w:r w:rsidR="00B24048" w:rsidRPr="0080752C">
        <w:t xml:space="preserve">. During the review visit, interviewees consistently </w:t>
      </w:r>
      <w:r w:rsidR="00C322D1" w:rsidRPr="0080752C">
        <w:t>voiced</w:t>
      </w:r>
      <w:r w:rsidR="00B24048" w:rsidRPr="0080752C">
        <w:t xml:space="preserve"> concerns about </w:t>
      </w:r>
      <w:r w:rsidR="007A25F3" w:rsidRPr="0080752C">
        <w:t xml:space="preserve">restrictions and attacks on women’s rights and the </w:t>
      </w:r>
      <w:r w:rsidR="002C5223" w:rsidRPr="0080752C">
        <w:t>organisations defending them</w:t>
      </w:r>
      <w:r w:rsidR="00D4765F" w:rsidRPr="0080752C">
        <w:t>.</w:t>
      </w:r>
      <w:r w:rsidR="00452343" w:rsidRPr="0080752C">
        <w:t xml:space="preserve"> </w:t>
      </w:r>
      <w:r w:rsidR="00C322D1" w:rsidRPr="0080752C">
        <w:t xml:space="preserve">In Gaza during August, a conference protesting </w:t>
      </w:r>
      <w:r w:rsidR="00F54153">
        <w:t>the Convention on the Elim</w:t>
      </w:r>
      <w:r w:rsidR="007F0451">
        <w:t>ination</w:t>
      </w:r>
      <w:r w:rsidR="00F54153">
        <w:t xml:space="preserve"> of all Forms of Discrimination Against Women</w:t>
      </w:r>
      <w:r w:rsidR="00F54153" w:rsidRPr="0080752C">
        <w:t xml:space="preserve"> </w:t>
      </w:r>
      <w:r w:rsidR="00F54153">
        <w:t>(</w:t>
      </w:r>
      <w:r w:rsidR="00C322D1" w:rsidRPr="0080752C">
        <w:t>CEDAW</w:t>
      </w:r>
      <w:r w:rsidR="00F54153">
        <w:t>)</w:t>
      </w:r>
      <w:r w:rsidR="00DE595B" w:rsidRPr="0080752C">
        <w:t xml:space="preserve"> was organised by</w:t>
      </w:r>
      <w:r w:rsidR="009879FD">
        <w:t xml:space="preserve"> Hamas</w:t>
      </w:r>
      <w:r w:rsidR="009879FD">
        <w:rPr>
          <w:rStyle w:val="FootnoteReference"/>
        </w:rPr>
        <w:footnoteReference w:id="2"/>
      </w:r>
      <w:r w:rsidR="009879FD">
        <w:t xml:space="preserve"> </w:t>
      </w:r>
      <w:r w:rsidR="00DE595B" w:rsidRPr="0080752C">
        <w:t xml:space="preserve">and </w:t>
      </w:r>
      <w:r w:rsidR="0063493B" w:rsidRPr="0080752C">
        <w:t xml:space="preserve">conservative </w:t>
      </w:r>
      <w:r w:rsidR="00DE595B" w:rsidRPr="0080752C">
        <w:t>religious leader</w:t>
      </w:r>
      <w:r w:rsidR="006E552B" w:rsidRPr="0080752C">
        <w:t>s, which has</w:t>
      </w:r>
      <w:r w:rsidR="00C46808">
        <w:t xml:space="preserve"> caused</w:t>
      </w:r>
      <w:r w:rsidR="006E552B" w:rsidRPr="0080752C">
        <w:t xml:space="preserve"> concern across</w:t>
      </w:r>
      <w:r w:rsidR="00E71E36" w:rsidRPr="0080752C">
        <w:t xml:space="preserve"> diplomatic, UN and NGO communit</w:t>
      </w:r>
      <w:r w:rsidR="009503DE">
        <w:t>ies</w:t>
      </w:r>
      <w:r w:rsidR="00E71E36" w:rsidRPr="0080752C">
        <w:t>.</w:t>
      </w:r>
      <w:r w:rsidR="00A561C9" w:rsidRPr="0080752C">
        <w:t xml:space="preserve"> </w:t>
      </w:r>
      <w:r w:rsidR="000E5275" w:rsidRPr="0080752C">
        <w:t xml:space="preserve">In the West Bank, </w:t>
      </w:r>
      <w:r w:rsidR="009503DE">
        <w:t xml:space="preserve">reservations </w:t>
      </w:r>
      <w:r w:rsidR="000E5275" w:rsidRPr="0080752C">
        <w:t xml:space="preserve">about women’s rights movements and the perceived risk to traditional </w:t>
      </w:r>
      <w:r w:rsidR="00381AB4" w:rsidRPr="0080752C">
        <w:t xml:space="preserve">family structures are also emerging, driven by social media. </w:t>
      </w:r>
      <w:r w:rsidR="00880A56" w:rsidRPr="0080752C">
        <w:t>Authorities and civil society groups are attempting to counter these views by working with more progressive religious leaders and promoting positive masculinity programs for young men and boys. The</w:t>
      </w:r>
      <w:r w:rsidR="00B137BE" w:rsidRPr="0080752C">
        <w:t xml:space="preserve"> review notes this is a significant area requiring more resources and investment, which </w:t>
      </w:r>
      <w:r w:rsidR="0080752C" w:rsidRPr="0080752C">
        <w:t xml:space="preserve">aligns well with </w:t>
      </w:r>
      <w:r w:rsidR="00D94C31">
        <w:t>Australia’s</w:t>
      </w:r>
      <w:r w:rsidR="00D94C31" w:rsidRPr="0080752C">
        <w:t xml:space="preserve"> </w:t>
      </w:r>
      <w:r w:rsidR="0080752C" w:rsidRPr="0080752C">
        <w:t xml:space="preserve">new </w:t>
      </w:r>
      <w:r w:rsidR="00D51B36">
        <w:t>International D</w:t>
      </w:r>
      <w:r w:rsidR="0080752C" w:rsidRPr="0080752C">
        <w:t xml:space="preserve">evelopment </w:t>
      </w:r>
      <w:r w:rsidR="00D51B36">
        <w:t>P</w:t>
      </w:r>
      <w:r w:rsidR="0080752C" w:rsidRPr="0080752C">
        <w:t xml:space="preserve">olicy. </w:t>
      </w:r>
      <w:r w:rsidR="0036058A">
        <w:t xml:space="preserve">Although there is a question </w:t>
      </w:r>
      <w:r w:rsidR="00134DA0">
        <w:t>for DFAT to consider around it</w:t>
      </w:r>
      <w:r w:rsidR="003312D0">
        <w:t xml:space="preserve">s </w:t>
      </w:r>
      <w:r w:rsidR="00134DA0">
        <w:t>gender ambitions for a future OPT</w:t>
      </w:r>
      <w:r w:rsidR="00951F3D">
        <w:t>s</w:t>
      </w:r>
      <w:r w:rsidR="000E623B">
        <w:t xml:space="preserve"> program, given the </w:t>
      </w:r>
      <w:r w:rsidR="003312D0">
        <w:t xml:space="preserve">contextual </w:t>
      </w:r>
      <w:r w:rsidR="000E623B">
        <w:t xml:space="preserve">sensitivities. </w:t>
      </w:r>
    </w:p>
    <w:p w14:paraId="5E5B0736" w14:textId="11793EFC" w:rsidR="006618BB" w:rsidRDefault="008414CF" w:rsidP="00EA041C">
      <w:r w:rsidRPr="0080752C">
        <w:t xml:space="preserve">There is good evidence of </w:t>
      </w:r>
      <w:r w:rsidR="00A2275F">
        <w:t>gender equality</w:t>
      </w:r>
      <w:r w:rsidRPr="0080752C">
        <w:t xml:space="preserve"> considerations in the program, mainly through mainstreaming approaches by implementing partner</w:t>
      </w:r>
      <w:r w:rsidR="004677A2">
        <w:t xml:space="preserve">s in program delivery. </w:t>
      </w:r>
      <w:r w:rsidR="00021BB6" w:rsidRPr="0080752C">
        <w:t xml:space="preserve">Australia’s current partners </w:t>
      </w:r>
      <w:r w:rsidR="00EC3B13" w:rsidRPr="0080752C">
        <w:t>consistently highlighted</w:t>
      </w:r>
      <w:r w:rsidR="002D2CE9" w:rsidRPr="0080752C">
        <w:t xml:space="preserve"> </w:t>
      </w:r>
      <w:r w:rsidR="00021BB6" w:rsidRPr="0080752C">
        <w:t>their</w:t>
      </w:r>
      <w:r w:rsidR="002D2CE9" w:rsidRPr="0080752C">
        <w:t xml:space="preserve"> commitments to </w:t>
      </w:r>
      <w:r w:rsidR="00EC3B13" w:rsidRPr="0080752C">
        <w:t>gender equality</w:t>
      </w:r>
      <w:r w:rsidR="006B344B" w:rsidRPr="0080752C">
        <w:t xml:space="preserve"> and noted their programs include women and girls</w:t>
      </w:r>
      <w:r w:rsidR="00CB4950" w:rsidRPr="0080752C">
        <w:t xml:space="preserve">. In terms of reporting, the review concurs that women and girls are </w:t>
      </w:r>
      <w:r w:rsidR="00083E08">
        <w:t xml:space="preserve">broadly </w:t>
      </w:r>
      <w:r w:rsidR="00CB4950" w:rsidRPr="0080752C">
        <w:t xml:space="preserve">included in activities, but there is more limited evidence of specific activities </w:t>
      </w:r>
      <w:r w:rsidR="00021BB6" w:rsidRPr="0080752C">
        <w:t xml:space="preserve">targeting women and girls. </w:t>
      </w:r>
      <w:r w:rsidR="00083E08">
        <w:t>T</w:t>
      </w:r>
      <w:r w:rsidR="005E5951" w:rsidRPr="0080752C">
        <w:t xml:space="preserve">his </w:t>
      </w:r>
      <w:r w:rsidR="00083E08">
        <w:t xml:space="preserve">also </w:t>
      </w:r>
      <w:r w:rsidR="005E5951" w:rsidRPr="0080752C">
        <w:t xml:space="preserve">does not appear to be </w:t>
      </w:r>
      <w:r w:rsidR="001D04D1">
        <w:t xml:space="preserve">effectively </w:t>
      </w:r>
      <w:r w:rsidR="005E5951" w:rsidRPr="0080752C">
        <w:t>captured through the monitoring and reporting systems</w:t>
      </w:r>
      <w:r w:rsidR="00744195">
        <w:t xml:space="preserve">. </w:t>
      </w:r>
    </w:p>
    <w:p w14:paraId="3D6912A3" w14:textId="6730BD63" w:rsidR="00810009" w:rsidRDefault="00C708ED" w:rsidP="00EA041C">
      <w:r w:rsidRPr="00C708ED">
        <w:t>In the case of AMENCA and ANCP programs, there appears to be stronger evidence of more gender transformative approaches, and greater evidence of impact through direct investment reporting.  AMENCA was highlighted as providing sustained professional development for women, where fairly modest skills training gave women meaningful work and helped them to progress in their career in terms of management roles across the program.</w:t>
      </w:r>
    </w:p>
    <w:p w14:paraId="5C50D3DB" w14:textId="3335D21C" w:rsidR="003947E1" w:rsidRDefault="00E16680" w:rsidP="00EA041C">
      <w:bookmarkStart w:id="19" w:name="_Hlk148610731"/>
      <w:r>
        <w:t xml:space="preserve">The review notes Desk and Post regularly consult with DFAT’s Gender Branch. </w:t>
      </w:r>
      <w:r w:rsidR="00B938E9">
        <w:t xml:space="preserve">This should be continued </w:t>
      </w:r>
      <w:r w:rsidR="003938E2">
        <w:t>to</w:t>
      </w:r>
      <w:r w:rsidR="00B938E9">
        <w:t xml:space="preserve"> ensure alignment with the gender requirements for all DFAT investments going forward. The </w:t>
      </w:r>
      <w:r w:rsidR="006F3FF9">
        <w:t xml:space="preserve">review also recommends </w:t>
      </w:r>
      <w:r w:rsidR="003C4D45">
        <w:t>DFAT be more directive with partners in terms of expectations of gender considerations in programming. A</w:t>
      </w:r>
      <w:r w:rsidR="004F64E9">
        <w:t xml:space="preserve"> gender audit or analysis will support this approach. </w:t>
      </w:r>
    </w:p>
    <w:p w14:paraId="34F12808" w14:textId="6E184F73" w:rsidR="003312D0" w:rsidRPr="003312D0" w:rsidRDefault="00B848F4" w:rsidP="00EA041C">
      <w:pPr>
        <w:pStyle w:val="Heading3"/>
      </w:pPr>
      <w:bookmarkStart w:id="20" w:name="_Toc173326304"/>
      <w:bookmarkEnd w:id="19"/>
      <w:r>
        <w:t xml:space="preserve">2.1.3 </w:t>
      </w:r>
      <w:r w:rsidR="003312D0" w:rsidRPr="003312D0">
        <w:t>People with disabilities</w:t>
      </w:r>
      <w:bookmarkEnd w:id="20"/>
    </w:p>
    <w:p w14:paraId="16ACE397" w14:textId="0CBB03EB" w:rsidR="005E5951" w:rsidRDefault="006618BB" w:rsidP="00EA041C">
      <w:r>
        <w:t>The situation of people with disabilities</w:t>
      </w:r>
      <w:r w:rsidR="005168BB">
        <w:t xml:space="preserve"> in the OPT</w:t>
      </w:r>
      <w:r w:rsidR="00951F3D">
        <w:t>s</w:t>
      </w:r>
      <w:r w:rsidR="005168BB">
        <w:t xml:space="preserve"> is </w:t>
      </w:r>
      <w:r w:rsidR="009C6D0F">
        <w:t xml:space="preserve">one of extreme disadvantage and requires </w:t>
      </w:r>
      <w:r w:rsidR="00B91B33">
        <w:t xml:space="preserve">sustained </w:t>
      </w:r>
      <w:r w:rsidR="00C4323F">
        <w:t>attention</w:t>
      </w:r>
      <w:r w:rsidR="00454B6A">
        <w:t xml:space="preserve"> from the aid program</w:t>
      </w:r>
      <w:r w:rsidR="00C4323F">
        <w:t>.</w:t>
      </w:r>
      <w:r w:rsidR="006E06B1">
        <w:t xml:space="preserve"> </w:t>
      </w:r>
      <w:r w:rsidR="002A3902">
        <w:t>Current partners, UNRWA and ICRC</w:t>
      </w:r>
      <w:r w:rsidR="00C86BEE">
        <w:t>,</w:t>
      </w:r>
      <w:r w:rsidR="002A3902">
        <w:t xml:space="preserve"> </w:t>
      </w:r>
      <w:r w:rsidR="0007183E">
        <w:t xml:space="preserve">uphold </w:t>
      </w:r>
      <w:r w:rsidR="00C82FBD">
        <w:t xml:space="preserve">the rights of </w:t>
      </w:r>
      <w:r w:rsidR="002A3902">
        <w:t>people with disabilities</w:t>
      </w:r>
      <w:r w:rsidR="00C82FBD">
        <w:t xml:space="preserve"> through their programs</w:t>
      </w:r>
      <w:r w:rsidR="00B055FD">
        <w:t xml:space="preserve">. The review </w:t>
      </w:r>
      <w:r w:rsidR="00A448C9">
        <w:t>team visited the ICRC</w:t>
      </w:r>
      <w:r w:rsidR="00C86BEE">
        <w:t>-</w:t>
      </w:r>
      <w:r w:rsidR="00A448C9">
        <w:t>supported</w:t>
      </w:r>
      <w:r w:rsidR="006401D5">
        <w:t xml:space="preserve"> Artificial Limbs </w:t>
      </w:r>
      <w:r w:rsidR="009861FA">
        <w:t>and Polio Centre (A</w:t>
      </w:r>
      <w:r w:rsidR="00C86BEE">
        <w:t>LP</w:t>
      </w:r>
      <w:r w:rsidR="009861FA">
        <w:t xml:space="preserve">C) in Gaza which takes </w:t>
      </w:r>
      <w:r w:rsidR="00A9271C">
        <w:t>a</w:t>
      </w:r>
      <w:r w:rsidR="00DE02D0">
        <w:t xml:space="preserve"> </w:t>
      </w:r>
      <w:r w:rsidR="00A9271C">
        <w:t>wraparound</w:t>
      </w:r>
      <w:r w:rsidR="00DE02D0">
        <w:t xml:space="preserve"> approach </w:t>
      </w:r>
      <w:r w:rsidR="00A21240">
        <w:t>by</w:t>
      </w:r>
      <w:r w:rsidR="005800E8">
        <w:t xml:space="preserve"> providing assistive devices, </w:t>
      </w:r>
      <w:r w:rsidR="00A21240">
        <w:t>p</w:t>
      </w:r>
      <w:r w:rsidR="00A9271C">
        <w:t xml:space="preserve">hysiotherapy, </w:t>
      </w:r>
      <w:r w:rsidR="005800E8">
        <w:t xml:space="preserve">counselling </w:t>
      </w:r>
      <w:r w:rsidR="00A9271C">
        <w:t xml:space="preserve">and social </w:t>
      </w:r>
      <w:r w:rsidR="002A7378">
        <w:t>re-</w:t>
      </w:r>
      <w:r w:rsidR="00A9271C">
        <w:t>integration</w:t>
      </w:r>
      <w:r w:rsidR="002A7378">
        <w:t xml:space="preserve"> and acceptance through</w:t>
      </w:r>
      <w:r w:rsidR="005A7D7A">
        <w:t xml:space="preserve"> storytelling and</w:t>
      </w:r>
      <w:r w:rsidR="002A7378">
        <w:t xml:space="preserve"> </w:t>
      </w:r>
      <w:r w:rsidR="0079758C">
        <w:t>drama</w:t>
      </w:r>
      <w:r w:rsidR="00A9271C">
        <w:t xml:space="preserve">. Programs such as these </w:t>
      </w:r>
      <w:r w:rsidR="009E4D50">
        <w:t>are effective and relevant, as well as highly valued by</w:t>
      </w:r>
      <w:r w:rsidR="00454B6A">
        <w:t xml:space="preserve"> the program participants</w:t>
      </w:r>
      <w:r w:rsidR="00E93174">
        <w:t>,</w:t>
      </w:r>
      <w:r w:rsidR="00454B6A">
        <w:t xml:space="preserve"> and should continue to be supported.</w:t>
      </w:r>
      <w:r w:rsidR="004D013E">
        <w:t xml:space="preserve"> </w:t>
      </w:r>
      <w:r w:rsidR="00F804AF">
        <w:t xml:space="preserve">Interviews and document reviews </w:t>
      </w:r>
      <w:r w:rsidR="00FD3C7C">
        <w:t xml:space="preserve">indicate the </w:t>
      </w:r>
      <w:r w:rsidR="00FD3C7C">
        <w:lastRenderedPageBreak/>
        <w:t>disability movement in the OPT</w:t>
      </w:r>
      <w:r w:rsidR="00951F3D">
        <w:t>s</w:t>
      </w:r>
      <w:r w:rsidR="00FD3C7C">
        <w:t xml:space="preserve"> is relatively organised and there could be an opportunity to have </w:t>
      </w:r>
      <w:r w:rsidR="00593052">
        <w:t>greater alignment between it and the program</w:t>
      </w:r>
      <w:r w:rsidR="00F20978">
        <w:t xml:space="preserve"> to ensure integration of this</w:t>
      </w:r>
      <w:r w:rsidR="00BA103C">
        <w:t xml:space="preserve"> </w:t>
      </w:r>
      <w:r w:rsidR="00F20978">
        <w:t>priority</w:t>
      </w:r>
      <w:r w:rsidR="00BA103C">
        <w:t xml:space="preserve"> for DFAT</w:t>
      </w:r>
      <w:r w:rsidR="00593052">
        <w:t xml:space="preserve">. </w:t>
      </w:r>
    </w:p>
    <w:p w14:paraId="75438BD1" w14:textId="4EFE3FDD" w:rsidR="004F64E9" w:rsidRDefault="004F64E9" w:rsidP="00EA041C">
      <w:r>
        <w:t xml:space="preserve">The review notes Desk and Post regularly consult with DFAT’s Disability </w:t>
      </w:r>
      <w:r w:rsidR="00477A8D">
        <w:t xml:space="preserve">Inclusion </w:t>
      </w:r>
      <w:r w:rsidR="00D13A36">
        <w:t>section, including the Helpdesk function</w:t>
      </w:r>
      <w:r>
        <w:t xml:space="preserve">. This should be continued </w:t>
      </w:r>
      <w:r w:rsidR="005305A0">
        <w:t>to</w:t>
      </w:r>
      <w:r>
        <w:t xml:space="preserve"> ensure alignment with the </w:t>
      </w:r>
      <w:r w:rsidR="00220A38">
        <w:t>disability inclusion requirements</w:t>
      </w:r>
      <w:r>
        <w:t xml:space="preserve"> for all DFAT investments going forward. </w:t>
      </w:r>
    </w:p>
    <w:p w14:paraId="230CCD16" w14:textId="6494FF33" w:rsidR="00B848F4" w:rsidRPr="00AC1EA1" w:rsidRDefault="00B848F4" w:rsidP="00EA041C">
      <w:pPr>
        <w:pStyle w:val="Heading3"/>
      </w:pPr>
      <w:bookmarkStart w:id="21" w:name="_Toc173326305"/>
      <w:r w:rsidRPr="00AC1EA1">
        <w:t>2.1.4 Youth</w:t>
      </w:r>
      <w:bookmarkEnd w:id="21"/>
    </w:p>
    <w:p w14:paraId="3B0C1072" w14:textId="32BD45AB" w:rsidR="00B848F4" w:rsidRDefault="00735373" w:rsidP="00EA041C">
      <w:r>
        <w:t>The review received consistent feedback on the need for programs to target young people</w:t>
      </w:r>
      <w:r w:rsidR="00CC4D59">
        <w:t>,</w:t>
      </w:r>
      <w:r w:rsidR="00361E9F">
        <w:t xml:space="preserve"> as approximately </w:t>
      </w:r>
      <w:r w:rsidR="00361E9F" w:rsidRPr="00361E9F">
        <w:t xml:space="preserve">60% of </w:t>
      </w:r>
      <w:r w:rsidR="00361E9F">
        <w:t xml:space="preserve">the Palestinian </w:t>
      </w:r>
      <w:r w:rsidR="00361E9F" w:rsidRPr="00361E9F">
        <w:t>population is under 30 years of age.</w:t>
      </w:r>
      <w:r w:rsidR="00361E9F">
        <w:t xml:space="preserve"> </w:t>
      </w:r>
      <w:r w:rsidR="00E32E09">
        <w:t xml:space="preserve">There is growing concern that </w:t>
      </w:r>
      <w:r w:rsidR="00AD7A58">
        <w:t xml:space="preserve">young Palestinians are graduating from university with little opportunity for </w:t>
      </w:r>
      <w:r w:rsidR="00EC7B3F">
        <w:t xml:space="preserve">gainful employment. One respondent noted the future leaders of Palestine may be a generation that has never had the opportunity to work. </w:t>
      </w:r>
      <w:r w:rsidR="008C071F">
        <w:t>Young women have even more limited employment opportunities</w:t>
      </w:r>
      <w:r w:rsidR="00096CDB">
        <w:t>. Mental health and a lack of hope for the future were also raised in many stakeholder interviews in the West Bank and Gaza</w:t>
      </w:r>
      <w:r w:rsidR="00AC1EA1">
        <w:t xml:space="preserve">, with some noting the grim alternative was to resort to resistance </w:t>
      </w:r>
      <w:r w:rsidR="00D37E4A">
        <w:t>through</w:t>
      </w:r>
      <w:r w:rsidR="00AC1EA1">
        <w:t xml:space="preserve"> violence. Whil</w:t>
      </w:r>
      <w:r w:rsidR="00D37E4A">
        <w:t>e</w:t>
      </w:r>
      <w:r w:rsidR="00AC1EA1">
        <w:t xml:space="preserve"> youth programs are not ne</w:t>
      </w:r>
      <w:r w:rsidR="00F439BE">
        <w:t>cessarily a focus for DFAT and this was outside of the review scope, it is important to note</w:t>
      </w:r>
      <w:r w:rsidR="00D37E4A">
        <w:t>, with</w:t>
      </w:r>
      <w:r w:rsidR="00F439BE">
        <w:t xml:space="preserve"> a suggestion that young women could be one of the priority groups for a future program. </w:t>
      </w:r>
    </w:p>
    <w:p w14:paraId="5D19F6C3" w14:textId="36837FA1" w:rsidR="001A0A72" w:rsidRPr="00D9249C" w:rsidRDefault="00F439BE" w:rsidP="00EA041C">
      <w:pPr>
        <w:pStyle w:val="Heading3"/>
      </w:pPr>
      <w:bookmarkStart w:id="22" w:name="_Toc173326306"/>
      <w:r>
        <w:t xml:space="preserve">2.1.5 </w:t>
      </w:r>
      <w:r w:rsidR="001A0A72" w:rsidRPr="00D9249C">
        <w:t>Monitoring and Evaluation</w:t>
      </w:r>
      <w:bookmarkEnd w:id="22"/>
    </w:p>
    <w:p w14:paraId="07D57E5A" w14:textId="76F6FB77" w:rsidR="005E5951" w:rsidRPr="0080752C" w:rsidRDefault="001A0A72" w:rsidP="00EA041C">
      <w:r w:rsidRPr="001A0A72">
        <w:t>DFAT</w:t>
      </w:r>
      <w:r w:rsidR="00B11854">
        <w:t xml:space="preserve"> staff are consistently engaged in monitoring projects and partners</w:t>
      </w:r>
      <w:r w:rsidR="0099008C">
        <w:t xml:space="preserve">, both </w:t>
      </w:r>
      <w:r w:rsidR="00BF6D4B">
        <w:t xml:space="preserve">from </w:t>
      </w:r>
      <w:r w:rsidR="0099008C">
        <w:t xml:space="preserve">Post and </w:t>
      </w:r>
      <w:r w:rsidR="00BF6D4B">
        <w:t>Canberra</w:t>
      </w:r>
      <w:r w:rsidR="0099008C">
        <w:t xml:space="preserve">. </w:t>
      </w:r>
      <w:r w:rsidR="00AC0591">
        <w:t>This takes a lot of time</w:t>
      </w:r>
      <w:r w:rsidR="00241ED2">
        <w:t xml:space="preserve"> and resources</w:t>
      </w:r>
      <w:r w:rsidR="00AC0591">
        <w:t>, on top of already full schedules and other responsibilities</w:t>
      </w:r>
      <w:r w:rsidR="000633B6">
        <w:t xml:space="preserve"> but is invaluable in </w:t>
      </w:r>
      <w:r w:rsidR="0008351D">
        <w:t xml:space="preserve">oversighting performance, </w:t>
      </w:r>
      <w:r w:rsidR="000633B6">
        <w:t xml:space="preserve">ensuring the program </w:t>
      </w:r>
      <w:r w:rsidR="00101CA5">
        <w:t>has impact and manages risks</w:t>
      </w:r>
      <w:r w:rsidR="00AC0591">
        <w:t xml:space="preserve">. </w:t>
      </w:r>
      <w:r w:rsidR="009E31C3">
        <w:t>Regarding</w:t>
      </w:r>
      <w:r w:rsidR="00A15C53">
        <w:t xml:space="preserve"> multilateral reporting, there </w:t>
      </w:r>
      <w:r w:rsidR="004331C4">
        <w:t>appears to be a</w:t>
      </w:r>
      <w:r w:rsidR="00A15C53">
        <w:t xml:space="preserve"> desire to have a more informed picture of what Australian funding has supported, as well as more gender and disability disaggregated </w:t>
      </w:r>
      <w:r w:rsidR="00EE202A">
        <w:t xml:space="preserve">data and evidence. In terms of NGO reporting, the level of satisfaction </w:t>
      </w:r>
      <w:r w:rsidR="00BC402C">
        <w:t>around quality appear</w:t>
      </w:r>
      <w:r w:rsidR="00383A15">
        <w:t>s</w:t>
      </w:r>
      <w:r w:rsidR="00BC402C">
        <w:t xml:space="preserve"> to be higher, </w:t>
      </w:r>
      <w:r w:rsidR="00977AFC">
        <w:t xml:space="preserve">with many respondents </w:t>
      </w:r>
      <w:r w:rsidR="00AC4844">
        <w:t xml:space="preserve">noting AMENCA achieved good value for money and return on </w:t>
      </w:r>
      <w:r w:rsidR="00D9249C">
        <w:t xml:space="preserve">investment. </w:t>
      </w:r>
      <w:r w:rsidR="00840BAA">
        <w:t>T</w:t>
      </w:r>
      <w:r w:rsidR="00EB44CA">
        <w:t xml:space="preserve">here could be more </w:t>
      </w:r>
      <w:r w:rsidR="009E31C3">
        <w:t>resourcing,</w:t>
      </w:r>
      <w:r w:rsidR="00EB44CA">
        <w:t xml:space="preserve"> and </w:t>
      </w:r>
      <w:r w:rsidRPr="001A0A72">
        <w:t>support</w:t>
      </w:r>
      <w:r w:rsidR="00840BAA">
        <w:t xml:space="preserve"> given to DFAT</w:t>
      </w:r>
      <w:r w:rsidRPr="001A0A72">
        <w:t xml:space="preserve"> to strengthen</w:t>
      </w:r>
      <w:r w:rsidR="00CE472B">
        <w:t xml:space="preserve"> monitoring and evaluation</w:t>
      </w:r>
      <w:r w:rsidR="00C37962">
        <w:t xml:space="preserve">, </w:t>
      </w:r>
      <w:r w:rsidR="00F30C69">
        <w:t>as well as</w:t>
      </w:r>
      <w:r w:rsidRPr="001A0A72">
        <w:t xml:space="preserve"> safeguard practices</w:t>
      </w:r>
      <w:r w:rsidR="00F30C69">
        <w:t>.</w:t>
      </w:r>
      <w:r w:rsidRPr="001A0A72">
        <w:t xml:space="preserve"> </w:t>
      </w:r>
    </w:p>
    <w:p w14:paraId="2EAF2F8A" w14:textId="1825399B" w:rsidR="006F190D" w:rsidRPr="007E055D" w:rsidRDefault="00F30C69" w:rsidP="00EA041C">
      <w:pPr>
        <w:pStyle w:val="Heading3"/>
      </w:pPr>
      <w:bookmarkStart w:id="23" w:name="_Toc173326307"/>
      <w:r>
        <w:t xml:space="preserve">2.1.6 </w:t>
      </w:r>
      <w:r w:rsidR="00241ED2" w:rsidRPr="007E055D">
        <w:t xml:space="preserve">Timeliness and </w:t>
      </w:r>
      <w:r w:rsidR="007E055D" w:rsidRPr="007E055D">
        <w:t>value for money</w:t>
      </w:r>
      <w:bookmarkEnd w:id="23"/>
      <w:r w:rsidR="007E055D" w:rsidRPr="007E055D">
        <w:t xml:space="preserve"> </w:t>
      </w:r>
    </w:p>
    <w:p w14:paraId="12A92A40" w14:textId="7932280D" w:rsidR="001A1DCB" w:rsidRDefault="00A160F4" w:rsidP="00EA041C">
      <w:r w:rsidRPr="0080752C">
        <w:t>For the most part, investments are being delivered on time and according to budge</w:t>
      </w:r>
      <w:r w:rsidR="00CD7987" w:rsidRPr="0080752C">
        <w:t>t</w:t>
      </w:r>
      <w:r w:rsidR="004C0156" w:rsidRPr="0080752C">
        <w:t xml:space="preserve">. </w:t>
      </w:r>
      <w:r w:rsidR="006A12AD">
        <w:t>Where there have been delays in delivery or in targets not fully met, these have been explained</w:t>
      </w:r>
      <w:r w:rsidR="00B240BD">
        <w:t xml:space="preserve"> through reporting. The review analysed report</w:t>
      </w:r>
      <w:r w:rsidR="00E96C1D">
        <w:t>ing</w:t>
      </w:r>
      <w:r w:rsidR="00197BEB">
        <w:t xml:space="preserve"> from current partners and iden</w:t>
      </w:r>
      <w:r w:rsidR="00301DEA">
        <w:t>ti</w:t>
      </w:r>
      <w:r w:rsidR="00197BEB">
        <w:t xml:space="preserve">fied the most common reasons for delays </w:t>
      </w:r>
      <w:proofErr w:type="gramStart"/>
      <w:r w:rsidR="00197BEB">
        <w:t>being:</w:t>
      </w:r>
      <w:proofErr w:type="gramEnd"/>
      <w:r w:rsidR="00197BEB">
        <w:t xml:space="preserve"> the lingering effects of </w:t>
      </w:r>
      <w:r w:rsidR="001A1DCB">
        <w:t>COVID-19 restrictions, access constraints and conflict</w:t>
      </w:r>
      <w:r w:rsidR="00301DEA">
        <w:t xml:space="preserve"> incidents or escalations</w:t>
      </w:r>
      <w:r w:rsidR="009E0066">
        <w:t xml:space="preserve">, </w:t>
      </w:r>
      <w:r w:rsidR="00B4472F">
        <w:t xml:space="preserve">which are largely beyond the control of the delivery partners and very reflective of the challenges of the operational context. </w:t>
      </w:r>
      <w:r w:rsidR="001A1DCB">
        <w:t xml:space="preserve"> </w:t>
      </w:r>
    </w:p>
    <w:p w14:paraId="0DEAF33B" w14:textId="2CB3AA2D" w:rsidR="00635244" w:rsidRPr="00635244" w:rsidRDefault="004C0156" w:rsidP="00EA041C">
      <w:r w:rsidRPr="0080752C">
        <w:t>W</w:t>
      </w:r>
      <w:r w:rsidR="00CD7987" w:rsidRPr="0080752C">
        <w:t xml:space="preserve">here contributions are being made to core </w:t>
      </w:r>
      <w:r w:rsidR="003E040D" w:rsidRPr="0080752C">
        <w:t>/ global funds</w:t>
      </w:r>
      <w:r w:rsidR="00CD7987" w:rsidRPr="0080752C">
        <w:t xml:space="preserve"> for multilaterals, there is a much lighter reporting requirement and </w:t>
      </w:r>
      <w:r w:rsidR="0018042A">
        <w:t>interviewees noted it was more</w:t>
      </w:r>
      <w:r w:rsidR="00316961" w:rsidRPr="0080752C">
        <w:t xml:space="preserve"> challenging to understand where Australia’s funds have been invested</w:t>
      </w:r>
      <w:r w:rsidR="005B46F9">
        <w:t>,</w:t>
      </w:r>
      <w:r w:rsidR="0035550F" w:rsidRPr="0080752C">
        <w:t xml:space="preserve"> </w:t>
      </w:r>
      <w:r w:rsidR="003B4B70" w:rsidRPr="0080752C">
        <w:t xml:space="preserve">particularly when it came to </w:t>
      </w:r>
      <w:r w:rsidR="004F0EDD">
        <w:t>I</w:t>
      </w:r>
      <w:r w:rsidR="00F30C69">
        <w:t xml:space="preserve">nvestment </w:t>
      </w:r>
      <w:r w:rsidR="004F0EDD">
        <w:t>M</w:t>
      </w:r>
      <w:r w:rsidR="00F30C69">
        <w:t xml:space="preserve">onitoring </w:t>
      </w:r>
      <w:r w:rsidR="004F0EDD">
        <w:t>R</w:t>
      </w:r>
      <w:r w:rsidR="00F30C69">
        <w:t>eporting (</w:t>
      </w:r>
      <w:r w:rsidR="003B4B70" w:rsidRPr="0080752C">
        <w:t>IMR</w:t>
      </w:r>
      <w:r w:rsidR="00F30C69">
        <w:t>)</w:t>
      </w:r>
      <w:r w:rsidR="003B4B70" w:rsidRPr="0080752C">
        <w:t xml:space="preserve"> processes, as well as being able to articulate overall impact of the program in line with Australia’s priorities and policies. </w:t>
      </w:r>
      <w:r w:rsidR="00B4472F">
        <w:t>At the same time, there are efficiencies for DFAT in contributing to global funds</w:t>
      </w:r>
      <w:r w:rsidR="00376FBF">
        <w:t>, such as reduced transaction costs and management fees.</w:t>
      </w:r>
      <w:r w:rsidR="00AD027A">
        <w:t xml:space="preserve"> ICRC’s annual reporting shows </w:t>
      </w:r>
      <w:r w:rsidR="00972D83">
        <w:t>overheads</w:t>
      </w:r>
      <w:r w:rsidR="00DB1D2B">
        <w:t xml:space="preserve"> of </w:t>
      </w:r>
      <w:r w:rsidR="00972D83">
        <w:t>6.5</w:t>
      </w:r>
      <w:r w:rsidR="00DB1D2B">
        <w:t xml:space="preserve"> per cent, whilst UNRWA</w:t>
      </w:r>
      <w:r w:rsidR="00956D14">
        <w:t xml:space="preserve"> treats value for money as an essential element of its programming, </w:t>
      </w:r>
      <w:r w:rsidR="003D08C6">
        <w:t xml:space="preserve">due in large part to the ongoing financial restrictions it faces. </w:t>
      </w:r>
    </w:p>
    <w:p w14:paraId="18AD25CD" w14:textId="77777777" w:rsidR="007A3280" w:rsidRDefault="007A3280">
      <w:pPr>
        <w:spacing w:after="0"/>
        <w:rPr>
          <w:b/>
          <w:bCs/>
        </w:rPr>
      </w:pPr>
      <w:bookmarkStart w:id="24" w:name="_Toc173326308"/>
      <w:r>
        <w:br w:type="page"/>
      </w:r>
    </w:p>
    <w:p w14:paraId="268FA8B9" w14:textId="0C50F3FF" w:rsidR="00B15710" w:rsidRPr="002D66AA" w:rsidRDefault="00F30C69" w:rsidP="00EA041C">
      <w:pPr>
        <w:pStyle w:val="Heading3"/>
      </w:pPr>
      <w:r>
        <w:lastRenderedPageBreak/>
        <w:t xml:space="preserve">2.1.7 </w:t>
      </w:r>
      <w:r w:rsidR="002D66AA" w:rsidRPr="002D66AA">
        <w:t>Alignment</w:t>
      </w:r>
      <w:r w:rsidR="006F190D" w:rsidRPr="002D66AA">
        <w:t xml:space="preserve"> with development and humanitarian prioritie</w:t>
      </w:r>
      <w:r w:rsidR="002D66AA" w:rsidRPr="002D66AA">
        <w:t>s</w:t>
      </w:r>
      <w:bookmarkEnd w:id="24"/>
    </w:p>
    <w:p w14:paraId="2361F181" w14:textId="77777777" w:rsidR="00B838EC" w:rsidRDefault="00614B63" w:rsidP="00EA041C">
      <w:r>
        <w:t xml:space="preserve">Within the review scope, </w:t>
      </w:r>
      <w:r w:rsidR="00AE4130">
        <w:t xml:space="preserve">the program appears to strike a </w:t>
      </w:r>
      <w:r w:rsidR="005F4016">
        <w:t xml:space="preserve">sound </w:t>
      </w:r>
      <w:r w:rsidR="00AE4130">
        <w:t xml:space="preserve">balance between responding to </w:t>
      </w:r>
      <w:r w:rsidR="0065763C">
        <w:t>humanitarian need</w:t>
      </w:r>
      <w:r w:rsidR="007206F4">
        <w:t>s</w:t>
      </w:r>
      <w:r w:rsidR="0065763C">
        <w:t xml:space="preserve"> and building a foundation for resilient development. </w:t>
      </w:r>
      <w:r w:rsidR="005F4016">
        <w:t xml:space="preserve">There is alignment with the relevant </w:t>
      </w:r>
      <w:r w:rsidR="00084E69">
        <w:t>DFAT policies</w:t>
      </w:r>
      <w:r w:rsidR="00F56022">
        <w:t xml:space="preserve"> </w:t>
      </w:r>
      <w:r w:rsidR="000723B4">
        <w:t xml:space="preserve">and strategies </w:t>
      </w:r>
      <w:r w:rsidR="006B0EDD">
        <w:t>such as for</w:t>
      </w:r>
      <w:r w:rsidR="00A1399D">
        <w:t xml:space="preserve"> gender and disability</w:t>
      </w:r>
      <w:r w:rsidR="006B0EDD">
        <w:t xml:space="preserve"> inclusion</w:t>
      </w:r>
      <w:r w:rsidR="000723B4">
        <w:t>, as well as working with multilateral agencies</w:t>
      </w:r>
      <w:r w:rsidR="006B0EDD">
        <w:t>.</w:t>
      </w:r>
      <w:r w:rsidR="00547913">
        <w:t xml:space="preserve"> The </w:t>
      </w:r>
      <w:r w:rsidR="00DC1C63">
        <w:t>implementation of the new International Development Policy and t</w:t>
      </w:r>
      <w:r w:rsidR="00547913">
        <w:t xml:space="preserve">he design of a new humanitarian strategy present opportunities for the program to </w:t>
      </w:r>
      <w:r w:rsidR="000C76CD">
        <w:t xml:space="preserve">contribute learning, particularly </w:t>
      </w:r>
      <w:r w:rsidR="00902022">
        <w:t>around programs for protracted cris</w:t>
      </w:r>
      <w:r w:rsidR="00DC1C63">
        <w:t>es</w:t>
      </w:r>
      <w:r w:rsidR="00FA7CD5">
        <w:t>.</w:t>
      </w:r>
      <w:r w:rsidR="00B838EC">
        <w:t xml:space="preserve"> </w:t>
      </w:r>
    </w:p>
    <w:p w14:paraId="27C242F6" w14:textId="10E29551" w:rsidR="00B15710" w:rsidRPr="00ED224F" w:rsidRDefault="00B838EC" w:rsidP="00EA041C">
      <w:pPr>
        <w:rPr>
          <w:i/>
          <w:iCs/>
        </w:rPr>
      </w:pPr>
      <w:r>
        <w:t xml:space="preserve">In terms of sustainability, as a </w:t>
      </w:r>
      <w:r w:rsidR="00132E52">
        <w:t xml:space="preserve">key priority for DFAT investments, this is a challenging area for the program to address </w:t>
      </w:r>
      <w:r w:rsidR="00327127">
        <w:t>given there is no political solution to the conflict</w:t>
      </w:r>
      <w:r w:rsidR="00B53FE6">
        <w:t>. The P</w:t>
      </w:r>
      <w:r w:rsidR="00581F39">
        <w:t xml:space="preserve">alestinian </w:t>
      </w:r>
      <w:r w:rsidR="00B53FE6">
        <w:t>A</w:t>
      </w:r>
      <w:r w:rsidR="00581F39">
        <w:t>uthority</w:t>
      </w:r>
      <w:r w:rsidR="00B53FE6">
        <w:t xml:space="preserve">’s lack of control over its borders, </w:t>
      </w:r>
      <w:r w:rsidR="008873ED">
        <w:t xml:space="preserve">taxes and natural resources also </w:t>
      </w:r>
      <w:proofErr w:type="gramStart"/>
      <w:r w:rsidR="008873ED">
        <w:t>limit</w:t>
      </w:r>
      <w:proofErr w:type="gramEnd"/>
      <w:r w:rsidR="008873ED">
        <w:t xml:space="preserve"> horizons for development. In Gaza, UNRWA is the</w:t>
      </w:r>
      <w:r w:rsidR="005F2376">
        <w:t xml:space="preserve"> biggest</w:t>
      </w:r>
      <w:r w:rsidR="008873ED">
        <w:t xml:space="preserve"> employer</w:t>
      </w:r>
      <w:r w:rsidR="00FF1941">
        <w:t>, with its salaries supporting large family units</w:t>
      </w:r>
      <w:r w:rsidR="006A001F">
        <w:t xml:space="preserve">, creating a dependent economy that is unavoidable given the </w:t>
      </w:r>
      <w:r w:rsidR="002250A8">
        <w:t>restrictions and controls in place. With the conflict escalating</w:t>
      </w:r>
      <w:r w:rsidR="00DB7DBD">
        <w:t xml:space="preserve"> and humanitarian need remaining great</w:t>
      </w:r>
      <w:r w:rsidR="002250A8">
        <w:t>, the overall trajectory for development in the OPT</w:t>
      </w:r>
      <w:r w:rsidR="00951F3D">
        <w:t>s</w:t>
      </w:r>
      <w:r w:rsidR="00E710B2">
        <w:t xml:space="preserve"> is to trend negatively</w:t>
      </w:r>
      <w:r w:rsidR="005F2376">
        <w:t>.</w:t>
      </w:r>
      <w:r w:rsidR="00E710B2">
        <w:t xml:space="preserve"> </w:t>
      </w:r>
      <w:r w:rsidR="00B261C4">
        <w:t>T</w:t>
      </w:r>
      <w:r w:rsidR="00E710B2">
        <w:t>he primary foc</w:t>
      </w:r>
      <w:r w:rsidR="00E20F50">
        <w:t>us of the program should continue</w:t>
      </w:r>
      <w:r w:rsidR="00B261C4">
        <w:t xml:space="preserve"> to b</w:t>
      </w:r>
      <w:r w:rsidR="00B4289D">
        <w:t>e</w:t>
      </w:r>
      <w:r w:rsidR="00B261C4">
        <w:t xml:space="preserve"> meeting humanitarian needs</w:t>
      </w:r>
      <w:r w:rsidR="00B4289D">
        <w:t>,</w:t>
      </w:r>
      <w:r w:rsidR="00B261C4">
        <w:t xml:space="preserve"> as well as </w:t>
      </w:r>
      <w:r w:rsidR="008613D5">
        <w:t>key</w:t>
      </w:r>
      <w:r w:rsidR="007D1E8C">
        <w:t xml:space="preserve"> development</w:t>
      </w:r>
      <w:r w:rsidR="00E20F50">
        <w:t xml:space="preserve"> </w:t>
      </w:r>
      <w:r w:rsidR="008613D5">
        <w:t>objectives</w:t>
      </w:r>
      <w:r w:rsidR="00DA2B11">
        <w:t>, and preventing education and health indicators from backsliding</w:t>
      </w:r>
      <w:r w:rsidR="00CB293F">
        <w:t xml:space="preserve"> precipitously</w:t>
      </w:r>
      <w:r w:rsidR="00D6564E">
        <w:t xml:space="preserve"> (</w:t>
      </w:r>
      <w:r w:rsidR="00D6564E" w:rsidRPr="00DA2B11">
        <w:rPr>
          <w:i/>
          <w:iCs/>
        </w:rPr>
        <w:t xml:space="preserve">see recommendation </w:t>
      </w:r>
      <w:r w:rsidR="00DA2B11" w:rsidRPr="00DA2B11">
        <w:rPr>
          <w:i/>
          <w:iCs/>
        </w:rPr>
        <w:t>3.1</w:t>
      </w:r>
      <w:r w:rsidR="00D6564E">
        <w:t>)</w:t>
      </w:r>
      <w:r w:rsidR="00CB293F">
        <w:t xml:space="preserve">. </w:t>
      </w:r>
    </w:p>
    <w:p w14:paraId="7E167AB9" w14:textId="7F43B112" w:rsidR="006F190D" w:rsidRPr="004A2D93" w:rsidRDefault="00F30C69" w:rsidP="00EA041C">
      <w:pPr>
        <w:pStyle w:val="Heading3"/>
      </w:pPr>
      <w:bookmarkStart w:id="25" w:name="_Toc173326309"/>
      <w:r>
        <w:t xml:space="preserve">2.1.8 </w:t>
      </w:r>
      <w:r w:rsidR="004A2D93" w:rsidRPr="004A2D93">
        <w:t>S</w:t>
      </w:r>
      <w:r w:rsidR="006F190D" w:rsidRPr="004A2D93">
        <w:t>trengthen</w:t>
      </w:r>
      <w:r w:rsidR="004A2D93">
        <w:t>ed</w:t>
      </w:r>
      <w:r w:rsidR="006F190D" w:rsidRPr="004A2D93">
        <w:t xml:space="preserve"> local partner capacity</w:t>
      </w:r>
      <w:bookmarkEnd w:id="25"/>
    </w:p>
    <w:p w14:paraId="4306695A" w14:textId="10DF1757" w:rsidR="008F2B34" w:rsidRPr="0080752C" w:rsidRDefault="00167CAB" w:rsidP="00EA041C">
      <w:r>
        <w:t xml:space="preserve">The current level of local partner engagement appears to </w:t>
      </w:r>
      <w:r w:rsidR="00413545">
        <w:t>be appropriate given the resources available and DFAT’s</w:t>
      </w:r>
      <w:r w:rsidR="00B55015">
        <w:t xml:space="preserve"> current</w:t>
      </w:r>
      <w:r w:rsidR="005A3F30">
        <w:t xml:space="preserve"> capacity to manage risks</w:t>
      </w:r>
      <w:r w:rsidR="00413545">
        <w:t xml:space="preserve">. </w:t>
      </w:r>
      <w:r w:rsidR="00524CC8" w:rsidRPr="0080752C">
        <w:t>The Palestinian civil society ecosystem is complex and fragmented. It is also facing a difficult and punitive operating environment from different authorities and other context actors.</w:t>
      </w:r>
      <w:r w:rsidR="0010615F" w:rsidRPr="0010615F">
        <w:t xml:space="preserve"> </w:t>
      </w:r>
      <w:r w:rsidR="0010615F" w:rsidRPr="0080752C">
        <w:t>In terms of current delivery partners, UNRWA implements directly, as does UNOPS and ICRC</w:t>
      </w:r>
      <w:r w:rsidR="000C6BA1">
        <w:t>. T</w:t>
      </w:r>
      <w:r w:rsidR="00D56846">
        <w:t xml:space="preserve">hese organisations have </w:t>
      </w:r>
      <w:r w:rsidR="009C4EA0">
        <w:t xml:space="preserve">very </w:t>
      </w:r>
      <w:r w:rsidR="00D56846">
        <w:t>high levels of local</w:t>
      </w:r>
      <w:r w:rsidR="00D6564E">
        <w:t xml:space="preserve"> employees</w:t>
      </w:r>
      <w:r w:rsidR="00295A5E">
        <w:t>,</w:t>
      </w:r>
      <w:r w:rsidR="00D6564E">
        <w:t xml:space="preserve"> including at management levels</w:t>
      </w:r>
      <w:r w:rsidR="0010615F" w:rsidRPr="0080752C">
        <w:t xml:space="preserve">. </w:t>
      </w:r>
      <w:r w:rsidR="008F2B34" w:rsidRPr="0080752C">
        <w:t xml:space="preserve">The </w:t>
      </w:r>
      <w:r w:rsidR="00524CC8">
        <w:t xml:space="preserve">ANCP and </w:t>
      </w:r>
      <w:r w:rsidR="008F2B34" w:rsidRPr="0080752C">
        <w:t>AMENCA program</w:t>
      </w:r>
      <w:r w:rsidR="00524CC8">
        <w:t>s</w:t>
      </w:r>
      <w:r w:rsidR="008F2B34" w:rsidRPr="0080752C">
        <w:t xml:space="preserve"> </w:t>
      </w:r>
      <w:r w:rsidR="000C04AD">
        <w:t>provide some evidence of</w:t>
      </w:r>
      <w:r w:rsidR="00524CC8">
        <w:t xml:space="preserve"> positive</w:t>
      </w:r>
      <w:r w:rsidR="008F2B34" w:rsidRPr="0080752C">
        <w:t xml:space="preserve"> impact on local partner capacity. </w:t>
      </w:r>
      <w:r w:rsidR="00524CC8">
        <w:t xml:space="preserve">The Australia Awards have also been highlighted for strengthening capability. </w:t>
      </w:r>
      <w:r w:rsidR="00780AAB">
        <w:t>The previous programs with UNICEF</w:t>
      </w:r>
      <w:r w:rsidR="00A15D84">
        <w:t>, WHO</w:t>
      </w:r>
      <w:r w:rsidR="00780AAB">
        <w:t xml:space="preserve"> and UNOCHA supported the work of local partners </w:t>
      </w:r>
      <w:r>
        <w:t xml:space="preserve">and appear to have been effective. </w:t>
      </w:r>
      <w:r w:rsidR="007D1E8C">
        <w:t xml:space="preserve">The review </w:t>
      </w:r>
      <w:r w:rsidR="00DA2B11">
        <w:t>supports maintaining</w:t>
      </w:r>
      <w:r w:rsidR="00717BA1">
        <w:t xml:space="preserve"> the current approach in terms of partner engagement and capacity</w:t>
      </w:r>
      <w:r w:rsidR="00555678">
        <w:t xml:space="preserve"> strengthening</w:t>
      </w:r>
      <w:r w:rsidR="00DA2B11">
        <w:t xml:space="preserve">. </w:t>
      </w:r>
    </w:p>
    <w:p w14:paraId="3F6EF6F4" w14:textId="54D63C96" w:rsidR="006F190D" w:rsidRPr="00555678" w:rsidRDefault="00F30C69" w:rsidP="00EA041C">
      <w:pPr>
        <w:pStyle w:val="Heading3"/>
      </w:pPr>
      <w:bookmarkStart w:id="26" w:name="_Toc173326310"/>
      <w:r>
        <w:t xml:space="preserve">2.1.9 </w:t>
      </w:r>
      <w:r w:rsidR="00555678" w:rsidRPr="00555678">
        <w:t>C</w:t>
      </w:r>
      <w:r w:rsidR="006F190D" w:rsidRPr="00555678">
        <w:t>oordinated and complementary</w:t>
      </w:r>
      <w:r w:rsidR="00555678" w:rsidRPr="00555678">
        <w:t xml:space="preserve"> approaches</w:t>
      </w:r>
      <w:bookmarkEnd w:id="26"/>
      <w:r w:rsidR="006F190D" w:rsidRPr="00555678">
        <w:t xml:space="preserve"> </w:t>
      </w:r>
    </w:p>
    <w:p w14:paraId="206A94D0" w14:textId="19373FAE" w:rsidR="009F1C86" w:rsidRDefault="0062431E" w:rsidP="00EA041C">
      <w:r w:rsidRPr="0080752C">
        <w:t xml:space="preserve">Partners valued Australia’s flexibility as a donor. The provision of core funding in particular enabled </w:t>
      </w:r>
      <w:r w:rsidR="00A80809">
        <w:t>partners</w:t>
      </w:r>
      <w:r w:rsidRPr="0080752C">
        <w:t xml:space="preserve"> to adapt their programs according to needs as they emerged.</w:t>
      </w:r>
      <w:r w:rsidR="00273ED0">
        <w:t xml:space="preserve"> </w:t>
      </w:r>
      <w:r w:rsidR="00ED224F">
        <w:t xml:space="preserve">DFAT staff consistently and effectively engage with </w:t>
      </w:r>
      <w:r w:rsidR="00262688">
        <w:t>authorities in the West Bank, as well as</w:t>
      </w:r>
      <w:r w:rsidR="00093D2A">
        <w:t xml:space="preserve"> with</w:t>
      </w:r>
      <w:r w:rsidR="00262688">
        <w:t xml:space="preserve"> other donors</w:t>
      </w:r>
      <w:r w:rsidR="006617F6">
        <w:t xml:space="preserve">. The sectoral and thematic focus of the current program is </w:t>
      </w:r>
      <w:r w:rsidR="00B55015">
        <w:t xml:space="preserve">well </w:t>
      </w:r>
      <w:r w:rsidR="006617F6">
        <w:t xml:space="preserve">aligned with </w:t>
      </w:r>
      <w:r w:rsidR="00863EA3">
        <w:t xml:space="preserve">priorities and needs. </w:t>
      </w:r>
      <w:r w:rsidR="00CF3B75">
        <w:t>A</w:t>
      </w:r>
      <w:r w:rsidR="00C172A3">
        <w:t xml:space="preserve">dditional programming around women’s economic development and / or social protection </w:t>
      </w:r>
      <w:r w:rsidR="00CF3B75">
        <w:t xml:space="preserve">could be considered in a future program. </w:t>
      </w:r>
      <w:r w:rsidR="00DE1CBF">
        <w:t xml:space="preserve">This would also reflect the government’s bilateral priorities and </w:t>
      </w:r>
      <w:r w:rsidR="00A80809">
        <w:t>the International</w:t>
      </w:r>
      <w:r w:rsidR="00DE1CBF">
        <w:t xml:space="preserve"> </w:t>
      </w:r>
      <w:r w:rsidR="00A80809">
        <w:t>D</w:t>
      </w:r>
      <w:r w:rsidR="00DE1CBF">
        <w:t xml:space="preserve">evelopment </w:t>
      </w:r>
      <w:r w:rsidR="00A80809">
        <w:t>P</w:t>
      </w:r>
      <w:r w:rsidR="00DE1CBF">
        <w:t xml:space="preserve">olicy. </w:t>
      </w:r>
    </w:p>
    <w:p w14:paraId="16B6DAE9" w14:textId="3532B45E" w:rsidR="006F190D" w:rsidRPr="00F47142" w:rsidRDefault="00F30C69" w:rsidP="00EA041C">
      <w:pPr>
        <w:pStyle w:val="Heading3"/>
      </w:pPr>
      <w:bookmarkStart w:id="27" w:name="_Toc173326311"/>
      <w:r>
        <w:t xml:space="preserve">2.1.10 </w:t>
      </w:r>
      <w:r w:rsidR="00111721" w:rsidRPr="00F47142">
        <w:t>Accountability to affected communities</w:t>
      </w:r>
      <w:bookmarkEnd w:id="27"/>
      <w:r w:rsidR="00F47142" w:rsidRPr="00F47142">
        <w:t xml:space="preserve"> </w:t>
      </w:r>
    </w:p>
    <w:p w14:paraId="412039F5" w14:textId="2FDA387F" w:rsidR="00934043" w:rsidRPr="0080752C" w:rsidRDefault="00863EA3" w:rsidP="00EA041C">
      <w:r>
        <w:t>There is g</w:t>
      </w:r>
      <w:r w:rsidR="00635D81" w:rsidRPr="0080752C">
        <w:t xml:space="preserve">ood </w:t>
      </w:r>
      <w:r w:rsidR="00934043" w:rsidRPr="0080752C">
        <w:t xml:space="preserve">evidence of </w:t>
      </w:r>
      <w:r w:rsidR="00DA70DA">
        <w:t xml:space="preserve">implementing partners </w:t>
      </w:r>
      <w:r w:rsidR="00534031">
        <w:t xml:space="preserve">understanding </w:t>
      </w:r>
      <w:r w:rsidR="00DA70DA">
        <w:t xml:space="preserve">the </w:t>
      </w:r>
      <w:r w:rsidR="00534031">
        <w:t>needs of affected people and communities.</w:t>
      </w:r>
      <w:r w:rsidR="00301DEA">
        <w:t xml:space="preserve"> </w:t>
      </w:r>
      <w:r w:rsidR="00B32380">
        <w:t xml:space="preserve">Part of this is </w:t>
      </w:r>
      <w:r w:rsidR="004E40CD">
        <w:t xml:space="preserve">attributable to the large number of Palestinian staff employed </w:t>
      </w:r>
      <w:r w:rsidR="00203568">
        <w:t xml:space="preserve">who contribute their lived experience to </w:t>
      </w:r>
      <w:r w:rsidR="002D03BE">
        <w:t xml:space="preserve">planning and </w:t>
      </w:r>
      <w:r w:rsidR="00572AE2">
        <w:t xml:space="preserve">program </w:t>
      </w:r>
      <w:r w:rsidR="002D03BE">
        <w:t>delivery processes. UNRWA employs 13,000 s</w:t>
      </w:r>
      <w:r w:rsidR="00A13199">
        <w:t xml:space="preserve">taff in Gaza alone. </w:t>
      </w:r>
      <w:r w:rsidR="00301DEA">
        <w:t>UNICEF</w:t>
      </w:r>
      <w:r w:rsidR="00EA6B38">
        <w:t xml:space="preserve"> has child-centred mechanisms to ensure the </w:t>
      </w:r>
      <w:r w:rsidR="00146B52">
        <w:t xml:space="preserve">perspectives and hopes of children are included in annual planning processes. </w:t>
      </w:r>
      <w:r w:rsidR="00B32380">
        <w:t>A</w:t>
      </w:r>
      <w:r w:rsidR="00934043" w:rsidRPr="0080752C">
        <w:t xml:space="preserve">MENCA and ANCP </w:t>
      </w:r>
      <w:r w:rsidR="001978FD">
        <w:t xml:space="preserve">activities </w:t>
      </w:r>
      <w:r w:rsidR="0086687B">
        <w:t xml:space="preserve">were / </w:t>
      </w:r>
      <w:r w:rsidR="00A13199">
        <w:t xml:space="preserve">are </w:t>
      </w:r>
      <w:r w:rsidR="00934043" w:rsidRPr="0080752C">
        <w:t>embedded with the communities, acting on community feedback</w:t>
      </w:r>
      <w:r w:rsidR="00180A84">
        <w:t xml:space="preserve"> to adjust activities</w:t>
      </w:r>
      <w:r w:rsidR="00B32380">
        <w:t>. T</w:t>
      </w:r>
      <w:r w:rsidR="00B15710" w:rsidRPr="0080752C">
        <w:t xml:space="preserve">here is also evidence of partner accountability mechanisms in place, primarily complaints mechanisms for </w:t>
      </w:r>
      <w:r w:rsidR="00B15710" w:rsidRPr="0080752C">
        <w:lastRenderedPageBreak/>
        <w:t>program participants.</w:t>
      </w:r>
      <w:r w:rsidR="001978FD">
        <w:t xml:space="preserve"> </w:t>
      </w:r>
      <w:r w:rsidR="008B302C">
        <w:t xml:space="preserve">This is good practice and </w:t>
      </w:r>
      <w:r w:rsidR="00060F99">
        <w:t>accountability should remain a key program principle for future investments in the OPT</w:t>
      </w:r>
      <w:r w:rsidR="00951F3D">
        <w:t>s</w:t>
      </w:r>
      <w:r w:rsidR="00060F99">
        <w:t xml:space="preserve">. </w:t>
      </w:r>
    </w:p>
    <w:p w14:paraId="5C7754B3" w14:textId="417E9952" w:rsidR="00F15D93" w:rsidRDefault="00F30C69" w:rsidP="00EA041C">
      <w:pPr>
        <w:pStyle w:val="Heading3"/>
      </w:pPr>
      <w:bookmarkStart w:id="28" w:name="_Toc173326312"/>
      <w:r>
        <w:t>2.1.11</w:t>
      </w:r>
      <w:r w:rsidR="00427549">
        <w:t xml:space="preserve"> </w:t>
      </w:r>
      <w:r w:rsidR="004E6250" w:rsidRPr="004E6250">
        <w:t>Multi-year funding</w:t>
      </w:r>
      <w:bookmarkEnd w:id="28"/>
      <w:r w:rsidR="004E6250" w:rsidRPr="004E6250">
        <w:t xml:space="preserve"> </w:t>
      </w:r>
    </w:p>
    <w:p w14:paraId="47DF08CE" w14:textId="4425EBD0" w:rsidR="004C6640" w:rsidRDefault="00BF2F7E" w:rsidP="00EA041C">
      <w:r w:rsidRPr="00914C6F">
        <w:rPr>
          <w:rStyle w:val="cf01"/>
          <w:rFonts w:asciiTheme="minorHAnsi" w:hAnsiTheme="minorHAnsi" w:cstheme="minorHAnsi"/>
          <w:sz w:val="22"/>
          <w:szCs w:val="22"/>
        </w:rPr>
        <w:t>P</w:t>
      </w:r>
      <w:r w:rsidR="00250F8E" w:rsidRPr="00914C6F">
        <w:rPr>
          <w:rStyle w:val="cf01"/>
          <w:rFonts w:asciiTheme="minorHAnsi" w:hAnsiTheme="minorHAnsi" w:cstheme="minorHAnsi"/>
          <w:sz w:val="22"/>
          <w:szCs w:val="22"/>
        </w:rPr>
        <w:t xml:space="preserve">revious reviews have highlighted the importance of multi-year funding </w:t>
      </w:r>
      <w:r w:rsidR="00F15D93">
        <w:rPr>
          <w:rStyle w:val="cf01"/>
          <w:rFonts w:asciiTheme="minorHAnsi" w:hAnsiTheme="minorHAnsi" w:cstheme="minorHAnsi"/>
          <w:sz w:val="22"/>
          <w:szCs w:val="22"/>
        </w:rPr>
        <w:t>as</w:t>
      </w:r>
      <w:r w:rsidR="00250F8E" w:rsidRPr="00914C6F">
        <w:rPr>
          <w:rStyle w:val="cf01"/>
          <w:rFonts w:asciiTheme="minorHAnsi" w:hAnsiTheme="minorHAnsi" w:cstheme="minorHAnsi"/>
          <w:sz w:val="22"/>
          <w:szCs w:val="22"/>
        </w:rPr>
        <w:t xml:space="preserve"> a principle of effective aid delivery. </w:t>
      </w:r>
      <w:r w:rsidR="003544DF">
        <w:rPr>
          <w:rStyle w:val="cf01"/>
          <w:rFonts w:asciiTheme="minorHAnsi" w:hAnsiTheme="minorHAnsi" w:cstheme="minorHAnsi"/>
          <w:sz w:val="22"/>
          <w:szCs w:val="22"/>
        </w:rPr>
        <w:t>However,</w:t>
      </w:r>
      <w:r w:rsidR="00041085">
        <w:rPr>
          <w:rStyle w:val="cf01"/>
          <w:rFonts w:asciiTheme="minorHAnsi" w:hAnsiTheme="minorHAnsi" w:cstheme="minorHAnsi"/>
          <w:sz w:val="22"/>
          <w:szCs w:val="22"/>
        </w:rPr>
        <w:t xml:space="preserve"> the program </w:t>
      </w:r>
      <w:r w:rsidR="001F3671">
        <w:rPr>
          <w:rStyle w:val="cf01"/>
          <w:rFonts w:asciiTheme="minorHAnsi" w:hAnsiTheme="minorHAnsi" w:cstheme="minorHAnsi"/>
          <w:sz w:val="22"/>
          <w:szCs w:val="22"/>
        </w:rPr>
        <w:t xml:space="preserve">continued to have </w:t>
      </w:r>
      <w:r w:rsidR="00617A8E">
        <w:rPr>
          <w:rStyle w:val="cf01"/>
          <w:rFonts w:asciiTheme="minorHAnsi" w:hAnsiTheme="minorHAnsi" w:cstheme="minorHAnsi"/>
          <w:sz w:val="22"/>
          <w:szCs w:val="22"/>
        </w:rPr>
        <w:t>annual</w:t>
      </w:r>
      <w:r w:rsidR="001F3671">
        <w:rPr>
          <w:rStyle w:val="cf01"/>
          <w:rFonts w:asciiTheme="minorHAnsi" w:hAnsiTheme="minorHAnsi" w:cstheme="minorHAnsi"/>
          <w:sz w:val="22"/>
          <w:szCs w:val="22"/>
        </w:rPr>
        <w:t xml:space="preserve"> funding during the </w:t>
      </w:r>
      <w:r w:rsidR="00A64445">
        <w:rPr>
          <w:rStyle w:val="cf01"/>
          <w:rFonts w:asciiTheme="minorHAnsi" w:hAnsiTheme="minorHAnsi" w:cstheme="minorHAnsi"/>
          <w:sz w:val="22"/>
          <w:szCs w:val="22"/>
        </w:rPr>
        <w:t>review scope period</w:t>
      </w:r>
      <w:r w:rsidR="00420A19">
        <w:rPr>
          <w:rStyle w:val="cf01"/>
          <w:rFonts w:asciiTheme="minorHAnsi" w:hAnsiTheme="minorHAnsi" w:cstheme="minorHAnsi"/>
          <w:sz w:val="22"/>
          <w:szCs w:val="22"/>
        </w:rPr>
        <w:t>, the reason for which is unclear</w:t>
      </w:r>
      <w:r w:rsidR="00A64445">
        <w:rPr>
          <w:rStyle w:val="cf01"/>
          <w:rFonts w:asciiTheme="minorHAnsi" w:hAnsiTheme="minorHAnsi" w:cstheme="minorHAnsi"/>
          <w:sz w:val="22"/>
          <w:szCs w:val="22"/>
        </w:rPr>
        <w:t>.</w:t>
      </w:r>
      <w:r w:rsidR="00F4561E">
        <w:rPr>
          <w:rStyle w:val="cf01"/>
          <w:rFonts w:asciiTheme="minorHAnsi" w:hAnsiTheme="minorHAnsi" w:cstheme="minorHAnsi"/>
          <w:sz w:val="22"/>
          <w:szCs w:val="22"/>
        </w:rPr>
        <w:t xml:space="preserve"> </w:t>
      </w:r>
      <w:r w:rsidR="008E338F" w:rsidRPr="0080752C">
        <w:t xml:space="preserve">The benefits of multi-year funding </w:t>
      </w:r>
      <w:r w:rsidR="00740045" w:rsidRPr="0080752C">
        <w:t>were highlighted consistently through the review process</w:t>
      </w:r>
      <w:r w:rsidR="004C6640">
        <w:t>,</w:t>
      </w:r>
      <w:r w:rsidR="00A43984">
        <w:t xml:space="preserve"> with DFAT’s current partners explaining the challenges they have experienced with </w:t>
      </w:r>
      <w:r>
        <w:t>single-year funding</w:t>
      </w:r>
      <w:r w:rsidR="009B6F07">
        <w:t xml:space="preserve">, particularly in being able to plan </w:t>
      </w:r>
      <w:r w:rsidR="004C6640">
        <w:t xml:space="preserve">programs ahead </w:t>
      </w:r>
      <w:r w:rsidR="009B6F07">
        <w:t>and retain staff</w:t>
      </w:r>
      <w:r w:rsidR="00740045" w:rsidRPr="0080752C">
        <w:t>.</w:t>
      </w:r>
    </w:p>
    <w:p w14:paraId="5B8A4EE7" w14:textId="03AE1C41" w:rsidR="00817982" w:rsidRPr="004C6640" w:rsidRDefault="004C6640" w:rsidP="00EA041C">
      <w:pPr>
        <w:rPr>
          <w:b/>
          <w:bCs/>
        </w:rPr>
      </w:pPr>
      <w:r>
        <w:t>A</w:t>
      </w:r>
      <w:r w:rsidR="00740045" w:rsidRPr="0080752C">
        <w:t>dvantages</w:t>
      </w:r>
      <w:r>
        <w:t xml:space="preserve"> of multi-year funding</w:t>
      </w:r>
      <w:r w:rsidR="00740045" w:rsidRPr="0080752C">
        <w:t xml:space="preserve"> </w:t>
      </w:r>
      <w:r w:rsidR="00C177F5">
        <w:t>include</w:t>
      </w:r>
      <w:r w:rsidR="00740045" w:rsidRPr="0080752C">
        <w:t xml:space="preserve"> </w:t>
      </w:r>
      <w:r w:rsidR="00823C95" w:rsidRPr="0080752C">
        <w:t>being able to retain high performing staff</w:t>
      </w:r>
      <w:r w:rsidR="00C177F5">
        <w:t xml:space="preserve">, </w:t>
      </w:r>
      <w:r w:rsidR="00347770">
        <w:t xml:space="preserve">plan and implement programs </w:t>
      </w:r>
      <w:r w:rsidR="00556036">
        <w:t xml:space="preserve">with </w:t>
      </w:r>
      <w:r w:rsidR="00347770">
        <w:t>impact beyond one year,</w:t>
      </w:r>
      <w:r w:rsidR="00556036">
        <w:t xml:space="preserve"> and effectively resource</w:t>
      </w:r>
      <w:r w:rsidR="00347770">
        <w:t xml:space="preserve"> </w:t>
      </w:r>
      <w:r w:rsidR="00556036">
        <w:t>evaluations to test long-term impact</w:t>
      </w:r>
      <w:r w:rsidR="00663C82" w:rsidRPr="0080752C">
        <w:t xml:space="preserve">. </w:t>
      </w:r>
      <w:r w:rsidR="00817982" w:rsidRPr="0080752C">
        <w:t>Stakeholders noted</w:t>
      </w:r>
      <w:r w:rsidR="00BF4334">
        <w:t xml:space="preserve"> multi-year funding </w:t>
      </w:r>
      <w:r w:rsidR="00817982" w:rsidRPr="0080752C">
        <w:t xml:space="preserve">enables strategic planning, opportunities to identify longer term outcomes and impact, workforce retention and the formation and maintenance of productive </w:t>
      </w:r>
      <w:r w:rsidR="00BF4334">
        <w:t>working relationships</w:t>
      </w:r>
      <w:r w:rsidR="00817982" w:rsidRPr="0080752C">
        <w:t xml:space="preserve"> between DFAT and</w:t>
      </w:r>
      <w:r w:rsidR="00BF4334">
        <w:t xml:space="preserve"> its</w:t>
      </w:r>
      <w:r w:rsidR="00817982" w:rsidRPr="0080752C">
        <w:t xml:space="preserve"> implementing partners.</w:t>
      </w:r>
    </w:p>
    <w:p w14:paraId="342C437B" w14:textId="5F34C4C8" w:rsidR="00686C5F" w:rsidRPr="00686C5F" w:rsidRDefault="00427549" w:rsidP="00EA041C">
      <w:pPr>
        <w:pStyle w:val="Heading3"/>
      </w:pPr>
      <w:bookmarkStart w:id="29" w:name="_Toc173326313"/>
      <w:r>
        <w:t xml:space="preserve">2.1.12 </w:t>
      </w:r>
      <w:r w:rsidR="00686C5F" w:rsidRPr="00686C5F">
        <w:t>Climate Change</w:t>
      </w:r>
      <w:bookmarkEnd w:id="29"/>
      <w:r w:rsidR="00686C5F" w:rsidRPr="00686C5F">
        <w:t xml:space="preserve"> </w:t>
      </w:r>
    </w:p>
    <w:p w14:paraId="509FB73B" w14:textId="073B45F5" w:rsidR="004823E9" w:rsidRPr="00374D42" w:rsidRDefault="00427549" w:rsidP="00EA041C">
      <w:r>
        <w:t>Similar to much of the world, the</w:t>
      </w:r>
      <w:r w:rsidR="000A19D9">
        <w:t xml:space="preserve"> effect</w:t>
      </w:r>
      <w:r>
        <w:t xml:space="preserve"> of climate change </w:t>
      </w:r>
      <w:r w:rsidR="006A1C6F">
        <w:t>is</w:t>
      </w:r>
      <w:r>
        <w:t xml:space="preserve"> being felt in the OPT</w:t>
      </w:r>
      <w:r w:rsidR="00951F3D">
        <w:t>s</w:t>
      </w:r>
      <w:r>
        <w:t xml:space="preserve">, particularly in terms of </w:t>
      </w:r>
      <w:r w:rsidR="004D1C52">
        <w:t>increased temperatures</w:t>
      </w:r>
      <w:r w:rsidR="002A6F20">
        <w:t xml:space="preserve"> and more intense weather events (e.g.</w:t>
      </w:r>
      <w:r w:rsidR="0043290B">
        <w:t xml:space="preserve">, </w:t>
      </w:r>
      <w:r w:rsidR="002A6F20">
        <w:t xml:space="preserve">floods and droughts) which impact on </w:t>
      </w:r>
      <w:r>
        <w:t xml:space="preserve">access to </w:t>
      </w:r>
      <w:r w:rsidR="00134043">
        <w:t>water and viable</w:t>
      </w:r>
      <w:r w:rsidR="00C67152">
        <w:t xml:space="preserve"> agricultural and grazing</w:t>
      </w:r>
      <w:r w:rsidR="00134043">
        <w:t xml:space="preserve"> land. Whilst some of this access is being controlled</w:t>
      </w:r>
      <w:r w:rsidR="0086687B">
        <w:t xml:space="preserve"> politically</w:t>
      </w:r>
      <w:r w:rsidR="00134043">
        <w:t>, the review heard there could be greater support provided to Palestinian institutions</w:t>
      </w:r>
      <w:r w:rsidR="006135DC">
        <w:t xml:space="preserve"> grappling with th</w:t>
      </w:r>
      <w:r w:rsidR="00FD0B2D">
        <w:t xml:space="preserve">e </w:t>
      </w:r>
      <w:r w:rsidR="006135DC">
        <w:t>challenge</w:t>
      </w:r>
      <w:r w:rsidR="00FD0B2D">
        <w:t>s of climate change</w:t>
      </w:r>
      <w:r w:rsidR="006135DC">
        <w:t xml:space="preserve">. </w:t>
      </w:r>
      <w:r w:rsidR="006A1C6F">
        <w:t>Other k</w:t>
      </w:r>
      <w:r w:rsidR="002F764C">
        <w:t>ey areas of concern</w:t>
      </w:r>
      <w:r w:rsidR="00C67152">
        <w:t xml:space="preserve"> include</w:t>
      </w:r>
      <w:r w:rsidR="002F764C">
        <w:t xml:space="preserve"> pollution prevention, environmental protection, climate change awareness, international cooperation</w:t>
      </w:r>
      <w:r w:rsidR="00C67152">
        <w:t xml:space="preserve"> and </w:t>
      </w:r>
      <w:r w:rsidR="002F764C">
        <w:t>legislation.</w:t>
      </w:r>
      <w:r w:rsidR="0043290B">
        <w:t xml:space="preserve"> This is an emerging area where Australia could </w:t>
      </w:r>
      <w:r w:rsidR="00631A4C">
        <w:t xml:space="preserve">respond through institutional capacity strengthening and </w:t>
      </w:r>
      <w:r w:rsidR="00F22A15">
        <w:t xml:space="preserve">advocacy for more accessible global financing. </w:t>
      </w:r>
    </w:p>
    <w:p w14:paraId="6818F438" w14:textId="77777777" w:rsidR="00824616" w:rsidRDefault="003F119F" w:rsidP="00EA041C">
      <w:pPr>
        <w:rPr>
          <w:color w:val="000000" w:themeColor="text1"/>
          <w:lang w:eastAsia="en-AU"/>
        </w:rPr>
      </w:pPr>
      <w:r w:rsidRPr="003F119F">
        <w:rPr>
          <w:noProof/>
          <w:lang w:eastAsia="en-AU"/>
        </w:rPr>
        <mc:AlternateContent>
          <mc:Choice Requires="wps">
            <w:drawing>
              <wp:inline distT="0" distB="0" distL="0" distR="0" wp14:anchorId="0B4D196D" wp14:editId="28CE1723">
                <wp:extent cx="5570220" cy="457200"/>
                <wp:effectExtent l="0" t="0" r="11430" b="19050"/>
                <wp:docPr id="300132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457200"/>
                        </a:xfrm>
                        <a:prstGeom prst="rect">
                          <a:avLst/>
                        </a:prstGeom>
                        <a:solidFill>
                          <a:srgbClr val="FFFFFF"/>
                        </a:solidFill>
                        <a:ln w="9525">
                          <a:solidFill>
                            <a:srgbClr val="000000"/>
                          </a:solidFill>
                          <a:miter lim="800000"/>
                          <a:headEnd/>
                          <a:tailEnd/>
                        </a:ln>
                      </wps:spPr>
                      <wps:txbx>
                        <w:txbxContent>
                          <w:p w14:paraId="3B6D239B" w14:textId="1A7A853B" w:rsidR="003F119F" w:rsidRPr="00374D42" w:rsidRDefault="006F6B3E" w:rsidP="00EA041C">
                            <w:r w:rsidRPr="00374D42">
                              <w:t xml:space="preserve">Are risks and safeguards sufficiently accounted </w:t>
                            </w:r>
                            <w:r w:rsidR="00DD30F4">
                              <w:t xml:space="preserve">for? </w:t>
                            </w:r>
                            <w:r w:rsidR="006A0D30">
                              <w:t>H</w:t>
                            </w:r>
                            <w:r w:rsidRPr="00374D42">
                              <w:t>ave DFAT’s investment risk management practices been adequately applied?</w:t>
                            </w:r>
                          </w:p>
                        </w:txbxContent>
                      </wps:txbx>
                      <wps:bodyPr rot="0" vert="horz" wrap="square" lIns="91440" tIns="45720" rIns="91440" bIns="45720" anchor="t" anchorCtr="0">
                        <a:noAutofit/>
                      </wps:bodyPr>
                    </wps:wsp>
                  </a:graphicData>
                </a:graphic>
              </wp:inline>
            </w:drawing>
          </mc:Choice>
          <mc:Fallback>
            <w:pict>
              <v:shape w14:anchorId="0B4D196D" id="_x0000_s1028" type="#_x0000_t202" style="width:438.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">
                <v:textbox>
                  <w:txbxContent>
                    <w:p w14:paraId="3B6D239B" w14:textId="1A7A853B" w:rsidR="003F119F" w:rsidRPr="00374D42" w:rsidRDefault="006F6B3E" w:rsidP="00EA041C">
                      <w:r w:rsidRPr="00374D42">
                        <w:t xml:space="preserve">Are risks and safeguards sufficiently accounted </w:t>
                      </w:r>
                      <w:r w:rsidR="00DD30F4">
                        <w:t xml:space="preserve">for? </w:t>
                      </w:r>
                      <w:r w:rsidR="006A0D30">
                        <w:t>H</w:t>
                      </w:r>
                      <w:r w:rsidRPr="00374D42">
                        <w:t>ave DFAT’s investment risk management practices been adequately applied?</w:t>
                      </w:r>
                    </w:p>
                  </w:txbxContent>
                </v:textbox>
                <w10:anchorlock/>
              </v:shape>
            </w:pict>
          </mc:Fallback>
        </mc:AlternateContent>
      </w:r>
    </w:p>
    <w:p w14:paraId="3569EB1A" w14:textId="1B6463FA" w:rsidR="003F119F" w:rsidRPr="002025B2" w:rsidRDefault="006504A8" w:rsidP="00EA041C">
      <w:pPr>
        <w:pStyle w:val="Heading2"/>
        <w:rPr>
          <w:lang w:eastAsia="en-AU"/>
        </w:rPr>
      </w:pPr>
      <w:bookmarkStart w:id="30" w:name="_Toc173326314"/>
      <w:r w:rsidRPr="00AE6346">
        <w:rPr>
          <w:lang w:eastAsia="en-AU"/>
        </w:rPr>
        <w:t xml:space="preserve">2.2 </w:t>
      </w:r>
      <w:r w:rsidR="00805BEE" w:rsidRPr="00AE6346">
        <w:rPr>
          <w:lang w:eastAsia="en-AU"/>
        </w:rPr>
        <w:t>Risks and Safeguards</w:t>
      </w:r>
      <w:bookmarkEnd w:id="30"/>
    </w:p>
    <w:p w14:paraId="6471315E" w14:textId="755C28B6" w:rsidR="001C2702" w:rsidRPr="002025B2" w:rsidRDefault="00501409" w:rsidP="00EA041C">
      <w:pPr>
        <w:rPr>
          <w:lang w:eastAsia="en-AU"/>
        </w:rPr>
      </w:pPr>
      <w:r w:rsidRPr="00F43137">
        <w:rPr>
          <w:lang w:eastAsia="en-AU"/>
        </w:rPr>
        <w:t>T</w:t>
      </w:r>
      <w:r w:rsidR="00AC6F03" w:rsidRPr="0080752C">
        <w:rPr>
          <w:lang w:eastAsia="en-AU"/>
        </w:rPr>
        <w:t xml:space="preserve">he </w:t>
      </w:r>
      <w:r w:rsidR="00040680">
        <w:rPr>
          <w:lang w:eastAsia="en-AU"/>
        </w:rPr>
        <w:t xml:space="preserve">operating </w:t>
      </w:r>
      <w:r w:rsidR="00AC6F03" w:rsidRPr="0080752C">
        <w:rPr>
          <w:lang w:eastAsia="en-AU"/>
        </w:rPr>
        <w:t xml:space="preserve">context is not risk free and this is unlikely to change in the medium to long term. The level of DFAT’s risk acceptance </w:t>
      </w:r>
      <w:r w:rsidR="00DA2EF1">
        <w:rPr>
          <w:lang w:eastAsia="en-AU"/>
        </w:rPr>
        <w:t>has been</w:t>
      </w:r>
      <w:r w:rsidR="00DA2EF1" w:rsidRPr="0080752C">
        <w:rPr>
          <w:lang w:eastAsia="en-AU"/>
        </w:rPr>
        <w:t xml:space="preserve"> </w:t>
      </w:r>
      <w:r w:rsidR="00AC6F03" w:rsidRPr="0080752C">
        <w:rPr>
          <w:lang w:eastAsia="en-AU"/>
        </w:rPr>
        <w:t xml:space="preserve">an important determining factor </w:t>
      </w:r>
      <w:r w:rsidR="008A1361">
        <w:rPr>
          <w:lang w:eastAsia="en-AU"/>
        </w:rPr>
        <w:t>when selecting partners</w:t>
      </w:r>
      <w:r w:rsidR="00AC6F03" w:rsidRPr="0080752C">
        <w:rPr>
          <w:lang w:eastAsia="en-AU"/>
        </w:rPr>
        <w:t xml:space="preserve">. </w:t>
      </w:r>
      <w:r w:rsidR="0062236F" w:rsidRPr="00F43137">
        <w:rPr>
          <w:lang w:eastAsia="en-AU"/>
        </w:rPr>
        <w:t>Current and past</w:t>
      </w:r>
      <w:r w:rsidR="00AC6F03" w:rsidRPr="0080752C">
        <w:rPr>
          <w:lang w:eastAsia="en-AU"/>
        </w:rPr>
        <w:t xml:space="preserve"> partners </w:t>
      </w:r>
      <w:r w:rsidR="0062236F">
        <w:rPr>
          <w:lang w:eastAsia="en-AU"/>
        </w:rPr>
        <w:t>have been effective in</w:t>
      </w:r>
      <w:r w:rsidR="00AC6F03" w:rsidRPr="0080752C">
        <w:rPr>
          <w:lang w:eastAsia="en-AU"/>
        </w:rPr>
        <w:t xml:space="preserve"> describ</w:t>
      </w:r>
      <w:r w:rsidR="0062236F">
        <w:rPr>
          <w:lang w:eastAsia="en-AU"/>
        </w:rPr>
        <w:t>ing</w:t>
      </w:r>
      <w:r w:rsidR="00AC6F03" w:rsidRPr="0080752C">
        <w:rPr>
          <w:lang w:eastAsia="en-AU"/>
        </w:rPr>
        <w:t xml:space="preserve"> the risk and safeguarding policies and systems they have in </w:t>
      </w:r>
      <w:r w:rsidR="00EC0939" w:rsidRPr="0080752C">
        <w:rPr>
          <w:lang w:eastAsia="en-AU"/>
        </w:rPr>
        <w:t>place</w:t>
      </w:r>
      <w:r w:rsidR="00EC0939">
        <w:rPr>
          <w:lang w:eastAsia="en-AU"/>
        </w:rPr>
        <w:t xml:space="preserve"> and</w:t>
      </w:r>
      <w:r w:rsidR="00F37E96">
        <w:rPr>
          <w:lang w:eastAsia="en-AU"/>
        </w:rPr>
        <w:t xml:space="preserve"> have passed DFAT’s due diligence processes</w:t>
      </w:r>
      <w:r w:rsidR="00AC6F03" w:rsidRPr="0080752C">
        <w:rPr>
          <w:lang w:eastAsia="en-AU"/>
        </w:rPr>
        <w:t xml:space="preserve">. The visit also provided an opportunity to reinforce the importance of </w:t>
      </w:r>
      <w:r w:rsidR="0084420C">
        <w:rPr>
          <w:lang w:eastAsia="en-AU"/>
        </w:rPr>
        <w:t>notifying DFAT of emerging</w:t>
      </w:r>
      <w:r w:rsidR="00AC6F03" w:rsidRPr="0080752C">
        <w:rPr>
          <w:lang w:eastAsia="en-AU"/>
        </w:rPr>
        <w:t xml:space="preserve"> issues</w:t>
      </w:r>
      <w:r w:rsidR="0084420C">
        <w:rPr>
          <w:lang w:eastAsia="en-AU"/>
        </w:rPr>
        <w:t xml:space="preserve"> proactively and </w:t>
      </w:r>
      <w:r w:rsidR="00AC6F03" w:rsidRPr="0080752C">
        <w:rPr>
          <w:lang w:eastAsia="en-AU"/>
        </w:rPr>
        <w:t xml:space="preserve">demonstrating responsiveness. The team did not receive any reports or find issues of concern during the visit. </w:t>
      </w:r>
    </w:p>
    <w:p w14:paraId="711DA463" w14:textId="32328338" w:rsidR="00AC6F03" w:rsidRPr="007F404E" w:rsidRDefault="00F22A15" w:rsidP="00166B70">
      <w:pPr>
        <w:pStyle w:val="Heading3"/>
        <w:rPr>
          <w:rFonts w:eastAsiaTheme="majorEastAsia" w:cs="Calibri"/>
          <w:sz w:val="20"/>
          <w:lang w:eastAsia="en-AU"/>
        </w:rPr>
      </w:pPr>
      <w:bookmarkStart w:id="31" w:name="_Toc173326315"/>
      <w:r>
        <w:t xml:space="preserve">2.2.1 </w:t>
      </w:r>
      <w:r w:rsidR="007F404E" w:rsidRPr="007F404E">
        <w:t>R</w:t>
      </w:r>
      <w:r w:rsidR="00AC6F03" w:rsidRPr="007F404E">
        <w:t>isk management practices</w:t>
      </w:r>
      <w:bookmarkEnd w:id="31"/>
    </w:p>
    <w:p w14:paraId="19386CA4" w14:textId="127C22FA" w:rsidR="00AC6F03" w:rsidRPr="0080752C" w:rsidRDefault="00AC6F03" w:rsidP="00166B70">
      <w:r w:rsidRPr="0080752C">
        <w:t>DFAT’s investment risk management practices are adequate given resources available. Risk management is limited by the time available to staff, and the focus on managing the risk of diversion of finances. DFAT staff in Canberra and at Post are acutely aware of the risks faced by the aid program in the OPT</w:t>
      </w:r>
      <w:r w:rsidR="00951F3D">
        <w:t>s</w:t>
      </w:r>
      <w:r w:rsidRPr="0080752C">
        <w:t>. The time required to effectively manage risk is extended by the public attention received by the OPT</w:t>
      </w:r>
      <w:r w:rsidR="00951F3D">
        <w:t>s</w:t>
      </w:r>
      <w:r w:rsidRPr="0080752C">
        <w:t xml:space="preserve"> aid program and the lobbying it receives. Any risk event</w:t>
      </w:r>
      <w:r w:rsidR="00CC4683">
        <w:t xml:space="preserve"> (</w:t>
      </w:r>
      <w:r w:rsidR="005F7078">
        <w:t xml:space="preserve">including </w:t>
      </w:r>
      <w:r w:rsidR="00CC4683">
        <w:t>allegation</w:t>
      </w:r>
      <w:r w:rsidR="005F7078">
        <w:t>s</w:t>
      </w:r>
      <w:r w:rsidR="00CC4683">
        <w:t>)</w:t>
      </w:r>
      <w:r w:rsidRPr="0080752C">
        <w:t>, in addition to its negative impacts on stakeholders and partners, is likely to receive media attention. DFAT staff report investment of a substantive proportion of their time in managing these risks.</w:t>
      </w:r>
    </w:p>
    <w:p w14:paraId="5A95E61E" w14:textId="42AE67D0" w:rsidR="003D1E2E" w:rsidRDefault="00F22A15" w:rsidP="00166B70">
      <w:pPr>
        <w:pStyle w:val="Heading3"/>
      </w:pPr>
      <w:bookmarkStart w:id="32" w:name="_Toc173326316"/>
      <w:r>
        <w:lastRenderedPageBreak/>
        <w:t xml:space="preserve">2.2.2 </w:t>
      </w:r>
      <w:r w:rsidR="00AC6F03" w:rsidRPr="00EA6A0F">
        <w:t>Capability and capacity</w:t>
      </w:r>
      <w:bookmarkEnd w:id="32"/>
    </w:p>
    <w:p w14:paraId="59803D21" w14:textId="4C41F36A" w:rsidR="00AC6F03" w:rsidRPr="00AE077F" w:rsidRDefault="00832050" w:rsidP="00166B70">
      <w:pPr>
        <w:rPr>
          <w:b/>
          <w:bCs/>
        </w:rPr>
      </w:pPr>
      <w:r>
        <w:t>DFAT manages the OPT</w:t>
      </w:r>
      <w:r w:rsidR="00951F3D">
        <w:t>s</w:t>
      </w:r>
      <w:r>
        <w:t xml:space="preserve"> program with</w:t>
      </w:r>
      <w:r w:rsidR="00584724">
        <w:t xml:space="preserve"> limited resources at Desk and Post.</w:t>
      </w:r>
      <w:r w:rsidR="009E4903">
        <w:t xml:space="preserve"> </w:t>
      </w:r>
      <w:r w:rsidR="00AC6F03" w:rsidRPr="0080752C">
        <w:t xml:space="preserve">Further pressures have been placed on capacity by annual programming cycles, increasing the administrative burden on program staff as compared to multi-year programming cycles. This reduces the time available for risk </w:t>
      </w:r>
      <w:r w:rsidR="0065163B" w:rsidRPr="0080752C">
        <w:t>management and</w:t>
      </w:r>
      <w:r w:rsidR="00AC6F03" w:rsidRPr="0080752C">
        <w:t xml:space="preserve"> creates tension with program management requirements. </w:t>
      </w:r>
      <w:r w:rsidR="00706D32">
        <w:t xml:space="preserve"> </w:t>
      </w:r>
    </w:p>
    <w:p w14:paraId="0DF672BB" w14:textId="73CDBCBE" w:rsidR="00AC6F03" w:rsidRPr="00EF75DD" w:rsidRDefault="00F22A15" w:rsidP="00166B70">
      <w:pPr>
        <w:pStyle w:val="Heading3"/>
      </w:pPr>
      <w:bookmarkStart w:id="33" w:name="_Toc173326317"/>
      <w:r>
        <w:t xml:space="preserve">2.2.3 </w:t>
      </w:r>
      <w:r w:rsidR="00AC6F03" w:rsidRPr="00EF75DD">
        <w:t>Governance, funding arrangements and risk management discussions</w:t>
      </w:r>
      <w:bookmarkEnd w:id="33"/>
    </w:p>
    <w:p w14:paraId="429C1B8B" w14:textId="53EEFD66" w:rsidR="00AC6F03" w:rsidRPr="0080752C" w:rsidRDefault="00AC6F03" w:rsidP="00166B70">
      <w:bookmarkStart w:id="34" w:name="_Hlk146891638"/>
      <w:r w:rsidRPr="0080752C">
        <w:t>DFAT tailors its risk management practices to the risk profile of each organisation. Organisational risk profiles substantively inform preferred modalities and the selection of implementing partners</w:t>
      </w:r>
      <w:bookmarkEnd w:id="34"/>
      <w:r w:rsidRPr="0080752C">
        <w:t>.</w:t>
      </w:r>
      <w:r w:rsidR="00452343" w:rsidRPr="0080752C">
        <w:t xml:space="preserve"> </w:t>
      </w:r>
      <w:r w:rsidRPr="0080752C">
        <w:t>For example, the UNOPS project is not beneficiary-facing, and ICRC does not use downstream partners outside the Red Cross</w:t>
      </w:r>
      <w:r w:rsidR="00B91ED8">
        <w:t xml:space="preserve"> /</w:t>
      </w:r>
      <w:r w:rsidRPr="0080752C">
        <w:t xml:space="preserve"> Red Crescent Movement to implement its program. This is a highly appropriate strategy given the time available for program and risk management.</w:t>
      </w:r>
    </w:p>
    <w:p w14:paraId="79D97264" w14:textId="689DA331" w:rsidR="00AC6F03" w:rsidRPr="0080752C" w:rsidRDefault="00AC6F03" w:rsidP="00166B70">
      <w:r w:rsidRPr="0080752C">
        <w:t>Implementing partners are selected on an annual basis. While this may offer advantages in some high-risk environments, in the context of a protracted crisis such as the OPT</w:t>
      </w:r>
      <w:r w:rsidR="00951F3D">
        <w:t>s</w:t>
      </w:r>
      <w:r w:rsidRPr="0080752C">
        <w:t>, it can be detrimental. It can force implementing partners and their staff and contractors into short-term arrangements, which may make it more difficult for them to manage risk. As mentioned above, it also creates additional administrative burden on staff, which takes their time from risk management and strategic program management activities. This is further complicated by staff turnover</w:t>
      </w:r>
      <w:r w:rsidR="00452343">
        <w:t>,</w:t>
      </w:r>
      <w:r w:rsidRPr="0080752C">
        <w:t xml:space="preserve"> which has led to situations where staff are required to manage substantive programming decisions with limited time and experience with the OPT</w:t>
      </w:r>
      <w:r w:rsidR="00951F3D">
        <w:t>s</w:t>
      </w:r>
      <w:r w:rsidRPr="0080752C">
        <w:t xml:space="preserve"> program.</w:t>
      </w:r>
    </w:p>
    <w:p w14:paraId="260670CC" w14:textId="10C5F621" w:rsidR="00AC6F03" w:rsidRPr="0080752C" w:rsidRDefault="00AC6F03" w:rsidP="00166B70">
      <w:r w:rsidRPr="0080752C">
        <w:t>Australia’s contracting arrangements enable it to pause funding or reduce future funding when concerns arise.</w:t>
      </w:r>
      <w:r w:rsidR="00452343" w:rsidRPr="0080752C">
        <w:t xml:space="preserve"> </w:t>
      </w:r>
      <w:r w:rsidRPr="0080752C">
        <w:t xml:space="preserve">This negates the benefit of annual funding for risk management purposes.   </w:t>
      </w:r>
    </w:p>
    <w:p w14:paraId="20E16861" w14:textId="58632460" w:rsidR="00D97129" w:rsidRDefault="00AC6F03" w:rsidP="00166B70">
      <w:r w:rsidRPr="0080752C">
        <w:t xml:space="preserve">DFAT has implemented a Risk Management Approach for the </w:t>
      </w:r>
      <w:r w:rsidR="00C07488">
        <w:t>O</w:t>
      </w:r>
      <w:r w:rsidRPr="0080752C">
        <w:t>PT</w:t>
      </w:r>
      <w:r w:rsidR="004B28D6">
        <w:t>s</w:t>
      </w:r>
      <w:r w:rsidRPr="0080752C">
        <w:t xml:space="preserve"> program to DFAT standards. </w:t>
      </w:r>
      <w:r w:rsidR="00751057">
        <w:t>Plans are in place for</w:t>
      </w:r>
      <w:r w:rsidRPr="0080752C">
        <w:t xml:space="preserve"> risks </w:t>
      </w:r>
      <w:r w:rsidR="00751057">
        <w:t>to be</w:t>
      </w:r>
      <w:r w:rsidRPr="0080752C">
        <w:t xml:space="preserve"> reviewed quarterly, including Assistant Secretary (AS) clearance of the Whole of Program Risk Register, a quarterly risk management meeting at the AS level and activity level risk register reviews.</w:t>
      </w:r>
      <w:r w:rsidR="00452343">
        <w:t xml:space="preserve"> </w:t>
      </w:r>
      <w:r w:rsidR="00161A17">
        <w:t xml:space="preserve">Documentation suggests </w:t>
      </w:r>
      <w:r w:rsidR="005F346F">
        <w:t>these meetings may not always be held</w:t>
      </w:r>
      <w:r w:rsidR="00EC3DE8">
        <w:t xml:space="preserve"> at the intended intervals. This could be due to gaps in </w:t>
      </w:r>
      <w:r w:rsidR="00324AFE">
        <w:t>documentation or</w:t>
      </w:r>
      <w:r w:rsidR="00EC3DE8">
        <w:t xml:space="preserve"> competing priorities </w:t>
      </w:r>
      <w:r w:rsidR="006A278F">
        <w:t>lengthening the intervals between meetings</w:t>
      </w:r>
      <w:r w:rsidR="00EC3DE8">
        <w:t>.</w:t>
      </w:r>
      <w:r w:rsidR="00595D51">
        <w:t xml:space="preserve"> </w:t>
      </w:r>
      <w:r w:rsidR="00D46F03">
        <w:t>Despite this, t</w:t>
      </w:r>
      <w:r w:rsidR="00244D6F">
        <w:t xml:space="preserve">here is evidence that </w:t>
      </w:r>
      <w:r w:rsidR="00D46F03">
        <w:t>high risk events are identified and dealt with.</w:t>
      </w:r>
    </w:p>
    <w:p w14:paraId="351A7D40" w14:textId="1C7AF4EA" w:rsidR="002F612D" w:rsidRDefault="00AC6F03" w:rsidP="00166B70">
      <w:r w:rsidRPr="0080752C">
        <w:t>Risk matrices exist at whole-of-program level, as well as for each of the current multilateral partners.</w:t>
      </w:r>
      <w:r w:rsidR="00595D51" w:rsidRPr="0080752C">
        <w:t xml:space="preserve"> </w:t>
      </w:r>
      <w:r w:rsidRPr="0080752C">
        <w:t>While comprehensive, the whole-of-program matrix does not consider child protection and the prevention of sexual exploitation, abuse and harassment</w:t>
      </w:r>
      <w:r w:rsidR="00884EB4">
        <w:t xml:space="preserve"> (PSEAH)</w:t>
      </w:r>
      <w:r w:rsidRPr="0080752C">
        <w:t>.</w:t>
      </w:r>
    </w:p>
    <w:p w14:paraId="0A44706C" w14:textId="258D6FFD" w:rsidR="002F612D" w:rsidRDefault="00AC6F03" w:rsidP="00166B70">
      <w:r w:rsidRPr="0080752C">
        <w:t>Post undertakes spot checks</w:t>
      </w:r>
      <w:r w:rsidR="003461E2">
        <w:t xml:space="preserve"> and holds risk management discussions with partners in-country</w:t>
      </w:r>
      <w:r w:rsidRPr="0080752C">
        <w:t xml:space="preserve">. </w:t>
      </w:r>
      <w:r w:rsidR="003461E2">
        <w:t>Th</w:t>
      </w:r>
      <w:r w:rsidR="000D31D3">
        <w:t>is approach, including confidential dialogue, is</w:t>
      </w:r>
      <w:r w:rsidR="007D1925">
        <w:t xml:space="preserve"> fundamental to </w:t>
      </w:r>
      <w:r w:rsidR="001D0D9B">
        <w:t>DFAT’s ability to effectively manage risk</w:t>
      </w:r>
      <w:r w:rsidR="000861A1">
        <w:t>, and is</w:t>
      </w:r>
      <w:r w:rsidR="00983115">
        <w:t xml:space="preserve"> “respected and valued” by partners. </w:t>
      </w:r>
      <w:r w:rsidR="002F612D">
        <w:t xml:space="preserve">It </w:t>
      </w:r>
      <w:r w:rsidR="000861A1">
        <w:t xml:space="preserve">does however add </w:t>
      </w:r>
      <w:r w:rsidR="002F612D">
        <w:t>to the time burden for DFAT staff</w:t>
      </w:r>
      <w:r w:rsidR="000861A1">
        <w:t xml:space="preserve"> for effective risk and program management</w:t>
      </w:r>
      <w:r w:rsidR="002F612D">
        <w:t xml:space="preserve">. </w:t>
      </w:r>
    </w:p>
    <w:p w14:paraId="43A2E5B5" w14:textId="0EDD9165" w:rsidR="00712F61" w:rsidRPr="002025B2" w:rsidRDefault="00AC6F03" w:rsidP="00166B70">
      <w:r w:rsidRPr="0080752C">
        <w:t xml:space="preserve">DFAT’s </w:t>
      </w:r>
      <w:r w:rsidR="004B28D6">
        <w:t>Levant</w:t>
      </w:r>
      <w:r w:rsidRPr="0080752C">
        <w:t xml:space="preserve"> Section engages with DFAT’s legal and risk teams for advice on risk assessment and mitigation. Reviews have been conducted and experts engaged to investigate where the level of risk has raised concerns and required more information.</w:t>
      </w:r>
      <w:r w:rsidR="00595D51" w:rsidRPr="0080752C">
        <w:t xml:space="preserve"> </w:t>
      </w:r>
      <w:r w:rsidRPr="0080752C">
        <w:t xml:space="preserve">For example, DFAT has paused funding to NGOs following investigation into a potential sanction breach in Gaza of the ANCP program. This was investigated by the Australian Sanctions Office, the Australian Government’s sanctions regulator based in DFAT. DFAT also conducted an internal review in March 2023 to better understand the </w:t>
      </w:r>
      <w:r w:rsidRPr="0080752C">
        <w:lastRenderedPageBreak/>
        <w:t>contextual risk of funding terrorist organisations in the OPT</w:t>
      </w:r>
      <w:r w:rsidR="00951F3D">
        <w:t>s</w:t>
      </w:r>
      <w:r w:rsidRPr="0080752C">
        <w:t>.  This investment in risk management is a necessary component of the OPT</w:t>
      </w:r>
      <w:r w:rsidR="00951F3D">
        <w:t>s</w:t>
      </w:r>
      <w:r w:rsidRPr="0080752C">
        <w:t xml:space="preserve"> program.</w:t>
      </w:r>
    </w:p>
    <w:p w14:paraId="6592FA42" w14:textId="3412786E" w:rsidR="00AC6F03" w:rsidRPr="00B2081D" w:rsidRDefault="00740394" w:rsidP="00166B70">
      <w:pPr>
        <w:pStyle w:val="Heading3"/>
      </w:pPr>
      <w:bookmarkStart w:id="35" w:name="_Toc173326318"/>
      <w:r>
        <w:t xml:space="preserve">2.2.5 </w:t>
      </w:r>
      <w:r w:rsidRPr="00313D55">
        <w:t>P</w:t>
      </w:r>
      <w:r w:rsidR="00AC6F03" w:rsidRPr="00313D55">
        <w:t>artner</w:t>
      </w:r>
      <w:r w:rsidR="00AC6F03" w:rsidRPr="00B2081D">
        <w:t xml:space="preserve"> controls and systems</w:t>
      </w:r>
      <w:bookmarkEnd w:id="35"/>
      <w:r w:rsidR="00AC6F03" w:rsidRPr="00B2081D">
        <w:t xml:space="preserve"> </w:t>
      </w:r>
    </w:p>
    <w:p w14:paraId="52979236" w14:textId="74DD9CC3" w:rsidR="00AC6F03" w:rsidRPr="0080752C" w:rsidRDefault="00AC6F03" w:rsidP="00166B70">
      <w:r w:rsidRPr="0080752C">
        <w:t>All partners respond</w:t>
      </w:r>
      <w:r w:rsidR="00B816E2">
        <w:t>ed</w:t>
      </w:r>
      <w:r w:rsidRPr="0080752C">
        <w:t xml:space="preserve"> to the risk questionnaire </w:t>
      </w:r>
      <w:r w:rsidR="00B816E2">
        <w:t xml:space="preserve">and </w:t>
      </w:r>
      <w:r w:rsidRPr="0080752C">
        <w:t>report</w:t>
      </w:r>
      <w:r w:rsidR="00B816E2">
        <w:t>ed</w:t>
      </w:r>
      <w:r w:rsidRPr="0080752C">
        <w:t xml:space="preserve"> strong controls and systems to prevent and respond to risk of diversion of aid funds. In addition to systems and controls to prevent fraud and </w:t>
      </w:r>
      <w:r w:rsidRPr="00C96EE7">
        <w:t>corruption (</w:t>
      </w:r>
      <w:r w:rsidR="00C96EE7" w:rsidRPr="00C96EE7">
        <w:t>refer</w:t>
      </w:r>
      <w:r w:rsidRPr="00C96EE7">
        <w:t xml:space="preserve"> </w:t>
      </w:r>
      <w:r w:rsidR="00C96EE7" w:rsidRPr="00C96EE7">
        <w:t>section 2.2.7</w:t>
      </w:r>
      <w:r w:rsidRPr="00C96EE7">
        <w:t xml:space="preserve"> below), some partners</w:t>
      </w:r>
      <w:r w:rsidRPr="0080752C">
        <w:t xml:space="preserve"> reference regular checking of staff, suppliers and volunteers against relevant lists, and support to their </w:t>
      </w:r>
      <w:r w:rsidR="00DE3CB7">
        <w:t xml:space="preserve">downstream </w:t>
      </w:r>
      <w:r w:rsidRPr="0080752C">
        <w:t>partners to prevent terrorism financing</w:t>
      </w:r>
      <w:r w:rsidR="00595D51">
        <w:t>.</w:t>
      </w:r>
      <w:r w:rsidR="00595D51" w:rsidRPr="0080752C">
        <w:t xml:space="preserve"> </w:t>
      </w:r>
      <w:r w:rsidRPr="0080752C">
        <w:t>One NGO reported they received a commendation in 2022 from the Committee for Development Cooperation in relation to outstanding management of counter-terrorism criteria.</w:t>
      </w:r>
    </w:p>
    <w:p w14:paraId="35070A5E" w14:textId="4BC14DC9" w:rsidR="009D1267" w:rsidRDefault="00AC6F03" w:rsidP="00166B70">
      <w:r w:rsidRPr="0080752C">
        <w:t>One multilateral shared financial management and reporting guidelines that includes prevention and response to risks of diversion including through fraud and corruption but does not reference specific actions targeted at preventing diversion to terrorism. The organisation did pass due diligence and the clauses in the arrangement have been appropriately cleared.</w:t>
      </w:r>
      <w:r w:rsidR="00595D51" w:rsidRPr="0080752C">
        <w:t xml:space="preserve"> </w:t>
      </w:r>
      <w:r w:rsidRPr="0080752C">
        <w:t>DFAT has assessed it as meeting DFAT policies and risk management to a high standard.</w:t>
      </w:r>
      <w:r w:rsidR="00595D51" w:rsidRPr="0080752C">
        <w:t xml:space="preserve"> </w:t>
      </w:r>
      <w:r w:rsidRPr="0080752C">
        <w:t>Another multilateral referenced its own regulatory framework designed to uphold UN standards, with operating mechanisms based on a set of guidelines and legal framework established by the UN Security Council and General Assembly.</w:t>
      </w:r>
    </w:p>
    <w:p w14:paraId="3EBE0179" w14:textId="593ADE83" w:rsidR="00AC6F03" w:rsidRPr="00552912" w:rsidRDefault="00740394" w:rsidP="00166B70">
      <w:pPr>
        <w:pStyle w:val="Heading3"/>
      </w:pPr>
      <w:bookmarkStart w:id="36" w:name="_Toc173326319"/>
      <w:r>
        <w:t xml:space="preserve">2.2.6 </w:t>
      </w:r>
      <w:r w:rsidR="003B4230">
        <w:t>A</w:t>
      </w:r>
      <w:r w:rsidR="00AC6F03" w:rsidRPr="00552912">
        <w:t>lternative modalities within the humanitarian sector</w:t>
      </w:r>
      <w:bookmarkEnd w:id="36"/>
      <w:r w:rsidR="00AC6F03" w:rsidRPr="00552912">
        <w:t xml:space="preserve"> </w:t>
      </w:r>
    </w:p>
    <w:p w14:paraId="5C4ED0D0" w14:textId="43A95540" w:rsidR="00D67137" w:rsidRDefault="00AC6F03" w:rsidP="00166B70">
      <w:r w:rsidRPr="0080752C">
        <w:t>Based on the methodology used in this Strategic Review, it seems that some NGOs may report with higher transparency controls and systems in-country tailored to DFAT’s standards.</w:t>
      </w:r>
      <w:r w:rsidR="00595D51" w:rsidRPr="0080752C">
        <w:t xml:space="preserve"> </w:t>
      </w:r>
      <w:r w:rsidRPr="0080752C">
        <w:t>However, multilaterals with global reach and links to other likeminded donors, including through formal high level organisational or UN processes, may have stronger legal and public affairs systems to escalate and support management of any diversion. The global structures also provide DFAT with high-level interlocutors and processes with which to raise and address concerns, together with the oversight of likeminded donors.</w:t>
      </w:r>
      <w:r w:rsidR="00595D51" w:rsidRPr="0080752C">
        <w:t xml:space="preserve"> </w:t>
      </w:r>
      <w:r w:rsidRPr="0080752C">
        <w:t xml:space="preserve">For example, the UN Office of Internal Oversight Services (OIOS) investigated allegations of misconduct against five senior UNRWA members in </w:t>
      </w:r>
      <w:proofErr w:type="gramStart"/>
      <w:r w:rsidR="00595D51" w:rsidRPr="0080752C">
        <w:t xml:space="preserve">2019, </w:t>
      </w:r>
      <w:r w:rsidR="00595D51">
        <w:t>and</w:t>
      </w:r>
      <w:proofErr w:type="gramEnd"/>
      <w:r w:rsidRPr="0080752C">
        <w:t xml:space="preserve"> were able to provide Australia and other </w:t>
      </w:r>
      <w:proofErr w:type="spellStart"/>
      <w:r w:rsidRPr="0080752C">
        <w:t>likemindeds</w:t>
      </w:r>
      <w:proofErr w:type="spellEnd"/>
      <w:r w:rsidRPr="0080752C">
        <w:t xml:space="preserve"> assurance that there was no fraud involving donor funds, but managerial issues to be addressed.</w:t>
      </w:r>
      <w:r w:rsidR="00595D51" w:rsidRPr="0080752C">
        <w:t xml:space="preserve"> </w:t>
      </w:r>
      <w:r w:rsidRPr="0080752C">
        <w:t>This provides a higher level of assurance to DFAT which is not available to smaller NGOs in particular. One NGO reported, that despite meeting DFAT’s standards and systems, its funding was withdrawn.</w:t>
      </w:r>
    </w:p>
    <w:p w14:paraId="7F1FF27F" w14:textId="4BC96ABB" w:rsidR="00AC6F03" w:rsidRPr="00552912" w:rsidRDefault="001538F5" w:rsidP="00166B70">
      <w:pPr>
        <w:pStyle w:val="Heading3"/>
      </w:pPr>
      <w:bookmarkStart w:id="37" w:name="_Toc173326320"/>
      <w:r>
        <w:t xml:space="preserve">2.2.7 </w:t>
      </w:r>
      <w:r w:rsidR="003B4230">
        <w:t>P</w:t>
      </w:r>
      <w:r w:rsidR="00AC6F03" w:rsidRPr="00552912">
        <w:t xml:space="preserve">artner systems and controls to prevent fraud and </w:t>
      </w:r>
      <w:r w:rsidR="00CB704E" w:rsidRPr="00552912">
        <w:t>corruption.</w:t>
      </w:r>
      <w:bookmarkEnd w:id="37"/>
      <w:r w:rsidR="00AC6F03" w:rsidRPr="00552912">
        <w:t xml:space="preserve"> </w:t>
      </w:r>
    </w:p>
    <w:p w14:paraId="07A6E89A" w14:textId="3343FDBF" w:rsidR="00AC6F03" w:rsidRPr="0080752C" w:rsidRDefault="00AC6F03" w:rsidP="00166B70">
      <w:r w:rsidRPr="0080752C">
        <w:t>NGOs report systems and controls for the prevention of fraud and corruption that have been effective or meet DFAT standards. For example, one NGO’s fraud and corruption controls enabled it to identify potential fraud in a previous project, before the fraud could occur. Another NGO provided evidence and examples of its approach to prevent fraud and corruption for its partner in Gaza as part of its reaccreditation process with DFAT, to DFAT’s satisfaction.</w:t>
      </w:r>
    </w:p>
    <w:p w14:paraId="3571223C" w14:textId="1CFC5FF1" w:rsidR="00A86C65" w:rsidRDefault="00F84180" w:rsidP="00166B70">
      <w:r>
        <w:t>All</w:t>
      </w:r>
      <w:r w:rsidRPr="0080752C">
        <w:t xml:space="preserve"> </w:t>
      </w:r>
      <w:r w:rsidR="00AC6F03" w:rsidRPr="0080752C">
        <w:t>multilaterals responding to the questionnaire noted frameworks and standards to which they adhere. One multilateral noted its zero-tolerance approach to fraud and accepting gifts, referencing relevant policies, administrative instructions and global units coordinating to combat fraud. It also noted its Standards of Conduct workshop which communicates to personnel their obligations and options for reporting misconduct including fraud.</w:t>
      </w:r>
      <w:r w:rsidR="00595D51" w:rsidRPr="0080752C">
        <w:t xml:space="preserve"> </w:t>
      </w:r>
      <w:r w:rsidR="00AC6F03" w:rsidRPr="0080752C">
        <w:t>The allegations of breaches in multilateral operations have been communicated and dealt with to DFAT’s satisfaction, as documented in DFAT’s performance assessment processes.</w:t>
      </w:r>
    </w:p>
    <w:p w14:paraId="7CFE9ED4" w14:textId="61F657A5" w:rsidR="00AC6F03" w:rsidRPr="00EA0E0F" w:rsidRDefault="00CB704E" w:rsidP="00166B70">
      <w:pPr>
        <w:pStyle w:val="Heading3"/>
      </w:pPr>
      <w:bookmarkStart w:id="38" w:name="_Toc173326321"/>
      <w:r>
        <w:lastRenderedPageBreak/>
        <w:t>2.2.8 Partner</w:t>
      </w:r>
      <w:r w:rsidR="00AC6F03" w:rsidRPr="00EA0E0F">
        <w:t xml:space="preserve"> systems and controls</w:t>
      </w:r>
      <w:r w:rsidR="001538F5">
        <w:t xml:space="preserve"> for </w:t>
      </w:r>
      <w:r w:rsidR="00AC6F03" w:rsidRPr="00EA0E0F">
        <w:t>child protection and for preventing sexual exploitation, abuse, and harassment</w:t>
      </w:r>
      <w:r>
        <w:t>.</w:t>
      </w:r>
      <w:bookmarkEnd w:id="38"/>
    </w:p>
    <w:p w14:paraId="4F201AF5" w14:textId="73ECCAA5" w:rsidR="00AC6F03" w:rsidRPr="0080752C" w:rsidRDefault="00AC6F03" w:rsidP="00166B70">
      <w:r w:rsidRPr="0080752C">
        <w:t xml:space="preserve">All NGOs report systems and controls for child protection and </w:t>
      </w:r>
      <w:r w:rsidR="002141AF">
        <w:t xml:space="preserve">PSEAH </w:t>
      </w:r>
      <w:r w:rsidRPr="0080752C">
        <w:t xml:space="preserve">in line with DFAT </w:t>
      </w:r>
      <w:proofErr w:type="gramStart"/>
      <w:r w:rsidRPr="0080752C">
        <w:t>standards, and</w:t>
      </w:r>
      <w:proofErr w:type="gramEnd"/>
      <w:r w:rsidRPr="0080752C">
        <w:t xml:space="preserve"> are able to provide examples of how they work in practice. One NGO reported an annual </w:t>
      </w:r>
      <w:r w:rsidR="00302EAB">
        <w:t>s</w:t>
      </w:r>
      <w:r w:rsidR="00302EAB" w:rsidRPr="0080752C">
        <w:t xml:space="preserve">afeguarding </w:t>
      </w:r>
      <w:r w:rsidRPr="0080752C">
        <w:t xml:space="preserve">audit with its partner in </w:t>
      </w:r>
      <w:r w:rsidR="00AD0F14">
        <w:t xml:space="preserve">the </w:t>
      </w:r>
      <w:r w:rsidRPr="0080752C">
        <w:t>OPT</w:t>
      </w:r>
      <w:r w:rsidR="00951F3D">
        <w:t>s</w:t>
      </w:r>
      <w:r w:rsidRPr="0080752C">
        <w:t>, which found compliance with all DFAT’s minimum standards, and some opportunities to further strengthen some areas, such as more regular child safeguard training for all staff and transitioning from written to verbal reference checks.</w:t>
      </w:r>
    </w:p>
    <w:p w14:paraId="1DB7113B" w14:textId="3A76A034" w:rsidR="00AC6F03" w:rsidRPr="00F34C10" w:rsidRDefault="00E3033C" w:rsidP="00166B70">
      <w:r>
        <w:t>Two m</w:t>
      </w:r>
      <w:r w:rsidRPr="0080752C">
        <w:t xml:space="preserve">ultilateral </w:t>
      </w:r>
      <w:r w:rsidR="00AC6F03" w:rsidRPr="0080752C">
        <w:t>partners report systems and</w:t>
      </w:r>
      <w:r w:rsidR="00D960BC">
        <w:t xml:space="preserve"> PSEAH</w:t>
      </w:r>
      <w:r w:rsidR="00AC6F03" w:rsidRPr="0080752C">
        <w:t xml:space="preserve"> procedures that address each of DFAT’s requirements</w:t>
      </w:r>
      <w:r>
        <w:t xml:space="preserve">, while </w:t>
      </w:r>
      <w:r w:rsidR="009D7AE9">
        <w:t>there was insufficient information to assess the third</w:t>
      </w:r>
      <w:r w:rsidR="00AC6F03" w:rsidRPr="0080752C">
        <w:t>.</w:t>
      </w:r>
      <w:r w:rsidR="00595D51" w:rsidRPr="0080752C">
        <w:t xml:space="preserve"> </w:t>
      </w:r>
      <w:r w:rsidR="00AC6F03" w:rsidRPr="0080752C">
        <w:t>UNRWA’s regular reporting to DFAT includes substantive detail on actions taken to strengthen PSEAH</w:t>
      </w:r>
      <w:r w:rsidR="00595D51">
        <w:t>.</w:t>
      </w:r>
      <w:r w:rsidR="00595D51" w:rsidRPr="0080752C">
        <w:t xml:space="preserve"> </w:t>
      </w:r>
      <w:r w:rsidR="00AC6F03" w:rsidRPr="0080752C">
        <w:t xml:space="preserve">It has also reported instances of SEA cases that the organisation identified and </w:t>
      </w:r>
      <w:r w:rsidR="00AC6F03" w:rsidRPr="00F34C10">
        <w:t>how they were addressed.</w:t>
      </w:r>
      <w:r w:rsidR="00595D51" w:rsidRPr="00F34C10">
        <w:t xml:space="preserve"> </w:t>
      </w:r>
      <w:r w:rsidR="00AC6F03" w:rsidRPr="00F34C10">
        <w:t xml:space="preserve">DFAT’s internal PSEAH specialists seek access to this information such that they may have visibility across the organisation. </w:t>
      </w:r>
      <w:r w:rsidR="00F8139A" w:rsidRPr="00F34C10">
        <w:t xml:space="preserve">ICRC has established </w:t>
      </w:r>
      <w:r w:rsidR="00513C2D" w:rsidRPr="00F34C10">
        <w:t xml:space="preserve">context-specific </w:t>
      </w:r>
      <w:r w:rsidR="00F84D99" w:rsidRPr="00F34C10">
        <w:t>Community Contact Centres</w:t>
      </w:r>
      <w:r w:rsidR="00513C2D" w:rsidRPr="00F34C10">
        <w:t xml:space="preserve"> in Israel and the OPT</w:t>
      </w:r>
      <w:r w:rsidR="00951F3D" w:rsidRPr="00F34C10">
        <w:t>s</w:t>
      </w:r>
      <w:r w:rsidR="00513C2D" w:rsidRPr="00F34C10">
        <w:t xml:space="preserve"> equipped to receive concerns and allegations of any kind, including SEA.</w:t>
      </w:r>
    </w:p>
    <w:p w14:paraId="131CD150" w14:textId="5A547643" w:rsidR="00AC6F03" w:rsidRPr="0080752C" w:rsidRDefault="00AC6F03" w:rsidP="00166B70">
      <w:r w:rsidRPr="00F34C10">
        <w:t>DFAT’s Child Protection Policy takes a risk-based approach to child protection</w:t>
      </w:r>
      <w:r w:rsidR="0083343B" w:rsidRPr="00F34C10">
        <w:t>, first considering  whether the pro</w:t>
      </w:r>
      <w:r w:rsidRPr="00F34C10">
        <w:t>gram, activity or grant involve</w:t>
      </w:r>
      <w:r w:rsidR="0083343B" w:rsidRPr="00F34C10">
        <w:t>s</w:t>
      </w:r>
      <w:r w:rsidRPr="00F34C10">
        <w:t xml:space="preserve"> potential contact with children, impact on children (defined as the overall long-term effect produced by an investment</w:t>
      </w:r>
      <w:r w:rsidR="006464F7" w:rsidRPr="00F34C10">
        <w:t>) or</w:t>
      </w:r>
      <w:r w:rsidRPr="00F34C10">
        <w:t xml:space="preserve"> working with children. The UNOPS program in the OPT</w:t>
      </w:r>
      <w:r w:rsidR="00951F3D" w:rsidRPr="00F34C10">
        <w:t>s</w:t>
      </w:r>
      <w:r w:rsidRPr="00F34C10">
        <w:t xml:space="preserve"> does not involve any of these exposures to children. Its focus as an employer is instead on minimising the likelihood of child labour. For example, its contracts impose downstream requirements to contractors under sanctions of automatic termination, to ensure</w:t>
      </w:r>
      <w:r w:rsidRPr="0080752C">
        <w:t xml:space="preserve"> they comply with standards of the International Labour Organisation, including the abolition of child labour.</w:t>
      </w:r>
    </w:p>
    <w:p w14:paraId="389F8588" w14:textId="43F743BE" w:rsidR="001A0A72" w:rsidRDefault="00AC6F03" w:rsidP="00166B70">
      <w:r w:rsidRPr="0080752C">
        <w:t>UNRWA applies its Child Protection Framework from 2016, which commits to harmonising, strengthening and consolidating the Agency’s commitment to safeguarding. It also includes programmatic approaches to child protection. Existing practices include codes of conduct at school level, project-based risk assessments and developing reporting channels, among others.</w:t>
      </w:r>
      <w:r w:rsidR="00595D51" w:rsidRPr="0080752C">
        <w:t xml:space="preserve"> </w:t>
      </w:r>
      <w:r w:rsidRPr="0080752C">
        <w:t xml:space="preserve">UNRWA’s 2016 Framework, while broadly aligned, does not appear to meet each detail in DFAT’s Child Protection standards. </w:t>
      </w:r>
    </w:p>
    <w:p w14:paraId="59FA9B4F" w14:textId="6C9EE848" w:rsidR="00227C51" w:rsidRDefault="00227C51" w:rsidP="00166B70">
      <w:r>
        <w:t>The ICRC</w:t>
      </w:r>
      <w:r w:rsidR="0092381F">
        <w:t>’s</w:t>
      </w:r>
      <w:r>
        <w:t xml:space="preserve"> </w:t>
      </w:r>
      <w:r w:rsidR="00A70180">
        <w:t>Child Safeguarding</w:t>
      </w:r>
      <w:r w:rsidR="00E25E72">
        <w:t xml:space="preserve"> Policy was approved and entered into force</w:t>
      </w:r>
      <w:r>
        <w:t xml:space="preserve"> in</w:t>
      </w:r>
      <w:r w:rsidR="00267F02">
        <w:t xml:space="preserve"> 2022</w:t>
      </w:r>
      <w:r w:rsidR="0099727B">
        <w:t>.</w:t>
      </w:r>
      <w:r w:rsidR="00595D51">
        <w:t xml:space="preserve"> </w:t>
      </w:r>
      <w:r w:rsidR="003360EF">
        <w:t xml:space="preserve">ICRC and DFAT agree to </w:t>
      </w:r>
      <w:r w:rsidR="00B15C00">
        <w:t xml:space="preserve">its </w:t>
      </w:r>
      <w:r w:rsidR="003360EF">
        <w:t xml:space="preserve">organisational risk management and safeguarding practices </w:t>
      </w:r>
      <w:r w:rsidR="00F4664A">
        <w:t xml:space="preserve">globally </w:t>
      </w:r>
      <w:r w:rsidR="003360EF">
        <w:t>through its Strategic Partnership Framework</w:t>
      </w:r>
      <w:r w:rsidR="007C58B1">
        <w:t>.</w:t>
      </w:r>
    </w:p>
    <w:p w14:paraId="184C536D" w14:textId="10934B07" w:rsidR="00AC6F03" w:rsidRPr="00FA15F6" w:rsidRDefault="00CB704E" w:rsidP="00166B70">
      <w:pPr>
        <w:pStyle w:val="Heading3"/>
      </w:pPr>
      <w:bookmarkStart w:id="39" w:name="_Toc173326322"/>
      <w:r w:rsidRPr="00FA15F6">
        <w:t>2.2.9 O</w:t>
      </w:r>
      <w:r w:rsidR="00AC6F03" w:rsidRPr="00FA15F6">
        <w:t>ther factors determining risk thresholds for bilateral assistance</w:t>
      </w:r>
      <w:r w:rsidRPr="00FA15F6">
        <w:t>.</w:t>
      </w:r>
      <w:bookmarkEnd w:id="39"/>
    </w:p>
    <w:p w14:paraId="43293EC2" w14:textId="6174F5CC" w:rsidR="00AC6F03" w:rsidRDefault="00AC6F03" w:rsidP="00EA041C">
      <w:r w:rsidRPr="0080752C">
        <w:t xml:space="preserve">While </w:t>
      </w:r>
      <w:r w:rsidR="007B4FF5">
        <w:t xml:space="preserve">the </w:t>
      </w:r>
      <w:r w:rsidRPr="0080752C">
        <w:t>OPT</w:t>
      </w:r>
      <w:r w:rsidR="00951F3D">
        <w:t>s</w:t>
      </w:r>
      <w:r w:rsidRPr="0080752C">
        <w:t xml:space="preserve"> is a complex context, the primary factor determining risk thresholds is the Australian Government’s own appetite for risk, and staff time and capacity to manage the risk. The risk appetite primarily impacts DFAT’s selection of partners, tending towards multilaterals rather than NGOs. It also impacts the modality of implementation, favouring organisations that are exposed </w:t>
      </w:r>
      <w:r w:rsidR="00200328" w:rsidRPr="0080752C">
        <w:t>to minimal</w:t>
      </w:r>
      <w:r w:rsidRPr="0080752C">
        <w:t xml:space="preserve"> downstream risk, such as those that implement themselves rather than work through partners. This has been a valid decision given the staff capacity available for risk management.</w:t>
      </w:r>
    </w:p>
    <w:p w14:paraId="368F47D7" w14:textId="4496B739" w:rsidR="00A726F1" w:rsidRPr="0080752C" w:rsidRDefault="00305C5B" w:rsidP="00EA041C">
      <w:r w:rsidRPr="00305C5B">
        <w:t>A critical factor for the Australian aid program is the risk of underinvestment in the OPTs by Australia, which may undermine development gains and reduce resilience</w:t>
      </w:r>
      <w:r w:rsidR="00896598">
        <w:t>,</w:t>
      </w:r>
      <w:r w:rsidRPr="00305C5B">
        <w:t xml:space="preserve"> especially for women, children and people with disabilities.</w:t>
      </w:r>
      <w:r w:rsidR="00595D51" w:rsidRPr="00305C5B">
        <w:t xml:space="preserve"> </w:t>
      </w:r>
      <w:r w:rsidRPr="00305C5B">
        <w:t xml:space="preserve">The message communicated through Australia’s selection of partners is also an important factor. Not funding NGOs (outside of the ANCP program in the West Bank) means Australia is not visibly funding and supporting civil society. This may risk inadvertently sending the </w:t>
      </w:r>
      <w:r w:rsidRPr="00305C5B">
        <w:lastRenderedPageBreak/>
        <w:t>message that it supports, or at least does not substantively oppose, the repression of democratic civil society organisations.</w:t>
      </w:r>
    </w:p>
    <w:p w14:paraId="40C98F8E" w14:textId="77777777" w:rsidR="00A726F1" w:rsidRDefault="003538DC" w:rsidP="00EA041C">
      <w:pPr>
        <w:rPr>
          <w:rStyle w:val="Heading1Char"/>
        </w:rPr>
      </w:pPr>
      <w:r>
        <w:rPr>
          <w:noProof/>
        </w:rPr>
        <mc:AlternateContent>
          <mc:Choice Requires="wps">
            <w:drawing>
              <wp:inline distT="0" distB="0" distL="0" distR="0" wp14:anchorId="328B92DE" wp14:editId="0B9C98DB">
                <wp:extent cx="5692140" cy="449580"/>
                <wp:effectExtent l="0" t="0" r="22860" b="26670"/>
                <wp:docPr id="2011702069" name="Text Box 2011702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449580"/>
                        </a:xfrm>
                        <a:prstGeom prst="rect">
                          <a:avLst/>
                        </a:prstGeom>
                        <a:solidFill>
                          <a:srgbClr val="FFFFFF"/>
                        </a:solidFill>
                        <a:ln w="9525">
                          <a:solidFill>
                            <a:srgbClr val="000000"/>
                          </a:solidFill>
                          <a:miter lim="800000"/>
                          <a:headEnd/>
                          <a:tailEnd/>
                        </a:ln>
                      </wps:spPr>
                      <wps:txbx>
                        <w:txbxContent>
                          <w:p w14:paraId="0FA9BDE7" w14:textId="63599F34" w:rsidR="00F20977" w:rsidRPr="00F20977" w:rsidRDefault="00F20977" w:rsidP="00EA041C">
                            <w:r w:rsidRPr="00F20977">
                              <w:t>What recommendations can be made for Australia’s aid to the Occupied Palestinian Territories from 2023-24 to 2026-27</w:t>
                            </w:r>
                            <w:r w:rsidR="00833035">
                              <w:t>?</w:t>
                            </w:r>
                          </w:p>
                          <w:p w14:paraId="53FD3186" w14:textId="15204E88" w:rsidR="00F20977" w:rsidRDefault="00F20977" w:rsidP="00EA041C"/>
                        </w:txbxContent>
                      </wps:txbx>
                      <wps:bodyPr rot="0" vert="horz" wrap="square" lIns="91440" tIns="45720" rIns="91440" bIns="45720" anchor="t" anchorCtr="0">
                        <a:noAutofit/>
                      </wps:bodyPr>
                    </wps:wsp>
                  </a:graphicData>
                </a:graphic>
              </wp:inline>
            </w:drawing>
          </mc:Choice>
          <mc:Fallback>
            <w:pict>
              <v:shape w14:anchorId="328B92DE" id="Text Box 2011702069" o:spid="_x0000_s1029" type="#_x0000_t202" style="width:448.2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">
                <v:textbox>
                  <w:txbxContent>
                    <w:p w14:paraId="0FA9BDE7" w14:textId="63599F34" w:rsidR="00F20977" w:rsidRPr="00F20977" w:rsidRDefault="00F20977" w:rsidP="00EA041C">
                      <w:r w:rsidRPr="00F20977">
                        <w:t>What recommendations can be made for Australia’s aid to the Occupied Palestinian Territories from 2023-24 to 2026-27</w:t>
                      </w:r>
                      <w:r w:rsidR="00833035">
                        <w:t>?</w:t>
                      </w:r>
                    </w:p>
                    <w:p w14:paraId="53FD3186" w14:textId="15204E88" w:rsidR="00F20977" w:rsidRDefault="00F20977" w:rsidP="00EA041C"/>
                  </w:txbxContent>
                </v:textbox>
                <w10:anchorlock/>
              </v:shape>
            </w:pict>
          </mc:Fallback>
        </mc:AlternateContent>
      </w:r>
    </w:p>
    <w:p w14:paraId="322B6D5A" w14:textId="2A357637" w:rsidR="003538DC" w:rsidRPr="008F535E" w:rsidRDefault="00896598" w:rsidP="00EA041C">
      <w:pPr>
        <w:rPr>
          <w:rFonts w:asciiTheme="majorHAnsi" w:eastAsiaTheme="majorEastAsia" w:hAnsiTheme="majorHAnsi" w:cstheme="majorBidi"/>
          <w:color w:val="2F5496" w:themeColor="accent1" w:themeShade="BF"/>
          <w:sz w:val="32"/>
          <w:szCs w:val="32"/>
        </w:rPr>
      </w:pPr>
      <w:bookmarkStart w:id="40" w:name="_Toc173326323"/>
      <w:r>
        <w:rPr>
          <w:rStyle w:val="Heading1Char"/>
        </w:rPr>
        <w:t xml:space="preserve">3. </w:t>
      </w:r>
      <w:r w:rsidR="00C2293C" w:rsidRPr="00FA15F6">
        <w:rPr>
          <w:rStyle w:val="Heading1Char"/>
        </w:rPr>
        <w:t>Review Recommendations</w:t>
      </w:r>
      <w:bookmarkEnd w:id="40"/>
    </w:p>
    <w:p w14:paraId="5948FF26" w14:textId="6004EF26" w:rsidR="00A726F1" w:rsidRDefault="002025B2" w:rsidP="008F535E">
      <w:pPr>
        <w:pStyle w:val="Heading2"/>
      </w:pPr>
      <w:bookmarkStart w:id="41" w:name="_Toc173326324"/>
      <w:r>
        <w:t xml:space="preserve">3.1 </w:t>
      </w:r>
      <w:r w:rsidR="006D3331">
        <w:t xml:space="preserve">Focus on two pillars – humanitarian and resilience </w:t>
      </w:r>
      <w:r w:rsidR="00D63AB7" w:rsidRPr="008E5208">
        <w:t>in line with Australia’s International Development Policy; and advance these priorities with partners through a nexus approach that supports both humanitarian and development investments.</w:t>
      </w:r>
      <w:bookmarkEnd w:id="41"/>
      <w:r w:rsidR="00D63AB7" w:rsidRPr="008E5208">
        <w:t xml:space="preserve"> </w:t>
      </w:r>
    </w:p>
    <w:p w14:paraId="45D92E52" w14:textId="38577679" w:rsidR="006703DE" w:rsidRDefault="008122C5" w:rsidP="00EA041C">
      <w:r w:rsidRPr="0080752C">
        <w:t xml:space="preserve">A program approach is </w:t>
      </w:r>
      <w:r w:rsidR="00EC73FF">
        <w:t>recommended</w:t>
      </w:r>
      <w:r w:rsidRPr="0080752C">
        <w:t xml:space="preserve"> for the future aid program to provide increased coherence and evidence </w:t>
      </w:r>
      <w:r w:rsidR="00C2081A">
        <w:t xml:space="preserve">of impact, which </w:t>
      </w:r>
      <w:r w:rsidR="00E07E41">
        <w:t>would</w:t>
      </w:r>
      <w:r w:rsidR="00C2081A">
        <w:t xml:space="preserve"> also support </w:t>
      </w:r>
      <w:r w:rsidR="007647FF">
        <w:t>the policy priorities of the Australian government. T</w:t>
      </w:r>
      <w:r w:rsidRPr="0080752C">
        <w:t>his could be based on two pillars – humanitarian and resilience. This is not to recommend sudden growth but to provide a menu of options for DFAT over</w:t>
      </w:r>
      <w:r w:rsidR="006703DE">
        <w:t xml:space="preserve"> the next three to five </w:t>
      </w:r>
      <w:r w:rsidRPr="0080752C">
        <w:t xml:space="preserve">years. </w:t>
      </w:r>
    </w:p>
    <w:p w14:paraId="6CE7C5F3" w14:textId="0E68C87E" w:rsidR="0025412A" w:rsidRDefault="006703DE" w:rsidP="00EA041C">
      <w:r>
        <w:t>With conflict e</w:t>
      </w:r>
      <w:r w:rsidR="00BD03AC">
        <w:t xml:space="preserve">scalation trending upwards, the program will need to continue to maintain its humanitarian </w:t>
      </w:r>
      <w:r w:rsidR="00875AD0">
        <w:t>focus</w:t>
      </w:r>
      <w:r w:rsidR="00C34B0A">
        <w:t xml:space="preserve">, with the current partners demonstrating effective </w:t>
      </w:r>
      <w:r w:rsidR="00E11A75">
        <w:t>programs to respon</w:t>
      </w:r>
      <w:r w:rsidR="000576AD">
        <w:t xml:space="preserve">d to needs. </w:t>
      </w:r>
      <w:r w:rsidR="00062C3C">
        <w:t xml:space="preserve"> </w:t>
      </w:r>
      <w:r w:rsidR="008F282F" w:rsidRPr="0080752C">
        <w:t xml:space="preserve">A context-specific approach to localisation can be developed to respond to </w:t>
      </w:r>
      <w:r w:rsidR="00062C3C">
        <w:t xml:space="preserve">DFAT’s commitments </w:t>
      </w:r>
      <w:r w:rsidR="008F282F" w:rsidRPr="0080752C">
        <w:t>which takes into consideration the high number of Palestinian staff in UN and NGOs, including in senior management and program roles.</w:t>
      </w:r>
      <w:r w:rsidR="008C4F02" w:rsidRPr="008C4F02">
        <w:t xml:space="preserve"> </w:t>
      </w:r>
    </w:p>
    <w:p w14:paraId="2C756EC2" w14:textId="35F1CB42" w:rsidR="00CD43CB" w:rsidRDefault="0025412A" w:rsidP="00EA041C">
      <w:r>
        <w:t xml:space="preserve">It is recommended that a light touch design or design update process be undertaken to develop </w:t>
      </w:r>
      <w:r w:rsidR="00753461">
        <w:t>a</w:t>
      </w:r>
      <w:r w:rsidR="003878AC">
        <w:t xml:space="preserve"> multi-year</w:t>
      </w:r>
      <w:r w:rsidR="00753461">
        <w:t xml:space="preserve"> program. This would also include </w:t>
      </w:r>
      <w:r w:rsidR="005B3E68">
        <w:t xml:space="preserve">the partner selection process outlined in recommendation </w:t>
      </w:r>
      <w:r w:rsidR="00496B94">
        <w:t>3.</w:t>
      </w:r>
      <w:r w:rsidR="005B3E68">
        <w:t xml:space="preserve">2. </w:t>
      </w:r>
      <w:r w:rsidR="00CD43CB">
        <w:t xml:space="preserve">A design process </w:t>
      </w:r>
      <w:r w:rsidR="00CD43CB" w:rsidRPr="002A0ABC">
        <w:t>provide</w:t>
      </w:r>
      <w:r w:rsidR="003878AC">
        <w:t>s</w:t>
      </w:r>
      <w:r w:rsidR="00CD43CB" w:rsidRPr="002A0ABC">
        <w:t xml:space="preserve"> opportunity for DFAT to strategically </w:t>
      </w:r>
      <w:r w:rsidR="00CF7F68">
        <w:t>reflect on</w:t>
      </w:r>
      <w:r w:rsidR="00CD43CB" w:rsidRPr="002A0ABC">
        <w:t xml:space="preserve"> its programming </w:t>
      </w:r>
      <w:r w:rsidR="003878AC">
        <w:t xml:space="preserve">and partnership </w:t>
      </w:r>
      <w:r w:rsidR="00CD43CB" w:rsidRPr="002A0ABC">
        <w:t>decisio</w:t>
      </w:r>
      <w:r w:rsidR="003B2EEB">
        <w:t>ns</w:t>
      </w:r>
      <w:r w:rsidR="00006706">
        <w:t xml:space="preserve">, </w:t>
      </w:r>
      <w:r w:rsidR="003878AC" w:rsidRPr="003878AC">
        <w:t xml:space="preserve">considering both multilateral and NGO options, with one solid opportunity for stakeholders to input every </w:t>
      </w:r>
      <w:r w:rsidR="00006706">
        <w:t xml:space="preserve">three to four years. </w:t>
      </w:r>
      <w:r w:rsidR="003B2EEB">
        <w:t xml:space="preserve"> </w:t>
      </w:r>
    </w:p>
    <w:p w14:paraId="0B2988EF" w14:textId="2EC1DE3D" w:rsidR="00BA1BC4" w:rsidRPr="00FA15F6" w:rsidRDefault="002025B2" w:rsidP="00EA041C">
      <w:pPr>
        <w:pStyle w:val="Heading2"/>
      </w:pPr>
      <w:bookmarkStart w:id="42" w:name="_Toc173326325"/>
      <w:r>
        <w:t xml:space="preserve">3.2 </w:t>
      </w:r>
      <w:r w:rsidR="00E07E41">
        <w:t>Engage stakeholders and constituents in a design process to select implementing partners for future activities.</w:t>
      </w:r>
      <w:bookmarkEnd w:id="42"/>
      <w:r w:rsidR="00E07E41">
        <w:t xml:space="preserve"> </w:t>
      </w:r>
    </w:p>
    <w:p w14:paraId="4B190BBF" w14:textId="50122DFA" w:rsidR="00BA1BC4" w:rsidRPr="00EB5A7B" w:rsidRDefault="00EB5A7B" w:rsidP="00EA041C">
      <w:r w:rsidRPr="00EB5A7B">
        <w:t>The review recommends</w:t>
      </w:r>
      <w:r w:rsidR="00D63AB7" w:rsidRPr="00EB5A7B">
        <w:t xml:space="preserve"> </w:t>
      </w:r>
      <w:r w:rsidR="00BA1BC4" w:rsidRPr="00EB5A7B">
        <w:t>engaging DFAT</w:t>
      </w:r>
      <w:r w:rsidR="00F46A9D">
        <w:t>’</w:t>
      </w:r>
      <w:r w:rsidR="00BA1BC4" w:rsidRPr="00EB5A7B">
        <w:t xml:space="preserve">s stakeholders and constituents </w:t>
      </w:r>
      <w:r w:rsidR="00753461">
        <w:t>as part of the design</w:t>
      </w:r>
      <w:r w:rsidR="00BA1BC4" w:rsidRPr="00EB5A7B">
        <w:t xml:space="preserve"> process to select partners for multi-year funding. This would test the partner recommendations made in this paper.</w:t>
      </w:r>
    </w:p>
    <w:p w14:paraId="4D351497" w14:textId="0162976A" w:rsidR="00BA1BC4" w:rsidRPr="00EB5A7B" w:rsidRDefault="00BA1BC4" w:rsidP="00EA041C">
      <w:r w:rsidRPr="00EB5A7B">
        <w:t xml:space="preserve">This </w:t>
      </w:r>
      <w:r w:rsidR="00120A98">
        <w:t xml:space="preserve">process </w:t>
      </w:r>
      <w:r w:rsidRPr="00EB5A7B">
        <w:t>would aim to:</w:t>
      </w:r>
    </w:p>
    <w:p w14:paraId="0863CA2A" w14:textId="2F2361E0" w:rsidR="00BA1BC4" w:rsidRPr="00EB5A7B" w:rsidRDefault="00120A98" w:rsidP="00EA041C">
      <w:pPr>
        <w:pStyle w:val="ListParagraph"/>
        <w:numPr>
          <w:ilvl w:val="0"/>
          <w:numId w:val="7"/>
        </w:numPr>
      </w:pPr>
      <w:r>
        <w:t>P</w:t>
      </w:r>
      <w:r w:rsidR="00BA1BC4" w:rsidRPr="00EB5A7B">
        <w:t>rovide important stakeholders opportunity to be heard and to influence Australia</w:t>
      </w:r>
      <w:r w:rsidR="00F46A9D">
        <w:t>’</w:t>
      </w:r>
      <w:r w:rsidR="00BA1BC4" w:rsidRPr="00EB5A7B">
        <w:t>s thinking</w:t>
      </w:r>
      <w:r w:rsidR="00EB5A7B">
        <w:t>.</w:t>
      </w:r>
    </w:p>
    <w:p w14:paraId="53A590B6" w14:textId="59BAE62D" w:rsidR="00EB5A7B" w:rsidRDefault="00120A98" w:rsidP="00EA041C">
      <w:pPr>
        <w:pStyle w:val="ListParagraph"/>
        <w:numPr>
          <w:ilvl w:val="0"/>
          <w:numId w:val="7"/>
        </w:numPr>
      </w:pPr>
      <w:r>
        <w:t>P</w:t>
      </w:r>
      <w:r w:rsidR="00BA1BC4" w:rsidRPr="00EB5A7B">
        <w:t>rovide a transparent partner selection criteria and process that is highly defensible and helps make efficient DFAT</w:t>
      </w:r>
      <w:r w:rsidR="00F46A9D">
        <w:t>’</w:t>
      </w:r>
      <w:r w:rsidR="00BA1BC4" w:rsidRPr="00EB5A7B">
        <w:t>s response to future lobbying</w:t>
      </w:r>
      <w:r w:rsidR="00C968C1">
        <w:t>.</w:t>
      </w:r>
    </w:p>
    <w:p w14:paraId="6877B467" w14:textId="7AC1AC9B" w:rsidR="00D63AB7" w:rsidRDefault="00120A98" w:rsidP="00EA041C">
      <w:pPr>
        <w:pStyle w:val="ListParagraph"/>
        <w:numPr>
          <w:ilvl w:val="0"/>
          <w:numId w:val="7"/>
        </w:numPr>
      </w:pPr>
      <w:r>
        <w:t>L</w:t>
      </w:r>
      <w:r w:rsidR="00BA1BC4" w:rsidRPr="00EB5A7B">
        <w:t>ock in funding over</w:t>
      </w:r>
      <w:r>
        <w:t xml:space="preserve"> three to four</w:t>
      </w:r>
      <w:r w:rsidR="00BA1BC4" w:rsidRPr="00EB5A7B">
        <w:t xml:space="preserve"> years providing certainty for DFAT and its partners, further reducing lobbying efforts for future funding until the next formal partnership review towards the end of the multi-year funding timeframe</w:t>
      </w:r>
      <w:r w:rsidR="003A2B36">
        <w:t>.</w:t>
      </w:r>
    </w:p>
    <w:p w14:paraId="3D74F6A4" w14:textId="08F13372" w:rsidR="00C802A3" w:rsidRDefault="00C968C1" w:rsidP="00EA041C">
      <w:r>
        <w:t>Given the risk and comple</w:t>
      </w:r>
      <w:r w:rsidR="009A676E">
        <w:t>x operating environment of the OPT</w:t>
      </w:r>
      <w:r w:rsidR="00951F3D">
        <w:t>s</w:t>
      </w:r>
      <w:r w:rsidR="009A676E">
        <w:t>,</w:t>
      </w:r>
      <w:r w:rsidR="006A2E89">
        <w:t xml:space="preserve"> as well as the assumption resources for the program will not increase substantively,</w:t>
      </w:r>
      <w:r w:rsidR="009A676E">
        <w:t xml:space="preserve"> the review recommends </w:t>
      </w:r>
      <w:r w:rsidR="00CB7FA5">
        <w:t>keeping</w:t>
      </w:r>
      <w:r w:rsidR="009A676E">
        <w:t xml:space="preserve"> the partner</w:t>
      </w:r>
      <w:r w:rsidR="00C802A3" w:rsidRPr="0080752C">
        <w:t xml:space="preserve"> cohort small so it can be effectively managed.</w:t>
      </w:r>
      <w:r w:rsidR="009A3B49">
        <w:t xml:space="preserve"> </w:t>
      </w:r>
      <w:r w:rsidR="004457E7">
        <w:t>Whilst the review finds there could be</w:t>
      </w:r>
      <w:r w:rsidR="00CB7FA5">
        <w:t xml:space="preserve"> space for</w:t>
      </w:r>
      <w:r w:rsidR="004457E7">
        <w:t xml:space="preserve"> </w:t>
      </w:r>
      <w:r w:rsidR="00D81D4A">
        <w:t xml:space="preserve">one to two </w:t>
      </w:r>
      <w:r w:rsidR="004457E7">
        <w:t>additional partners</w:t>
      </w:r>
      <w:r w:rsidR="00870D0C">
        <w:t xml:space="preserve">, it does not recommend expansion beyond this, particularly if it is not going to be accompanied by </w:t>
      </w:r>
      <w:r w:rsidR="00BE1866">
        <w:t xml:space="preserve">an expanded </w:t>
      </w:r>
      <w:r w:rsidR="00CB7FA5">
        <w:t xml:space="preserve">program budget or </w:t>
      </w:r>
      <w:r w:rsidR="00EC73FF">
        <w:t xml:space="preserve">additional resources for DFAT at Post and Desk. </w:t>
      </w:r>
    </w:p>
    <w:p w14:paraId="46DD5490" w14:textId="34B8F110" w:rsidR="00794629" w:rsidRDefault="00FE4E56" w:rsidP="00EA041C">
      <w:r>
        <w:lastRenderedPageBreak/>
        <w:t>Partnership with ad</w:t>
      </w:r>
      <w:r w:rsidR="00794629">
        <w:t xml:space="preserve">vocacy </w:t>
      </w:r>
      <w:r>
        <w:t>platforms</w:t>
      </w:r>
      <w:r w:rsidR="00B724EC">
        <w:t xml:space="preserve"> may offer an opportunity for strengthen</w:t>
      </w:r>
      <w:r>
        <w:t>ed political engagement</w:t>
      </w:r>
      <w:r w:rsidR="00AC30F3">
        <w:t xml:space="preserve"> by building an evidence base for advocacy</w:t>
      </w:r>
      <w:r w:rsidR="00BD7226">
        <w:t xml:space="preserve"> efforts</w:t>
      </w:r>
      <w:r>
        <w:t xml:space="preserve">. However, they would also present </w:t>
      </w:r>
      <w:r w:rsidR="00D8756B">
        <w:t>a high level of risk in terms of the levels of scrutiny</w:t>
      </w:r>
      <w:r w:rsidR="00AC30F3">
        <w:t xml:space="preserve"> the partnership would be subject to</w:t>
      </w:r>
      <w:r w:rsidR="008857C6">
        <w:t xml:space="preserve">. </w:t>
      </w:r>
    </w:p>
    <w:p w14:paraId="4AC841C2" w14:textId="417A1D30" w:rsidR="00830279" w:rsidRDefault="007F204B" w:rsidP="00EA041C">
      <w:r>
        <w:t xml:space="preserve">Canada and Norway are the main funders for gender investments in the </w:t>
      </w:r>
      <w:r w:rsidR="00627241">
        <w:t>OPT</w:t>
      </w:r>
      <w:r w:rsidR="00951F3D">
        <w:t>s</w:t>
      </w:r>
      <w:r w:rsidR="00627241">
        <w:t>, with Canada being the only donor</w:t>
      </w:r>
      <w:r w:rsidR="00006706">
        <w:t xml:space="preserve"> to UN Women</w:t>
      </w:r>
      <w:r w:rsidR="000F4C26">
        <w:t xml:space="preserve"> currentl</w:t>
      </w:r>
      <w:r w:rsidR="00F51BDC">
        <w:t>y and not</w:t>
      </w:r>
      <w:r w:rsidR="00141075">
        <w:t>ed the opportunity for Australia to join them in supporting gender equality programs in the OPT</w:t>
      </w:r>
      <w:r w:rsidR="00951F3D">
        <w:t>s</w:t>
      </w:r>
      <w:r w:rsidR="00141075">
        <w:t xml:space="preserve">. </w:t>
      </w:r>
    </w:p>
    <w:p w14:paraId="5350CAB4" w14:textId="4413C0CA" w:rsidR="00D63AB7" w:rsidRPr="00FA15F6" w:rsidRDefault="002025B2" w:rsidP="00EA041C">
      <w:pPr>
        <w:pStyle w:val="Heading2"/>
      </w:pPr>
      <w:bookmarkStart w:id="43" w:name="_Toc173326326"/>
      <w:r>
        <w:t xml:space="preserve">3.3 </w:t>
      </w:r>
      <w:r w:rsidR="00D63AB7" w:rsidRPr="00FA15F6">
        <w:t>In line with Australia’s enhanced gender equality requirements for ODA investments</w:t>
      </w:r>
      <w:r w:rsidR="00073347">
        <w:t xml:space="preserve">, DFAT </w:t>
      </w:r>
      <w:r w:rsidR="006F7A8B">
        <w:t xml:space="preserve">should choose </w:t>
      </w:r>
      <w:r w:rsidR="00D63AB7" w:rsidRPr="00FA15F6">
        <w:t>partners</w:t>
      </w:r>
      <w:r w:rsidR="006F7A8B">
        <w:t xml:space="preserve"> </w:t>
      </w:r>
      <w:r w:rsidR="00D63AB7" w:rsidRPr="00FA15F6">
        <w:t>/</w:t>
      </w:r>
      <w:r w:rsidR="006F7A8B">
        <w:t xml:space="preserve"> </w:t>
      </w:r>
      <w:r w:rsidR="00D63AB7" w:rsidRPr="00FA15F6">
        <w:t xml:space="preserve">investment platforms </w:t>
      </w:r>
      <w:r w:rsidR="006F7A8B">
        <w:t xml:space="preserve">which </w:t>
      </w:r>
      <w:r w:rsidR="00D63AB7" w:rsidRPr="00FA15F6">
        <w:t>will enable gender to be effectively integrated or mainstreamed into future investments</w:t>
      </w:r>
      <w:r w:rsidR="006F7A8B">
        <w:t>.</w:t>
      </w:r>
      <w:bookmarkEnd w:id="43"/>
    </w:p>
    <w:p w14:paraId="7F93BB6D" w14:textId="5F45BCE6" w:rsidR="00E1114C" w:rsidRDefault="001714B1" w:rsidP="00EA041C">
      <w:r>
        <w:t xml:space="preserve">As part of the partnership selection process outlined in recommendation </w:t>
      </w:r>
      <w:r w:rsidR="00670ED1">
        <w:t>3.</w:t>
      </w:r>
      <w:r>
        <w:t xml:space="preserve">2, DFAT could consider partnerships with agencies such as UN Women or UNFPA which are </w:t>
      </w:r>
      <w:r w:rsidR="00AE1253">
        <w:t xml:space="preserve">engaged in more gender-sensitive and transformative work with their partners. Work on prevention and response to </w:t>
      </w:r>
      <w:r w:rsidR="003556F0">
        <w:t>gender-based</w:t>
      </w:r>
      <w:r w:rsidR="00AE1253">
        <w:t xml:space="preserve"> </w:t>
      </w:r>
      <w:r w:rsidR="00277CFC">
        <w:t>v</w:t>
      </w:r>
      <w:r w:rsidR="00AE1253">
        <w:t>iolence, child marriage</w:t>
      </w:r>
      <w:r w:rsidR="007E0B45">
        <w:t xml:space="preserve"> and </w:t>
      </w:r>
      <w:r w:rsidR="00AE1253">
        <w:t>se</w:t>
      </w:r>
      <w:r w:rsidR="00277CFC">
        <w:t>xual and reproductive health rights</w:t>
      </w:r>
      <w:r w:rsidR="007E0B45">
        <w:t xml:space="preserve"> is clearly vital and needing </w:t>
      </w:r>
      <w:r w:rsidR="007A6079">
        <w:t xml:space="preserve">sustained support. </w:t>
      </w:r>
      <w:r w:rsidR="003464C2" w:rsidRPr="003464C2">
        <w:t>UN Women</w:t>
      </w:r>
      <w:r w:rsidR="000F4C26">
        <w:t xml:space="preserve"> may align better with </w:t>
      </w:r>
      <w:r w:rsidR="001327D2">
        <w:t>DFAT’s program approach as</w:t>
      </w:r>
      <w:r w:rsidR="003464C2" w:rsidRPr="003464C2">
        <w:t xml:space="preserve"> they have a role in coordinating</w:t>
      </w:r>
      <w:r w:rsidR="00670ED1">
        <w:t xml:space="preserve"> the</w:t>
      </w:r>
      <w:r w:rsidR="003464C2" w:rsidRPr="003464C2">
        <w:t xml:space="preserve"> OPT</w:t>
      </w:r>
      <w:r w:rsidR="001327D2">
        <w:t>s</w:t>
      </w:r>
      <w:r w:rsidR="00951F3D">
        <w:t>’</w:t>
      </w:r>
      <w:r w:rsidR="003464C2" w:rsidRPr="003464C2">
        <w:t xml:space="preserve"> humanitarian response in relation to gender, building the capacity of the P</w:t>
      </w:r>
      <w:r w:rsidR="00765D51">
        <w:t xml:space="preserve">alestinian </w:t>
      </w:r>
      <w:r w:rsidR="003464C2" w:rsidRPr="003464C2">
        <w:t>A</w:t>
      </w:r>
      <w:r w:rsidR="00765D51">
        <w:t>uthority</w:t>
      </w:r>
      <w:r w:rsidR="003464C2" w:rsidRPr="003464C2">
        <w:t xml:space="preserve"> to </w:t>
      </w:r>
      <w:r w:rsidR="00FE4A56">
        <w:t>deliver and report on the Women, Peace and Security (</w:t>
      </w:r>
      <w:r w:rsidR="003464C2" w:rsidRPr="003464C2">
        <w:t>WPS</w:t>
      </w:r>
      <w:r w:rsidR="00FE4A56">
        <w:t>)</w:t>
      </w:r>
      <w:r w:rsidR="003464C2" w:rsidRPr="003464C2">
        <w:t xml:space="preserve"> agenda</w:t>
      </w:r>
      <w:r w:rsidR="00670ED1">
        <w:t xml:space="preserve"> and </w:t>
      </w:r>
      <w:r w:rsidR="003464C2" w:rsidRPr="003464C2">
        <w:t xml:space="preserve">building the capacity of local NGOs </w:t>
      </w:r>
      <w:r w:rsidR="004067A3">
        <w:t>in</w:t>
      </w:r>
      <w:r w:rsidR="003464C2" w:rsidRPr="003464C2">
        <w:t xml:space="preserve"> gender transformative work, particularly in relation to </w:t>
      </w:r>
      <w:r w:rsidR="003556F0">
        <w:t>gender-based</w:t>
      </w:r>
      <w:r w:rsidR="00765D51">
        <w:t xml:space="preserve"> violence prevention and response. </w:t>
      </w:r>
      <w:r w:rsidR="003464C2" w:rsidRPr="003464C2">
        <w:t xml:space="preserve"> </w:t>
      </w:r>
    </w:p>
    <w:p w14:paraId="34C1077A" w14:textId="77777777" w:rsidR="008F535E" w:rsidRDefault="00632D19" w:rsidP="00EA041C">
      <w:r>
        <w:t xml:space="preserve">UNFPA has a narrower </w:t>
      </w:r>
      <w:r w:rsidR="00E1114C">
        <w:t xml:space="preserve">work </w:t>
      </w:r>
      <w:r>
        <w:t>scope</w:t>
      </w:r>
      <w:r w:rsidR="00541964">
        <w:t xml:space="preserve">, focused on effective family planning, reduced maternal mortality and </w:t>
      </w:r>
      <w:r w:rsidR="00B51105">
        <w:t xml:space="preserve">elimination of </w:t>
      </w:r>
      <w:r w:rsidR="003556F0">
        <w:t>gender-based</w:t>
      </w:r>
      <w:r w:rsidR="00B51105">
        <w:t xml:space="preserve"> violence. It appears to </w:t>
      </w:r>
      <w:r w:rsidR="001266AA">
        <w:t>be working</w:t>
      </w:r>
      <w:r w:rsidR="00B51105">
        <w:t xml:space="preserve"> effectively </w:t>
      </w:r>
      <w:r w:rsidR="00FE6DFE">
        <w:t>in both the policy development and service provision spaces, as well as</w:t>
      </w:r>
      <w:r w:rsidR="001266AA">
        <w:t xml:space="preserve"> addressing negative</w:t>
      </w:r>
      <w:r w:rsidR="00FE6DFE">
        <w:t xml:space="preserve"> gender and social norms and engaging men and boys.</w:t>
      </w:r>
    </w:p>
    <w:p w14:paraId="0D24B9B9" w14:textId="57ECDC01" w:rsidR="005E50EE" w:rsidRDefault="005E50EE" w:rsidP="00EA041C">
      <w:r w:rsidRPr="005E50EE">
        <w:t>Noting</w:t>
      </w:r>
      <w:r>
        <w:t xml:space="preserve"> the commitments </w:t>
      </w:r>
      <w:r w:rsidR="00F43CAD">
        <w:t>for addressing gender inequality effectively under the International</w:t>
      </w:r>
      <w:r w:rsidRPr="005E50EE">
        <w:t xml:space="preserve"> Development Policy, DFAT should be more directive to partners on expectations for gender equality considerations to be an integral part of design, implementation, monitoring and evaluation.</w:t>
      </w:r>
      <w:r w:rsidR="003674CE">
        <w:t xml:space="preserve"> Undertaking a gender audit as part of the design process will assist in mapping current partner practice and approach and setting mutual expectations </w:t>
      </w:r>
      <w:r w:rsidR="00632D19">
        <w:t xml:space="preserve">for gender focused programs. </w:t>
      </w:r>
      <w:r w:rsidR="00062C3C">
        <w:t xml:space="preserve">The gender audit may also support DFAT to clarify the extent of its ambition to work in the </w:t>
      </w:r>
      <w:r w:rsidR="00540227">
        <w:t xml:space="preserve">gender equality space, noting this is a sensitive area. </w:t>
      </w:r>
    </w:p>
    <w:p w14:paraId="5D7D3BD2" w14:textId="03B4C01A" w:rsidR="00D63AB7" w:rsidRPr="009416A8" w:rsidRDefault="002025B2" w:rsidP="00EA041C">
      <w:pPr>
        <w:pStyle w:val="Heading2"/>
      </w:pPr>
      <w:bookmarkStart w:id="44" w:name="_Toc173326327"/>
      <w:r>
        <w:t xml:space="preserve">3.4 </w:t>
      </w:r>
      <w:r w:rsidR="006F7A8B">
        <w:t>Mainstream</w:t>
      </w:r>
      <w:r w:rsidR="00D63AB7" w:rsidRPr="009416A8">
        <w:t xml:space="preserve"> climate change interventions into future investments</w:t>
      </w:r>
      <w:r w:rsidR="006F7A8B">
        <w:t>.</w:t>
      </w:r>
      <w:bookmarkEnd w:id="44"/>
    </w:p>
    <w:p w14:paraId="41DADA41" w14:textId="4A2AAD6C" w:rsidR="00DA3C95" w:rsidRDefault="00C61594" w:rsidP="00EA041C">
      <w:r>
        <w:t xml:space="preserve">Given the complexity of the program and the operating context, the review recommends </w:t>
      </w:r>
      <w:r w:rsidR="00B42E9F">
        <w:t>climate change adaptation and mitigation</w:t>
      </w:r>
      <w:r w:rsidR="000D39F0">
        <w:t xml:space="preserve"> interventions</w:t>
      </w:r>
      <w:r w:rsidR="00B42E9F">
        <w:t xml:space="preserve"> be integrated into </w:t>
      </w:r>
      <w:r w:rsidR="000D39F0">
        <w:t>current thematic priorities</w:t>
      </w:r>
      <w:r w:rsidR="00590D20">
        <w:t xml:space="preserve">, rather than being treated as a standalone. </w:t>
      </w:r>
      <w:r w:rsidR="0034339B">
        <w:t xml:space="preserve">This could take the form of seeking a greener humanitarian response </w:t>
      </w:r>
      <w:r w:rsidR="00664692">
        <w:t>e.g., reducing single use plastics</w:t>
      </w:r>
      <w:r w:rsidR="00934C22">
        <w:t xml:space="preserve"> and </w:t>
      </w:r>
      <w:r w:rsidR="00664692">
        <w:t>recycling</w:t>
      </w:r>
      <w:r w:rsidR="009B1738">
        <w:t xml:space="preserve"> processes</w:t>
      </w:r>
      <w:r w:rsidR="00664692">
        <w:t xml:space="preserve">. </w:t>
      </w:r>
      <w:r w:rsidR="00870311">
        <w:t>There is also the opportunity to consider the intersectionality of climate change with gender and / or disability</w:t>
      </w:r>
      <w:r w:rsidR="00A60D0F">
        <w:t xml:space="preserve">, as well as climate-resilient agriculture and </w:t>
      </w:r>
      <w:r w:rsidR="00934C22">
        <w:t>other livelihoods.</w:t>
      </w:r>
      <w:r w:rsidR="00836FD2">
        <w:t xml:space="preserve"> There is an opportunity to develop baseline </w:t>
      </w:r>
      <w:r w:rsidR="00E2122C">
        <w:t xml:space="preserve">institutional </w:t>
      </w:r>
      <w:r w:rsidR="00836FD2">
        <w:t>capacity through the Australia Awards</w:t>
      </w:r>
      <w:r w:rsidR="00B478CD">
        <w:t xml:space="preserve"> and studies in climate change</w:t>
      </w:r>
      <w:r w:rsidR="004F2C81">
        <w:t>. In addition,</w:t>
      </w:r>
      <w:r w:rsidR="00BF0FF7">
        <w:t xml:space="preserve"> respondents to</w:t>
      </w:r>
      <w:r w:rsidR="00774568">
        <w:t xml:space="preserve"> this review</w:t>
      </w:r>
      <w:r w:rsidR="00CD0ED3">
        <w:t xml:space="preserve"> </w:t>
      </w:r>
      <w:r w:rsidR="00FE134A">
        <w:t xml:space="preserve">indicated their institutions often lack sufficient capacity to access global funding sources such as the Green Climate Fund (GCF). DFAT Post should maintain </w:t>
      </w:r>
      <w:r w:rsidR="00464B6E">
        <w:t>dialogue and advocacy to assist in supporting the P</w:t>
      </w:r>
      <w:r w:rsidR="004D0424">
        <w:t xml:space="preserve">alestinian </w:t>
      </w:r>
      <w:r w:rsidR="00464B6E">
        <w:t>A</w:t>
      </w:r>
      <w:r w:rsidR="004D0424">
        <w:t>uthority</w:t>
      </w:r>
      <w:r w:rsidR="00464B6E">
        <w:t xml:space="preserve"> to apply for climate finance. </w:t>
      </w:r>
    </w:p>
    <w:p w14:paraId="4F46ABCB" w14:textId="458FEABC" w:rsidR="007A3280" w:rsidRDefault="007A3280">
      <w:pPr>
        <w:spacing w:after="0"/>
        <w:rPr>
          <w:b/>
          <w:bCs/>
          <w:color w:val="000000" w:themeColor="text1"/>
          <w:sz w:val="24"/>
          <w:szCs w:val="24"/>
        </w:rPr>
      </w:pPr>
      <w:bookmarkStart w:id="45" w:name="_Toc173326328"/>
      <w:r>
        <w:br w:type="page"/>
      </w:r>
    </w:p>
    <w:p w14:paraId="286CDEBA" w14:textId="046C7164" w:rsidR="00D63AB7" w:rsidRPr="00540227" w:rsidRDefault="002025B2" w:rsidP="00EA041C">
      <w:pPr>
        <w:pStyle w:val="Heading2"/>
      </w:pPr>
      <w:r>
        <w:lastRenderedPageBreak/>
        <w:t xml:space="preserve">3.5 </w:t>
      </w:r>
      <w:r w:rsidR="006F7A8B">
        <w:t xml:space="preserve">Move to </w:t>
      </w:r>
      <w:r w:rsidR="00D63AB7" w:rsidRPr="00540227">
        <w:t>multi-year funding</w:t>
      </w:r>
      <w:bookmarkEnd w:id="45"/>
      <w:r w:rsidR="00F124AC">
        <w:t>.</w:t>
      </w:r>
      <w:r w:rsidR="00D63AB7" w:rsidRPr="00540227">
        <w:t xml:space="preserve">  </w:t>
      </w:r>
    </w:p>
    <w:p w14:paraId="3BD3A8B8" w14:textId="3709C731" w:rsidR="004377CA" w:rsidRDefault="009B1738" w:rsidP="00EA041C">
      <w:r>
        <w:t>The review recommends</w:t>
      </w:r>
      <w:r w:rsidR="00D066EB">
        <w:t xml:space="preserve"> budget planning</w:t>
      </w:r>
      <w:r w:rsidR="00C5352A">
        <w:t xml:space="preserve"> that will </w:t>
      </w:r>
      <w:r w:rsidR="00B9383E">
        <w:t>facilitate</w:t>
      </w:r>
      <w:r w:rsidR="00C5352A">
        <w:t xml:space="preserve"> the two-track objectives of a program approach with</w:t>
      </w:r>
      <w:r w:rsidR="008C0938">
        <w:t xml:space="preserve"> </w:t>
      </w:r>
      <w:r w:rsidR="00BF4FA1">
        <w:t>targeted advocacy</w:t>
      </w:r>
      <w:r w:rsidR="00C5352A">
        <w:t>.</w:t>
      </w:r>
      <w:r w:rsidR="00956D8E">
        <w:t xml:space="preserve"> M</w:t>
      </w:r>
      <w:r w:rsidR="00D066EB">
        <w:t xml:space="preserve">ulti-year funding </w:t>
      </w:r>
      <w:r w:rsidR="00956D8E">
        <w:t xml:space="preserve">will unlock opportunities for better </w:t>
      </w:r>
      <w:r w:rsidR="00F617CE">
        <w:t xml:space="preserve">program </w:t>
      </w:r>
      <w:r w:rsidR="00956D8E">
        <w:t xml:space="preserve">outcome and impact </w:t>
      </w:r>
      <w:r w:rsidR="006453A9">
        <w:t>data, providing evidence to support</w:t>
      </w:r>
      <w:r w:rsidR="00F617CE">
        <w:t xml:space="preserve"> advocacy and policy </w:t>
      </w:r>
      <w:r w:rsidR="00ED32BF">
        <w:t xml:space="preserve">efforts. </w:t>
      </w:r>
    </w:p>
    <w:p w14:paraId="4BBE3871" w14:textId="55B17CA3" w:rsidR="003E3BCB" w:rsidRPr="003E3BCB" w:rsidRDefault="002025B2" w:rsidP="00EA041C">
      <w:pPr>
        <w:pStyle w:val="Heading2"/>
      </w:pPr>
      <w:bookmarkStart w:id="46" w:name="_Toc173326329"/>
      <w:r>
        <w:t xml:space="preserve">3.6 </w:t>
      </w:r>
      <w:r w:rsidR="003E3BCB" w:rsidRPr="003E3BCB">
        <w:t>Maintain the high levels of attention to risk management in humanitarian and development investments.</w:t>
      </w:r>
      <w:bookmarkEnd w:id="46"/>
      <w:r w:rsidR="003E3BCB" w:rsidRPr="003E3BCB">
        <w:t xml:space="preserve"> </w:t>
      </w:r>
    </w:p>
    <w:p w14:paraId="6F274D36" w14:textId="5978E451" w:rsidR="003E3BCB" w:rsidRDefault="003E3BCB" w:rsidP="00EA041C">
      <w:r>
        <w:t>DFAT should m</w:t>
      </w:r>
      <w:r w:rsidRPr="00E33078">
        <w:t>aintain the high levels of attention to risk management in humanitarian and development investment</w:t>
      </w:r>
      <w:r>
        <w:t>s</w:t>
      </w:r>
      <w:r w:rsidRPr="00E33078">
        <w:t>.</w:t>
      </w:r>
      <w:r>
        <w:t xml:space="preserve"> </w:t>
      </w:r>
      <w:r w:rsidRPr="003E3BCB">
        <w:rPr>
          <w:lang w:eastAsia="en-AU"/>
        </w:rPr>
        <w:t>Building on the efforts to date, the review identified opportunities to strengthen aspects of DFAT’s risk management.</w:t>
      </w:r>
    </w:p>
    <w:p w14:paraId="60AA4440" w14:textId="1525ED10" w:rsidR="00C07E22" w:rsidRPr="0090718C" w:rsidRDefault="00F315EA" w:rsidP="00EA041C">
      <w:pPr>
        <w:pStyle w:val="Heading2"/>
      </w:pPr>
      <w:bookmarkStart w:id="47" w:name="_Toc173326330"/>
      <w:r w:rsidRPr="0090718C">
        <w:t>Epilogue</w:t>
      </w:r>
      <w:bookmarkEnd w:id="47"/>
    </w:p>
    <w:p w14:paraId="6D4C9900" w14:textId="4C00932A" w:rsidR="005C03D7" w:rsidRDefault="005C03D7" w:rsidP="00EA041C">
      <w:r>
        <w:t>The OPT</w:t>
      </w:r>
      <w:r w:rsidR="00951F3D">
        <w:t>s</w:t>
      </w:r>
      <w:r>
        <w:t xml:space="preserve"> Strategic Review Report was </w:t>
      </w:r>
      <w:r w:rsidR="00FD3E18">
        <w:t xml:space="preserve">finalised and </w:t>
      </w:r>
      <w:r>
        <w:t xml:space="preserve">submitted at the onset of the October 2023 Israel Hamas conflict. DFAT’s existing approach of partnering with long-term, established and respected multilateral organisations with capabilities to adapt and respond immediately in times of crisis has enabled it to pivot quickly and meet urgent humanitarian needs.  </w:t>
      </w:r>
    </w:p>
    <w:p w14:paraId="60880D6A" w14:textId="77777777" w:rsidR="005C03D7" w:rsidRDefault="005C03D7" w:rsidP="00EA041C">
      <w:r>
        <w:t xml:space="preserve">The conflict has reinforced the findings and recommendations of this report on the program, particularly the need to maintain its humanitarian focus and the effectiveness of current partners. In addition, Australia’s call for all parties to the conflict to respect international humanitarian law will likely be a key advocacy pillar going forward, as noted by the review. While meeting the immediate humanitarian needs will likely remain the focus of the program for the foreseeable future, DFAT may want to consider what form of reconstruction or rehabilitation support to offer. </w:t>
      </w:r>
    </w:p>
    <w:p w14:paraId="7378B6A6" w14:textId="493654F3" w:rsidR="00397833" w:rsidRPr="00397833" w:rsidRDefault="005C03D7" w:rsidP="00397833">
      <w:r>
        <w:t>Recommendations relating to engaging stakeholders and constituents in a process to select partners and taking a program approach with multi-year funding with both humanitarian and resilience pillars, remain highly relevan</w:t>
      </w:r>
      <w:r w:rsidR="00F34C10">
        <w:t>t.</w:t>
      </w:r>
    </w:p>
    <w:sectPr w:rsidR="00397833" w:rsidRPr="00397833" w:rsidSect="001537A1">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C67E" w14:textId="77777777" w:rsidR="00EC6856" w:rsidRPr="0080752C" w:rsidRDefault="00EC6856" w:rsidP="00EA041C">
      <w:r w:rsidRPr="0080752C">
        <w:separator/>
      </w:r>
    </w:p>
  </w:endnote>
  <w:endnote w:type="continuationSeparator" w:id="0">
    <w:p w14:paraId="33B64672" w14:textId="77777777" w:rsidR="00EC6856" w:rsidRPr="0080752C" w:rsidRDefault="00EC6856" w:rsidP="00EA041C">
      <w:r w:rsidRPr="008075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rpid C1 SCd Regular">
    <w:altName w:val="Arial"/>
    <w:charset w:val="00"/>
    <w:family w:val="swiss"/>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56581"/>
      <w:docPartObj>
        <w:docPartGallery w:val="Page Numbers (Bottom of Page)"/>
        <w:docPartUnique/>
      </w:docPartObj>
    </w:sdtPr>
    <w:sdtEndPr>
      <w:rPr>
        <w:noProof/>
      </w:rPr>
    </w:sdtEndPr>
    <w:sdtContent>
      <w:p w14:paraId="5356B0F9" w14:textId="0CBFD275" w:rsidR="00EC5691" w:rsidRDefault="00EC5691" w:rsidP="00EA041C">
        <w:pPr>
          <w:pStyle w:val="Footer"/>
        </w:pPr>
        <w:r>
          <w:fldChar w:fldCharType="begin"/>
        </w:r>
        <w:r>
          <w:instrText xml:space="preserve"> PAGE   \* MERGEFORMAT </w:instrText>
        </w:r>
        <w:r>
          <w:fldChar w:fldCharType="separate"/>
        </w:r>
        <w:r>
          <w:rPr>
            <w:noProof/>
          </w:rPr>
          <w:t>2</w:t>
        </w:r>
        <w:r>
          <w:rPr>
            <w:noProof/>
          </w:rPr>
          <w:fldChar w:fldCharType="end"/>
        </w:r>
      </w:p>
    </w:sdtContent>
  </w:sdt>
  <w:p w14:paraId="3B98F72B" w14:textId="77777777" w:rsidR="00EC5691" w:rsidRDefault="00EC5691" w:rsidP="00EA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513C" w14:textId="77777777" w:rsidR="00EC6856" w:rsidRPr="0080752C" w:rsidRDefault="00EC6856" w:rsidP="00EA041C">
      <w:r w:rsidRPr="0080752C">
        <w:separator/>
      </w:r>
    </w:p>
  </w:footnote>
  <w:footnote w:type="continuationSeparator" w:id="0">
    <w:p w14:paraId="0B9179C9" w14:textId="77777777" w:rsidR="00EC6856" w:rsidRPr="0080752C" w:rsidRDefault="00EC6856" w:rsidP="00EA041C">
      <w:r w:rsidRPr="0080752C">
        <w:continuationSeparator/>
      </w:r>
    </w:p>
  </w:footnote>
  <w:footnote w:id="1">
    <w:p w14:paraId="49242FB7" w14:textId="02D8A04F" w:rsidR="00AF2DBC" w:rsidRPr="00D84B87" w:rsidRDefault="00AF2DBC" w:rsidP="00EA041C">
      <w:pPr>
        <w:pStyle w:val="FootnoteText"/>
      </w:pPr>
      <w:r>
        <w:rPr>
          <w:rStyle w:val="FootnoteReference"/>
        </w:rPr>
        <w:footnoteRef/>
      </w:r>
      <w:r>
        <w:t xml:space="preserve"> </w:t>
      </w:r>
      <w:r w:rsidR="00217200" w:rsidRPr="00D84B87">
        <w:t>On 8 August 2023, the Australian Government returned to using the term “Occupied Palestinian Territories”.</w:t>
      </w:r>
    </w:p>
  </w:footnote>
  <w:footnote w:id="2">
    <w:p w14:paraId="3F579C04" w14:textId="12814204" w:rsidR="009879FD" w:rsidRPr="00C96EE7" w:rsidRDefault="009879FD" w:rsidP="008F535E">
      <w:pPr>
        <w:pStyle w:val="FootnoteText"/>
        <w:spacing w:after="0"/>
        <w:rPr>
          <w:lang w:val="en-US"/>
        </w:rPr>
      </w:pPr>
      <w:r w:rsidRPr="00C96EE7">
        <w:rPr>
          <w:rStyle w:val="FootnoteReference"/>
          <w:sz w:val="16"/>
          <w:szCs w:val="16"/>
        </w:rPr>
        <w:footnoteRef/>
      </w:r>
      <w:r w:rsidRPr="00C96EE7">
        <w:t xml:space="preserve"> </w:t>
      </w:r>
      <w:r w:rsidRPr="00C96EE7">
        <w:rPr>
          <w:lang w:val="en-US"/>
        </w:rPr>
        <w:t xml:space="preserve">Hamas </w:t>
      </w:r>
      <w:r w:rsidR="00F804AF" w:rsidRPr="00C96EE7">
        <w:rPr>
          <w:lang w:val="en-US"/>
        </w:rPr>
        <w:t>is</w:t>
      </w:r>
      <w:r w:rsidRPr="00C96EE7">
        <w:rPr>
          <w:lang w:val="en-US"/>
        </w:rPr>
        <w:t xml:space="preserve"> the de facto authority in Gaza</w:t>
      </w:r>
      <w:r w:rsidR="00800C72" w:rsidRPr="00C96EE7">
        <w:rPr>
          <w:lang w:val="en-US"/>
        </w:rPr>
        <w:t xml:space="preserve"> and is often referenced as such.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E54"/>
    <w:multiLevelType w:val="hybridMultilevel"/>
    <w:tmpl w:val="AD7CF1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74E65"/>
    <w:multiLevelType w:val="multilevel"/>
    <w:tmpl w:val="1B2E107C"/>
    <w:styleLink w:val="Headings"/>
    <w:lvl w:ilvl="0">
      <w:start w:val="1"/>
      <w:numFmt w:val="decimal"/>
      <w:lvlText w:val="%1."/>
      <w:lvlJc w:val="left"/>
      <w:pPr>
        <w:tabs>
          <w:tab w:val="num" w:pos="284"/>
        </w:tabs>
        <w:ind w:left="284" w:hanging="284"/>
      </w:pPr>
      <w:rPr>
        <w:rFonts w:hint="default"/>
        <w:color w:val="2294CD"/>
      </w:rPr>
    </w:lvl>
    <w:lvl w:ilvl="1">
      <w:start w:val="1"/>
      <w:numFmt w:val="lowerLetter"/>
      <w:lvlText w:val="%2."/>
      <w:lvlJc w:val="left"/>
      <w:pPr>
        <w:tabs>
          <w:tab w:val="num" w:pos="567"/>
        </w:tabs>
        <w:ind w:left="568" w:hanging="284"/>
      </w:pPr>
      <w:rPr>
        <w:rFonts w:hint="default"/>
        <w:color w:val="2294CD"/>
      </w:rPr>
    </w:lvl>
    <w:lvl w:ilvl="2">
      <w:start w:val="1"/>
      <w:numFmt w:val="lowerRoman"/>
      <w:lvlText w:val="%3."/>
      <w:lvlJc w:val="left"/>
      <w:pPr>
        <w:tabs>
          <w:tab w:val="num" w:pos="851"/>
        </w:tabs>
        <w:ind w:left="852" w:hanging="284"/>
      </w:pPr>
      <w:rPr>
        <w:rFonts w:hint="default"/>
        <w:color w:val="2294CD"/>
      </w:rPr>
    </w:lvl>
    <w:lvl w:ilvl="3">
      <w:start w:val="1"/>
      <w:numFmt w:val="none"/>
      <w:lvlText w:val=""/>
      <w:lvlJc w:val="left"/>
      <w:pPr>
        <w:tabs>
          <w:tab w:val="num" w:pos="284"/>
        </w:tabs>
        <w:ind w:left="1136" w:hanging="284"/>
      </w:pPr>
      <w:rPr>
        <w:rFonts w:hint="default"/>
        <w:b w:val="0"/>
        <w:i w:val="0"/>
        <w:color w:val="E7E6E6" w:themeColor="background2"/>
      </w:rPr>
    </w:lvl>
    <w:lvl w:ilvl="4">
      <w:start w:val="1"/>
      <w:numFmt w:val="none"/>
      <w:lvlText w:val=""/>
      <w:lvlJc w:val="left"/>
      <w:pPr>
        <w:tabs>
          <w:tab w:val="num" w:pos="567"/>
        </w:tabs>
        <w:ind w:left="1420" w:hanging="284"/>
      </w:pPr>
      <w:rPr>
        <w:rFonts w:hint="default"/>
        <w:b w:val="0"/>
        <w:i w:val="0"/>
        <w:color w:val="E7E6E6" w:themeColor="background2"/>
      </w:rPr>
    </w:lvl>
    <w:lvl w:ilvl="5">
      <w:start w:val="1"/>
      <w:numFmt w:val="none"/>
      <w:lvlText w:val=""/>
      <w:lvlJc w:val="left"/>
      <w:pPr>
        <w:tabs>
          <w:tab w:val="num" w:pos="851"/>
        </w:tabs>
        <w:ind w:left="1704" w:hanging="284"/>
      </w:pPr>
      <w:rPr>
        <w:rFonts w:hint="default"/>
        <w:b w:val="0"/>
        <w:i w:val="0"/>
        <w:color w:val="E7E6E6" w:themeColor="background2"/>
      </w:rPr>
    </w:lvl>
    <w:lvl w:ilvl="6">
      <w:start w:val="1"/>
      <w:numFmt w:val="none"/>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2" w15:restartNumberingAfterBreak="0">
    <w:nsid w:val="0EB022D8"/>
    <w:multiLevelType w:val="hybridMultilevel"/>
    <w:tmpl w:val="F756204A"/>
    <w:lvl w:ilvl="0" w:tplc="C930CACE">
      <w:start w:val="1"/>
      <w:numFmt w:val="bullet"/>
      <w:pStyle w:val="TableBullets"/>
      <w:lvlText w:val=""/>
      <w:lvlJc w:val="left"/>
      <w:pPr>
        <w:ind w:left="360" w:hanging="360"/>
      </w:pPr>
      <w:rPr>
        <w:rFonts w:ascii="Wingdings" w:hAnsi="Wingdings" w:hint="default"/>
        <w:color w:val="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A17FE"/>
    <w:multiLevelType w:val="multilevel"/>
    <w:tmpl w:val="09685C38"/>
    <w:numStyleLink w:val="MasterHeadings"/>
  </w:abstractNum>
  <w:abstractNum w:abstractNumId="4" w15:restartNumberingAfterBreak="0">
    <w:nsid w:val="1E79427D"/>
    <w:multiLevelType w:val="hybridMultilevel"/>
    <w:tmpl w:val="F2F061D2"/>
    <w:lvl w:ilvl="0" w:tplc="265AD4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05FC1"/>
    <w:multiLevelType w:val="hybridMultilevel"/>
    <w:tmpl w:val="2C2854C6"/>
    <w:lvl w:ilvl="0" w:tplc="265AD47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256C0"/>
    <w:multiLevelType w:val="multilevel"/>
    <w:tmpl w:val="1436D14C"/>
    <w:lvl w:ilvl="0">
      <w:start w:val="1"/>
      <w:numFmt w:val="none"/>
      <w:pStyle w:val="TableHeading"/>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color w:val="E7E6E6" w:themeColor="background2"/>
      </w:rPr>
    </w:lvl>
    <w:lvl w:ilvl="2">
      <w:start w:val="1"/>
      <w:numFmt w:val="none"/>
      <w:lvlText w:val=""/>
      <w:lvlJc w:val="left"/>
      <w:pPr>
        <w:tabs>
          <w:tab w:val="num" w:pos="568"/>
        </w:tabs>
        <w:ind w:left="568" w:firstLine="0"/>
      </w:pPr>
      <w:rPr>
        <w:rFonts w:hint="default"/>
      </w:rPr>
    </w:lvl>
    <w:lvl w:ilvl="3">
      <w:start w:val="1"/>
      <w:numFmt w:val="none"/>
      <w:lvlText w:val=""/>
      <w:lvlJc w:val="left"/>
      <w:pPr>
        <w:tabs>
          <w:tab w:val="num" w:pos="852"/>
        </w:tabs>
        <w:ind w:left="852" w:firstLine="0"/>
      </w:pPr>
      <w:rPr>
        <w:rFonts w:hint="default"/>
      </w:rPr>
    </w:lvl>
    <w:lvl w:ilvl="4">
      <w:start w:val="1"/>
      <w:numFmt w:val="none"/>
      <w:lvlText w:val=""/>
      <w:lvlJc w:val="left"/>
      <w:pPr>
        <w:tabs>
          <w:tab w:val="num" w:pos="1136"/>
        </w:tabs>
        <w:ind w:left="1136" w:firstLine="0"/>
      </w:pPr>
      <w:rPr>
        <w:rFonts w:hint="default"/>
      </w:rPr>
    </w:lvl>
    <w:lvl w:ilvl="5">
      <w:start w:val="1"/>
      <w:numFmt w:val="none"/>
      <w:lvlText w:val=""/>
      <w:lvlJc w:val="left"/>
      <w:pPr>
        <w:tabs>
          <w:tab w:val="num" w:pos="1420"/>
        </w:tabs>
        <w:ind w:left="1420" w:firstLine="0"/>
      </w:pPr>
      <w:rPr>
        <w:rFonts w:hint="default"/>
      </w:rPr>
    </w:lvl>
    <w:lvl w:ilvl="6">
      <w:start w:val="1"/>
      <w:numFmt w:val="none"/>
      <w:lvlText w:val=""/>
      <w:lvlJc w:val="left"/>
      <w:pPr>
        <w:tabs>
          <w:tab w:val="num" w:pos="1704"/>
        </w:tabs>
        <w:ind w:left="1704" w:firstLine="0"/>
      </w:pPr>
      <w:rPr>
        <w:rFonts w:hint="default"/>
      </w:rPr>
    </w:lvl>
    <w:lvl w:ilvl="7">
      <w:start w:val="1"/>
      <w:numFmt w:val="none"/>
      <w:lvlText w:val=""/>
      <w:lvlJc w:val="left"/>
      <w:pPr>
        <w:tabs>
          <w:tab w:val="num" w:pos="1988"/>
        </w:tabs>
        <w:ind w:left="1988" w:firstLine="0"/>
      </w:pPr>
      <w:rPr>
        <w:rFonts w:hint="default"/>
      </w:rPr>
    </w:lvl>
    <w:lvl w:ilvl="8">
      <w:start w:val="1"/>
      <w:numFmt w:val="none"/>
      <w:lvlText w:val=""/>
      <w:lvlJc w:val="left"/>
      <w:pPr>
        <w:tabs>
          <w:tab w:val="num" w:pos="2272"/>
        </w:tabs>
        <w:ind w:left="2272" w:firstLine="0"/>
      </w:pPr>
      <w:rPr>
        <w:rFonts w:hint="default"/>
      </w:rPr>
    </w:lvl>
  </w:abstractNum>
  <w:abstractNum w:abstractNumId="7"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8" w15:restartNumberingAfterBreak="0">
    <w:nsid w:val="270F2FAB"/>
    <w:multiLevelType w:val="hybridMultilevel"/>
    <w:tmpl w:val="501A5F9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B501A"/>
    <w:multiLevelType w:val="hybridMultilevel"/>
    <w:tmpl w:val="5A3ADF4E"/>
    <w:lvl w:ilvl="0" w:tplc="265AD4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05B16"/>
    <w:multiLevelType w:val="hybridMultilevel"/>
    <w:tmpl w:val="EEAA78E2"/>
    <w:lvl w:ilvl="0" w:tplc="D3B432A8">
      <w:start w:val="1"/>
      <w:numFmt w:val="bullet"/>
      <w:lvlText w:val=""/>
      <w:lvlJc w:val="left"/>
      <w:pPr>
        <w:ind w:left="720" w:hanging="360"/>
      </w:pPr>
      <w:rPr>
        <w:rFonts w:ascii="Symbol" w:eastAsia="Times New Roman" w:hAnsi="Symbol" w:cs="Arial" w:hint="default"/>
      </w:rPr>
    </w:lvl>
    <w:lvl w:ilvl="1" w:tplc="1452D7AE">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413D9"/>
    <w:multiLevelType w:val="hybridMultilevel"/>
    <w:tmpl w:val="CBE258B0"/>
    <w:lvl w:ilvl="0" w:tplc="0C09000F">
      <w:start w:val="1"/>
      <w:numFmt w:val="decimal"/>
      <w:lvlText w:val="%1."/>
      <w:lvlJc w:val="left"/>
      <w:pPr>
        <w:ind w:left="360" w:hanging="360"/>
      </w:pPr>
      <w:rPr>
        <w:rFonts w:hint="default"/>
      </w:rPr>
    </w:lvl>
    <w:lvl w:ilvl="1" w:tplc="0C090019">
      <w:start w:val="1"/>
      <w:numFmt w:val="lowerLetter"/>
      <w:lvlText w:val="%2."/>
      <w:lvlJc w:val="left"/>
      <w:pPr>
        <w:ind w:left="192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4112B5A"/>
    <w:multiLevelType w:val="hybridMultilevel"/>
    <w:tmpl w:val="10CA55F0"/>
    <w:lvl w:ilvl="0" w:tplc="265AD4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AE3043"/>
    <w:multiLevelType w:val="multilevel"/>
    <w:tmpl w:val="09685C38"/>
    <w:styleLink w:val="MasterHeadings"/>
    <w:lvl w:ilvl="0">
      <w:start w:val="1"/>
      <w:numFmt w:val="none"/>
      <w:pStyle w:val="CoverTitle"/>
      <w:suff w:val="nothing"/>
      <w:lvlText w:val=""/>
      <w:lvlJc w:val="left"/>
      <w:pPr>
        <w:ind w:left="0" w:firstLine="0"/>
      </w:pPr>
      <w:rPr>
        <w:rFonts w:hint="default"/>
      </w:rPr>
    </w:lvl>
    <w:lvl w:ilvl="1">
      <w:start w:val="1"/>
      <w:numFmt w:val="decimal"/>
      <w:pStyle w:val="NumberedHeading1"/>
      <w:lvlText w:val="%2."/>
      <w:lvlJc w:val="left"/>
      <w:pPr>
        <w:tabs>
          <w:tab w:val="num" w:pos="567"/>
        </w:tabs>
        <w:ind w:left="567" w:hanging="567"/>
      </w:pPr>
      <w:rPr>
        <w:rFonts w:hint="default"/>
      </w:rPr>
    </w:lvl>
    <w:lvl w:ilvl="2">
      <w:start w:val="1"/>
      <w:numFmt w:val="decimal"/>
      <w:pStyle w:val="NumberedHeading2"/>
      <w:lvlText w:val="%2.%3."/>
      <w:lvlJc w:val="left"/>
      <w:pPr>
        <w:tabs>
          <w:tab w:val="num" w:pos="567"/>
        </w:tabs>
        <w:ind w:left="567" w:hanging="567"/>
      </w:pPr>
      <w:rPr>
        <w:rFonts w:hint="default"/>
      </w:rPr>
    </w:lvl>
    <w:lvl w:ilvl="3">
      <w:start w:val="1"/>
      <w:numFmt w:val="decimal"/>
      <w:pStyle w:val="NumberedHeading3"/>
      <w:lvlText w:val="%2.%3.%4."/>
      <w:lvlJc w:val="left"/>
      <w:pPr>
        <w:tabs>
          <w:tab w:val="num" w:pos="851"/>
        </w:tabs>
        <w:ind w:left="851" w:hanging="851"/>
      </w:pPr>
      <w:rPr>
        <w:rFonts w:hint="default"/>
      </w:rPr>
    </w:lvl>
    <w:lvl w:ilvl="4">
      <w:start w:val="1"/>
      <w:numFmt w:val="decimal"/>
      <w:lvlText w:val="%5."/>
      <w:lvlJc w:val="left"/>
      <w:pPr>
        <w:tabs>
          <w:tab w:val="num" w:pos="851"/>
        </w:tabs>
        <w:ind w:left="851" w:hanging="284"/>
      </w:pPr>
      <w:rPr>
        <w:rFonts w:hint="default"/>
        <w:color w:val="44546A" w:themeColor="text2"/>
      </w:rPr>
    </w:lvl>
    <w:lvl w:ilvl="5">
      <w:start w:val="1"/>
      <w:numFmt w:val="lowerLetter"/>
      <w:lvlText w:val="%6."/>
      <w:lvlJc w:val="left"/>
      <w:pPr>
        <w:tabs>
          <w:tab w:val="num" w:pos="1134"/>
        </w:tabs>
        <w:ind w:left="1134" w:hanging="283"/>
      </w:pPr>
      <w:rPr>
        <w:rFonts w:hint="default"/>
        <w:color w:val="44546A" w:themeColor="text2"/>
      </w:rPr>
    </w:lvl>
    <w:lvl w:ilvl="6">
      <w:start w:val="1"/>
      <w:numFmt w:val="lowerRoman"/>
      <w:lvlText w:val="%7."/>
      <w:lvlJc w:val="left"/>
      <w:pPr>
        <w:tabs>
          <w:tab w:val="num" w:pos="1418"/>
        </w:tabs>
        <w:ind w:left="1418" w:hanging="284"/>
      </w:pPr>
      <w:rPr>
        <w:rFonts w:hint="default"/>
        <w:color w:val="44546A" w:themeColor="text2"/>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6493D49"/>
    <w:multiLevelType w:val="hybridMultilevel"/>
    <w:tmpl w:val="30185060"/>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7974A3"/>
    <w:multiLevelType w:val="hybridMultilevel"/>
    <w:tmpl w:val="E3968EEA"/>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C900D5"/>
    <w:multiLevelType w:val="hybridMultilevel"/>
    <w:tmpl w:val="4A10B7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5E0125"/>
    <w:multiLevelType w:val="multilevel"/>
    <w:tmpl w:val="D3B8E568"/>
    <w:styleLink w:val="Bullets"/>
    <w:lvl w:ilvl="0">
      <w:start w:val="1"/>
      <w:numFmt w:val="bullet"/>
      <w:lvlText w:val=""/>
      <w:lvlJc w:val="left"/>
      <w:pPr>
        <w:tabs>
          <w:tab w:val="num" w:pos="284"/>
        </w:tabs>
        <w:ind w:left="284" w:hanging="284"/>
      </w:pPr>
      <w:rPr>
        <w:rFonts w:ascii="Symbol" w:hAnsi="Symbol" w:hint="default"/>
        <w:color w:val="2294CD"/>
      </w:rPr>
    </w:lvl>
    <w:lvl w:ilvl="1">
      <w:start w:val="1"/>
      <w:numFmt w:val="bullet"/>
      <w:lvlText w:val="○"/>
      <w:lvlJc w:val="left"/>
      <w:pPr>
        <w:tabs>
          <w:tab w:val="num" w:pos="567"/>
        </w:tabs>
        <w:ind w:left="568" w:hanging="284"/>
      </w:pPr>
      <w:rPr>
        <w:rFonts w:ascii="Calibri" w:hAnsi="Calibri" w:hint="default"/>
        <w:color w:val="2294CD"/>
      </w:rPr>
    </w:lvl>
    <w:lvl w:ilvl="2">
      <w:start w:val="1"/>
      <w:numFmt w:val="bullet"/>
      <w:lvlText w:val="▪"/>
      <w:lvlJc w:val="left"/>
      <w:pPr>
        <w:tabs>
          <w:tab w:val="num" w:pos="851"/>
        </w:tabs>
        <w:ind w:left="852" w:hanging="284"/>
      </w:pPr>
      <w:rPr>
        <w:rFonts w:ascii="Calibri" w:hAnsi="Calibri" w:hint="default"/>
        <w:color w:val="2294CD"/>
      </w:rPr>
    </w:lvl>
    <w:lvl w:ilvl="3">
      <w:start w:val="1"/>
      <w:numFmt w:val="bullet"/>
      <w:lvlText w:val="−"/>
      <w:lvlJc w:val="left"/>
      <w:pPr>
        <w:tabs>
          <w:tab w:val="num" w:pos="1134"/>
        </w:tabs>
        <w:ind w:left="1136" w:hanging="284"/>
      </w:pPr>
      <w:rPr>
        <w:rFonts w:ascii="Calibri" w:hAnsi="Calibri" w:hint="default"/>
        <w:color w:val="E7E6E6" w:themeColor="background2"/>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77"/>
        </w:tabs>
        <w:ind w:left="1704" w:hanging="284"/>
      </w:pPr>
      <w:rPr>
        <w:rFonts w:ascii="Calibri" w:hAnsi="Calibri" w:hint="default"/>
      </w:rPr>
    </w:lvl>
    <w:lvl w:ilvl="6">
      <w:start w:val="1"/>
      <w:numFmt w:val="bullet"/>
      <w:lvlText w:val="−"/>
      <w:lvlJc w:val="left"/>
      <w:pPr>
        <w:tabs>
          <w:tab w:val="num" w:pos="2061"/>
        </w:tabs>
        <w:ind w:left="1988" w:hanging="284"/>
      </w:pPr>
      <w:rPr>
        <w:rFonts w:ascii="Calibri" w:hAnsi="Calibri" w:hint="default"/>
      </w:rPr>
    </w:lvl>
    <w:lvl w:ilvl="7">
      <w:start w:val="1"/>
      <w:numFmt w:val="bullet"/>
      <w:lvlText w:val="−"/>
      <w:lvlJc w:val="left"/>
      <w:pPr>
        <w:tabs>
          <w:tab w:val="num" w:pos="2345"/>
        </w:tabs>
        <w:ind w:left="2272" w:hanging="284"/>
      </w:pPr>
      <w:rPr>
        <w:rFonts w:ascii="Calibri" w:hAnsi="Calibri" w:hint="default"/>
      </w:rPr>
    </w:lvl>
    <w:lvl w:ilvl="8">
      <w:start w:val="1"/>
      <w:numFmt w:val="bullet"/>
      <w:lvlText w:val="−"/>
      <w:lvlJc w:val="left"/>
      <w:pPr>
        <w:tabs>
          <w:tab w:val="num" w:pos="2629"/>
        </w:tabs>
        <w:ind w:left="2556" w:hanging="284"/>
      </w:pPr>
      <w:rPr>
        <w:rFonts w:ascii="Calibri" w:hAnsi="Calibri" w:hint="default"/>
      </w:rPr>
    </w:lvl>
  </w:abstractNum>
  <w:abstractNum w:abstractNumId="18" w15:restartNumberingAfterBreak="0">
    <w:nsid w:val="44BC1775"/>
    <w:multiLevelType w:val="hybridMultilevel"/>
    <w:tmpl w:val="619896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A52E75"/>
    <w:multiLevelType w:val="multilevel"/>
    <w:tmpl w:val="BE2AD7E0"/>
    <w:styleLink w:val="NumberedList"/>
    <w:lvl w:ilvl="0">
      <w:start w:val="1"/>
      <w:numFmt w:val="decimal"/>
      <w:lvlText w:val="%1."/>
      <w:lvlJc w:val="left"/>
      <w:pPr>
        <w:ind w:left="357" w:hanging="357"/>
      </w:pPr>
      <w:rPr>
        <w:rFonts w:hint="default"/>
        <w:b w:val="0"/>
        <w:i w:val="0"/>
        <w:color w:val="44546A" w:themeColor="text2"/>
      </w:rPr>
    </w:lvl>
    <w:lvl w:ilvl="1">
      <w:start w:val="1"/>
      <w:numFmt w:val="lowerLetter"/>
      <w:lvlText w:val="%2."/>
      <w:lvlJc w:val="left"/>
      <w:pPr>
        <w:ind w:left="714" w:hanging="357"/>
      </w:pPr>
      <w:rPr>
        <w:rFonts w:hint="default"/>
        <w:b w:val="0"/>
        <w:i w:val="0"/>
        <w:color w:val="44546A" w:themeColor="text2"/>
      </w:rPr>
    </w:lvl>
    <w:lvl w:ilvl="2">
      <w:start w:val="1"/>
      <w:numFmt w:val="lowerRoman"/>
      <w:lvlText w:val="%3."/>
      <w:lvlJc w:val="left"/>
      <w:pPr>
        <w:ind w:left="1071" w:hanging="357"/>
      </w:pPr>
      <w:rPr>
        <w:rFonts w:hint="default"/>
        <w:b w:val="0"/>
        <w:i w:val="0"/>
        <w:color w:val="44546A" w:themeColor="text2"/>
      </w:rPr>
    </w:lvl>
    <w:lvl w:ilvl="3">
      <w:start w:val="1"/>
      <w:numFmt w:val="none"/>
      <w:lvlText w:val=""/>
      <w:lvlJc w:val="left"/>
      <w:pPr>
        <w:tabs>
          <w:tab w:val="num" w:pos="1072"/>
        </w:tabs>
        <w:ind w:left="1072" w:firstLine="0"/>
      </w:pPr>
      <w:rPr>
        <w:rFonts w:hint="default"/>
      </w:rPr>
    </w:lvl>
    <w:lvl w:ilvl="4">
      <w:start w:val="1"/>
      <w:numFmt w:val="none"/>
      <w:lvlText w:val=""/>
      <w:lvlJc w:val="left"/>
      <w:pPr>
        <w:ind w:left="1072" w:firstLine="0"/>
      </w:pPr>
      <w:rPr>
        <w:rFonts w:hint="default"/>
      </w:rPr>
    </w:lvl>
    <w:lvl w:ilvl="5">
      <w:start w:val="1"/>
      <w:numFmt w:val="none"/>
      <w:lvlText w:val=""/>
      <w:lvlJc w:val="left"/>
      <w:pPr>
        <w:ind w:left="1072" w:firstLine="0"/>
      </w:pPr>
      <w:rPr>
        <w:rFonts w:hint="default"/>
      </w:rPr>
    </w:lvl>
    <w:lvl w:ilvl="6">
      <w:start w:val="1"/>
      <w:numFmt w:val="none"/>
      <w:lvlText w:val=""/>
      <w:lvlJc w:val="left"/>
      <w:pPr>
        <w:ind w:left="1072" w:firstLine="0"/>
      </w:pPr>
      <w:rPr>
        <w:rFonts w:hint="default"/>
      </w:rPr>
    </w:lvl>
    <w:lvl w:ilvl="7">
      <w:start w:val="1"/>
      <w:numFmt w:val="none"/>
      <w:lvlText w:val=""/>
      <w:lvlJc w:val="left"/>
      <w:pPr>
        <w:ind w:left="1072" w:firstLine="0"/>
      </w:pPr>
      <w:rPr>
        <w:rFonts w:hint="default"/>
      </w:rPr>
    </w:lvl>
    <w:lvl w:ilvl="8">
      <w:start w:val="1"/>
      <w:numFmt w:val="none"/>
      <w:lvlText w:val=""/>
      <w:lvlJc w:val="left"/>
      <w:pPr>
        <w:ind w:left="1072" w:firstLine="0"/>
      </w:pPr>
      <w:rPr>
        <w:rFonts w:hint="default"/>
      </w:rPr>
    </w:lvl>
  </w:abstractNum>
  <w:abstractNum w:abstractNumId="20" w15:restartNumberingAfterBreak="0">
    <w:nsid w:val="4F204247"/>
    <w:multiLevelType w:val="multilevel"/>
    <w:tmpl w:val="5B0EA7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F769D2"/>
    <w:multiLevelType w:val="hybridMultilevel"/>
    <w:tmpl w:val="D0EC7A7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7F21D1"/>
    <w:multiLevelType w:val="hybridMultilevel"/>
    <w:tmpl w:val="2EF27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D1F93"/>
    <w:multiLevelType w:val="multilevel"/>
    <w:tmpl w:val="A9FA82B6"/>
    <w:styleLink w:val="AlphaList"/>
    <w:lvl w:ilvl="0">
      <w:start w:val="1"/>
      <w:numFmt w:val="lowerLetter"/>
      <w:lvlText w:val="%1."/>
      <w:lvlJc w:val="left"/>
      <w:pPr>
        <w:ind w:left="284" w:hanging="284"/>
      </w:pPr>
      <w:rPr>
        <w:rFonts w:hint="default"/>
        <w:b w:val="0"/>
        <w:color w:val="2294CD"/>
      </w:rPr>
    </w:lvl>
    <w:lvl w:ilvl="1">
      <w:start w:val="1"/>
      <w:numFmt w:val="lowerRoman"/>
      <w:lvlText w:val="%2."/>
      <w:lvlJc w:val="left"/>
      <w:pPr>
        <w:ind w:left="568" w:hanging="284"/>
      </w:pPr>
      <w:rPr>
        <w:rFonts w:hint="default"/>
        <w:b w:val="0"/>
        <w:color w:val="2294CD"/>
      </w:rPr>
    </w:lvl>
    <w:lvl w:ilvl="2">
      <w:start w:val="1"/>
      <w:numFmt w:val="decimal"/>
      <w:lvlText w:val="%3."/>
      <w:lvlJc w:val="left"/>
      <w:pPr>
        <w:ind w:left="852" w:hanging="284"/>
      </w:pPr>
      <w:rPr>
        <w:rFonts w:hint="default"/>
        <w:b w:val="0"/>
        <w:color w:val="2294CD"/>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4" w15:restartNumberingAfterBreak="0">
    <w:nsid w:val="647A5AB8"/>
    <w:multiLevelType w:val="hybridMultilevel"/>
    <w:tmpl w:val="B868153E"/>
    <w:lvl w:ilvl="0" w:tplc="261A2BAC">
      <w:start w:val="7"/>
      <w:numFmt w:val="decimal"/>
      <w:lvlText w:val="%1."/>
      <w:lvlJc w:val="left"/>
      <w:pPr>
        <w:ind w:left="360" w:hanging="360"/>
      </w:pPr>
      <w:rPr>
        <w:rFonts w:hint="default"/>
      </w:rPr>
    </w:lvl>
    <w:lvl w:ilvl="1" w:tplc="FFFFFFFF">
      <w:start w:val="1"/>
      <w:numFmt w:val="lowerLetter"/>
      <w:lvlText w:val="%2."/>
      <w:lvlJc w:val="left"/>
      <w:pPr>
        <w:ind w:left="19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A36558C"/>
    <w:multiLevelType w:val="hybridMultilevel"/>
    <w:tmpl w:val="69E04B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9A09B9"/>
    <w:multiLevelType w:val="hybridMultilevel"/>
    <w:tmpl w:val="8ACE8B1C"/>
    <w:lvl w:ilvl="0" w:tplc="0C090019">
      <w:start w:val="1"/>
      <w:numFmt w:val="lowerLetter"/>
      <w:lvlText w:val="%1."/>
      <w:lvlJc w:val="left"/>
      <w:pPr>
        <w:ind w:left="720" w:hanging="360"/>
      </w:pPr>
      <w:rPr>
        <w:rFonts w:hint="default"/>
      </w:rPr>
    </w:lvl>
    <w:lvl w:ilvl="1" w:tplc="FFFFFFFF">
      <w:start w:val="1"/>
      <w:numFmt w:val="lowerLetter"/>
      <w:lvlText w:val="%2."/>
      <w:lvlJc w:val="left"/>
      <w:pPr>
        <w:ind w:left="22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DD66AA"/>
    <w:multiLevelType w:val="multilevel"/>
    <w:tmpl w:val="AB764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860483"/>
    <w:multiLevelType w:val="hybridMultilevel"/>
    <w:tmpl w:val="8CA86EDC"/>
    <w:lvl w:ilvl="0" w:tplc="265AD4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C353F7"/>
    <w:multiLevelType w:val="hybridMultilevel"/>
    <w:tmpl w:val="6734A27E"/>
    <w:lvl w:ilvl="0" w:tplc="FFFFFFFF">
      <w:start w:val="1"/>
      <w:numFmt w:val="bullet"/>
      <w:lvlText w:val=""/>
      <w:lvlJc w:val="left"/>
      <w:pPr>
        <w:ind w:left="360" w:hanging="360"/>
      </w:pPr>
      <w:rPr>
        <w:rFonts w:ascii="Symbol" w:hAnsi="Symbol" w:hint="default"/>
      </w:rPr>
    </w:lvl>
    <w:lvl w:ilvl="1" w:tplc="265AD47A">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5C25409"/>
    <w:multiLevelType w:val="hybridMultilevel"/>
    <w:tmpl w:val="629C50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1B537A"/>
    <w:multiLevelType w:val="hybridMultilevel"/>
    <w:tmpl w:val="B4E41306"/>
    <w:lvl w:ilvl="0" w:tplc="FFFFFFFF">
      <w:start w:val="1"/>
      <w:numFmt w:val="bullet"/>
      <w:lvlText w:val=""/>
      <w:lvlJc w:val="left"/>
      <w:pPr>
        <w:ind w:left="360" w:hanging="360"/>
      </w:pPr>
      <w:rPr>
        <w:rFonts w:ascii="Symbol" w:hAnsi="Symbol" w:hint="default"/>
      </w:rPr>
    </w:lvl>
    <w:lvl w:ilvl="1" w:tplc="265AD47A">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F9545E9"/>
    <w:multiLevelType w:val="hybridMultilevel"/>
    <w:tmpl w:val="8D3CC1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05806961">
    <w:abstractNumId w:val="28"/>
  </w:num>
  <w:num w:numId="2" w16cid:durableId="981469213">
    <w:abstractNumId w:val="11"/>
  </w:num>
  <w:num w:numId="3" w16cid:durableId="1553346449">
    <w:abstractNumId w:val="12"/>
  </w:num>
  <w:num w:numId="4" w16cid:durableId="1519925266">
    <w:abstractNumId w:val="21"/>
  </w:num>
  <w:num w:numId="5" w16cid:durableId="2028292909">
    <w:abstractNumId w:val="15"/>
  </w:num>
  <w:num w:numId="6" w16cid:durableId="1067917491">
    <w:abstractNumId w:val="4"/>
  </w:num>
  <w:num w:numId="7" w16cid:durableId="1790277427">
    <w:abstractNumId w:val="9"/>
  </w:num>
  <w:num w:numId="8" w16cid:durableId="1442333533">
    <w:abstractNumId w:val="14"/>
  </w:num>
  <w:num w:numId="9" w16cid:durableId="1315062359">
    <w:abstractNumId w:val="22"/>
  </w:num>
  <w:num w:numId="10" w16cid:durableId="1004208943">
    <w:abstractNumId w:val="10"/>
  </w:num>
  <w:num w:numId="11" w16cid:durableId="444468864">
    <w:abstractNumId w:val="26"/>
  </w:num>
  <w:num w:numId="12" w16cid:durableId="2099401058">
    <w:abstractNumId w:val="27"/>
  </w:num>
  <w:num w:numId="13" w16cid:durableId="1068066567">
    <w:abstractNumId w:val="18"/>
  </w:num>
  <w:num w:numId="14" w16cid:durableId="334580363">
    <w:abstractNumId w:val="0"/>
  </w:num>
  <w:num w:numId="15" w16cid:durableId="590506285">
    <w:abstractNumId w:val="16"/>
  </w:num>
  <w:num w:numId="16" w16cid:durableId="1378436130">
    <w:abstractNumId w:val="32"/>
  </w:num>
  <w:num w:numId="17" w16cid:durableId="1283343353">
    <w:abstractNumId w:val="25"/>
  </w:num>
  <w:num w:numId="18" w16cid:durableId="1947616693">
    <w:abstractNumId w:val="30"/>
  </w:num>
  <w:num w:numId="19" w16cid:durableId="845553190">
    <w:abstractNumId w:val="23"/>
  </w:num>
  <w:num w:numId="20" w16cid:durableId="1039628477">
    <w:abstractNumId w:val="17"/>
  </w:num>
  <w:num w:numId="21" w16cid:durableId="198516026">
    <w:abstractNumId w:val="19"/>
  </w:num>
  <w:num w:numId="22" w16cid:durableId="1141733742">
    <w:abstractNumId w:val="20"/>
  </w:num>
  <w:num w:numId="23" w16cid:durableId="1243223008">
    <w:abstractNumId w:val="7"/>
  </w:num>
  <w:num w:numId="24" w16cid:durableId="1404646404">
    <w:abstractNumId w:val="1"/>
  </w:num>
  <w:num w:numId="25" w16cid:durableId="110054772">
    <w:abstractNumId w:val="13"/>
  </w:num>
  <w:num w:numId="26" w16cid:durableId="1531409552">
    <w:abstractNumId w:val="6"/>
  </w:num>
  <w:num w:numId="27" w16cid:durableId="1710566822">
    <w:abstractNumId w:val="3"/>
  </w:num>
  <w:num w:numId="28" w16cid:durableId="2065522497">
    <w:abstractNumId w:val="2"/>
  </w:num>
  <w:num w:numId="29" w16cid:durableId="541554969">
    <w:abstractNumId w:val="24"/>
  </w:num>
  <w:num w:numId="30" w16cid:durableId="1575699567">
    <w:abstractNumId w:val="8"/>
  </w:num>
  <w:num w:numId="31" w16cid:durableId="1161655474">
    <w:abstractNumId w:val="5"/>
  </w:num>
  <w:num w:numId="32" w16cid:durableId="1205672966">
    <w:abstractNumId w:val="31"/>
  </w:num>
  <w:num w:numId="33" w16cid:durableId="174610194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31"/>
    <w:rsid w:val="00002B5B"/>
    <w:rsid w:val="00002DAB"/>
    <w:rsid w:val="0000490D"/>
    <w:rsid w:val="00006706"/>
    <w:rsid w:val="00007688"/>
    <w:rsid w:val="00007723"/>
    <w:rsid w:val="000077A2"/>
    <w:rsid w:val="00010032"/>
    <w:rsid w:val="0001073E"/>
    <w:rsid w:val="00010CBF"/>
    <w:rsid w:val="00011E0C"/>
    <w:rsid w:val="00012B6A"/>
    <w:rsid w:val="00013783"/>
    <w:rsid w:val="000140A5"/>
    <w:rsid w:val="00021768"/>
    <w:rsid w:val="00021BB6"/>
    <w:rsid w:val="000243F0"/>
    <w:rsid w:val="000252E0"/>
    <w:rsid w:val="0002543C"/>
    <w:rsid w:val="000262E3"/>
    <w:rsid w:val="00026E16"/>
    <w:rsid w:val="00027CC5"/>
    <w:rsid w:val="00031000"/>
    <w:rsid w:val="00034868"/>
    <w:rsid w:val="0003561A"/>
    <w:rsid w:val="00036710"/>
    <w:rsid w:val="00040680"/>
    <w:rsid w:val="000409EF"/>
    <w:rsid w:val="00041085"/>
    <w:rsid w:val="000422C2"/>
    <w:rsid w:val="00042BF6"/>
    <w:rsid w:val="000432F6"/>
    <w:rsid w:val="0004580C"/>
    <w:rsid w:val="000502ED"/>
    <w:rsid w:val="00051F06"/>
    <w:rsid w:val="0005221B"/>
    <w:rsid w:val="000529C1"/>
    <w:rsid w:val="00053C44"/>
    <w:rsid w:val="00054DB3"/>
    <w:rsid w:val="0005564E"/>
    <w:rsid w:val="00055BD6"/>
    <w:rsid w:val="00056A62"/>
    <w:rsid w:val="000576AD"/>
    <w:rsid w:val="00060D92"/>
    <w:rsid w:val="00060F99"/>
    <w:rsid w:val="00061AFD"/>
    <w:rsid w:val="000628F8"/>
    <w:rsid w:val="000629E9"/>
    <w:rsid w:val="00062C3C"/>
    <w:rsid w:val="000631C7"/>
    <w:rsid w:val="00063266"/>
    <w:rsid w:val="000633B6"/>
    <w:rsid w:val="00064284"/>
    <w:rsid w:val="00065984"/>
    <w:rsid w:val="00065E6A"/>
    <w:rsid w:val="00066521"/>
    <w:rsid w:val="000667D9"/>
    <w:rsid w:val="00066D9C"/>
    <w:rsid w:val="0007183E"/>
    <w:rsid w:val="000723B4"/>
    <w:rsid w:val="00073347"/>
    <w:rsid w:val="00074A40"/>
    <w:rsid w:val="00075617"/>
    <w:rsid w:val="000756FB"/>
    <w:rsid w:val="00076577"/>
    <w:rsid w:val="000771A2"/>
    <w:rsid w:val="000812E9"/>
    <w:rsid w:val="000822C7"/>
    <w:rsid w:val="0008351D"/>
    <w:rsid w:val="00083E08"/>
    <w:rsid w:val="00084970"/>
    <w:rsid w:val="00084E69"/>
    <w:rsid w:val="000861A1"/>
    <w:rsid w:val="00086CE8"/>
    <w:rsid w:val="00086F2B"/>
    <w:rsid w:val="00090F48"/>
    <w:rsid w:val="00091E4C"/>
    <w:rsid w:val="00091F94"/>
    <w:rsid w:val="00093D2A"/>
    <w:rsid w:val="00094872"/>
    <w:rsid w:val="0009509A"/>
    <w:rsid w:val="00095B96"/>
    <w:rsid w:val="00096B33"/>
    <w:rsid w:val="00096CDB"/>
    <w:rsid w:val="000A07C6"/>
    <w:rsid w:val="000A0A77"/>
    <w:rsid w:val="000A19A1"/>
    <w:rsid w:val="000A19D9"/>
    <w:rsid w:val="000A338E"/>
    <w:rsid w:val="000B16B8"/>
    <w:rsid w:val="000B1EED"/>
    <w:rsid w:val="000B22E8"/>
    <w:rsid w:val="000B2A9D"/>
    <w:rsid w:val="000B6885"/>
    <w:rsid w:val="000B7100"/>
    <w:rsid w:val="000C04AD"/>
    <w:rsid w:val="000C50DC"/>
    <w:rsid w:val="000C5AAD"/>
    <w:rsid w:val="000C6BA1"/>
    <w:rsid w:val="000C7258"/>
    <w:rsid w:val="000C76CD"/>
    <w:rsid w:val="000D0EDD"/>
    <w:rsid w:val="000D0F0B"/>
    <w:rsid w:val="000D26C8"/>
    <w:rsid w:val="000D31D3"/>
    <w:rsid w:val="000D39F0"/>
    <w:rsid w:val="000D4F46"/>
    <w:rsid w:val="000D638F"/>
    <w:rsid w:val="000E0702"/>
    <w:rsid w:val="000E1B8B"/>
    <w:rsid w:val="000E1E46"/>
    <w:rsid w:val="000E293B"/>
    <w:rsid w:val="000E2ACF"/>
    <w:rsid w:val="000E2B98"/>
    <w:rsid w:val="000E3217"/>
    <w:rsid w:val="000E366D"/>
    <w:rsid w:val="000E4004"/>
    <w:rsid w:val="000E5275"/>
    <w:rsid w:val="000E563B"/>
    <w:rsid w:val="000E623B"/>
    <w:rsid w:val="000E623C"/>
    <w:rsid w:val="000E73E1"/>
    <w:rsid w:val="000F150E"/>
    <w:rsid w:val="000F1611"/>
    <w:rsid w:val="000F1D2E"/>
    <w:rsid w:val="000F4993"/>
    <w:rsid w:val="000F4C26"/>
    <w:rsid w:val="000F5E84"/>
    <w:rsid w:val="00100610"/>
    <w:rsid w:val="00100CFB"/>
    <w:rsid w:val="00100E76"/>
    <w:rsid w:val="00101CA5"/>
    <w:rsid w:val="0010318A"/>
    <w:rsid w:val="00103991"/>
    <w:rsid w:val="0010615F"/>
    <w:rsid w:val="001068B2"/>
    <w:rsid w:val="001070BB"/>
    <w:rsid w:val="001070EF"/>
    <w:rsid w:val="001108E1"/>
    <w:rsid w:val="00111721"/>
    <w:rsid w:val="00111917"/>
    <w:rsid w:val="00113A30"/>
    <w:rsid w:val="00113A60"/>
    <w:rsid w:val="00113C43"/>
    <w:rsid w:val="0011567D"/>
    <w:rsid w:val="001170A9"/>
    <w:rsid w:val="00117D75"/>
    <w:rsid w:val="00120240"/>
    <w:rsid w:val="00120A98"/>
    <w:rsid w:val="00120CC9"/>
    <w:rsid w:val="001218E1"/>
    <w:rsid w:val="0012229B"/>
    <w:rsid w:val="00122DF1"/>
    <w:rsid w:val="0012397A"/>
    <w:rsid w:val="001240A7"/>
    <w:rsid w:val="00124DF7"/>
    <w:rsid w:val="00125497"/>
    <w:rsid w:val="001266AA"/>
    <w:rsid w:val="00127B82"/>
    <w:rsid w:val="00127EF9"/>
    <w:rsid w:val="00130287"/>
    <w:rsid w:val="001304E4"/>
    <w:rsid w:val="001327D2"/>
    <w:rsid w:val="00132E52"/>
    <w:rsid w:val="00133CE3"/>
    <w:rsid w:val="00134043"/>
    <w:rsid w:val="00134DA0"/>
    <w:rsid w:val="00136E91"/>
    <w:rsid w:val="0013777F"/>
    <w:rsid w:val="00137C9D"/>
    <w:rsid w:val="00140593"/>
    <w:rsid w:val="00141075"/>
    <w:rsid w:val="0014229C"/>
    <w:rsid w:val="00144BB5"/>
    <w:rsid w:val="00145765"/>
    <w:rsid w:val="00146B52"/>
    <w:rsid w:val="00150EA9"/>
    <w:rsid w:val="00151B74"/>
    <w:rsid w:val="00152EED"/>
    <w:rsid w:val="001537A1"/>
    <w:rsid w:val="001538F5"/>
    <w:rsid w:val="00155C02"/>
    <w:rsid w:val="00156DC0"/>
    <w:rsid w:val="0015711B"/>
    <w:rsid w:val="00157E37"/>
    <w:rsid w:val="0016089D"/>
    <w:rsid w:val="0016102D"/>
    <w:rsid w:val="00161A17"/>
    <w:rsid w:val="001623CD"/>
    <w:rsid w:val="001639BF"/>
    <w:rsid w:val="00164BC9"/>
    <w:rsid w:val="00165CD6"/>
    <w:rsid w:val="00166B70"/>
    <w:rsid w:val="00167CAB"/>
    <w:rsid w:val="00167EE2"/>
    <w:rsid w:val="001714B1"/>
    <w:rsid w:val="00171671"/>
    <w:rsid w:val="00172F93"/>
    <w:rsid w:val="0017311D"/>
    <w:rsid w:val="001738E9"/>
    <w:rsid w:val="00174D42"/>
    <w:rsid w:val="00175E99"/>
    <w:rsid w:val="0018042A"/>
    <w:rsid w:val="00180A84"/>
    <w:rsid w:val="00182023"/>
    <w:rsid w:val="00187293"/>
    <w:rsid w:val="001907E0"/>
    <w:rsid w:val="00191EB0"/>
    <w:rsid w:val="00194725"/>
    <w:rsid w:val="00194EA8"/>
    <w:rsid w:val="001952C8"/>
    <w:rsid w:val="001962E3"/>
    <w:rsid w:val="00196812"/>
    <w:rsid w:val="00196C23"/>
    <w:rsid w:val="001978FD"/>
    <w:rsid w:val="00197BEB"/>
    <w:rsid w:val="00197BFA"/>
    <w:rsid w:val="001A0A72"/>
    <w:rsid w:val="001A1DCB"/>
    <w:rsid w:val="001A2C08"/>
    <w:rsid w:val="001A3452"/>
    <w:rsid w:val="001A72EC"/>
    <w:rsid w:val="001B19AA"/>
    <w:rsid w:val="001B1B79"/>
    <w:rsid w:val="001B3FD5"/>
    <w:rsid w:val="001B41F8"/>
    <w:rsid w:val="001B5064"/>
    <w:rsid w:val="001B5400"/>
    <w:rsid w:val="001B5B3D"/>
    <w:rsid w:val="001B5E87"/>
    <w:rsid w:val="001B69C7"/>
    <w:rsid w:val="001C06E5"/>
    <w:rsid w:val="001C1C1D"/>
    <w:rsid w:val="001C2702"/>
    <w:rsid w:val="001C3611"/>
    <w:rsid w:val="001C3808"/>
    <w:rsid w:val="001C387E"/>
    <w:rsid w:val="001C3FC6"/>
    <w:rsid w:val="001C5BDD"/>
    <w:rsid w:val="001C5E00"/>
    <w:rsid w:val="001C7C08"/>
    <w:rsid w:val="001D027B"/>
    <w:rsid w:val="001D04D1"/>
    <w:rsid w:val="001D0D9B"/>
    <w:rsid w:val="001D19F1"/>
    <w:rsid w:val="001D340B"/>
    <w:rsid w:val="001D62C2"/>
    <w:rsid w:val="001D6E0B"/>
    <w:rsid w:val="001D7A95"/>
    <w:rsid w:val="001E1268"/>
    <w:rsid w:val="001E1965"/>
    <w:rsid w:val="001E370D"/>
    <w:rsid w:val="001E4DD9"/>
    <w:rsid w:val="001E604D"/>
    <w:rsid w:val="001E708E"/>
    <w:rsid w:val="001E75D7"/>
    <w:rsid w:val="001F1BE6"/>
    <w:rsid w:val="001F22FF"/>
    <w:rsid w:val="001F3671"/>
    <w:rsid w:val="001F3F2E"/>
    <w:rsid w:val="001F4C7F"/>
    <w:rsid w:val="001F51A2"/>
    <w:rsid w:val="001F7373"/>
    <w:rsid w:val="00200328"/>
    <w:rsid w:val="002025B2"/>
    <w:rsid w:val="00203568"/>
    <w:rsid w:val="00203C34"/>
    <w:rsid w:val="00203F1D"/>
    <w:rsid w:val="00210962"/>
    <w:rsid w:val="0021211F"/>
    <w:rsid w:val="00212C31"/>
    <w:rsid w:val="00212F4C"/>
    <w:rsid w:val="002134B0"/>
    <w:rsid w:val="002141AF"/>
    <w:rsid w:val="0021502B"/>
    <w:rsid w:val="0021630A"/>
    <w:rsid w:val="00216767"/>
    <w:rsid w:val="00217200"/>
    <w:rsid w:val="002177CC"/>
    <w:rsid w:val="00217971"/>
    <w:rsid w:val="00220789"/>
    <w:rsid w:val="00220A38"/>
    <w:rsid w:val="002223A6"/>
    <w:rsid w:val="0022278F"/>
    <w:rsid w:val="002243DD"/>
    <w:rsid w:val="00224CC4"/>
    <w:rsid w:val="002250A8"/>
    <w:rsid w:val="0022591C"/>
    <w:rsid w:val="00225D00"/>
    <w:rsid w:val="00227C51"/>
    <w:rsid w:val="00230697"/>
    <w:rsid w:val="0023315D"/>
    <w:rsid w:val="00234818"/>
    <w:rsid w:val="00234FC9"/>
    <w:rsid w:val="002353EF"/>
    <w:rsid w:val="00237951"/>
    <w:rsid w:val="00241123"/>
    <w:rsid w:val="00241ED2"/>
    <w:rsid w:val="00243050"/>
    <w:rsid w:val="00244D6F"/>
    <w:rsid w:val="002453AF"/>
    <w:rsid w:val="002502DB"/>
    <w:rsid w:val="00250F8E"/>
    <w:rsid w:val="002535B6"/>
    <w:rsid w:val="00253B76"/>
    <w:rsid w:val="0025412A"/>
    <w:rsid w:val="00255453"/>
    <w:rsid w:val="00255BF5"/>
    <w:rsid w:val="0025623B"/>
    <w:rsid w:val="00256EB0"/>
    <w:rsid w:val="00261539"/>
    <w:rsid w:val="002619F2"/>
    <w:rsid w:val="00261CB0"/>
    <w:rsid w:val="002622A1"/>
    <w:rsid w:val="00262688"/>
    <w:rsid w:val="00263CA4"/>
    <w:rsid w:val="002650A9"/>
    <w:rsid w:val="002665E5"/>
    <w:rsid w:val="002675AD"/>
    <w:rsid w:val="00267F02"/>
    <w:rsid w:val="002703EC"/>
    <w:rsid w:val="002707C1"/>
    <w:rsid w:val="00270952"/>
    <w:rsid w:val="00270EE4"/>
    <w:rsid w:val="00273ED0"/>
    <w:rsid w:val="00274209"/>
    <w:rsid w:val="00275DA4"/>
    <w:rsid w:val="00277CFC"/>
    <w:rsid w:val="00283718"/>
    <w:rsid w:val="00284B3A"/>
    <w:rsid w:val="002850ED"/>
    <w:rsid w:val="00285714"/>
    <w:rsid w:val="002879CF"/>
    <w:rsid w:val="00290761"/>
    <w:rsid w:val="00290A6F"/>
    <w:rsid w:val="00292135"/>
    <w:rsid w:val="00294433"/>
    <w:rsid w:val="0029476D"/>
    <w:rsid w:val="00294CAB"/>
    <w:rsid w:val="00295A5E"/>
    <w:rsid w:val="0029616B"/>
    <w:rsid w:val="00297336"/>
    <w:rsid w:val="00297B8C"/>
    <w:rsid w:val="002A0ABC"/>
    <w:rsid w:val="002A12A5"/>
    <w:rsid w:val="002A3145"/>
    <w:rsid w:val="002A3902"/>
    <w:rsid w:val="002A3AAE"/>
    <w:rsid w:val="002A44E7"/>
    <w:rsid w:val="002A6F20"/>
    <w:rsid w:val="002A7378"/>
    <w:rsid w:val="002A7C59"/>
    <w:rsid w:val="002B035F"/>
    <w:rsid w:val="002B204C"/>
    <w:rsid w:val="002B2A1A"/>
    <w:rsid w:val="002B503D"/>
    <w:rsid w:val="002B72FA"/>
    <w:rsid w:val="002B780B"/>
    <w:rsid w:val="002C27CB"/>
    <w:rsid w:val="002C33CC"/>
    <w:rsid w:val="002C4742"/>
    <w:rsid w:val="002C4D5B"/>
    <w:rsid w:val="002C5223"/>
    <w:rsid w:val="002C6A01"/>
    <w:rsid w:val="002C7390"/>
    <w:rsid w:val="002D03BE"/>
    <w:rsid w:val="002D1840"/>
    <w:rsid w:val="002D20B5"/>
    <w:rsid w:val="002D232E"/>
    <w:rsid w:val="002D2820"/>
    <w:rsid w:val="002D2CE9"/>
    <w:rsid w:val="002D3916"/>
    <w:rsid w:val="002D39D5"/>
    <w:rsid w:val="002D66AA"/>
    <w:rsid w:val="002E0274"/>
    <w:rsid w:val="002E2639"/>
    <w:rsid w:val="002E300C"/>
    <w:rsid w:val="002E5D61"/>
    <w:rsid w:val="002E6038"/>
    <w:rsid w:val="002E61A5"/>
    <w:rsid w:val="002E716E"/>
    <w:rsid w:val="002F1A01"/>
    <w:rsid w:val="002F1B21"/>
    <w:rsid w:val="002F2543"/>
    <w:rsid w:val="002F29B0"/>
    <w:rsid w:val="002F45CF"/>
    <w:rsid w:val="002F5C5A"/>
    <w:rsid w:val="002F612D"/>
    <w:rsid w:val="002F6948"/>
    <w:rsid w:val="002F6C1B"/>
    <w:rsid w:val="002F7425"/>
    <w:rsid w:val="002F764C"/>
    <w:rsid w:val="002F784A"/>
    <w:rsid w:val="00301DEA"/>
    <w:rsid w:val="00302EAB"/>
    <w:rsid w:val="003037F0"/>
    <w:rsid w:val="00304774"/>
    <w:rsid w:val="00305C5B"/>
    <w:rsid w:val="0030689E"/>
    <w:rsid w:val="00307645"/>
    <w:rsid w:val="00307690"/>
    <w:rsid w:val="00307AE6"/>
    <w:rsid w:val="003101B8"/>
    <w:rsid w:val="0031072C"/>
    <w:rsid w:val="003124DF"/>
    <w:rsid w:val="00313D55"/>
    <w:rsid w:val="0031468C"/>
    <w:rsid w:val="00314A7D"/>
    <w:rsid w:val="00314DF9"/>
    <w:rsid w:val="003155E6"/>
    <w:rsid w:val="00316961"/>
    <w:rsid w:val="00316CE7"/>
    <w:rsid w:val="00317164"/>
    <w:rsid w:val="0031791B"/>
    <w:rsid w:val="0032053E"/>
    <w:rsid w:val="00322799"/>
    <w:rsid w:val="00324AFE"/>
    <w:rsid w:val="00324BB9"/>
    <w:rsid w:val="003255F3"/>
    <w:rsid w:val="00325FD0"/>
    <w:rsid w:val="00327127"/>
    <w:rsid w:val="00330DE0"/>
    <w:rsid w:val="003312D0"/>
    <w:rsid w:val="003328D3"/>
    <w:rsid w:val="00333C7D"/>
    <w:rsid w:val="00333DE7"/>
    <w:rsid w:val="00334158"/>
    <w:rsid w:val="00334919"/>
    <w:rsid w:val="0033596E"/>
    <w:rsid w:val="003360EF"/>
    <w:rsid w:val="00336EFE"/>
    <w:rsid w:val="003413B1"/>
    <w:rsid w:val="00341CC1"/>
    <w:rsid w:val="00341F8B"/>
    <w:rsid w:val="00342016"/>
    <w:rsid w:val="0034339B"/>
    <w:rsid w:val="00344725"/>
    <w:rsid w:val="00344881"/>
    <w:rsid w:val="003453FB"/>
    <w:rsid w:val="00345EEF"/>
    <w:rsid w:val="003461E2"/>
    <w:rsid w:val="003464C2"/>
    <w:rsid w:val="00346CB8"/>
    <w:rsid w:val="00346D88"/>
    <w:rsid w:val="00347770"/>
    <w:rsid w:val="00351FB9"/>
    <w:rsid w:val="0035319A"/>
    <w:rsid w:val="003538DC"/>
    <w:rsid w:val="00354029"/>
    <w:rsid w:val="003544DF"/>
    <w:rsid w:val="0035550F"/>
    <w:rsid w:val="003556F0"/>
    <w:rsid w:val="00355FBA"/>
    <w:rsid w:val="00356154"/>
    <w:rsid w:val="00356306"/>
    <w:rsid w:val="00356AD8"/>
    <w:rsid w:val="0036058A"/>
    <w:rsid w:val="0036080E"/>
    <w:rsid w:val="00361684"/>
    <w:rsid w:val="00361D82"/>
    <w:rsid w:val="00361E9F"/>
    <w:rsid w:val="003623BA"/>
    <w:rsid w:val="00363158"/>
    <w:rsid w:val="00364EE8"/>
    <w:rsid w:val="003674CE"/>
    <w:rsid w:val="00374D42"/>
    <w:rsid w:val="00376E0A"/>
    <w:rsid w:val="00376E91"/>
    <w:rsid w:val="00376FBF"/>
    <w:rsid w:val="00377D5A"/>
    <w:rsid w:val="00380224"/>
    <w:rsid w:val="00380237"/>
    <w:rsid w:val="00381AB4"/>
    <w:rsid w:val="0038203D"/>
    <w:rsid w:val="00383A15"/>
    <w:rsid w:val="003878AC"/>
    <w:rsid w:val="003902A1"/>
    <w:rsid w:val="003936AD"/>
    <w:rsid w:val="003936BD"/>
    <w:rsid w:val="003938E2"/>
    <w:rsid w:val="00393FE1"/>
    <w:rsid w:val="0039460E"/>
    <w:rsid w:val="003947E1"/>
    <w:rsid w:val="00394893"/>
    <w:rsid w:val="00394F68"/>
    <w:rsid w:val="00396483"/>
    <w:rsid w:val="003968AE"/>
    <w:rsid w:val="003968FA"/>
    <w:rsid w:val="00397833"/>
    <w:rsid w:val="003A2B36"/>
    <w:rsid w:val="003A3E26"/>
    <w:rsid w:val="003A4084"/>
    <w:rsid w:val="003B03D2"/>
    <w:rsid w:val="003B1DD4"/>
    <w:rsid w:val="003B2EEB"/>
    <w:rsid w:val="003B4230"/>
    <w:rsid w:val="003B4360"/>
    <w:rsid w:val="003B4B70"/>
    <w:rsid w:val="003B517A"/>
    <w:rsid w:val="003B5751"/>
    <w:rsid w:val="003C1991"/>
    <w:rsid w:val="003C33AC"/>
    <w:rsid w:val="003C34B6"/>
    <w:rsid w:val="003C424F"/>
    <w:rsid w:val="003C4D45"/>
    <w:rsid w:val="003C614C"/>
    <w:rsid w:val="003D08C6"/>
    <w:rsid w:val="003D1E2E"/>
    <w:rsid w:val="003D5837"/>
    <w:rsid w:val="003D5A32"/>
    <w:rsid w:val="003D6743"/>
    <w:rsid w:val="003D7CDD"/>
    <w:rsid w:val="003E040D"/>
    <w:rsid w:val="003E16BC"/>
    <w:rsid w:val="003E1ADD"/>
    <w:rsid w:val="003E2B2F"/>
    <w:rsid w:val="003E3A22"/>
    <w:rsid w:val="003E3BCB"/>
    <w:rsid w:val="003E7105"/>
    <w:rsid w:val="003F119F"/>
    <w:rsid w:val="003F1332"/>
    <w:rsid w:val="003F1B0B"/>
    <w:rsid w:val="003F2A24"/>
    <w:rsid w:val="00401B17"/>
    <w:rsid w:val="00403D90"/>
    <w:rsid w:val="004044C7"/>
    <w:rsid w:val="00405834"/>
    <w:rsid w:val="00406477"/>
    <w:rsid w:val="004067A3"/>
    <w:rsid w:val="00410E01"/>
    <w:rsid w:val="00411F05"/>
    <w:rsid w:val="00413545"/>
    <w:rsid w:val="004138E1"/>
    <w:rsid w:val="00415B16"/>
    <w:rsid w:val="004172E9"/>
    <w:rsid w:val="004172F6"/>
    <w:rsid w:val="004172F7"/>
    <w:rsid w:val="004207A8"/>
    <w:rsid w:val="00420A19"/>
    <w:rsid w:val="00423149"/>
    <w:rsid w:val="00427549"/>
    <w:rsid w:val="00427803"/>
    <w:rsid w:val="004308CA"/>
    <w:rsid w:val="00431ADF"/>
    <w:rsid w:val="004325DA"/>
    <w:rsid w:val="0043290B"/>
    <w:rsid w:val="004331C4"/>
    <w:rsid w:val="004332F8"/>
    <w:rsid w:val="0043350A"/>
    <w:rsid w:val="0043450F"/>
    <w:rsid w:val="004346AF"/>
    <w:rsid w:val="004357A5"/>
    <w:rsid w:val="0043699A"/>
    <w:rsid w:val="004377CA"/>
    <w:rsid w:val="004457E7"/>
    <w:rsid w:val="00446A22"/>
    <w:rsid w:val="004470CE"/>
    <w:rsid w:val="0044737D"/>
    <w:rsid w:val="00447529"/>
    <w:rsid w:val="00451292"/>
    <w:rsid w:val="00452343"/>
    <w:rsid w:val="00452A31"/>
    <w:rsid w:val="00452AE4"/>
    <w:rsid w:val="004534BC"/>
    <w:rsid w:val="00454B6A"/>
    <w:rsid w:val="0045569A"/>
    <w:rsid w:val="0045605E"/>
    <w:rsid w:val="0045631C"/>
    <w:rsid w:val="00456E23"/>
    <w:rsid w:val="004570E7"/>
    <w:rsid w:val="004574D8"/>
    <w:rsid w:val="00457B6A"/>
    <w:rsid w:val="0046234B"/>
    <w:rsid w:val="00462A3D"/>
    <w:rsid w:val="00463311"/>
    <w:rsid w:val="00464B6E"/>
    <w:rsid w:val="00465B33"/>
    <w:rsid w:val="004677A2"/>
    <w:rsid w:val="004730B2"/>
    <w:rsid w:val="00473B32"/>
    <w:rsid w:val="00474BFC"/>
    <w:rsid w:val="004750A6"/>
    <w:rsid w:val="00477481"/>
    <w:rsid w:val="0047785D"/>
    <w:rsid w:val="00477A8D"/>
    <w:rsid w:val="00477C2B"/>
    <w:rsid w:val="004806C5"/>
    <w:rsid w:val="00480926"/>
    <w:rsid w:val="004823E9"/>
    <w:rsid w:val="00482E2A"/>
    <w:rsid w:val="0048531E"/>
    <w:rsid w:val="00486FE2"/>
    <w:rsid w:val="00487569"/>
    <w:rsid w:val="004902E3"/>
    <w:rsid w:val="0049041C"/>
    <w:rsid w:val="00492904"/>
    <w:rsid w:val="00496B94"/>
    <w:rsid w:val="00497545"/>
    <w:rsid w:val="004A2D93"/>
    <w:rsid w:val="004A3F2D"/>
    <w:rsid w:val="004A4CD0"/>
    <w:rsid w:val="004A6472"/>
    <w:rsid w:val="004B117A"/>
    <w:rsid w:val="004B28D6"/>
    <w:rsid w:val="004B3AAE"/>
    <w:rsid w:val="004B41D7"/>
    <w:rsid w:val="004B47D3"/>
    <w:rsid w:val="004B64CE"/>
    <w:rsid w:val="004B7E03"/>
    <w:rsid w:val="004C0156"/>
    <w:rsid w:val="004C173B"/>
    <w:rsid w:val="004C2414"/>
    <w:rsid w:val="004C3037"/>
    <w:rsid w:val="004C467F"/>
    <w:rsid w:val="004C6640"/>
    <w:rsid w:val="004C7710"/>
    <w:rsid w:val="004D013E"/>
    <w:rsid w:val="004D0311"/>
    <w:rsid w:val="004D0424"/>
    <w:rsid w:val="004D0EF5"/>
    <w:rsid w:val="004D1C52"/>
    <w:rsid w:val="004D3CC2"/>
    <w:rsid w:val="004D4585"/>
    <w:rsid w:val="004D6182"/>
    <w:rsid w:val="004D69F4"/>
    <w:rsid w:val="004E04E8"/>
    <w:rsid w:val="004E08DA"/>
    <w:rsid w:val="004E1936"/>
    <w:rsid w:val="004E1A42"/>
    <w:rsid w:val="004E1AD5"/>
    <w:rsid w:val="004E40CD"/>
    <w:rsid w:val="004E6250"/>
    <w:rsid w:val="004E75E7"/>
    <w:rsid w:val="004F0EDD"/>
    <w:rsid w:val="004F1AA8"/>
    <w:rsid w:val="004F2C81"/>
    <w:rsid w:val="004F431D"/>
    <w:rsid w:val="004F64E9"/>
    <w:rsid w:val="004F6781"/>
    <w:rsid w:val="004F6D38"/>
    <w:rsid w:val="00501409"/>
    <w:rsid w:val="00502AED"/>
    <w:rsid w:val="00504146"/>
    <w:rsid w:val="00505213"/>
    <w:rsid w:val="0051119A"/>
    <w:rsid w:val="00513C2D"/>
    <w:rsid w:val="005146AB"/>
    <w:rsid w:val="0051589E"/>
    <w:rsid w:val="00515D48"/>
    <w:rsid w:val="005168BB"/>
    <w:rsid w:val="00516F2D"/>
    <w:rsid w:val="00520A01"/>
    <w:rsid w:val="0052162B"/>
    <w:rsid w:val="0052197E"/>
    <w:rsid w:val="00522345"/>
    <w:rsid w:val="00524CC8"/>
    <w:rsid w:val="00526535"/>
    <w:rsid w:val="0052729D"/>
    <w:rsid w:val="005305A0"/>
    <w:rsid w:val="00532F9E"/>
    <w:rsid w:val="005338AF"/>
    <w:rsid w:val="00533D24"/>
    <w:rsid w:val="00533DF6"/>
    <w:rsid w:val="00534031"/>
    <w:rsid w:val="00534137"/>
    <w:rsid w:val="005347E6"/>
    <w:rsid w:val="005371C3"/>
    <w:rsid w:val="00540227"/>
    <w:rsid w:val="00541714"/>
    <w:rsid w:val="00541964"/>
    <w:rsid w:val="00541AD0"/>
    <w:rsid w:val="005438CE"/>
    <w:rsid w:val="00546DDF"/>
    <w:rsid w:val="00547754"/>
    <w:rsid w:val="0054781A"/>
    <w:rsid w:val="00547913"/>
    <w:rsid w:val="00547C41"/>
    <w:rsid w:val="00551887"/>
    <w:rsid w:val="00552912"/>
    <w:rsid w:val="005531AB"/>
    <w:rsid w:val="0055482E"/>
    <w:rsid w:val="00554BE6"/>
    <w:rsid w:val="005553BF"/>
    <w:rsid w:val="00555678"/>
    <w:rsid w:val="00556036"/>
    <w:rsid w:val="00561BD1"/>
    <w:rsid w:val="00562F2E"/>
    <w:rsid w:val="00567258"/>
    <w:rsid w:val="00570FE6"/>
    <w:rsid w:val="00571855"/>
    <w:rsid w:val="00572AE2"/>
    <w:rsid w:val="00573489"/>
    <w:rsid w:val="00574572"/>
    <w:rsid w:val="00574822"/>
    <w:rsid w:val="00575F71"/>
    <w:rsid w:val="00577246"/>
    <w:rsid w:val="00577934"/>
    <w:rsid w:val="005800E8"/>
    <w:rsid w:val="005806E4"/>
    <w:rsid w:val="005815B9"/>
    <w:rsid w:val="005816EF"/>
    <w:rsid w:val="00581F39"/>
    <w:rsid w:val="005831FD"/>
    <w:rsid w:val="00583CE1"/>
    <w:rsid w:val="005846BA"/>
    <w:rsid w:val="00584724"/>
    <w:rsid w:val="00584C64"/>
    <w:rsid w:val="00586216"/>
    <w:rsid w:val="00590988"/>
    <w:rsid w:val="00590D20"/>
    <w:rsid w:val="00592997"/>
    <w:rsid w:val="00593052"/>
    <w:rsid w:val="0059341C"/>
    <w:rsid w:val="00594489"/>
    <w:rsid w:val="0059465F"/>
    <w:rsid w:val="00595D51"/>
    <w:rsid w:val="0059742B"/>
    <w:rsid w:val="005A2765"/>
    <w:rsid w:val="005A29DD"/>
    <w:rsid w:val="005A3F30"/>
    <w:rsid w:val="005A40A9"/>
    <w:rsid w:val="005A45DE"/>
    <w:rsid w:val="005A4ED1"/>
    <w:rsid w:val="005A682E"/>
    <w:rsid w:val="005A7D7A"/>
    <w:rsid w:val="005B0EEF"/>
    <w:rsid w:val="005B1605"/>
    <w:rsid w:val="005B25EE"/>
    <w:rsid w:val="005B2C1B"/>
    <w:rsid w:val="005B3394"/>
    <w:rsid w:val="005B3BB3"/>
    <w:rsid w:val="005B3C84"/>
    <w:rsid w:val="005B3E68"/>
    <w:rsid w:val="005B46F9"/>
    <w:rsid w:val="005C03D7"/>
    <w:rsid w:val="005C0713"/>
    <w:rsid w:val="005C1485"/>
    <w:rsid w:val="005C2067"/>
    <w:rsid w:val="005C3B8F"/>
    <w:rsid w:val="005C3F6D"/>
    <w:rsid w:val="005C4225"/>
    <w:rsid w:val="005C7976"/>
    <w:rsid w:val="005D00D9"/>
    <w:rsid w:val="005D02DD"/>
    <w:rsid w:val="005D21E8"/>
    <w:rsid w:val="005D22F5"/>
    <w:rsid w:val="005D2601"/>
    <w:rsid w:val="005D4017"/>
    <w:rsid w:val="005D5CFF"/>
    <w:rsid w:val="005D5E17"/>
    <w:rsid w:val="005E2451"/>
    <w:rsid w:val="005E36A7"/>
    <w:rsid w:val="005E3F22"/>
    <w:rsid w:val="005E50EE"/>
    <w:rsid w:val="005E54E7"/>
    <w:rsid w:val="005E5872"/>
    <w:rsid w:val="005E5879"/>
    <w:rsid w:val="005E5951"/>
    <w:rsid w:val="005E5EA4"/>
    <w:rsid w:val="005E7949"/>
    <w:rsid w:val="005E7C5A"/>
    <w:rsid w:val="005E7C72"/>
    <w:rsid w:val="005F0154"/>
    <w:rsid w:val="005F2376"/>
    <w:rsid w:val="005F2917"/>
    <w:rsid w:val="005F346F"/>
    <w:rsid w:val="005F4016"/>
    <w:rsid w:val="005F4097"/>
    <w:rsid w:val="005F4729"/>
    <w:rsid w:val="005F530D"/>
    <w:rsid w:val="005F6C00"/>
    <w:rsid w:val="005F6FC5"/>
    <w:rsid w:val="005F7078"/>
    <w:rsid w:val="006005B5"/>
    <w:rsid w:val="00601C51"/>
    <w:rsid w:val="00602905"/>
    <w:rsid w:val="00603836"/>
    <w:rsid w:val="00606299"/>
    <w:rsid w:val="0061074E"/>
    <w:rsid w:val="00612E91"/>
    <w:rsid w:val="006135DC"/>
    <w:rsid w:val="006136A2"/>
    <w:rsid w:val="00613B01"/>
    <w:rsid w:val="00614878"/>
    <w:rsid w:val="00614B63"/>
    <w:rsid w:val="00616714"/>
    <w:rsid w:val="00617A8E"/>
    <w:rsid w:val="00617CBF"/>
    <w:rsid w:val="006210B8"/>
    <w:rsid w:val="00622153"/>
    <w:rsid w:val="0062236F"/>
    <w:rsid w:val="006234B2"/>
    <w:rsid w:val="0062394E"/>
    <w:rsid w:val="0062431E"/>
    <w:rsid w:val="00624678"/>
    <w:rsid w:val="00625277"/>
    <w:rsid w:val="00625F44"/>
    <w:rsid w:val="00626FC9"/>
    <w:rsid w:val="00627241"/>
    <w:rsid w:val="00631439"/>
    <w:rsid w:val="00631A4C"/>
    <w:rsid w:val="00632655"/>
    <w:rsid w:val="00632D19"/>
    <w:rsid w:val="00633E7B"/>
    <w:rsid w:val="00633F03"/>
    <w:rsid w:val="0063493B"/>
    <w:rsid w:val="00635244"/>
    <w:rsid w:val="00635D81"/>
    <w:rsid w:val="00636AC5"/>
    <w:rsid w:val="006401D5"/>
    <w:rsid w:val="00640546"/>
    <w:rsid w:val="00640C23"/>
    <w:rsid w:val="0064149F"/>
    <w:rsid w:val="006418E3"/>
    <w:rsid w:val="006419A0"/>
    <w:rsid w:val="00644CCF"/>
    <w:rsid w:val="00645058"/>
    <w:rsid w:val="006453A9"/>
    <w:rsid w:val="006456B8"/>
    <w:rsid w:val="00645BB9"/>
    <w:rsid w:val="006460C4"/>
    <w:rsid w:val="006464F7"/>
    <w:rsid w:val="00646FBA"/>
    <w:rsid w:val="006504A8"/>
    <w:rsid w:val="0065163B"/>
    <w:rsid w:val="00651924"/>
    <w:rsid w:val="00653234"/>
    <w:rsid w:val="006533CA"/>
    <w:rsid w:val="006544A4"/>
    <w:rsid w:val="00655268"/>
    <w:rsid w:val="006556F7"/>
    <w:rsid w:val="00657252"/>
    <w:rsid w:val="0065763C"/>
    <w:rsid w:val="00657C8C"/>
    <w:rsid w:val="00661007"/>
    <w:rsid w:val="006617F6"/>
    <w:rsid w:val="0066181E"/>
    <w:rsid w:val="006618BB"/>
    <w:rsid w:val="0066327A"/>
    <w:rsid w:val="00663C82"/>
    <w:rsid w:val="006643DF"/>
    <w:rsid w:val="00664692"/>
    <w:rsid w:val="006650DC"/>
    <w:rsid w:val="00665B9C"/>
    <w:rsid w:val="00665BDF"/>
    <w:rsid w:val="006667AA"/>
    <w:rsid w:val="00666C69"/>
    <w:rsid w:val="0066793B"/>
    <w:rsid w:val="006703DE"/>
    <w:rsid w:val="00670C49"/>
    <w:rsid w:val="00670ED1"/>
    <w:rsid w:val="00671144"/>
    <w:rsid w:val="00671410"/>
    <w:rsid w:val="00672152"/>
    <w:rsid w:val="00672A07"/>
    <w:rsid w:val="00673235"/>
    <w:rsid w:val="00681F88"/>
    <w:rsid w:val="00682B85"/>
    <w:rsid w:val="0068422F"/>
    <w:rsid w:val="00685A9D"/>
    <w:rsid w:val="00686C5F"/>
    <w:rsid w:val="00692341"/>
    <w:rsid w:val="00693AD0"/>
    <w:rsid w:val="00693E72"/>
    <w:rsid w:val="006973E2"/>
    <w:rsid w:val="00697D38"/>
    <w:rsid w:val="006A001F"/>
    <w:rsid w:val="006A06C9"/>
    <w:rsid w:val="006A0B4F"/>
    <w:rsid w:val="006A0D30"/>
    <w:rsid w:val="006A12AD"/>
    <w:rsid w:val="006A1C6F"/>
    <w:rsid w:val="006A2750"/>
    <w:rsid w:val="006A278F"/>
    <w:rsid w:val="006A2E89"/>
    <w:rsid w:val="006A2ECA"/>
    <w:rsid w:val="006A338B"/>
    <w:rsid w:val="006A3EB4"/>
    <w:rsid w:val="006A44D9"/>
    <w:rsid w:val="006A77AD"/>
    <w:rsid w:val="006B0631"/>
    <w:rsid w:val="006B0967"/>
    <w:rsid w:val="006B0EDD"/>
    <w:rsid w:val="006B3225"/>
    <w:rsid w:val="006B344B"/>
    <w:rsid w:val="006B79BA"/>
    <w:rsid w:val="006C1444"/>
    <w:rsid w:val="006C14CB"/>
    <w:rsid w:val="006C33A6"/>
    <w:rsid w:val="006C4421"/>
    <w:rsid w:val="006C4510"/>
    <w:rsid w:val="006C5CCD"/>
    <w:rsid w:val="006C603B"/>
    <w:rsid w:val="006C6CA7"/>
    <w:rsid w:val="006C7E55"/>
    <w:rsid w:val="006D072B"/>
    <w:rsid w:val="006D1980"/>
    <w:rsid w:val="006D2844"/>
    <w:rsid w:val="006D2931"/>
    <w:rsid w:val="006D3331"/>
    <w:rsid w:val="006D354C"/>
    <w:rsid w:val="006D3858"/>
    <w:rsid w:val="006D4B99"/>
    <w:rsid w:val="006D6B7B"/>
    <w:rsid w:val="006D6FAD"/>
    <w:rsid w:val="006E03F6"/>
    <w:rsid w:val="006E06B1"/>
    <w:rsid w:val="006E0DB4"/>
    <w:rsid w:val="006E1353"/>
    <w:rsid w:val="006E238C"/>
    <w:rsid w:val="006E3C74"/>
    <w:rsid w:val="006E4F6A"/>
    <w:rsid w:val="006E552B"/>
    <w:rsid w:val="006E718B"/>
    <w:rsid w:val="006F0515"/>
    <w:rsid w:val="006F190D"/>
    <w:rsid w:val="006F216F"/>
    <w:rsid w:val="006F2759"/>
    <w:rsid w:val="006F28A2"/>
    <w:rsid w:val="006F3901"/>
    <w:rsid w:val="006F3FF9"/>
    <w:rsid w:val="006F4FCB"/>
    <w:rsid w:val="006F6356"/>
    <w:rsid w:val="006F6B3E"/>
    <w:rsid w:val="006F6DB6"/>
    <w:rsid w:val="006F7999"/>
    <w:rsid w:val="006F7A8B"/>
    <w:rsid w:val="006F7C52"/>
    <w:rsid w:val="007005E2"/>
    <w:rsid w:val="0070461A"/>
    <w:rsid w:val="007051D2"/>
    <w:rsid w:val="00706D32"/>
    <w:rsid w:val="00707CD7"/>
    <w:rsid w:val="00707FB0"/>
    <w:rsid w:val="00712F61"/>
    <w:rsid w:val="007130EF"/>
    <w:rsid w:val="007133EC"/>
    <w:rsid w:val="00713D9F"/>
    <w:rsid w:val="007167F0"/>
    <w:rsid w:val="00717BA1"/>
    <w:rsid w:val="007206F4"/>
    <w:rsid w:val="00721CC4"/>
    <w:rsid w:val="0072234D"/>
    <w:rsid w:val="007233F1"/>
    <w:rsid w:val="00723A94"/>
    <w:rsid w:val="00725859"/>
    <w:rsid w:val="00727F28"/>
    <w:rsid w:val="00730EA7"/>
    <w:rsid w:val="00731455"/>
    <w:rsid w:val="00731774"/>
    <w:rsid w:val="007319E4"/>
    <w:rsid w:val="00732F22"/>
    <w:rsid w:val="00734BE0"/>
    <w:rsid w:val="00735373"/>
    <w:rsid w:val="007358D2"/>
    <w:rsid w:val="00735CB9"/>
    <w:rsid w:val="00740045"/>
    <w:rsid w:val="007400E8"/>
    <w:rsid w:val="00740394"/>
    <w:rsid w:val="007419DE"/>
    <w:rsid w:val="00743558"/>
    <w:rsid w:val="007440CD"/>
    <w:rsid w:val="00744195"/>
    <w:rsid w:val="00745C29"/>
    <w:rsid w:val="00745D87"/>
    <w:rsid w:val="007469F4"/>
    <w:rsid w:val="00751057"/>
    <w:rsid w:val="007514A5"/>
    <w:rsid w:val="00752A21"/>
    <w:rsid w:val="00753461"/>
    <w:rsid w:val="007540C2"/>
    <w:rsid w:val="0075451D"/>
    <w:rsid w:val="00757D20"/>
    <w:rsid w:val="00757DD0"/>
    <w:rsid w:val="00757ED4"/>
    <w:rsid w:val="00760C99"/>
    <w:rsid w:val="007633D2"/>
    <w:rsid w:val="007647FF"/>
    <w:rsid w:val="0076597E"/>
    <w:rsid w:val="00765D51"/>
    <w:rsid w:val="007711E5"/>
    <w:rsid w:val="007744D7"/>
    <w:rsid w:val="00774568"/>
    <w:rsid w:val="00774F8B"/>
    <w:rsid w:val="007760B3"/>
    <w:rsid w:val="007765FF"/>
    <w:rsid w:val="00776C24"/>
    <w:rsid w:val="0077733D"/>
    <w:rsid w:val="00777A44"/>
    <w:rsid w:val="00777AC0"/>
    <w:rsid w:val="00777B38"/>
    <w:rsid w:val="00780AAB"/>
    <w:rsid w:val="007819B3"/>
    <w:rsid w:val="00783B8C"/>
    <w:rsid w:val="00784C5C"/>
    <w:rsid w:val="00785425"/>
    <w:rsid w:val="00787A67"/>
    <w:rsid w:val="00792F68"/>
    <w:rsid w:val="0079440A"/>
    <w:rsid w:val="00794629"/>
    <w:rsid w:val="007956D5"/>
    <w:rsid w:val="00796034"/>
    <w:rsid w:val="00796987"/>
    <w:rsid w:val="0079758C"/>
    <w:rsid w:val="007A00AA"/>
    <w:rsid w:val="007A24DB"/>
    <w:rsid w:val="007A25F3"/>
    <w:rsid w:val="007A31D5"/>
    <w:rsid w:val="007A3280"/>
    <w:rsid w:val="007A4E86"/>
    <w:rsid w:val="007A6079"/>
    <w:rsid w:val="007A706A"/>
    <w:rsid w:val="007A7CF7"/>
    <w:rsid w:val="007B02A0"/>
    <w:rsid w:val="007B167A"/>
    <w:rsid w:val="007B168A"/>
    <w:rsid w:val="007B2403"/>
    <w:rsid w:val="007B4DCE"/>
    <w:rsid w:val="007B4FF5"/>
    <w:rsid w:val="007B63E5"/>
    <w:rsid w:val="007C0382"/>
    <w:rsid w:val="007C2528"/>
    <w:rsid w:val="007C2C22"/>
    <w:rsid w:val="007C3700"/>
    <w:rsid w:val="007C58B1"/>
    <w:rsid w:val="007C644E"/>
    <w:rsid w:val="007D1925"/>
    <w:rsid w:val="007D1E8C"/>
    <w:rsid w:val="007D21FF"/>
    <w:rsid w:val="007D51D6"/>
    <w:rsid w:val="007D6FDC"/>
    <w:rsid w:val="007D75AE"/>
    <w:rsid w:val="007E055D"/>
    <w:rsid w:val="007E0A22"/>
    <w:rsid w:val="007E0B45"/>
    <w:rsid w:val="007E1316"/>
    <w:rsid w:val="007E5187"/>
    <w:rsid w:val="007E599F"/>
    <w:rsid w:val="007E5A2D"/>
    <w:rsid w:val="007E7D7A"/>
    <w:rsid w:val="007F0451"/>
    <w:rsid w:val="007F134F"/>
    <w:rsid w:val="007F14C0"/>
    <w:rsid w:val="007F204B"/>
    <w:rsid w:val="007F23B3"/>
    <w:rsid w:val="007F404E"/>
    <w:rsid w:val="007F728F"/>
    <w:rsid w:val="00800C72"/>
    <w:rsid w:val="008017F3"/>
    <w:rsid w:val="0080429B"/>
    <w:rsid w:val="00804A73"/>
    <w:rsid w:val="00805BEE"/>
    <w:rsid w:val="00805C90"/>
    <w:rsid w:val="0080752C"/>
    <w:rsid w:val="00810009"/>
    <w:rsid w:val="00810734"/>
    <w:rsid w:val="008115CC"/>
    <w:rsid w:val="008122C5"/>
    <w:rsid w:val="00812403"/>
    <w:rsid w:val="00812A8C"/>
    <w:rsid w:val="00812BC7"/>
    <w:rsid w:val="00812BDC"/>
    <w:rsid w:val="0081359B"/>
    <w:rsid w:val="00813CA9"/>
    <w:rsid w:val="00814C2A"/>
    <w:rsid w:val="00816145"/>
    <w:rsid w:val="00817982"/>
    <w:rsid w:val="00820D82"/>
    <w:rsid w:val="0082172B"/>
    <w:rsid w:val="008219EF"/>
    <w:rsid w:val="00822339"/>
    <w:rsid w:val="00823C49"/>
    <w:rsid w:val="00823C95"/>
    <w:rsid w:val="00824616"/>
    <w:rsid w:val="00824D90"/>
    <w:rsid w:val="0082536E"/>
    <w:rsid w:val="0082676F"/>
    <w:rsid w:val="00827212"/>
    <w:rsid w:val="0082736A"/>
    <w:rsid w:val="00827D3E"/>
    <w:rsid w:val="00830279"/>
    <w:rsid w:val="00830C7A"/>
    <w:rsid w:val="00832050"/>
    <w:rsid w:val="00832109"/>
    <w:rsid w:val="008329DE"/>
    <w:rsid w:val="00833035"/>
    <w:rsid w:val="0083343B"/>
    <w:rsid w:val="008356B1"/>
    <w:rsid w:val="00835B4C"/>
    <w:rsid w:val="00836579"/>
    <w:rsid w:val="00836FD2"/>
    <w:rsid w:val="0083717B"/>
    <w:rsid w:val="00840BAA"/>
    <w:rsid w:val="008414CF"/>
    <w:rsid w:val="008417EF"/>
    <w:rsid w:val="008418E3"/>
    <w:rsid w:val="00841E6D"/>
    <w:rsid w:val="00842751"/>
    <w:rsid w:val="00842ABB"/>
    <w:rsid w:val="00842B3E"/>
    <w:rsid w:val="0084420C"/>
    <w:rsid w:val="00844AF1"/>
    <w:rsid w:val="00846431"/>
    <w:rsid w:val="008466C6"/>
    <w:rsid w:val="008467AC"/>
    <w:rsid w:val="008470DA"/>
    <w:rsid w:val="00847DAE"/>
    <w:rsid w:val="008504F3"/>
    <w:rsid w:val="00852F63"/>
    <w:rsid w:val="00856268"/>
    <w:rsid w:val="00857211"/>
    <w:rsid w:val="00857672"/>
    <w:rsid w:val="00860CBD"/>
    <w:rsid w:val="00860D5B"/>
    <w:rsid w:val="008613D5"/>
    <w:rsid w:val="00861B59"/>
    <w:rsid w:val="008624C3"/>
    <w:rsid w:val="00862FC8"/>
    <w:rsid w:val="00863002"/>
    <w:rsid w:val="008633AE"/>
    <w:rsid w:val="00863EA3"/>
    <w:rsid w:val="008643AF"/>
    <w:rsid w:val="00864BDD"/>
    <w:rsid w:val="0086687B"/>
    <w:rsid w:val="00870311"/>
    <w:rsid w:val="00870B70"/>
    <w:rsid w:val="00870D0C"/>
    <w:rsid w:val="008726DF"/>
    <w:rsid w:val="00872C83"/>
    <w:rsid w:val="008748DA"/>
    <w:rsid w:val="00875AD0"/>
    <w:rsid w:val="00876861"/>
    <w:rsid w:val="008779A9"/>
    <w:rsid w:val="008802D9"/>
    <w:rsid w:val="00880A56"/>
    <w:rsid w:val="008836E3"/>
    <w:rsid w:val="00884B1D"/>
    <w:rsid w:val="00884EB4"/>
    <w:rsid w:val="008857C6"/>
    <w:rsid w:val="008859CB"/>
    <w:rsid w:val="008873ED"/>
    <w:rsid w:val="00887AD5"/>
    <w:rsid w:val="00890F20"/>
    <w:rsid w:val="0089232A"/>
    <w:rsid w:val="008923D7"/>
    <w:rsid w:val="00892427"/>
    <w:rsid w:val="00894324"/>
    <w:rsid w:val="0089440A"/>
    <w:rsid w:val="008961EC"/>
    <w:rsid w:val="00896314"/>
    <w:rsid w:val="00896598"/>
    <w:rsid w:val="008979D7"/>
    <w:rsid w:val="008A086C"/>
    <w:rsid w:val="008A1361"/>
    <w:rsid w:val="008A19AC"/>
    <w:rsid w:val="008A21C7"/>
    <w:rsid w:val="008A2D0E"/>
    <w:rsid w:val="008A3B92"/>
    <w:rsid w:val="008A4051"/>
    <w:rsid w:val="008A424B"/>
    <w:rsid w:val="008A646C"/>
    <w:rsid w:val="008A76C8"/>
    <w:rsid w:val="008B2B5E"/>
    <w:rsid w:val="008B302C"/>
    <w:rsid w:val="008B3F12"/>
    <w:rsid w:val="008B654E"/>
    <w:rsid w:val="008B678F"/>
    <w:rsid w:val="008B7986"/>
    <w:rsid w:val="008B7A3B"/>
    <w:rsid w:val="008C071F"/>
    <w:rsid w:val="008C0938"/>
    <w:rsid w:val="008C250E"/>
    <w:rsid w:val="008C3176"/>
    <w:rsid w:val="008C36A1"/>
    <w:rsid w:val="008C4760"/>
    <w:rsid w:val="008C4F02"/>
    <w:rsid w:val="008C5AF9"/>
    <w:rsid w:val="008C745A"/>
    <w:rsid w:val="008D1FCC"/>
    <w:rsid w:val="008D3970"/>
    <w:rsid w:val="008D44ED"/>
    <w:rsid w:val="008D4F7E"/>
    <w:rsid w:val="008D6699"/>
    <w:rsid w:val="008D7D2D"/>
    <w:rsid w:val="008E053A"/>
    <w:rsid w:val="008E10CD"/>
    <w:rsid w:val="008E14CD"/>
    <w:rsid w:val="008E1867"/>
    <w:rsid w:val="008E338F"/>
    <w:rsid w:val="008E37B1"/>
    <w:rsid w:val="008E3943"/>
    <w:rsid w:val="008E448A"/>
    <w:rsid w:val="008E5208"/>
    <w:rsid w:val="008E6948"/>
    <w:rsid w:val="008E6F73"/>
    <w:rsid w:val="008E7B3F"/>
    <w:rsid w:val="008F01BD"/>
    <w:rsid w:val="008F15A5"/>
    <w:rsid w:val="008F1F12"/>
    <w:rsid w:val="008F21CB"/>
    <w:rsid w:val="008F22A3"/>
    <w:rsid w:val="008F282F"/>
    <w:rsid w:val="008F2ACD"/>
    <w:rsid w:val="008F2B34"/>
    <w:rsid w:val="008F314B"/>
    <w:rsid w:val="008F535E"/>
    <w:rsid w:val="008F609A"/>
    <w:rsid w:val="008F6FC0"/>
    <w:rsid w:val="008F7351"/>
    <w:rsid w:val="00902022"/>
    <w:rsid w:val="0090272D"/>
    <w:rsid w:val="00903005"/>
    <w:rsid w:val="00906007"/>
    <w:rsid w:val="0090718C"/>
    <w:rsid w:val="00907C7C"/>
    <w:rsid w:val="00911CA0"/>
    <w:rsid w:val="00914C6F"/>
    <w:rsid w:val="00915275"/>
    <w:rsid w:val="0091692F"/>
    <w:rsid w:val="009213E6"/>
    <w:rsid w:val="0092192D"/>
    <w:rsid w:val="009231FF"/>
    <w:rsid w:val="00923665"/>
    <w:rsid w:val="0092381F"/>
    <w:rsid w:val="00927238"/>
    <w:rsid w:val="00933E3E"/>
    <w:rsid w:val="00934043"/>
    <w:rsid w:val="0093460B"/>
    <w:rsid w:val="009347E2"/>
    <w:rsid w:val="00934AF5"/>
    <w:rsid w:val="00934C22"/>
    <w:rsid w:val="0094129B"/>
    <w:rsid w:val="009416A8"/>
    <w:rsid w:val="00941AB6"/>
    <w:rsid w:val="00945585"/>
    <w:rsid w:val="00947259"/>
    <w:rsid w:val="009503DE"/>
    <w:rsid w:val="00950464"/>
    <w:rsid w:val="00951F3D"/>
    <w:rsid w:val="00953908"/>
    <w:rsid w:val="00954C23"/>
    <w:rsid w:val="00955572"/>
    <w:rsid w:val="00955E11"/>
    <w:rsid w:val="00956D14"/>
    <w:rsid w:val="00956D8E"/>
    <w:rsid w:val="00961BD1"/>
    <w:rsid w:val="00962351"/>
    <w:rsid w:val="00962FB2"/>
    <w:rsid w:val="009635C7"/>
    <w:rsid w:val="00964F7C"/>
    <w:rsid w:val="00966B6F"/>
    <w:rsid w:val="00966BF8"/>
    <w:rsid w:val="0096797A"/>
    <w:rsid w:val="00971099"/>
    <w:rsid w:val="0097171B"/>
    <w:rsid w:val="00971DC1"/>
    <w:rsid w:val="00971F8F"/>
    <w:rsid w:val="0097298C"/>
    <w:rsid w:val="00972D83"/>
    <w:rsid w:val="00973531"/>
    <w:rsid w:val="009737B4"/>
    <w:rsid w:val="00975B28"/>
    <w:rsid w:val="009769C3"/>
    <w:rsid w:val="00977AFC"/>
    <w:rsid w:val="00977C99"/>
    <w:rsid w:val="00977D2F"/>
    <w:rsid w:val="00981D4C"/>
    <w:rsid w:val="00982D3D"/>
    <w:rsid w:val="00983115"/>
    <w:rsid w:val="00985AD8"/>
    <w:rsid w:val="009861FA"/>
    <w:rsid w:val="009879FD"/>
    <w:rsid w:val="0099008C"/>
    <w:rsid w:val="0099121F"/>
    <w:rsid w:val="009926E9"/>
    <w:rsid w:val="0099449B"/>
    <w:rsid w:val="0099591B"/>
    <w:rsid w:val="00995CF2"/>
    <w:rsid w:val="0099727B"/>
    <w:rsid w:val="009974BA"/>
    <w:rsid w:val="0099761C"/>
    <w:rsid w:val="009A2CEC"/>
    <w:rsid w:val="009A3778"/>
    <w:rsid w:val="009A3B49"/>
    <w:rsid w:val="009A429E"/>
    <w:rsid w:val="009A59EF"/>
    <w:rsid w:val="009A6329"/>
    <w:rsid w:val="009A676E"/>
    <w:rsid w:val="009B02E3"/>
    <w:rsid w:val="009B04C0"/>
    <w:rsid w:val="009B1738"/>
    <w:rsid w:val="009B203A"/>
    <w:rsid w:val="009B6F07"/>
    <w:rsid w:val="009B7BF5"/>
    <w:rsid w:val="009C2848"/>
    <w:rsid w:val="009C4BE5"/>
    <w:rsid w:val="009C4EA0"/>
    <w:rsid w:val="009C6D0F"/>
    <w:rsid w:val="009C7217"/>
    <w:rsid w:val="009C72FF"/>
    <w:rsid w:val="009D0E85"/>
    <w:rsid w:val="009D1267"/>
    <w:rsid w:val="009D1D73"/>
    <w:rsid w:val="009D29CF"/>
    <w:rsid w:val="009D2D8F"/>
    <w:rsid w:val="009D32AC"/>
    <w:rsid w:val="009D3C5C"/>
    <w:rsid w:val="009D3CC9"/>
    <w:rsid w:val="009D3D86"/>
    <w:rsid w:val="009D3E79"/>
    <w:rsid w:val="009D4D02"/>
    <w:rsid w:val="009D4DB2"/>
    <w:rsid w:val="009D4E26"/>
    <w:rsid w:val="009D7AE9"/>
    <w:rsid w:val="009D7BF9"/>
    <w:rsid w:val="009E0066"/>
    <w:rsid w:val="009E0E55"/>
    <w:rsid w:val="009E16CE"/>
    <w:rsid w:val="009E31C3"/>
    <w:rsid w:val="009E4903"/>
    <w:rsid w:val="009E4D50"/>
    <w:rsid w:val="009E7375"/>
    <w:rsid w:val="009F0317"/>
    <w:rsid w:val="009F1C86"/>
    <w:rsid w:val="009F3A06"/>
    <w:rsid w:val="009F4EA3"/>
    <w:rsid w:val="009F52B5"/>
    <w:rsid w:val="009F6953"/>
    <w:rsid w:val="009F7E16"/>
    <w:rsid w:val="00A015D8"/>
    <w:rsid w:val="00A01EC0"/>
    <w:rsid w:val="00A0294F"/>
    <w:rsid w:val="00A02DB6"/>
    <w:rsid w:val="00A03AC8"/>
    <w:rsid w:val="00A045CE"/>
    <w:rsid w:val="00A074CA"/>
    <w:rsid w:val="00A07A95"/>
    <w:rsid w:val="00A1018C"/>
    <w:rsid w:val="00A1234E"/>
    <w:rsid w:val="00A12A31"/>
    <w:rsid w:val="00A13199"/>
    <w:rsid w:val="00A1399D"/>
    <w:rsid w:val="00A14512"/>
    <w:rsid w:val="00A15C53"/>
    <w:rsid w:val="00A15D84"/>
    <w:rsid w:val="00A160F4"/>
    <w:rsid w:val="00A17360"/>
    <w:rsid w:val="00A21240"/>
    <w:rsid w:val="00A2275F"/>
    <w:rsid w:val="00A22C87"/>
    <w:rsid w:val="00A2344A"/>
    <w:rsid w:val="00A23646"/>
    <w:rsid w:val="00A249CA"/>
    <w:rsid w:val="00A24A19"/>
    <w:rsid w:val="00A27184"/>
    <w:rsid w:val="00A30423"/>
    <w:rsid w:val="00A30BFB"/>
    <w:rsid w:val="00A31440"/>
    <w:rsid w:val="00A316FD"/>
    <w:rsid w:val="00A32423"/>
    <w:rsid w:val="00A32567"/>
    <w:rsid w:val="00A34199"/>
    <w:rsid w:val="00A35C3F"/>
    <w:rsid w:val="00A35FB5"/>
    <w:rsid w:val="00A408AD"/>
    <w:rsid w:val="00A41B0E"/>
    <w:rsid w:val="00A42258"/>
    <w:rsid w:val="00A43984"/>
    <w:rsid w:val="00A4435E"/>
    <w:rsid w:val="00A448C9"/>
    <w:rsid w:val="00A45B0B"/>
    <w:rsid w:val="00A45C58"/>
    <w:rsid w:val="00A472E9"/>
    <w:rsid w:val="00A50421"/>
    <w:rsid w:val="00A50CA3"/>
    <w:rsid w:val="00A51536"/>
    <w:rsid w:val="00A51C7D"/>
    <w:rsid w:val="00A553F3"/>
    <w:rsid w:val="00A55FD1"/>
    <w:rsid w:val="00A561C9"/>
    <w:rsid w:val="00A60D0F"/>
    <w:rsid w:val="00A61987"/>
    <w:rsid w:val="00A61AA1"/>
    <w:rsid w:val="00A63E1A"/>
    <w:rsid w:val="00A64445"/>
    <w:rsid w:val="00A64901"/>
    <w:rsid w:val="00A649DB"/>
    <w:rsid w:val="00A6630D"/>
    <w:rsid w:val="00A66359"/>
    <w:rsid w:val="00A66BA7"/>
    <w:rsid w:val="00A70180"/>
    <w:rsid w:val="00A70A40"/>
    <w:rsid w:val="00A70FEA"/>
    <w:rsid w:val="00A71EEC"/>
    <w:rsid w:val="00A72482"/>
    <w:rsid w:val="00A726F1"/>
    <w:rsid w:val="00A72AA3"/>
    <w:rsid w:val="00A74610"/>
    <w:rsid w:val="00A75113"/>
    <w:rsid w:val="00A8010C"/>
    <w:rsid w:val="00A80741"/>
    <w:rsid w:val="00A80809"/>
    <w:rsid w:val="00A80D8C"/>
    <w:rsid w:val="00A816EF"/>
    <w:rsid w:val="00A845C7"/>
    <w:rsid w:val="00A853CD"/>
    <w:rsid w:val="00A8688C"/>
    <w:rsid w:val="00A86C65"/>
    <w:rsid w:val="00A90F9F"/>
    <w:rsid w:val="00A91E7A"/>
    <w:rsid w:val="00A9271C"/>
    <w:rsid w:val="00A928C9"/>
    <w:rsid w:val="00A94DD9"/>
    <w:rsid w:val="00A957EF"/>
    <w:rsid w:val="00A9657E"/>
    <w:rsid w:val="00A966AA"/>
    <w:rsid w:val="00A968BF"/>
    <w:rsid w:val="00A96ACC"/>
    <w:rsid w:val="00AA13C8"/>
    <w:rsid w:val="00AA2165"/>
    <w:rsid w:val="00AA2859"/>
    <w:rsid w:val="00AA29D1"/>
    <w:rsid w:val="00AA6F18"/>
    <w:rsid w:val="00AB1DF7"/>
    <w:rsid w:val="00AB281F"/>
    <w:rsid w:val="00AB49FB"/>
    <w:rsid w:val="00AB4D69"/>
    <w:rsid w:val="00AB5529"/>
    <w:rsid w:val="00AB6884"/>
    <w:rsid w:val="00AB7227"/>
    <w:rsid w:val="00AB7411"/>
    <w:rsid w:val="00AB7D1F"/>
    <w:rsid w:val="00AB7E05"/>
    <w:rsid w:val="00AB7EA2"/>
    <w:rsid w:val="00AC0591"/>
    <w:rsid w:val="00AC09A1"/>
    <w:rsid w:val="00AC1EA1"/>
    <w:rsid w:val="00AC1FFD"/>
    <w:rsid w:val="00AC26F8"/>
    <w:rsid w:val="00AC30F3"/>
    <w:rsid w:val="00AC4844"/>
    <w:rsid w:val="00AC4AA7"/>
    <w:rsid w:val="00AC5303"/>
    <w:rsid w:val="00AC57A9"/>
    <w:rsid w:val="00AC6F03"/>
    <w:rsid w:val="00AD027A"/>
    <w:rsid w:val="00AD0F14"/>
    <w:rsid w:val="00AD388E"/>
    <w:rsid w:val="00AD3DC9"/>
    <w:rsid w:val="00AD7682"/>
    <w:rsid w:val="00AD7A58"/>
    <w:rsid w:val="00AE054C"/>
    <w:rsid w:val="00AE077F"/>
    <w:rsid w:val="00AE1253"/>
    <w:rsid w:val="00AE4130"/>
    <w:rsid w:val="00AE4CB5"/>
    <w:rsid w:val="00AE56A4"/>
    <w:rsid w:val="00AE58B3"/>
    <w:rsid w:val="00AE6346"/>
    <w:rsid w:val="00AE7038"/>
    <w:rsid w:val="00AE76FA"/>
    <w:rsid w:val="00AF2DBC"/>
    <w:rsid w:val="00AF3A16"/>
    <w:rsid w:val="00AF3A44"/>
    <w:rsid w:val="00AF439F"/>
    <w:rsid w:val="00AF46A9"/>
    <w:rsid w:val="00AF4FCC"/>
    <w:rsid w:val="00AF5510"/>
    <w:rsid w:val="00AF614E"/>
    <w:rsid w:val="00AF72B9"/>
    <w:rsid w:val="00B01364"/>
    <w:rsid w:val="00B01928"/>
    <w:rsid w:val="00B02F26"/>
    <w:rsid w:val="00B0455E"/>
    <w:rsid w:val="00B05562"/>
    <w:rsid w:val="00B055FD"/>
    <w:rsid w:val="00B0620F"/>
    <w:rsid w:val="00B103F6"/>
    <w:rsid w:val="00B11144"/>
    <w:rsid w:val="00B11572"/>
    <w:rsid w:val="00B11854"/>
    <w:rsid w:val="00B1285C"/>
    <w:rsid w:val="00B137BE"/>
    <w:rsid w:val="00B15710"/>
    <w:rsid w:val="00B158B5"/>
    <w:rsid w:val="00B15C00"/>
    <w:rsid w:val="00B1657D"/>
    <w:rsid w:val="00B16C30"/>
    <w:rsid w:val="00B16CDF"/>
    <w:rsid w:val="00B17BB4"/>
    <w:rsid w:val="00B2081D"/>
    <w:rsid w:val="00B21F4B"/>
    <w:rsid w:val="00B22735"/>
    <w:rsid w:val="00B23778"/>
    <w:rsid w:val="00B23A8D"/>
    <w:rsid w:val="00B24048"/>
    <w:rsid w:val="00B240BD"/>
    <w:rsid w:val="00B25CB6"/>
    <w:rsid w:val="00B25CCC"/>
    <w:rsid w:val="00B261C4"/>
    <w:rsid w:val="00B27B0F"/>
    <w:rsid w:val="00B32380"/>
    <w:rsid w:val="00B32608"/>
    <w:rsid w:val="00B419BC"/>
    <w:rsid w:val="00B4289D"/>
    <w:rsid w:val="00B42E9F"/>
    <w:rsid w:val="00B442FD"/>
    <w:rsid w:val="00B4472F"/>
    <w:rsid w:val="00B45A5E"/>
    <w:rsid w:val="00B478CD"/>
    <w:rsid w:val="00B47A2C"/>
    <w:rsid w:val="00B51105"/>
    <w:rsid w:val="00B52C35"/>
    <w:rsid w:val="00B53FE6"/>
    <w:rsid w:val="00B54895"/>
    <w:rsid w:val="00B54A86"/>
    <w:rsid w:val="00B55015"/>
    <w:rsid w:val="00B55312"/>
    <w:rsid w:val="00B57283"/>
    <w:rsid w:val="00B610E9"/>
    <w:rsid w:val="00B620DE"/>
    <w:rsid w:val="00B631FB"/>
    <w:rsid w:val="00B63219"/>
    <w:rsid w:val="00B6449F"/>
    <w:rsid w:val="00B66D32"/>
    <w:rsid w:val="00B724EC"/>
    <w:rsid w:val="00B72F40"/>
    <w:rsid w:val="00B7677E"/>
    <w:rsid w:val="00B767B5"/>
    <w:rsid w:val="00B80B11"/>
    <w:rsid w:val="00B80E4F"/>
    <w:rsid w:val="00B816E2"/>
    <w:rsid w:val="00B81786"/>
    <w:rsid w:val="00B81F14"/>
    <w:rsid w:val="00B822DD"/>
    <w:rsid w:val="00B82309"/>
    <w:rsid w:val="00B82597"/>
    <w:rsid w:val="00B838EC"/>
    <w:rsid w:val="00B848F4"/>
    <w:rsid w:val="00B84EE7"/>
    <w:rsid w:val="00B859B5"/>
    <w:rsid w:val="00B86820"/>
    <w:rsid w:val="00B87D72"/>
    <w:rsid w:val="00B91B33"/>
    <w:rsid w:val="00B91ED8"/>
    <w:rsid w:val="00B934AD"/>
    <w:rsid w:val="00B9383E"/>
    <w:rsid w:val="00B938E9"/>
    <w:rsid w:val="00B940AD"/>
    <w:rsid w:val="00B94878"/>
    <w:rsid w:val="00B948DC"/>
    <w:rsid w:val="00B96386"/>
    <w:rsid w:val="00B976F7"/>
    <w:rsid w:val="00B97BFA"/>
    <w:rsid w:val="00BA0A4B"/>
    <w:rsid w:val="00BA103C"/>
    <w:rsid w:val="00BA1985"/>
    <w:rsid w:val="00BA1BC4"/>
    <w:rsid w:val="00BA4FEA"/>
    <w:rsid w:val="00BA55BA"/>
    <w:rsid w:val="00BA6BE7"/>
    <w:rsid w:val="00BB055A"/>
    <w:rsid w:val="00BB08EE"/>
    <w:rsid w:val="00BB1186"/>
    <w:rsid w:val="00BB230E"/>
    <w:rsid w:val="00BB3AE6"/>
    <w:rsid w:val="00BB40EA"/>
    <w:rsid w:val="00BB5DA1"/>
    <w:rsid w:val="00BB621E"/>
    <w:rsid w:val="00BC126B"/>
    <w:rsid w:val="00BC3FCA"/>
    <w:rsid w:val="00BC402C"/>
    <w:rsid w:val="00BC50E3"/>
    <w:rsid w:val="00BC5940"/>
    <w:rsid w:val="00BC5A6F"/>
    <w:rsid w:val="00BC6695"/>
    <w:rsid w:val="00BC7442"/>
    <w:rsid w:val="00BD03AC"/>
    <w:rsid w:val="00BD062D"/>
    <w:rsid w:val="00BD0BFA"/>
    <w:rsid w:val="00BD0CC9"/>
    <w:rsid w:val="00BD0E16"/>
    <w:rsid w:val="00BD12D0"/>
    <w:rsid w:val="00BD53DC"/>
    <w:rsid w:val="00BD5AED"/>
    <w:rsid w:val="00BD5DFF"/>
    <w:rsid w:val="00BD6FA8"/>
    <w:rsid w:val="00BD7226"/>
    <w:rsid w:val="00BD7962"/>
    <w:rsid w:val="00BE03A4"/>
    <w:rsid w:val="00BE0CE6"/>
    <w:rsid w:val="00BE0D7E"/>
    <w:rsid w:val="00BE1201"/>
    <w:rsid w:val="00BE1866"/>
    <w:rsid w:val="00BE1AB0"/>
    <w:rsid w:val="00BE2297"/>
    <w:rsid w:val="00BE40AD"/>
    <w:rsid w:val="00BE4B68"/>
    <w:rsid w:val="00BE6790"/>
    <w:rsid w:val="00BF0FF7"/>
    <w:rsid w:val="00BF2F7E"/>
    <w:rsid w:val="00BF4334"/>
    <w:rsid w:val="00BF444A"/>
    <w:rsid w:val="00BF4D39"/>
    <w:rsid w:val="00BF4FA1"/>
    <w:rsid w:val="00BF51F8"/>
    <w:rsid w:val="00BF6D4B"/>
    <w:rsid w:val="00BF715D"/>
    <w:rsid w:val="00BF72DF"/>
    <w:rsid w:val="00BF731E"/>
    <w:rsid w:val="00C0004B"/>
    <w:rsid w:val="00C0066A"/>
    <w:rsid w:val="00C00B28"/>
    <w:rsid w:val="00C026C9"/>
    <w:rsid w:val="00C07488"/>
    <w:rsid w:val="00C07E22"/>
    <w:rsid w:val="00C118A4"/>
    <w:rsid w:val="00C1379E"/>
    <w:rsid w:val="00C16E44"/>
    <w:rsid w:val="00C16E85"/>
    <w:rsid w:val="00C172A3"/>
    <w:rsid w:val="00C177F5"/>
    <w:rsid w:val="00C17AB2"/>
    <w:rsid w:val="00C2081A"/>
    <w:rsid w:val="00C2225F"/>
    <w:rsid w:val="00C2293C"/>
    <w:rsid w:val="00C23F93"/>
    <w:rsid w:val="00C26D8C"/>
    <w:rsid w:val="00C274CD"/>
    <w:rsid w:val="00C30652"/>
    <w:rsid w:val="00C3068C"/>
    <w:rsid w:val="00C322D1"/>
    <w:rsid w:val="00C33C01"/>
    <w:rsid w:val="00C34B0A"/>
    <w:rsid w:val="00C34CEE"/>
    <w:rsid w:val="00C34DD3"/>
    <w:rsid w:val="00C36C1A"/>
    <w:rsid w:val="00C37962"/>
    <w:rsid w:val="00C4135D"/>
    <w:rsid w:val="00C420BA"/>
    <w:rsid w:val="00C42500"/>
    <w:rsid w:val="00C4284F"/>
    <w:rsid w:val="00C4323F"/>
    <w:rsid w:val="00C43A3C"/>
    <w:rsid w:val="00C44226"/>
    <w:rsid w:val="00C447A2"/>
    <w:rsid w:val="00C449D9"/>
    <w:rsid w:val="00C46808"/>
    <w:rsid w:val="00C47038"/>
    <w:rsid w:val="00C475A5"/>
    <w:rsid w:val="00C47906"/>
    <w:rsid w:val="00C47D7B"/>
    <w:rsid w:val="00C5113E"/>
    <w:rsid w:val="00C51F4D"/>
    <w:rsid w:val="00C51F9D"/>
    <w:rsid w:val="00C5352A"/>
    <w:rsid w:val="00C548A9"/>
    <w:rsid w:val="00C61594"/>
    <w:rsid w:val="00C619DD"/>
    <w:rsid w:val="00C61E2A"/>
    <w:rsid w:val="00C62F6D"/>
    <w:rsid w:val="00C63BF9"/>
    <w:rsid w:val="00C6463D"/>
    <w:rsid w:val="00C65153"/>
    <w:rsid w:val="00C654F5"/>
    <w:rsid w:val="00C655D9"/>
    <w:rsid w:val="00C6585A"/>
    <w:rsid w:val="00C66553"/>
    <w:rsid w:val="00C67152"/>
    <w:rsid w:val="00C67669"/>
    <w:rsid w:val="00C67BF9"/>
    <w:rsid w:val="00C7086D"/>
    <w:rsid w:val="00C708ED"/>
    <w:rsid w:val="00C7227C"/>
    <w:rsid w:val="00C73234"/>
    <w:rsid w:val="00C739D8"/>
    <w:rsid w:val="00C73E7A"/>
    <w:rsid w:val="00C746FD"/>
    <w:rsid w:val="00C74DCB"/>
    <w:rsid w:val="00C75A41"/>
    <w:rsid w:val="00C76E23"/>
    <w:rsid w:val="00C76F5F"/>
    <w:rsid w:val="00C773CD"/>
    <w:rsid w:val="00C801A1"/>
    <w:rsid w:val="00C802A3"/>
    <w:rsid w:val="00C82045"/>
    <w:rsid w:val="00C82FBD"/>
    <w:rsid w:val="00C841D0"/>
    <w:rsid w:val="00C84E6E"/>
    <w:rsid w:val="00C85699"/>
    <w:rsid w:val="00C86290"/>
    <w:rsid w:val="00C8651A"/>
    <w:rsid w:val="00C86BEE"/>
    <w:rsid w:val="00C87E31"/>
    <w:rsid w:val="00C9261D"/>
    <w:rsid w:val="00C940FB"/>
    <w:rsid w:val="00C9415A"/>
    <w:rsid w:val="00C95A2B"/>
    <w:rsid w:val="00C95B1B"/>
    <w:rsid w:val="00C968C1"/>
    <w:rsid w:val="00C968FA"/>
    <w:rsid w:val="00C96EE7"/>
    <w:rsid w:val="00CA29BE"/>
    <w:rsid w:val="00CA3B26"/>
    <w:rsid w:val="00CA4CA4"/>
    <w:rsid w:val="00CA6539"/>
    <w:rsid w:val="00CA7385"/>
    <w:rsid w:val="00CB05C4"/>
    <w:rsid w:val="00CB0703"/>
    <w:rsid w:val="00CB0979"/>
    <w:rsid w:val="00CB1F0F"/>
    <w:rsid w:val="00CB293F"/>
    <w:rsid w:val="00CB4950"/>
    <w:rsid w:val="00CB53D9"/>
    <w:rsid w:val="00CB6D00"/>
    <w:rsid w:val="00CB704E"/>
    <w:rsid w:val="00CB7FA5"/>
    <w:rsid w:val="00CC118C"/>
    <w:rsid w:val="00CC2B47"/>
    <w:rsid w:val="00CC2CFD"/>
    <w:rsid w:val="00CC3596"/>
    <w:rsid w:val="00CC4683"/>
    <w:rsid w:val="00CC4762"/>
    <w:rsid w:val="00CC497C"/>
    <w:rsid w:val="00CC4D59"/>
    <w:rsid w:val="00CC6C09"/>
    <w:rsid w:val="00CC7C3B"/>
    <w:rsid w:val="00CD0ED3"/>
    <w:rsid w:val="00CD24F6"/>
    <w:rsid w:val="00CD2888"/>
    <w:rsid w:val="00CD3587"/>
    <w:rsid w:val="00CD43CB"/>
    <w:rsid w:val="00CD7087"/>
    <w:rsid w:val="00CD7987"/>
    <w:rsid w:val="00CD7EC8"/>
    <w:rsid w:val="00CE2A61"/>
    <w:rsid w:val="00CE3440"/>
    <w:rsid w:val="00CE3D4A"/>
    <w:rsid w:val="00CE4708"/>
    <w:rsid w:val="00CE472B"/>
    <w:rsid w:val="00CF3B75"/>
    <w:rsid w:val="00CF4252"/>
    <w:rsid w:val="00CF7AEE"/>
    <w:rsid w:val="00CF7F68"/>
    <w:rsid w:val="00D00854"/>
    <w:rsid w:val="00D03897"/>
    <w:rsid w:val="00D04698"/>
    <w:rsid w:val="00D06531"/>
    <w:rsid w:val="00D066EB"/>
    <w:rsid w:val="00D11E54"/>
    <w:rsid w:val="00D12F98"/>
    <w:rsid w:val="00D13380"/>
    <w:rsid w:val="00D133B6"/>
    <w:rsid w:val="00D13A36"/>
    <w:rsid w:val="00D14E64"/>
    <w:rsid w:val="00D16841"/>
    <w:rsid w:val="00D16D8D"/>
    <w:rsid w:val="00D16E8C"/>
    <w:rsid w:val="00D203B8"/>
    <w:rsid w:val="00D2118B"/>
    <w:rsid w:val="00D22B98"/>
    <w:rsid w:val="00D260A3"/>
    <w:rsid w:val="00D2687A"/>
    <w:rsid w:val="00D26A6E"/>
    <w:rsid w:val="00D26ACE"/>
    <w:rsid w:val="00D3007F"/>
    <w:rsid w:val="00D3218C"/>
    <w:rsid w:val="00D3481A"/>
    <w:rsid w:val="00D3524D"/>
    <w:rsid w:val="00D36A22"/>
    <w:rsid w:val="00D37E4A"/>
    <w:rsid w:val="00D41C42"/>
    <w:rsid w:val="00D41C5B"/>
    <w:rsid w:val="00D43707"/>
    <w:rsid w:val="00D43C0A"/>
    <w:rsid w:val="00D4505D"/>
    <w:rsid w:val="00D46A12"/>
    <w:rsid w:val="00D46F03"/>
    <w:rsid w:val="00D4765F"/>
    <w:rsid w:val="00D51B36"/>
    <w:rsid w:val="00D56846"/>
    <w:rsid w:val="00D5751F"/>
    <w:rsid w:val="00D5769E"/>
    <w:rsid w:val="00D57A25"/>
    <w:rsid w:val="00D57E15"/>
    <w:rsid w:val="00D608FA"/>
    <w:rsid w:val="00D61AEE"/>
    <w:rsid w:val="00D63AB7"/>
    <w:rsid w:val="00D6564E"/>
    <w:rsid w:val="00D6591D"/>
    <w:rsid w:val="00D66311"/>
    <w:rsid w:val="00D66511"/>
    <w:rsid w:val="00D666B1"/>
    <w:rsid w:val="00D670D6"/>
    <w:rsid w:val="00D67137"/>
    <w:rsid w:val="00D70158"/>
    <w:rsid w:val="00D70FE4"/>
    <w:rsid w:val="00D72970"/>
    <w:rsid w:val="00D74F50"/>
    <w:rsid w:val="00D77D0C"/>
    <w:rsid w:val="00D8081A"/>
    <w:rsid w:val="00D81D4A"/>
    <w:rsid w:val="00D82AC3"/>
    <w:rsid w:val="00D82E99"/>
    <w:rsid w:val="00D84B87"/>
    <w:rsid w:val="00D85FDB"/>
    <w:rsid w:val="00D8756B"/>
    <w:rsid w:val="00D91943"/>
    <w:rsid w:val="00D9249C"/>
    <w:rsid w:val="00D93F48"/>
    <w:rsid w:val="00D94C31"/>
    <w:rsid w:val="00D95B69"/>
    <w:rsid w:val="00D960BC"/>
    <w:rsid w:val="00D96D53"/>
    <w:rsid w:val="00D97129"/>
    <w:rsid w:val="00D97B95"/>
    <w:rsid w:val="00DA0A7E"/>
    <w:rsid w:val="00DA2B11"/>
    <w:rsid w:val="00DA2EF1"/>
    <w:rsid w:val="00DA33A7"/>
    <w:rsid w:val="00DA3C95"/>
    <w:rsid w:val="00DA4D82"/>
    <w:rsid w:val="00DA525F"/>
    <w:rsid w:val="00DA5CF1"/>
    <w:rsid w:val="00DA70DA"/>
    <w:rsid w:val="00DA7384"/>
    <w:rsid w:val="00DB0746"/>
    <w:rsid w:val="00DB1902"/>
    <w:rsid w:val="00DB1D2B"/>
    <w:rsid w:val="00DB5B88"/>
    <w:rsid w:val="00DB7DBD"/>
    <w:rsid w:val="00DC10CC"/>
    <w:rsid w:val="00DC13E9"/>
    <w:rsid w:val="00DC1C63"/>
    <w:rsid w:val="00DC35C1"/>
    <w:rsid w:val="00DC671B"/>
    <w:rsid w:val="00DC6A6D"/>
    <w:rsid w:val="00DC7075"/>
    <w:rsid w:val="00DD078A"/>
    <w:rsid w:val="00DD13D2"/>
    <w:rsid w:val="00DD173A"/>
    <w:rsid w:val="00DD21FB"/>
    <w:rsid w:val="00DD2368"/>
    <w:rsid w:val="00DD30F4"/>
    <w:rsid w:val="00DD6FA8"/>
    <w:rsid w:val="00DE02D0"/>
    <w:rsid w:val="00DE1CBF"/>
    <w:rsid w:val="00DE2442"/>
    <w:rsid w:val="00DE28AB"/>
    <w:rsid w:val="00DE2996"/>
    <w:rsid w:val="00DE3ACF"/>
    <w:rsid w:val="00DE3CB7"/>
    <w:rsid w:val="00DE4A43"/>
    <w:rsid w:val="00DE4EFB"/>
    <w:rsid w:val="00DE57F5"/>
    <w:rsid w:val="00DE595B"/>
    <w:rsid w:val="00DE5F73"/>
    <w:rsid w:val="00DE65C1"/>
    <w:rsid w:val="00DE7EED"/>
    <w:rsid w:val="00DF045D"/>
    <w:rsid w:val="00DF126A"/>
    <w:rsid w:val="00DF1669"/>
    <w:rsid w:val="00DF33AA"/>
    <w:rsid w:val="00DF4A7B"/>
    <w:rsid w:val="00DF620D"/>
    <w:rsid w:val="00DF6533"/>
    <w:rsid w:val="00DF7439"/>
    <w:rsid w:val="00E016DF"/>
    <w:rsid w:val="00E01B8D"/>
    <w:rsid w:val="00E01F29"/>
    <w:rsid w:val="00E01FE6"/>
    <w:rsid w:val="00E02EE4"/>
    <w:rsid w:val="00E02F87"/>
    <w:rsid w:val="00E037FF"/>
    <w:rsid w:val="00E04772"/>
    <w:rsid w:val="00E05650"/>
    <w:rsid w:val="00E05AEA"/>
    <w:rsid w:val="00E06401"/>
    <w:rsid w:val="00E06C9A"/>
    <w:rsid w:val="00E07E41"/>
    <w:rsid w:val="00E10121"/>
    <w:rsid w:val="00E1114C"/>
    <w:rsid w:val="00E11244"/>
    <w:rsid w:val="00E11611"/>
    <w:rsid w:val="00E118F2"/>
    <w:rsid w:val="00E11A75"/>
    <w:rsid w:val="00E144A9"/>
    <w:rsid w:val="00E14FF4"/>
    <w:rsid w:val="00E154B8"/>
    <w:rsid w:val="00E15C19"/>
    <w:rsid w:val="00E16680"/>
    <w:rsid w:val="00E168DE"/>
    <w:rsid w:val="00E1693B"/>
    <w:rsid w:val="00E173C7"/>
    <w:rsid w:val="00E202DD"/>
    <w:rsid w:val="00E20C73"/>
    <w:rsid w:val="00E20F50"/>
    <w:rsid w:val="00E2122C"/>
    <w:rsid w:val="00E24D22"/>
    <w:rsid w:val="00E258A8"/>
    <w:rsid w:val="00E25E72"/>
    <w:rsid w:val="00E27C81"/>
    <w:rsid w:val="00E3033C"/>
    <w:rsid w:val="00E32DD2"/>
    <w:rsid w:val="00E32E09"/>
    <w:rsid w:val="00E33078"/>
    <w:rsid w:val="00E33F88"/>
    <w:rsid w:val="00E35912"/>
    <w:rsid w:val="00E3733B"/>
    <w:rsid w:val="00E40440"/>
    <w:rsid w:val="00E42DA0"/>
    <w:rsid w:val="00E43822"/>
    <w:rsid w:val="00E46FB2"/>
    <w:rsid w:val="00E527D5"/>
    <w:rsid w:val="00E54593"/>
    <w:rsid w:val="00E554E8"/>
    <w:rsid w:val="00E55CFE"/>
    <w:rsid w:val="00E55F04"/>
    <w:rsid w:val="00E561FD"/>
    <w:rsid w:val="00E57713"/>
    <w:rsid w:val="00E57B67"/>
    <w:rsid w:val="00E60022"/>
    <w:rsid w:val="00E61A6E"/>
    <w:rsid w:val="00E61FA2"/>
    <w:rsid w:val="00E62E3C"/>
    <w:rsid w:val="00E6311C"/>
    <w:rsid w:val="00E64EB8"/>
    <w:rsid w:val="00E701C3"/>
    <w:rsid w:val="00E710B2"/>
    <w:rsid w:val="00E715F1"/>
    <w:rsid w:val="00E71E36"/>
    <w:rsid w:val="00E722D7"/>
    <w:rsid w:val="00E7439B"/>
    <w:rsid w:val="00E75236"/>
    <w:rsid w:val="00E76EAB"/>
    <w:rsid w:val="00E76F61"/>
    <w:rsid w:val="00E77C4F"/>
    <w:rsid w:val="00E812D5"/>
    <w:rsid w:val="00E827A7"/>
    <w:rsid w:val="00E82F6B"/>
    <w:rsid w:val="00E86021"/>
    <w:rsid w:val="00E9093E"/>
    <w:rsid w:val="00E91375"/>
    <w:rsid w:val="00E916FF"/>
    <w:rsid w:val="00E920C4"/>
    <w:rsid w:val="00E93174"/>
    <w:rsid w:val="00E948E4"/>
    <w:rsid w:val="00E96C1D"/>
    <w:rsid w:val="00E96FEE"/>
    <w:rsid w:val="00E973E4"/>
    <w:rsid w:val="00EA041C"/>
    <w:rsid w:val="00EA0E0F"/>
    <w:rsid w:val="00EA3039"/>
    <w:rsid w:val="00EA32D8"/>
    <w:rsid w:val="00EA3414"/>
    <w:rsid w:val="00EA369B"/>
    <w:rsid w:val="00EA3853"/>
    <w:rsid w:val="00EA3E08"/>
    <w:rsid w:val="00EA41B3"/>
    <w:rsid w:val="00EA4C36"/>
    <w:rsid w:val="00EA6A0F"/>
    <w:rsid w:val="00EA6B38"/>
    <w:rsid w:val="00EA76C5"/>
    <w:rsid w:val="00EB0907"/>
    <w:rsid w:val="00EB1F14"/>
    <w:rsid w:val="00EB2890"/>
    <w:rsid w:val="00EB3009"/>
    <w:rsid w:val="00EB3053"/>
    <w:rsid w:val="00EB44CA"/>
    <w:rsid w:val="00EB4777"/>
    <w:rsid w:val="00EB4DBA"/>
    <w:rsid w:val="00EB5A7B"/>
    <w:rsid w:val="00EB7DF8"/>
    <w:rsid w:val="00EC03FE"/>
    <w:rsid w:val="00EC0939"/>
    <w:rsid w:val="00EC3B13"/>
    <w:rsid w:val="00EC3DE8"/>
    <w:rsid w:val="00EC4358"/>
    <w:rsid w:val="00EC4761"/>
    <w:rsid w:val="00EC4A41"/>
    <w:rsid w:val="00EC5691"/>
    <w:rsid w:val="00EC6856"/>
    <w:rsid w:val="00EC73FF"/>
    <w:rsid w:val="00EC7B3F"/>
    <w:rsid w:val="00ED1258"/>
    <w:rsid w:val="00ED1B02"/>
    <w:rsid w:val="00ED224F"/>
    <w:rsid w:val="00ED2AE3"/>
    <w:rsid w:val="00ED32BF"/>
    <w:rsid w:val="00ED34B9"/>
    <w:rsid w:val="00ED36E3"/>
    <w:rsid w:val="00ED3F87"/>
    <w:rsid w:val="00ED43A8"/>
    <w:rsid w:val="00ED557A"/>
    <w:rsid w:val="00ED654B"/>
    <w:rsid w:val="00EE02C1"/>
    <w:rsid w:val="00EE13BE"/>
    <w:rsid w:val="00EE202A"/>
    <w:rsid w:val="00EE2E75"/>
    <w:rsid w:val="00EE521A"/>
    <w:rsid w:val="00EE5662"/>
    <w:rsid w:val="00EE576F"/>
    <w:rsid w:val="00EE60A8"/>
    <w:rsid w:val="00EE755E"/>
    <w:rsid w:val="00EF022D"/>
    <w:rsid w:val="00EF5B45"/>
    <w:rsid w:val="00EF75DD"/>
    <w:rsid w:val="00F009F5"/>
    <w:rsid w:val="00F02126"/>
    <w:rsid w:val="00F02578"/>
    <w:rsid w:val="00F02F20"/>
    <w:rsid w:val="00F02F41"/>
    <w:rsid w:val="00F039CB"/>
    <w:rsid w:val="00F03EA1"/>
    <w:rsid w:val="00F0437F"/>
    <w:rsid w:val="00F04C55"/>
    <w:rsid w:val="00F04CB4"/>
    <w:rsid w:val="00F057A4"/>
    <w:rsid w:val="00F07C86"/>
    <w:rsid w:val="00F10185"/>
    <w:rsid w:val="00F10363"/>
    <w:rsid w:val="00F10908"/>
    <w:rsid w:val="00F124AC"/>
    <w:rsid w:val="00F12B5A"/>
    <w:rsid w:val="00F13872"/>
    <w:rsid w:val="00F15668"/>
    <w:rsid w:val="00F15939"/>
    <w:rsid w:val="00F15D93"/>
    <w:rsid w:val="00F16EF3"/>
    <w:rsid w:val="00F2026A"/>
    <w:rsid w:val="00F20614"/>
    <w:rsid w:val="00F20977"/>
    <w:rsid w:val="00F20978"/>
    <w:rsid w:val="00F21EEB"/>
    <w:rsid w:val="00F22181"/>
    <w:rsid w:val="00F22A15"/>
    <w:rsid w:val="00F22E12"/>
    <w:rsid w:val="00F2542D"/>
    <w:rsid w:val="00F30C69"/>
    <w:rsid w:val="00F315EA"/>
    <w:rsid w:val="00F319FC"/>
    <w:rsid w:val="00F32CFB"/>
    <w:rsid w:val="00F34347"/>
    <w:rsid w:val="00F34C10"/>
    <w:rsid w:val="00F35CF7"/>
    <w:rsid w:val="00F35D15"/>
    <w:rsid w:val="00F37337"/>
    <w:rsid w:val="00F37E96"/>
    <w:rsid w:val="00F4164C"/>
    <w:rsid w:val="00F42C5A"/>
    <w:rsid w:val="00F43137"/>
    <w:rsid w:val="00F439BE"/>
    <w:rsid w:val="00F43CAD"/>
    <w:rsid w:val="00F4561E"/>
    <w:rsid w:val="00F4629C"/>
    <w:rsid w:val="00F4664A"/>
    <w:rsid w:val="00F46A9D"/>
    <w:rsid w:val="00F47142"/>
    <w:rsid w:val="00F472BE"/>
    <w:rsid w:val="00F478DF"/>
    <w:rsid w:val="00F47D17"/>
    <w:rsid w:val="00F51BDC"/>
    <w:rsid w:val="00F53688"/>
    <w:rsid w:val="00F54153"/>
    <w:rsid w:val="00F5478B"/>
    <w:rsid w:val="00F54CD1"/>
    <w:rsid w:val="00F56022"/>
    <w:rsid w:val="00F6058F"/>
    <w:rsid w:val="00F60C08"/>
    <w:rsid w:val="00F617CE"/>
    <w:rsid w:val="00F62920"/>
    <w:rsid w:val="00F6393B"/>
    <w:rsid w:val="00F64D91"/>
    <w:rsid w:val="00F651F2"/>
    <w:rsid w:val="00F674B7"/>
    <w:rsid w:val="00F67A62"/>
    <w:rsid w:val="00F707D4"/>
    <w:rsid w:val="00F711F7"/>
    <w:rsid w:val="00F74716"/>
    <w:rsid w:val="00F804AF"/>
    <w:rsid w:val="00F80AAC"/>
    <w:rsid w:val="00F80CC4"/>
    <w:rsid w:val="00F8139A"/>
    <w:rsid w:val="00F81457"/>
    <w:rsid w:val="00F8417C"/>
    <w:rsid w:val="00F84180"/>
    <w:rsid w:val="00F84D99"/>
    <w:rsid w:val="00F879D5"/>
    <w:rsid w:val="00F913E8"/>
    <w:rsid w:val="00F91405"/>
    <w:rsid w:val="00FA116A"/>
    <w:rsid w:val="00FA15F6"/>
    <w:rsid w:val="00FA3D7C"/>
    <w:rsid w:val="00FA4307"/>
    <w:rsid w:val="00FA45BA"/>
    <w:rsid w:val="00FA4D1A"/>
    <w:rsid w:val="00FA5D01"/>
    <w:rsid w:val="00FA7591"/>
    <w:rsid w:val="00FA7CD5"/>
    <w:rsid w:val="00FB055F"/>
    <w:rsid w:val="00FB53EE"/>
    <w:rsid w:val="00FB7405"/>
    <w:rsid w:val="00FC0598"/>
    <w:rsid w:val="00FC09A6"/>
    <w:rsid w:val="00FC30EF"/>
    <w:rsid w:val="00FC4FEF"/>
    <w:rsid w:val="00FC622C"/>
    <w:rsid w:val="00FC6AD7"/>
    <w:rsid w:val="00FD004A"/>
    <w:rsid w:val="00FD0B2D"/>
    <w:rsid w:val="00FD1FF2"/>
    <w:rsid w:val="00FD257F"/>
    <w:rsid w:val="00FD2620"/>
    <w:rsid w:val="00FD39C7"/>
    <w:rsid w:val="00FD3C7C"/>
    <w:rsid w:val="00FD3E18"/>
    <w:rsid w:val="00FD6052"/>
    <w:rsid w:val="00FD7063"/>
    <w:rsid w:val="00FE09F8"/>
    <w:rsid w:val="00FE134A"/>
    <w:rsid w:val="00FE1DAE"/>
    <w:rsid w:val="00FE24B4"/>
    <w:rsid w:val="00FE2E45"/>
    <w:rsid w:val="00FE3CE1"/>
    <w:rsid w:val="00FE3DFC"/>
    <w:rsid w:val="00FE4A56"/>
    <w:rsid w:val="00FE4E56"/>
    <w:rsid w:val="00FE51C1"/>
    <w:rsid w:val="00FE60CC"/>
    <w:rsid w:val="00FE6DFE"/>
    <w:rsid w:val="00FF0140"/>
    <w:rsid w:val="00FF027A"/>
    <w:rsid w:val="00FF0628"/>
    <w:rsid w:val="00FF18E0"/>
    <w:rsid w:val="00FF1941"/>
    <w:rsid w:val="00FF263E"/>
    <w:rsid w:val="00FF3536"/>
    <w:rsid w:val="00FF357C"/>
    <w:rsid w:val="00FF36B3"/>
    <w:rsid w:val="00FF614B"/>
    <w:rsid w:val="00FF7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30CBD"/>
  <w15:chartTrackingRefBased/>
  <w15:docId w15:val="{FD28E6A7-0BBF-46DB-9578-1C598C8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19" w:unhideWhenUsed="1"/>
    <w:lsdException w:name="annotation text" w:semiHidden="1" w:uiPriority="29" w:unhideWhenUsed="1"/>
    <w:lsdException w:name="header" w:semiHidden="1" w:uiPriority="29" w:unhideWhenUsed="1"/>
    <w:lsdException w:name="footer" w:semiHidden="1" w:uiPriority="99" w:unhideWhenUsed="1" w:qFormat="1"/>
    <w:lsdException w:name="index heading" w:semiHidden="1" w:uiPriority="99" w:unhideWhenUsed="1"/>
    <w:lsdException w:name="caption" w:semiHidden="1" w:uiPriority="8"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50" w:unhideWhenUsed="1"/>
    <w:lsdException w:name="annotation reference" w:semiHidden="1" w:uiPriority="2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3" w:unhideWhenUsed="1" w:qFormat="1"/>
    <w:lsdException w:name="List Bullet" w:semiHidden="1" w:uiPriority="3" w:unhideWhenUsed="1" w:qFormat="1"/>
    <w:lsdException w:name="List Number" w:semiHidden="1" w:uiPriority="3" w:unhideWhenUsed="1" w:qFormat="1"/>
    <w:lsdException w:name="List 2" w:semiHidden="1" w:uiPriority="3" w:unhideWhenUsed="1"/>
    <w:lsdException w:name="List 3" w:semiHidden="1" w:uiPriority="3" w:unhideWhenUsed="1"/>
    <w:lsdException w:name="List 4" w:semiHidden="1" w:uiPriority="99" w:unhideWhenUsed="1"/>
    <w:lsdException w:name="List 5" w:semiHidden="1" w:uiPriority="99"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50" w:unhideWhenUsed="1"/>
    <w:lsdException w:name="List Number 5" w:semiHidden="1" w:uiPriority="50" w:unhideWhenUsed="1"/>
    <w:lsdException w:name="Title" w:uiPriority="4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9" w:qFormat="1"/>
    <w:lsdException w:name="Salutation" w:semiHidden="1" w:uiPriority="99" w:unhideWhenUsed="1"/>
    <w:lsdException w:name="Date" w:semiHidden="1" w:uiPriority="4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50"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2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uiPriority="99"/>
    <w:lsdException w:name="No Spacing" w:uiPriority="5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5 Dark Accent 2"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1C"/>
    <w:pPr>
      <w:spacing w:after="240"/>
    </w:pPr>
  </w:style>
  <w:style w:type="paragraph" w:styleId="Heading1">
    <w:name w:val="heading 1"/>
    <w:basedOn w:val="Normal"/>
    <w:next w:val="Normal"/>
    <w:link w:val="Heading1Char"/>
    <w:uiPriority w:val="1"/>
    <w:qFormat/>
    <w:rsid w:val="007969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EA041C"/>
    <w:pPr>
      <w:spacing w:before="240"/>
      <w:outlineLvl w:val="1"/>
    </w:pPr>
    <w:rPr>
      <w:b/>
      <w:bCs/>
      <w:color w:val="000000" w:themeColor="text1"/>
      <w:sz w:val="24"/>
      <w:szCs w:val="24"/>
    </w:rPr>
  </w:style>
  <w:style w:type="paragraph" w:styleId="Heading3">
    <w:name w:val="heading 3"/>
    <w:basedOn w:val="Normal"/>
    <w:next w:val="Normal"/>
    <w:link w:val="Heading3Char"/>
    <w:uiPriority w:val="1"/>
    <w:qFormat/>
    <w:rsid w:val="002025B2"/>
    <w:pPr>
      <w:outlineLvl w:val="2"/>
    </w:pPr>
    <w:rPr>
      <w:b/>
      <w:bCs/>
    </w:rPr>
  </w:style>
  <w:style w:type="paragraph" w:styleId="Heading4">
    <w:name w:val="heading 4"/>
    <w:basedOn w:val="Heading3"/>
    <w:next w:val="Normal"/>
    <w:link w:val="Heading4Char"/>
    <w:uiPriority w:val="1"/>
    <w:rsid w:val="00966BF8"/>
    <w:pPr>
      <w:outlineLvl w:val="3"/>
    </w:pPr>
    <w:rPr>
      <w:rFonts w:eastAsia="Century Gothic"/>
      <w:sz w:val="20"/>
    </w:rPr>
  </w:style>
  <w:style w:type="paragraph" w:styleId="Heading5">
    <w:name w:val="heading 5"/>
    <w:basedOn w:val="Normal"/>
    <w:next w:val="Normal"/>
    <w:link w:val="Heading5Char"/>
    <w:uiPriority w:val="1"/>
    <w:semiHidden/>
    <w:qFormat/>
    <w:rsid w:val="00966BF8"/>
    <w:pPr>
      <w:keepNext/>
      <w:keepLines/>
      <w:spacing w:before="40" w:line="280" w:lineRule="atLeast"/>
      <w:outlineLvl w:val="4"/>
    </w:pPr>
    <w:rPr>
      <w:rFonts w:asciiTheme="majorHAnsi" w:eastAsiaTheme="majorEastAsia" w:hAnsiTheme="majorHAnsi" w:cstheme="majorBidi"/>
      <w:color w:val="44546A" w:themeColor="text2"/>
      <w:kern w:val="0"/>
      <w:sz w:val="20"/>
      <w:szCs w:val="24"/>
      <w:lang w:eastAsia="en-AU"/>
      <w14:ligatures w14:val="none"/>
    </w:rPr>
  </w:style>
  <w:style w:type="paragraph" w:styleId="Heading6">
    <w:name w:val="heading 6"/>
    <w:basedOn w:val="Normal"/>
    <w:next w:val="Normal"/>
    <w:link w:val="Heading6Char"/>
    <w:uiPriority w:val="1"/>
    <w:semiHidden/>
    <w:qFormat/>
    <w:rsid w:val="00966BF8"/>
    <w:pPr>
      <w:keepNext/>
      <w:keepLines/>
      <w:spacing w:before="40" w:line="280" w:lineRule="atLeast"/>
      <w:outlineLvl w:val="5"/>
    </w:pPr>
    <w:rPr>
      <w:rFonts w:asciiTheme="majorHAnsi" w:eastAsiaTheme="majorEastAsia" w:hAnsiTheme="majorHAnsi" w:cstheme="majorBidi"/>
      <w:color w:val="E7E6E6" w:themeColor="background2"/>
      <w:kern w:val="0"/>
      <w:sz w:val="20"/>
      <w:szCs w:val="24"/>
      <w:lang w:eastAsia="en-AU"/>
      <w14:ligatures w14:val="none"/>
    </w:rPr>
  </w:style>
  <w:style w:type="paragraph" w:styleId="Heading7">
    <w:name w:val="heading 7"/>
    <w:basedOn w:val="Normal"/>
    <w:next w:val="Normal"/>
    <w:link w:val="Heading7Char"/>
    <w:uiPriority w:val="1"/>
    <w:semiHidden/>
    <w:qFormat/>
    <w:rsid w:val="00966BF8"/>
    <w:pPr>
      <w:keepNext/>
      <w:keepLines/>
      <w:spacing w:before="40" w:line="280" w:lineRule="atLeast"/>
      <w:outlineLvl w:val="6"/>
    </w:pPr>
    <w:rPr>
      <w:rFonts w:asciiTheme="majorHAnsi" w:eastAsiaTheme="majorEastAsia" w:hAnsiTheme="majorHAnsi" w:cstheme="majorBidi"/>
      <w:i/>
      <w:iCs/>
      <w:color w:val="44546A" w:themeColor="text2"/>
      <w:kern w:val="0"/>
      <w:sz w:val="20"/>
      <w:szCs w:val="24"/>
      <w:lang w:eastAsia="en-AU"/>
      <w14:ligatures w14:val="none"/>
    </w:rPr>
  </w:style>
  <w:style w:type="paragraph" w:styleId="Heading8">
    <w:name w:val="heading 8"/>
    <w:basedOn w:val="Normal"/>
    <w:next w:val="Normal"/>
    <w:link w:val="Heading8Char"/>
    <w:uiPriority w:val="1"/>
    <w:semiHidden/>
    <w:qFormat/>
    <w:rsid w:val="00966BF8"/>
    <w:pPr>
      <w:keepNext/>
      <w:keepLines/>
      <w:spacing w:before="240" w:after="160" w:line="280" w:lineRule="atLeast"/>
      <w:outlineLvl w:val="7"/>
    </w:pPr>
    <w:rPr>
      <w:rFonts w:asciiTheme="majorHAnsi" w:eastAsiaTheme="majorEastAsia" w:hAnsiTheme="majorHAnsi" w:cstheme="majorBidi"/>
      <w:i/>
      <w:color w:val="E7E6E6" w:themeColor="background2"/>
      <w:kern w:val="0"/>
      <w:sz w:val="20"/>
      <w:szCs w:val="21"/>
      <w:lang w:eastAsia="en-AU"/>
      <w14:ligatures w14:val="none"/>
    </w:rPr>
  </w:style>
  <w:style w:type="paragraph" w:styleId="Heading9">
    <w:name w:val="heading 9"/>
    <w:basedOn w:val="Normal"/>
    <w:next w:val="Normal"/>
    <w:link w:val="Heading9Char"/>
    <w:uiPriority w:val="1"/>
    <w:semiHidden/>
    <w:qFormat/>
    <w:rsid w:val="00966BF8"/>
    <w:pPr>
      <w:keepNext/>
      <w:keepLines/>
      <w:spacing w:before="240" w:after="160" w:line="280" w:lineRule="atLeast"/>
      <w:outlineLvl w:val="8"/>
    </w:pPr>
    <w:rPr>
      <w:rFonts w:asciiTheme="majorHAnsi" w:eastAsiaTheme="majorEastAsia" w:hAnsiTheme="majorHAnsi" w:cstheme="majorBidi"/>
      <w:i/>
      <w:iCs/>
      <w:color w:val="000000"/>
      <w:kern w:val="0"/>
      <w:sz w:val="20"/>
      <w:szCs w:val="21"/>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D5769E"/>
    <w:pPr>
      <w:ind w:left="720"/>
      <w:contextualSpacing/>
    </w:pPr>
  </w:style>
  <w:style w:type="table" w:customStyle="1" w:styleId="TablePlain">
    <w:name w:val="_Table Plain"/>
    <w:basedOn w:val="TableNormal"/>
    <w:uiPriority w:val="99"/>
    <w:rsid w:val="00A845C7"/>
    <w:rPr>
      <w:rFonts w:eastAsia="Times New Roman" w:cs="Times New Roman"/>
      <w:kern w:val="0"/>
      <w:sz w:val="20"/>
      <w:szCs w:val="20"/>
      <w:lang w:eastAsia="en-AU"/>
      <w14:ligatures w14:val="none"/>
    </w:rPr>
    <w:tblPr>
      <w:tblStyleRowBandSize w:val="1"/>
      <w:tblBorders>
        <w:top w:val="single" w:sz="4" w:space="0" w:color="2294CD"/>
        <w:bottom w:val="single" w:sz="4" w:space="0" w:color="2294CD"/>
        <w:insideH w:val="single" w:sz="4" w:space="0" w:color="2294CD"/>
      </w:tblBorders>
      <w:tblCellMar>
        <w:top w:w="85" w:type="dxa"/>
        <w:left w:w="85" w:type="dxa"/>
        <w:bottom w:w="85" w:type="dxa"/>
        <w:right w:w="85" w:type="dxa"/>
      </w:tblCellMar>
    </w:tblPr>
    <w:tblStylePr w:type="firstRow">
      <w:rPr>
        <w:rFonts w:ascii="Arial" w:hAnsi="Arial"/>
        <w:b w:val="0"/>
        <w:color w:val="1D336D"/>
      </w:rPr>
      <w:tblPr/>
      <w:tcPr>
        <w:tcBorders>
          <w:top w:val="nil"/>
          <w:bottom w:val="single" w:sz="12" w:space="0" w:color="2294CD"/>
        </w:tcBorders>
      </w:tcPr>
    </w:tblStylePr>
    <w:tblStylePr w:type="firstCol">
      <w:tblPr/>
      <w:tcPr>
        <w:shd w:val="clear" w:color="auto" w:fill="F2F2F2"/>
      </w:tcPr>
    </w:tblStylePr>
    <w:tblStylePr w:type="lastCol">
      <w:tblPr/>
      <w:tcPr>
        <w:shd w:val="clear" w:color="auto" w:fill="F2F2F2"/>
      </w:tcPr>
    </w:tblStylePr>
    <w:tblStylePr w:type="band1Horz">
      <w:tblPr/>
      <w:tcPr>
        <w:shd w:val="clear" w:color="auto" w:fill="F2F2F2"/>
      </w:tcPr>
    </w:tblStylePr>
  </w:style>
  <w:style w:type="table" w:customStyle="1" w:styleId="DefaultTable">
    <w:name w:val="_Default Table"/>
    <w:basedOn w:val="TableNormal"/>
    <w:uiPriority w:val="99"/>
    <w:rsid w:val="00847DAE"/>
    <w:rPr>
      <w:rFonts w:eastAsia="Times New Roman" w:cs="Times New Roman"/>
      <w:color w:val="000000"/>
      <w:kern w:val="0"/>
      <w:sz w:val="20"/>
      <w:szCs w:val="20"/>
      <w:lang w:eastAsia="en-AU"/>
      <w14:ligatures w14:val="none"/>
    </w:rPr>
    <w:tblPr>
      <w:tblStyleRowBandSize w:val="1"/>
      <w:tblStyleColBandSize w:val="1"/>
      <w:tblBorders>
        <w:top w:val="single" w:sz="4" w:space="0" w:color="1D336D"/>
        <w:left w:val="single" w:sz="4" w:space="0" w:color="1D336D"/>
        <w:bottom w:val="single" w:sz="4" w:space="0" w:color="1D336D"/>
        <w:right w:val="single" w:sz="4" w:space="0" w:color="1D336D"/>
        <w:insideH w:val="single" w:sz="4" w:space="0" w:color="1D336D"/>
        <w:insideV w:val="single" w:sz="4" w:space="0" w:color="1D336D"/>
      </w:tblBorders>
      <w:tblCellMar>
        <w:top w:w="113" w:type="dxa"/>
        <w:left w:w="113" w:type="dxa"/>
        <w:bottom w:w="113" w:type="dxa"/>
        <w:right w:w="113" w:type="dxa"/>
      </w:tblCellMar>
    </w:tblPr>
    <w:tcPr>
      <w:shd w:val="clear" w:color="auto" w:fill="auto"/>
    </w:tcPr>
    <w:tblStylePr w:type="firstRow">
      <w:rPr>
        <w:b w:val="0"/>
        <w:color w:val="1D336D"/>
      </w:rPr>
      <w:tblPr/>
      <w:tcPr>
        <w:tcBorders>
          <w:top w:val="single" w:sz="4" w:space="0" w:color="1D336D"/>
          <w:left w:val="single" w:sz="4" w:space="0" w:color="1D336D"/>
          <w:bottom w:val="single" w:sz="4" w:space="0" w:color="1D336D"/>
          <w:right w:val="single" w:sz="4" w:space="0" w:color="1D336D"/>
          <w:insideH w:val="single" w:sz="4" w:space="0" w:color="1D336D"/>
          <w:insideV w:val="single" w:sz="4" w:space="0" w:color="1D336D"/>
        </w:tcBorders>
        <w:shd w:val="clear" w:color="auto" w:fill="1D336D"/>
      </w:tcPr>
    </w:tblStylePr>
    <w:tblStylePr w:type="lastRow">
      <w:tblPr/>
      <w:tcPr>
        <w:tcBorders>
          <w:top w:val="single" w:sz="12" w:space="0" w:color="1D336D"/>
          <w:left w:val="nil"/>
          <w:bottom w:val="single" w:sz="12" w:space="0" w:color="1D336D"/>
          <w:right w:val="nil"/>
          <w:insideH w:val="nil"/>
          <w:insideV w:val="nil"/>
          <w:tl2br w:val="nil"/>
          <w:tr2bl w:val="nil"/>
        </w:tcBorders>
        <w:shd w:val="clear" w:color="auto" w:fill="FFFFFF"/>
      </w:tcPr>
    </w:tblStylePr>
    <w:tblStylePr w:type="firstCol">
      <w:rPr>
        <w:color w:val="FFFFFF"/>
      </w:rPr>
      <w:tblPr/>
      <w:tcPr>
        <w:shd w:val="clear" w:color="auto" w:fill="C4CFEF"/>
      </w:tcPr>
    </w:tblStylePr>
    <w:tblStylePr w:type="lastCol">
      <w:rPr>
        <w:color w:val="FFFFFF"/>
      </w:rPr>
      <w:tblPr/>
      <w:tcPr>
        <w:tcBorders>
          <w:top w:val="nil"/>
          <w:left w:val="nil"/>
          <w:bottom w:val="nil"/>
          <w:right w:val="nil"/>
          <w:insideH w:val="nil"/>
          <w:insideV w:val="nil"/>
          <w:tl2br w:val="nil"/>
          <w:tr2bl w:val="nil"/>
        </w:tcBorders>
        <w:shd w:val="clear" w:color="auto" w:fill="1D336D"/>
      </w:tcPr>
    </w:tblStylePr>
    <w:tblStylePr w:type="band2Vert">
      <w:tblPr/>
      <w:tcPr>
        <w:shd w:val="clear" w:color="auto" w:fill="DEE4F6"/>
      </w:tcPr>
    </w:tblStylePr>
    <w:tblStylePr w:type="band2Horz">
      <w:tblPr/>
      <w:tcPr>
        <w:shd w:val="clear" w:color="auto" w:fill="DEE4F6"/>
      </w:tcPr>
    </w:tblStylePr>
  </w:style>
  <w:style w:type="paragraph" w:styleId="FootnoteText">
    <w:name w:val="footnote text"/>
    <w:basedOn w:val="Normal"/>
    <w:link w:val="FootnoteTextChar"/>
    <w:uiPriority w:val="19"/>
    <w:unhideWhenUsed/>
    <w:rsid w:val="00AC6F03"/>
    <w:rPr>
      <w:kern w:val="0"/>
      <w:sz w:val="20"/>
      <w:szCs w:val="20"/>
      <w14:ligatures w14:val="none"/>
    </w:rPr>
  </w:style>
  <w:style w:type="character" w:customStyle="1" w:styleId="FootnoteTextChar">
    <w:name w:val="Footnote Text Char"/>
    <w:basedOn w:val="DefaultParagraphFont"/>
    <w:link w:val="FootnoteText"/>
    <w:uiPriority w:val="19"/>
    <w:rsid w:val="00AC6F03"/>
    <w:rPr>
      <w:kern w:val="0"/>
      <w:sz w:val="20"/>
      <w:szCs w:val="20"/>
      <w14:ligatures w14:val="none"/>
    </w:rPr>
  </w:style>
  <w:style w:type="character" w:styleId="FootnoteReference">
    <w:name w:val="footnote reference"/>
    <w:basedOn w:val="DefaultParagraphFont"/>
    <w:uiPriority w:val="50"/>
    <w:unhideWhenUsed/>
    <w:rsid w:val="00AC6F03"/>
    <w:rPr>
      <w:vertAlign w:val="superscript"/>
    </w:rPr>
  </w:style>
  <w:style w:type="character" w:styleId="CommentReference">
    <w:name w:val="annotation reference"/>
    <w:basedOn w:val="DefaultParagraphFont"/>
    <w:uiPriority w:val="29"/>
    <w:semiHidden/>
    <w:unhideWhenUsed/>
    <w:rsid w:val="00AC6F03"/>
    <w:rPr>
      <w:sz w:val="16"/>
      <w:szCs w:val="16"/>
    </w:rPr>
  </w:style>
  <w:style w:type="paragraph" w:styleId="CommentText">
    <w:name w:val="annotation text"/>
    <w:basedOn w:val="Normal"/>
    <w:link w:val="CommentTextChar"/>
    <w:uiPriority w:val="29"/>
    <w:unhideWhenUsed/>
    <w:rsid w:val="00AC6F03"/>
    <w:pPr>
      <w:spacing w:after="160"/>
    </w:pPr>
    <w:rPr>
      <w:kern w:val="0"/>
      <w:sz w:val="20"/>
      <w:szCs w:val="20"/>
      <w14:ligatures w14:val="none"/>
    </w:rPr>
  </w:style>
  <w:style w:type="character" w:customStyle="1" w:styleId="CommentTextChar">
    <w:name w:val="Comment Text Char"/>
    <w:basedOn w:val="DefaultParagraphFont"/>
    <w:link w:val="CommentText"/>
    <w:uiPriority w:val="29"/>
    <w:rsid w:val="00AC6F03"/>
    <w:rPr>
      <w:kern w:val="0"/>
      <w:sz w:val="20"/>
      <w:szCs w:val="20"/>
      <w14:ligatures w14:val="none"/>
    </w:rPr>
  </w:style>
  <w:style w:type="paragraph" w:styleId="CommentSubject">
    <w:name w:val="annotation subject"/>
    <w:basedOn w:val="CommentText"/>
    <w:next w:val="CommentText"/>
    <w:link w:val="CommentSubjectChar"/>
    <w:uiPriority w:val="29"/>
    <w:semiHidden/>
    <w:unhideWhenUsed/>
    <w:rsid w:val="002E2639"/>
    <w:pPr>
      <w:spacing w:after="0"/>
    </w:pPr>
    <w:rPr>
      <w:b/>
      <w:bCs/>
      <w:kern w:val="2"/>
      <w14:ligatures w14:val="standardContextual"/>
    </w:rPr>
  </w:style>
  <w:style w:type="character" w:customStyle="1" w:styleId="CommentSubjectChar">
    <w:name w:val="Comment Subject Char"/>
    <w:basedOn w:val="CommentTextChar"/>
    <w:link w:val="CommentSubject"/>
    <w:uiPriority w:val="29"/>
    <w:semiHidden/>
    <w:rsid w:val="002E2639"/>
    <w:rPr>
      <w:b/>
      <w:bCs/>
      <w:kern w:val="0"/>
      <w:sz w:val="20"/>
      <w:szCs w:val="20"/>
      <w14:ligatures w14:val="none"/>
    </w:rPr>
  </w:style>
  <w:style w:type="character" w:customStyle="1" w:styleId="Heading2Char">
    <w:name w:val="Heading 2 Char"/>
    <w:basedOn w:val="DefaultParagraphFont"/>
    <w:link w:val="Heading2"/>
    <w:uiPriority w:val="1"/>
    <w:rsid w:val="00EA041C"/>
    <w:rPr>
      <w:b/>
      <w:bCs/>
      <w:color w:val="000000" w:themeColor="text1"/>
      <w:sz w:val="24"/>
      <w:szCs w:val="24"/>
    </w:rPr>
  </w:style>
  <w:style w:type="paragraph" w:styleId="Revision">
    <w:name w:val="Revision"/>
    <w:hidden/>
    <w:uiPriority w:val="99"/>
    <w:semiHidden/>
    <w:rsid w:val="00EB2890"/>
  </w:style>
  <w:style w:type="character" w:styleId="Hyperlink">
    <w:name w:val="Hyperlink"/>
    <w:basedOn w:val="DefaultParagraphFont"/>
    <w:uiPriority w:val="99"/>
    <w:unhideWhenUsed/>
    <w:rsid w:val="00671410"/>
    <w:rPr>
      <w:color w:val="0563C1" w:themeColor="hyperlink"/>
      <w:u w:val="single"/>
    </w:rPr>
  </w:style>
  <w:style w:type="character" w:styleId="UnresolvedMention">
    <w:name w:val="Unresolved Mention"/>
    <w:basedOn w:val="DefaultParagraphFont"/>
    <w:uiPriority w:val="99"/>
    <w:semiHidden/>
    <w:unhideWhenUsed/>
    <w:rsid w:val="00671410"/>
    <w:rPr>
      <w:color w:val="605E5C"/>
      <w:shd w:val="clear" w:color="auto" w:fill="E1DFDD"/>
    </w:rPr>
  </w:style>
  <w:style w:type="paragraph" w:styleId="Header">
    <w:name w:val="header"/>
    <w:basedOn w:val="Normal"/>
    <w:link w:val="HeaderChar"/>
    <w:uiPriority w:val="29"/>
    <w:unhideWhenUsed/>
    <w:rsid w:val="00EC5691"/>
    <w:pPr>
      <w:tabs>
        <w:tab w:val="center" w:pos="4513"/>
        <w:tab w:val="right" w:pos="9026"/>
      </w:tabs>
    </w:pPr>
  </w:style>
  <w:style w:type="character" w:customStyle="1" w:styleId="HeaderChar">
    <w:name w:val="Header Char"/>
    <w:basedOn w:val="DefaultParagraphFont"/>
    <w:link w:val="Header"/>
    <w:uiPriority w:val="29"/>
    <w:rsid w:val="00EC5691"/>
  </w:style>
  <w:style w:type="paragraph" w:styleId="Footer">
    <w:name w:val="footer"/>
    <w:basedOn w:val="Normal"/>
    <w:link w:val="FooterChar"/>
    <w:uiPriority w:val="99"/>
    <w:unhideWhenUsed/>
    <w:qFormat/>
    <w:rsid w:val="00EC5691"/>
    <w:pPr>
      <w:tabs>
        <w:tab w:val="center" w:pos="4513"/>
        <w:tab w:val="right" w:pos="9026"/>
      </w:tabs>
    </w:pPr>
  </w:style>
  <w:style w:type="character" w:customStyle="1" w:styleId="FooterChar">
    <w:name w:val="Footer Char"/>
    <w:basedOn w:val="DefaultParagraphFont"/>
    <w:link w:val="Footer"/>
    <w:uiPriority w:val="99"/>
    <w:rsid w:val="00EC5691"/>
  </w:style>
  <w:style w:type="paragraph" w:customStyle="1" w:styleId="pf0">
    <w:name w:val="pf0"/>
    <w:basedOn w:val="Normal"/>
    <w:rsid w:val="00A30423"/>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A30423"/>
    <w:rPr>
      <w:rFonts w:ascii="Segoe UI" w:hAnsi="Segoe UI" w:cs="Segoe UI" w:hint="default"/>
      <w:sz w:val="18"/>
      <w:szCs w:val="18"/>
    </w:rPr>
  </w:style>
  <w:style w:type="character" w:customStyle="1" w:styleId="normaltextrun">
    <w:name w:val="normaltextrun"/>
    <w:basedOn w:val="DefaultParagraphFont"/>
    <w:rsid w:val="005D21E8"/>
  </w:style>
  <w:style w:type="paragraph" w:styleId="NoSpacing">
    <w:name w:val="No Spacing"/>
    <w:link w:val="NoSpacingChar"/>
    <w:uiPriority w:val="50"/>
    <w:qFormat/>
    <w:rsid w:val="003F1B0B"/>
    <w:rPr>
      <w:rFonts w:eastAsiaTheme="minorEastAsia"/>
      <w:kern w:val="0"/>
      <w:lang w:val="en-US"/>
      <w14:ligatures w14:val="none"/>
    </w:rPr>
  </w:style>
  <w:style w:type="character" w:customStyle="1" w:styleId="NoSpacingChar">
    <w:name w:val="No Spacing Char"/>
    <w:basedOn w:val="DefaultParagraphFont"/>
    <w:link w:val="NoSpacing"/>
    <w:uiPriority w:val="1"/>
    <w:rsid w:val="003F1B0B"/>
    <w:rPr>
      <w:rFonts w:eastAsiaTheme="minorEastAsia"/>
      <w:kern w:val="0"/>
      <w:lang w:val="en-US"/>
      <w14:ligatures w14:val="none"/>
    </w:rPr>
  </w:style>
  <w:style w:type="table" w:customStyle="1" w:styleId="TableGrid2">
    <w:name w:val="Table Grid2"/>
    <w:basedOn w:val="TableNormal"/>
    <w:next w:val="TableGrid"/>
    <w:uiPriority w:val="39"/>
    <w:rsid w:val="009F7E16"/>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F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969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96987"/>
    <w:pPr>
      <w:spacing w:line="259" w:lineRule="auto"/>
      <w:outlineLvl w:val="9"/>
    </w:pPr>
    <w:rPr>
      <w:kern w:val="0"/>
      <w:lang w:val="en-US"/>
      <w14:ligatures w14:val="none"/>
    </w:rPr>
  </w:style>
  <w:style w:type="paragraph" w:styleId="TOC2">
    <w:name w:val="toc 2"/>
    <w:basedOn w:val="Normal"/>
    <w:next w:val="Normal"/>
    <w:autoRedefine/>
    <w:uiPriority w:val="39"/>
    <w:unhideWhenUsed/>
    <w:rsid w:val="00796987"/>
    <w:pPr>
      <w:spacing w:after="100"/>
      <w:ind w:left="220"/>
    </w:pPr>
  </w:style>
  <w:style w:type="paragraph" w:styleId="TOC1">
    <w:name w:val="toc 1"/>
    <w:basedOn w:val="Normal"/>
    <w:next w:val="Normal"/>
    <w:autoRedefine/>
    <w:uiPriority w:val="39"/>
    <w:unhideWhenUsed/>
    <w:rsid w:val="002243DD"/>
    <w:pPr>
      <w:spacing w:after="100"/>
    </w:pPr>
    <w:rPr>
      <w:b/>
      <w:bCs/>
    </w:rPr>
  </w:style>
  <w:style w:type="paragraph" w:styleId="TOC3">
    <w:name w:val="toc 3"/>
    <w:basedOn w:val="Normal"/>
    <w:next w:val="Normal"/>
    <w:autoRedefine/>
    <w:uiPriority w:val="39"/>
    <w:unhideWhenUsed/>
    <w:rsid w:val="00F5478B"/>
    <w:pPr>
      <w:spacing w:after="100" w:line="259" w:lineRule="auto"/>
      <w:ind w:left="440"/>
    </w:pPr>
    <w:rPr>
      <w:rFonts w:eastAsiaTheme="minorEastAsia" w:cs="Times New Roman"/>
      <w:kern w:val="0"/>
      <w:lang w:val="en-US"/>
      <w14:ligatures w14:val="non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4A3F2D"/>
  </w:style>
  <w:style w:type="character" w:customStyle="1" w:styleId="Heading3Char">
    <w:name w:val="Heading 3 Char"/>
    <w:basedOn w:val="DefaultParagraphFont"/>
    <w:link w:val="Heading3"/>
    <w:uiPriority w:val="1"/>
    <w:rsid w:val="002025B2"/>
    <w:rPr>
      <w:b/>
      <w:bCs/>
    </w:rPr>
  </w:style>
  <w:style w:type="character" w:customStyle="1" w:styleId="Heading4Char">
    <w:name w:val="Heading 4 Char"/>
    <w:basedOn w:val="DefaultParagraphFont"/>
    <w:link w:val="Heading4"/>
    <w:uiPriority w:val="1"/>
    <w:rsid w:val="00966BF8"/>
    <w:rPr>
      <w:rFonts w:eastAsia="Century Gothic" w:cs="Calibri"/>
      <w:b/>
      <w:iCs/>
      <w:color w:val="507CB9"/>
      <w:kern w:val="0"/>
      <w:sz w:val="20"/>
      <w:szCs w:val="26"/>
      <w:lang w:eastAsia="en-AU"/>
      <w14:ligatures w14:val="none"/>
    </w:rPr>
  </w:style>
  <w:style w:type="character" w:customStyle="1" w:styleId="Heading5Char">
    <w:name w:val="Heading 5 Char"/>
    <w:basedOn w:val="DefaultParagraphFont"/>
    <w:link w:val="Heading5"/>
    <w:uiPriority w:val="1"/>
    <w:semiHidden/>
    <w:rsid w:val="00966BF8"/>
    <w:rPr>
      <w:rFonts w:asciiTheme="majorHAnsi" w:eastAsiaTheme="majorEastAsia" w:hAnsiTheme="majorHAnsi" w:cstheme="majorBidi"/>
      <w:color w:val="44546A" w:themeColor="text2"/>
      <w:kern w:val="0"/>
      <w:sz w:val="20"/>
      <w:szCs w:val="24"/>
      <w:lang w:eastAsia="en-AU"/>
      <w14:ligatures w14:val="none"/>
    </w:rPr>
  </w:style>
  <w:style w:type="character" w:customStyle="1" w:styleId="Heading6Char">
    <w:name w:val="Heading 6 Char"/>
    <w:basedOn w:val="DefaultParagraphFont"/>
    <w:link w:val="Heading6"/>
    <w:uiPriority w:val="1"/>
    <w:semiHidden/>
    <w:rsid w:val="00966BF8"/>
    <w:rPr>
      <w:rFonts w:asciiTheme="majorHAnsi" w:eastAsiaTheme="majorEastAsia" w:hAnsiTheme="majorHAnsi" w:cstheme="majorBidi"/>
      <w:color w:val="E7E6E6" w:themeColor="background2"/>
      <w:kern w:val="0"/>
      <w:sz w:val="20"/>
      <w:szCs w:val="24"/>
      <w:lang w:eastAsia="en-AU"/>
      <w14:ligatures w14:val="none"/>
    </w:rPr>
  </w:style>
  <w:style w:type="character" w:customStyle="1" w:styleId="Heading7Char">
    <w:name w:val="Heading 7 Char"/>
    <w:basedOn w:val="DefaultParagraphFont"/>
    <w:link w:val="Heading7"/>
    <w:uiPriority w:val="1"/>
    <w:semiHidden/>
    <w:rsid w:val="00966BF8"/>
    <w:rPr>
      <w:rFonts w:asciiTheme="majorHAnsi" w:eastAsiaTheme="majorEastAsia" w:hAnsiTheme="majorHAnsi" w:cstheme="majorBidi"/>
      <w:i/>
      <w:iCs/>
      <w:color w:val="44546A" w:themeColor="text2"/>
      <w:kern w:val="0"/>
      <w:sz w:val="20"/>
      <w:szCs w:val="24"/>
      <w:lang w:eastAsia="en-AU"/>
      <w14:ligatures w14:val="none"/>
    </w:rPr>
  </w:style>
  <w:style w:type="character" w:customStyle="1" w:styleId="Heading8Char">
    <w:name w:val="Heading 8 Char"/>
    <w:basedOn w:val="DefaultParagraphFont"/>
    <w:link w:val="Heading8"/>
    <w:uiPriority w:val="1"/>
    <w:semiHidden/>
    <w:rsid w:val="00966BF8"/>
    <w:rPr>
      <w:rFonts w:asciiTheme="majorHAnsi" w:eastAsiaTheme="majorEastAsia" w:hAnsiTheme="majorHAnsi" w:cstheme="majorBidi"/>
      <w:i/>
      <w:color w:val="E7E6E6" w:themeColor="background2"/>
      <w:kern w:val="0"/>
      <w:sz w:val="20"/>
      <w:szCs w:val="21"/>
      <w:lang w:eastAsia="en-AU"/>
      <w14:ligatures w14:val="none"/>
    </w:rPr>
  </w:style>
  <w:style w:type="character" w:customStyle="1" w:styleId="Heading9Char">
    <w:name w:val="Heading 9 Char"/>
    <w:basedOn w:val="DefaultParagraphFont"/>
    <w:link w:val="Heading9"/>
    <w:uiPriority w:val="1"/>
    <w:semiHidden/>
    <w:rsid w:val="00966BF8"/>
    <w:rPr>
      <w:rFonts w:asciiTheme="majorHAnsi" w:eastAsiaTheme="majorEastAsia" w:hAnsiTheme="majorHAnsi" w:cstheme="majorBidi"/>
      <w:i/>
      <w:iCs/>
      <w:color w:val="000000"/>
      <w:kern w:val="0"/>
      <w:sz w:val="20"/>
      <w:szCs w:val="21"/>
      <w:lang w:eastAsia="en-AU"/>
      <w14:ligatures w14:val="none"/>
    </w:rPr>
  </w:style>
  <w:style w:type="paragraph" w:styleId="BalloonText">
    <w:name w:val="Balloon Text"/>
    <w:basedOn w:val="Normal"/>
    <w:link w:val="BalloonTextChar"/>
    <w:uiPriority w:val="29"/>
    <w:semiHidden/>
    <w:rsid w:val="00966BF8"/>
    <w:rPr>
      <w:rFonts w:ascii="Tahoma" w:eastAsiaTheme="majorEastAsia" w:hAnsi="Tahoma" w:cs="Tahoma"/>
      <w:color w:val="000000" w:themeColor="text1"/>
      <w:kern w:val="0"/>
      <w:sz w:val="16"/>
      <w:szCs w:val="16"/>
      <w:lang w:eastAsia="en-AU"/>
      <w14:ligatures w14:val="none"/>
    </w:rPr>
  </w:style>
  <w:style w:type="character" w:customStyle="1" w:styleId="BalloonTextChar">
    <w:name w:val="Balloon Text Char"/>
    <w:basedOn w:val="DefaultParagraphFont"/>
    <w:link w:val="BalloonText"/>
    <w:uiPriority w:val="29"/>
    <w:semiHidden/>
    <w:rsid w:val="00966BF8"/>
    <w:rPr>
      <w:rFonts w:ascii="Tahoma" w:eastAsiaTheme="majorEastAsia" w:hAnsi="Tahoma" w:cs="Tahoma"/>
      <w:color w:val="000000" w:themeColor="text1"/>
      <w:kern w:val="0"/>
      <w:sz w:val="16"/>
      <w:szCs w:val="16"/>
      <w:lang w:eastAsia="en-AU"/>
      <w14:ligatures w14:val="none"/>
    </w:rPr>
  </w:style>
  <w:style w:type="paragraph" w:customStyle="1" w:styleId="Detail">
    <w:name w:val="Detail"/>
    <w:basedOn w:val="Normal"/>
    <w:uiPriority w:val="50"/>
    <w:semiHidden/>
    <w:rsid w:val="00966BF8"/>
    <w:pPr>
      <w:spacing w:after="160" w:line="280" w:lineRule="atLeast"/>
    </w:pPr>
    <w:rPr>
      <w:rFonts w:eastAsiaTheme="majorEastAsia" w:cs="Calibri"/>
      <w:color w:val="000000" w:themeColor="text1"/>
      <w:kern w:val="0"/>
      <w:sz w:val="20"/>
      <w:szCs w:val="24"/>
      <w:lang w:eastAsia="en-AU"/>
      <w14:ligatures w14:val="none"/>
    </w:rPr>
  </w:style>
  <w:style w:type="paragraph" w:styleId="ListNumber">
    <w:name w:val="List Number"/>
    <w:basedOn w:val="Normal"/>
    <w:link w:val="ListNumberChar"/>
    <w:uiPriority w:val="3"/>
    <w:qFormat/>
    <w:rsid w:val="00966BF8"/>
    <w:pPr>
      <w:tabs>
        <w:tab w:val="num" w:pos="284"/>
      </w:tabs>
      <w:spacing w:after="120" w:line="280" w:lineRule="atLeast"/>
      <w:ind w:left="284" w:hanging="284"/>
    </w:pPr>
    <w:rPr>
      <w:rFonts w:eastAsia="Century Gothic"/>
      <w:color w:val="000000" w:themeColor="text1"/>
      <w:kern w:val="0"/>
      <w:sz w:val="20"/>
      <w:szCs w:val="20"/>
      <w14:ligatures w14:val="none"/>
    </w:rPr>
  </w:style>
  <w:style w:type="paragraph" w:styleId="ListBullet">
    <w:name w:val="List Bullet"/>
    <w:basedOn w:val="Normal"/>
    <w:uiPriority w:val="3"/>
    <w:qFormat/>
    <w:rsid w:val="00966BF8"/>
    <w:pPr>
      <w:tabs>
        <w:tab w:val="num" w:pos="284"/>
      </w:tabs>
      <w:spacing w:after="120" w:line="280" w:lineRule="atLeast"/>
      <w:ind w:left="284" w:hanging="284"/>
    </w:pPr>
    <w:rPr>
      <w:rFonts w:eastAsia="Century Gothic"/>
      <w:color w:val="000000" w:themeColor="text1"/>
      <w:kern w:val="0"/>
      <w:sz w:val="20"/>
      <w:szCs w:val="20"/>
      <w14:ligatures w14:val="none"/>
    </w:rPr>
  </w:style>
  <w:style w:type="paragraph" w:styleId="Date">
    <w:name w:val="Date"/>
    <w:basedOn w:val="Normal"/>
    <w:next w:val="Normal"/>
    <w:link w:val="DateChar"/>
    <w:uiPriority w:val="49"/>
    <w:semiHidden/>
    <w:rsid w:val="00966BF8"/>
    <w:rPr>
      <w:rFonts w:ascii="Corpid C1 SCd Regular" w:eastAsiaTheme="majorEastAsia" w:hAnsi="Corpid C1 SCd Regular" w:cs="Calibri"/>
      <w:color w:val="FFFFFF"/>
      <w:kern w:val="0"/>
      <w:sz w:val="20"/>
      <w:szCs w:val="24"/>
      <w:lang w:eastAsia="en-AU"/>
      <w14:ligatures w14:val="none"/>
    </w:rPr>
  </w:style>
  <w:style w:type="character" w:customStyle="1" w:styleId="DateChar">
    <w:name w:val="Date Char"/>
    <w:basedOn w:val="DefaultParagraphFont"/>
    <w:link w:val="Date"/>
    <w:uiPriority w:val="49"/>
    <w:semiHidden/>
    <w:rsid w:val="00966BF8"/>
    <w:rPr>
      <w:rFonts w:ascii="Corpid C1 SCd Regular" w:eastAsiaTheme="majorEastAsia" w:hAnsi="Corpid C1 SCd Regular" w:cs="Calibri"/>
      <w:color w:val="FFFFFF"/>
      <w:kern w:val="0"/>
      <w:sz w:val="20"/>
      <w:szCs w:val="24"/>
      <w:lang w:eastAsia="en-AU"/>
      <w14:ligatures w14:val="none"/>
    </w:rPr>
  </w:style>
  <w:style w:type="character" w:styleId="PlaceholderText">
    <w:name w:val="Placeholder Text"/>
    <w:basedOn w:val="DefaultParagraphFont"/>
    <w:uiPriority w:val="99"/>
    <w:semiHidden/>
    <w:rsid w:val="00966BF8"/>
    <w:rPr>
      <w:vanish w:val="0"/>
      <w:color w:val="FF0000"/>
    </w:rPr>
  </w:style>
  <w:style w:type="numbering" w:customStyle="1" w:styleId="AlphaList">
    <w:name w:val="_Alpha List"/>
    <w:uiPriority w:val="99"/>
    <w:rsid w:val="00966BF8"/>
    <w:pPr>
      <w:numPr>
        <w:numId w:val="19"/>
      </w:numPr>
    </w:pPr>
  </w:style>
  <w:style w:type="paragraph" w:customStyle="1" w:styleId="TableHeading">
    <w:name w:val="Table Heading"/>
    <w:basedOn w:val="Normal"/>
    <w:link w:val="TableHeadingChar"/>
    <w:uiPriority w:val="9"/>
    <w:qFormat/>
    <w:rsid w:val="00966BF8"/>
    <w:pPr>
      <w:numPr>
        <w:numId w:val="26"/>
      </w:numPr>
      <w:spacing w:before="20" w:after="20"/>
    </w:pPr>
    <w:rPr>
      <w:rFonts w:eastAsia="Century Gothic" w:cs="Calibri"/>
      <w:b/>
      <w:bCs/>
      <w:color w:val="FFFFFF"/>
      <w:kern w:val="0"/>
      <w:sz w:val="20"/>
      <w:szCs w:val="24"/>
      <w14:ligatures w14:val="none"/>
    </w:rPr>
  </w:style>
  <w:style w:type="paragraph" w:styleId="Title">
    <w:name w:val="Title"/>
    <w:basedOn w:val="Normal"/>
    <w:next w:val="Subtitle"/>
    <w:link w:val="TitleChar"/>
    <w:uiPriority w:val="49"/>
    <w:rsid w:val="00966BF8"/>
    <w:pPr>
      <w:pageBreakBefore/>
      <w:framePr w:w="8964" w:wrap="notBeside" w:vAnchor="text" w:hAnchor="text" w:yAlign="top"/>
      <w:spacing w:before="240" w:after="160" w:line="280" w:lineRule="atLeast"/>
      <w:outlineLvl w:val="0"/>
    </w:pPr>
    <w:rPr>
      <w:rFonts w:asciiTheme="majorHAnsi" w:eastAsiaTheme="majorEastAsia" w:hAnsiTheme="majorHAnsi" w:cs="Calibri"/>
      <w:b/>
      <w:bCs/>
      <w:iCs/>
      <w:color w:val="44546A" w:themeColor="text2"/>
      <w:kern w:val="0"/>
      <w:sz w:val="40"/>
      <w:szCs w:val="28"/>
      <w:lang w:eastAsia="en-AU"/>
      <w14:ligatures w14:val="none"/>
    </w:rPr>
  </w:style>
  <w:style w:type="character" w:customStyle="1" w:styleId="TitleChar">
    <w:name w:val="Title Char"/>
    <w:basedOn w:val="DefaultParagraphFont"/>
    <w:link w:val="Title"/>
    <w:uiPriority w:val="49"/>
    <w:rsid w:val="00966BF8"/>
    <w:rPr>
      <w:rFonts w:asciiTheme="majorHAnsi" w:eastAsiaTheme="majorEastAsia" w:hAnsiTheme="majorHAnsi" w:cs="Calibri"/>
      <w:b/>
      <w:bCs/>
      <w:iCs/>
      <w:color w:val="44546A" w:themeColor="text2"/>
      <w:kern w:val="0"/>
      <w:sz w:val="40"/>
      <w:szCs w:val="28"/>
      <w:lang w:eastAsia="en-AU"/>
      <w14:ligatures w14:val="none"/>
    </w:rPr>
  </w:style>
  <w:style w:type="table" w:styleId="ListTable3-Accent1">
    <w:name w:val="List Table 3 Accent 1"/>
    <w:basedOn w:val="TableNormal"/>
    <w:uiPriority w:val="98"/>
    <w:rsid w:val="00966BF8"/>
    <w:rPr>
      <w:rFonts w:eastAsia="Century Gothic"/>
      <w:kern w:val="0"/>
      <w:sz w:val="20"/>
      <w:szCs w:val="20"/>
      <w14:ligatures w14:val="none"/>
    </w:rPr>
    <w:tblPr>
      <w:tblStyleRowBandSize w:val="1"/>
      <w:tblStyleColBandSize w:val="1"/>
      <w:tblInd w:w="57"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57" w:type="dxa"/>
        <w:left w:w="57" w:type="dxa"/>
        <w:bottom w:w="57" w:type="dxa"/>
        <w:right w:w="57"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numbering" w:customStyle="1" w:styleId="Bullets">
    <w:name w:val="_Bullets"/>
    <w:uiPriority w:val="99"/>
    <w:rsid w:val="00966BF8"/>
    <w:pPr>
      <w:numPr>
        <w:numId w:val="20"/>
      </w:numPr>
    </w:pPr>
  </w:style>
  <w:style w:type="numbering" w:customStyle="1" w:styleId="NumberedList">
    <w:name w:val="_Numbered List"/>
    <w:uiPriority w:val="99"/>
    <w:rsid w:val="00966BF8"/>
    <w:pPr>
      <w:numPr>
        <w:numId w:val="21"/>
      </w:numPr>
    </w:pPr>
  </w:style>
  <w:style w:type="paragraph" w:styleId="List">
    <w:name w:val="List"/>
    <w:basedOn w:val="Normal"/>
    <w:uiPriority w:val="3"/>
    <w:qFormat/>
    <w:rsid w:val="00966BF8"/>
    <w:pPr>
      <w:spacing w:after="160" w:line="280" w:lineRule="atLeast"/>
      <w:ind w:left="284" w:hanging="284"/>
    </w:pPr>
    <w:rPr>
      <w:rFonts w:eastAsia="Century Gothic"/>
      <w:color w:val="000000" w:themeColor="text1"/>
      <w:kern w:val="0"/>
      <w:sz w:val="20"/>
      <w:szCs w:val="20"/>
      <w14:ligatures w14:val="none"/>
    </w:rPr>
  </w:style>
  <w:style w:type="paragraph" w:styleId="List2">
    <w:name w:val="List 2"/>
    <w:basedOn w:val="Normal"/>
    <w:uiPriority w:val="3"/>
    <w:unhideWhenUsed/>
    <w:rsid w:val="00966BF8"/>
    <w:pPr>
      <w:spacing w:after="160" w:line="280" w:lineRule="atLeast"/>
      <w:ind w:left="568" w:hanging="284"/>
    </w:pPr>
    <w:rPr>
      <w:rFonts w:eastAsia="Century Gothic"/>
      <w:color w:val="000000" w:themeColor="text1"/>
      <w:kern w:val="0"/>
      <w:sz w:val="20"/>
      <w:szCs w:val="20"/>
      <w14:ligatures w14:val="none"/>
    </w:rPr>
  </w:style>
  <w:style w:type="paragraph" w:styleId="List3">
    <w:name w:val="List 3"/>
    <w:basedOn w:val="Normal"/>
    <w:uiPriority w:val="3"/>
    <w:unhideWhenUsed/>
    <w:rsid w:val="00966BF8"/>
    <w:pPr>
      <w:spacing w:after="233"/>
      <w:ind w:left="852" w:hanging="284"/>
    </w:pPr>
    <w:rPr>
      <w:rFonts w:eastAsia="Century Gothic"/>
      <w:color w:val="000000" w:themeColor="text1"/>
      <w:kern w:val="0"/>
      <w:sz w:val="20"/>
      <w:szCs w:val="20"/>
      <w14:ligatures w14:val="none"/>
    </w:rPr>
  </w:style>
  <w:style w:type="paragraph" w:styleId="ListNumber2">
    <w:name w:val="List Number 2"/>
    <w:basedOn w:val="Normal"/>
    <w:uiPriority w:val="3"/>
    <w:rsid w:val="00966BF8"/>
    <w:pPr>
      <w:tabs>
        <w:tab w:val="num" w:pos="567"/>
      </w:tabs>
      <w:spacing w:after="120" w:line="280" w:lineRule="atLeast"/>
      <w:ind w:left="568" w:hanging="284"/>
    </w:pPr>
    <w:rPr>
      <w:rFonts w:eastAsia="Century Gothic"/>
      <w:color w:val="000000" w:themeColor="text1"/>
      <w:kern w:val="0"/>
      <w:sz w:val="20"/>
      <w:szCs w:val="20"/>
      <w14:ligatures w14:val="none"/>
    </w:rPr>
  </w:style>
  <w:style w:type="paragraph" w:styleId="ListNumber3">
    <w:name w:val="List Number 3"/>
    <w:basedOn w:val="Normal"/>
    <w:uiPriority w:val="3"/>
    <w:rsid w:val="00966BF8"/>
    <w:pPr>
      <w:tabs>
        <w:tab w:val="num" w:pos="851"/>
      </w:tabs>
      <w:spacing w:after="120" w:line="280" w:lineRule="atLeast"/>
      <w:ind w:left="852" w:hanging="284"/>
    </w:pPr>
    <w:rPr>
      <w:rFonts w:eastAsia="Century Gothic"/>
      <w:color w:val="000000" w:themeColor="text1"/>
      <w:kern w:val="0"/>
      <w:sz w:val="20"/>
      <w:szCs w:val="20"/>
      <w14:ligatures w14:val="none"/>
    </w:rPr>
  </w:style>
  <w:style w:type="paragraph" w:styleId="ListNumber4">
    <w:name w:val="List Number 4"/>
    <w:basedOn w:val="Normal"/>
    <w:uiPriority w:val="50"/>
    <w:semiHidden/>
    <w:rsid w:val="00966BF8"/>
    <w:pPr>
      <w:spacing w:after="100"/>
      <w:contextualSpacing/>
    </w:pPr>
    <w:rPr>
      <w:rFonts w:eastAsia="Century Gothic"/>
      <w:color w:val="000000" w:themeColor="text1"/>
      <w:kern w:val="0"/>
      <w:sz w:val="20"/>
      <w:szCs w:val="20"/>
      <w14:ligatures w14:val="none"/>
    </w:rPr>
  </w:style>
  <w:style w:type="paragraph" w:styleId="ListNumber5">
    <w:name w:val="List Number 5"/>
    <w:basedOn w:val="Normal"/>
    <w:uiPriority w:val="50"/>
    <w:semiHidden/>
    <w:rsid w:val="00966BF8"/>
    <w:pPr>
      <w:spacing w:after="100"/>
      <w:contextualSpacing/>
    </w:pPr>
    <w:rPr>
      <w:rFonts w:eastAsia="Century Gothic"/>
      <w:color w:val="000000" w:themeColor="text1"/>
      <w:kern w:val="0"/>
      <w:sz w:val="20"/>
      <w:szCs w:val="20"/>
      <w14:ligatures w14:val="none"/>
    </w:rPr>
  </w:style>
  <w:style w:type="table" w:styleId="GridTable1Light">
    <w:name w:val="Grid Table 1 Light"/>
    <w:basedOn w:val="TableNormal"/>
    <w:uiPriority w:val="98"/>
    <w:rsid w:val="00966BF8"/>
    <w:rPr>
      <w:rFonts w:eastAsia="Century Gothic"/>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rsid w:val="00966BF8"/>
    <w:rPr>
      <w:rFonts w:eastAsia="Century Gothic"/>
      <w:kern w:val="0"/>
      <w:sz w:val="20"/>
      <w:szCs w:val="2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57" w:type="dxa"/>
        <w:left w:w="57" w:type="dxa"/>
        <w:bottom w:w="57" w:type="dxa"/>
        <w:right w:w="57"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rsid w:val="00966BF8"/>
    <w:rPr>
      <w:rFonts w:eastAsia="Century Gothic"/>
      <w:kern w:val="0"/>
      <w:sz w:val="20"/>
      <w:szCs w:val="2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57" w:type="dxa"/>
        <w:left w:w="57" w:type="dxa"/>
        <w:bottom w:w="57" w:type="dxa"/>
        <w:right w:w="57"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rsid w:val="00966BF8"/>
    <w:rPr>
      <w:rFonts w:eastAsia="Century Gothic"/>
      <w:kern w:val="0"/>
      <w:sz w:val="20"/>
      <w:szCs w:val="2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57" w:type="dxa"/>
        <w:left w:w="57" w:type="dxa"/>
        <w:bottom w:w="57" w:type="dxa"/>
        <w:right w:w="57"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rsid w:val="00966BF8"/>
    <w:rPr>
      <w:rFonts w:eastAsia="Century Gothic"/>
      <w:kern w:val="0"/>
      <w:sz w:val="20"/>
      <w:szCs w:val="20"/>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57" w:type="dxa"/>
        <w:left w:w="57" w:type="dxa"/>
        <w:bottom w:w="57" w:type="dxa"/>
        <w:right w:w="57"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rsid w:val="00966BF8"/>
    <w:rPr>
      <w:rFonts w:eastAsia="Century Gothic"/>
      <w:kern w:val="0"/>
      <w:sz w:val="20"/>
      <w:szCs w:val="2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57" w:type="dxa"/>
        <w:left w:w="57" w:type="dxa"/>
        <w:bottom w:w="57" w:type="dxa"/>
        <w:right w:w="57"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rsid w:val="00966BF8"/>
    <w:rPr>
      <w:rFonts w:eastAsia="Century Gothic"/>
      <w:kern w:val="0"/>
      <w:sz w:val="20"/>
      <w:szCs w:val="2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57" w:type="dxa"/>
        <w:left w:w="57" w:type="dxa"/>
        <w:bottom w:w="57" w:type="dxa"/>
        <w:right w:w="57"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rsid w:val="00966BF8"/>
    <w:rPr>
      <w:rFonts w:eastAsia="Century Gothic"/>
      <w:kern w:val="0"/>
      <w:sz w:val="20"/>
      <w:szCs w:val="2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left w:w="57" w:type="dxa"/>
        <w:bottom w:w="57" w:type="dxa"/>
        <w:right w:w="57"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rsid w:val="00966BF8"/>
    <w:rPr>
      <w:rFonts w:eastAsia="Century Gothic"/>
      <w:kern w:val="0"/>
      <w:sz w:val="20"/>
      <w:szCs w:val="2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57" w:type="dxa"/>
        <w:left w:w="57" w:type="dxa"/>
        <w:bottom w:w="57" w:type="dxa"/>
        <w:right w:w="57"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98"/>
    <w:rsid w:val="00966BF8"/>
    <w:rPr>
      <w:rFonts w:eastAsia="Century Gothic"/>
      <w:kern w:val="0"/>
      <w:sz w:val="20"/>
      <w:szCs w:val="20"/>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57" w:type="dxa"/>
        <w:left w:w="57" w:type="dxa"/>
        <w:bottom w:w="57" w:type="dxa"/>
        <w:right w:w="57"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98"/>
    <w:rsid w:val="00966BF8"/>
    <w:rPr>
      <w:rFonts w:eastAsia="Century Gothic"/>
      <w:kern w:val="0"/>
      <w:sz w:val="20"/>
      <w:szCs w:val="20"/>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57" w:type="dxa"/>
        <w:left w:w="57" w:type="dxa"/>
        <w:bottom w:w="57" w:type="dxa"/>
        <w:right w:w="57"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98"/>
    <w:rsid w:val="00966BF8"/>
    <w:rPr>
      <w:rFonts w:eastAsia="Century Gothic"/>
      <w:kern w:val="0"/>
      <w:sz w:val="20"/>
      <w:szCs w:val="20"/>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57" w:type="dxa"/>
        <w:left w:w="57" w:type="dxa"/>
        <w:bottom w:w="57" w:type="dxa"/>
        <w:right w:w="57"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98"/>
    <w:rsid w:val="00966BF8"/>
    <w:rPr>
      <w:rFonts w:eastAsia="Century Gothic"/>
      <w:kern w:val="0"/>
      <w:sz w:val="20"/>
      <w:szCs w:val="20"/>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57" w:type="dxa"/>
        <w:left w:w="57" w:type="dxa"/>
        <w:bottom w:w="57" w:type="dxa"/>
        <w:right w:w="57"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98"/>
    <w:rsid w:val="00966BF8"/>
    <w:rPr>
      <w:rFonts w:eastAsia="Century Gothic"/>
      <w:kern w:val="0"/>
      <w:sz w:val="20"/>
      <w:szCs w:val="2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57" w:type="dxa"/>
        <w:left w:w="57" w:type="dxa"/>
        <w:bottom w:w="57" w:type="dxa"/>
        <w:right w:w="57"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8"/>
    <w:rsid w:val="00966BF8"/>
    <w:rPr>
      <w:rFonts w:eastAsia="Century Gothic"/>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rsid w:val="00966BF8"/>
    <w:rPr>
      <w:rFonts w:eastAsia="Century Gothic"/>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98"/>
    <w:rsid w:val="00966BF8"/>
    <w:rPr>
      <w:rFonts w:eastAsia="Century Gothic"/>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98"/>
    <w:rsid w:val="00966BF8"/>
    <w:rPr>
      <w:rFonts w:eastAsia="Century Gothic"/>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98"/>
    <w:rsid w:val="00966BF8"/>
    <w:rPr>
      <w:rFonts w:eastAsia="Century Gothic"/>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98"/>
    <w:rsid w:val="00966BF8"/>
    <w:rPr>
      <w:rFonts w:eastAsia="Century Gothic"/>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98"/>
    <w:rsid w:val="00966BF8"/>
    <w:rPr>
      <w:rFonts w:eastAsia="Century Gothic"/>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98"/>
    <w:rsid w:val="00966BF8"/>
    <w:rPr>
      <w:rFonts w:eastAsia="Century Gothic"/>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rsid w:val="00966BF8"/>
    <w:rPr>
      <w:rFonts w:eastAsia="Century Gothic"/>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98"/>
    <w:rsid w:val="00966BF8"/>
    <w:rPr>
      <w:rFonts w:eastAsia="Century Gothic"/>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98"/>
    <w:rsid w:val="00966BF8"/>
    <w:rPr>
      <w:rFonts w:eastAsia="Century Gothic"/>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98"/>
    <w:rsid w:val="00966BF8"/>
    <w:rPr>
      <w:rFonts w:eastAsia="Century Gothic"/>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98"/>
    <w:rsid w:val="00966BF8"/>
    <w:rPr>
      <w:rFonts w:eastAsia="Century Gothic"/>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98"/>
    <w:rsid w:val="00966BF8"/>
    <w:rPr>
      <w:rFonts w:eastAsia="Century Gothic"/>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98"/>
    <w:rsid w:val="00966BF8"/>
    <w:rPr>
      <w:rFonts w:eastAsia="Century Gothic"/>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rsid w:val="00966BF8"/>
    <w:rPr>
      <w:rFonts w:eastAsia="Century Gothic"/>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966BF8"/>
    <w:rPr>
      <w:rFonts w:eastAsia="Century Gothic"/>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98"/>
    <w:rsid w:val="00966BF8"/>
    <w:rPr>
      <w:rFonts w:eastAsia="Century Gothic"/>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98"/>
    <w:rsid w:val="00966BF8"/>
    <w:rPr>
      <w:rFonts w:eastAsia="Century Gothic"/>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98"/>
    <w:rsid w:val="00966BF8"/>
    <w:rPr>
      <w:rFonts w:eastAsia="Century Gothic"/>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98"/>
    <w:rsid w:val="00966BF8"/>
    <w:rPr>
      <w:rFonts w:eastAsia="Century Gothic"/>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98"/>
    <w:rsid w:val="00966BF8"/>
    <w:rPr>
      <w:rFonts w:eastAsia="Century Gothic"/>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rsid w:val="00966BF8"/>
    <w:rPr>
      <w:rFonts w:eastAsia="Century Gothic"/>
      <w:color w:val="2F5496" w:themeColor="accent1" w:themeShade="BF"/>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57" w:type="dxa"/>
        <w:left w:w="57" w:type="dxa"/>
        <w:bottom w:w="57" w:type="dxa"/>
        <w:right w:w="57"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98"/>
    <w:rsid w:val="00966BF8"/>
    <w:rPr>
      <w:rFonts w:eastAsia="Century Gothic"/>
      <w:color w:val="C45911" w:themeColor="accent2" w:themeShade="BF"/>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57"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98"/>
    <w:rsid w:val="00966BF8"/>
    <w:rPr>
      <w:rFonts w:eastAsia="Century Gothic"/>
      <w:color w:val="7B7B7B" w:themeColor="accent3" w:themeShade="BF"/>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57" w:type="dxa"/>
        <w:left w:w="57" w:type="dxa"/>
        <w:bottom w:w="57" w:type="dxa"/>
        <w:right w:w="57"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98"/>
    <w:rsid w:val="00966BF8"/>
    <w:rPr>
      <w:rFonts w:eastAsia="Century Gothic"/>
      <w:color w:val="BF8F00" w:themeColor="accent4" w:themeShade="BF"/>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57" w:type="dxa"/>
        <w:left w:w="57" w:type="dxa"/>
        <w:bottom w:w="57" w:type="dxa"/>
        <w:right w:w="57"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98"/>
    <w:rsid w:val="00966BF8"/>
    <w:rPr>
      <w:rFonts w:eastAsia="Century Gothic"/>
      <w:color w:val="2E74B5" w:themeColor="accent5" w:themeShade="BF"/>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57"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98"/>
    <w:rsid w:val="00966BF8"/>
    <w:rPr>
      <w:rFonts w:eastAsia="Century Gothic"/>
      <w:color w:val="538135" w:themeColor="accent6" w:themeShade="BF"/>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57" w:type="dxa"/>
        <w:left w:w="57" w:type="dxa"/>
        <w:bottom w:w="57" w:type="dxa"/>
        <w:right w:w="57"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98"/>
    <w:rsid w:val="00966BF8"/>
    <w:rPr>
      <w:rFonts w:eastAsia="Century Gothic"/>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rsid w:val="00966BF8"/>
    <w:rPr>
      <w:rFonts w:eastAsia="Century Gothic"/>
      <w:color w:val="2F5496" w:themeColor="accent1" w:themeShade="BF"/>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98"/>
    <w:rsid w:val="00966BF8"/>
    <w:rPr>
      <w:rFonts w:eastAsia="Century Gothic"/>
      <w:color w:val="C45911" w:themeColor="accent2" w:themeShade="BF"/>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98"/>
    <w:rsid w:val="00966BF8"/>
    <w:rPr>
      <w:rFonts w:eastAsia="Century Gothic"/>
      <w:color w:val="7B7B7B" w:themeColor="accent3" w:themeShade="BF"/>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8"/>
    <w:rsid w:val="00966BF8"/>
    <w:rPr>
      <w:rFonts w:eastAsia="Century Gothic"/>
      <w:color w:val="BF8F00" w:themeColor="accent4" w:themeShade="BF"/>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8"/>
    <w:rsid w:val="00966BF8"/>
    <w:rPr>
      <w:rFonts w:eastAsia="Century Gothic"/>
      <w:color w:val="2E74B5" w:themeColor="accent5" w:themeShade="BF"/>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98"/>
    <w:rsid w:val="00966BF8"/>
    <w:rPr>
      <w:rFonts w:eastAsia="Century Gothic"/>
      <w:color w:val="538135" w:themeColor="accent6" w:themeShade="BF"/>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98"/>
    <w:rsid w:val="00966BF8"/>
    <w:rPr>
      <w:rFonts w:eastAsia="Century Gothic"/>
      <w:kern w:val="0"/>
      <w:sz w:val="20"/>
      <w:szCs w:val="2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rsid w:val="00966BF8"/>
    <w:rPr>
      <w:rFonts w:eastAsia="Century Gothic"/>
      <w:kern w:val="0"/>
      <w:sz w:val="20"/>
      <w:szCs w:val="20"/>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98"/>
    <w:rsid w:val="00966BF8"/>
    <w:rPr>
      <w:rFonts w:eastAsia="Century Gothic"/>
      <w:kern w:val="0"/>
      <w:sz w:val="20"/>
      <w:szCs w:val="20"/>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98"/>
    <w:rsid w:val="00966BF8"/>
    <w:rPr>
      <w:rFonts w:eastAsia="Century Gothic"/>
      <w:kern w:val="0"/>
      <w:sz w:val="20"/>
      <w:szCs w:val="20"/>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98"/>
    <w:rsid w:val="00966BF8"/>
    <w:rPr>
      <w:rFonts w:eastAsia="Century Gothic"/>
      <w:kern w:val="0"/>
      <w:sz w:val="20"/>
      <w:szCs w:val="20"/>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98"/>
    <w:rsid w:val="00966BF8"/>
    <w:rPr>
      <w:rFonts w:eastAsia="Century Gothic"/>
      <w:kern w:val="0"/>
      <w:sz w:val="20"/>
      <w:szCs w:val="20"/>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98"/>
    <w:rsid w:val="00966BF8"/>
    <w:rPr>
      <w:rFonts w:eastAsia="Century Gothic"/>
      <w:kern w:val="0"/>
      <w:sz w:val="20"/>
      <w:szCs w:val="20"/>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98"/>
    <w:rsid w:val="00966BF8"/>
    <w:rPr>
      <w:rFonts w:eastAsia="Century Gothic"/>
      <w:kern w:val="0"/>
      <w:sz w:val="20"/>
      <w:szCs w:val="2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57" w:type="dxa"/>
        <w:bottom w:w="57" w:type="dxa"/>
        <w:right w:w="57"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98"/>
    <w:rsid w:val="00966BF8"/>
    <w:rPr>
      <w:rFonts w:eastAsia="Century Gothic"/>
      <w:kern w:val="0"/>
      <w:sz w:val="20"/>
      <w:szCs w:val="20"/>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57" w:type="dxa"/>
        <w:left w:w="57" w:type="dxa"/>
        <w:bottom w:w="57" w:type="dxa"/>
        <w:right w:w="57"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98"/>
    <w:rsid w:val="00966BF8"/>
    <w:rPr>
      <w:rFonts w:eastAsia="Century Gothic"/>
      <w:kern w:val="0"/>
      <w:sz w:val="20"/>
      <w:szCs w:val="2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57" w:type="dxa"/>
        <w:left w:w="57" w:type="dxa"/>
        <w:bottom w:w="57" w:type="dxa"/>
        <w:right w:w="57"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98"/>
    <w:rsid w:val="00966BF8"/>
    <w:rPr>
      <w:rFonts w:eastAsia="Century Gothic"/>
      <w:kern w:val="0"/>
      <w:sz w:val="20"/>
      <w:szCs w:val="20"/>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57" w:type="dxa"/>
        <w:left w:w="57" w:type="dxa"/>
        <w:bottom w:w="57" w:type="dxa"/>
        <w:right w:w="57"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98"/>
    <w:rsid w:val="00966BF8"/>
    <w:rPr>
      <w:rFonts w:eastAsia="Century Gothic"/>
      <w:kern w:val="0"/>
      <w:sz w:val="20"/>
      <w:szCs w:val="20"/>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57" w:type="dxa"/>
        <w:left w:w="57" w:type="dxa"/>
        <w:bottom w:w="57" w:type="dxa"/>
        <w:right w:w="57"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98"/>
    <w:rsid w:val="00966BF8"/>
    <w:rPr>
      <w:rFonts w:eastAsia="Century Gothic"/>
      <w:kern w:val="0"/>
      <w:sz w:val="20"/>
      <w:szCs w:val="2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57" w:type="dxa"/>
        <w:left w:w="57" w:type="dxa"/>
        <w:bottom w:w="57" w:type="dxa"/>
        <w:right w:w="57"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98"/>
    <w:rsid w:val="00966BF8"/>
    <w:rPr>
      <w:rFonts w:eastAsia="Century Gothic"/>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rsid w:val="00966BF8"/>
    <w:rPr>
      <w:rFonts w:eastAsia="Century Gothic"/>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98"/>
    <w:rsid w:val="00966BF8"/>
    <w:rPr>
      <w:rFonts w:eastAsia="Century Gothic"/>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98"/>
    <w:rsid w:val="00966BF8"/>
    <w:rPr>
      <w:rFonts w:eastAsia="Century Gothic"/>
      <w:kern w:val="0"/>
      <w:sz w:val="20"/>
      <w:szCs w:val="2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98"/>
    <w:rsid w:val="00966BF8"/>
    <w:rPr>
      <w:rFonts w:eastAsia="Century Gothic"/>
      <w:kern w:val="0"/>
      <w:sz w:val="20"/>
      <w:szCs w:val="2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98"/>
    <w:rsid w:val="00966BF8"/>
    <w:rPr>
      <w:rFonts w:eastAsia="Century Gothic"/>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98"/>
    <w:rsid w:val="00966BF8"/>
    <w:rPr>
      <w:rFonts w:eastAsia="Century Gothic"/>
      <w:kern w:val="0"/>
      <w:sz w:val="20"/>
      <w:szCs w:val="2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98"/>
    <w:rsid w:val="00966BF8"/>
    <w:rPr>
      <w:rFonts w:eastAsia="Century Gothic"/>
      <w:color w:val="FFFFFF" w:themeColor="background1"/>
      <w:kern w:val="0"/>
      <w:sz w:val="20"/>
      <w:szCs w:val="2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85" w:type="dxa"/>
        <w:left w:w="85" w:type="dxa"/>
        <w:bottom w:w="85" w:type="dxa"/>
        <w:right w:w="85"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rsid w:val="00966BF8"/>
    <w:rPr>
      <w:rFonts w:eastAsia="Century Gothic"/>
      <w:color w:val="FFFFFF" w:themeColor="background1"/>
      <w:kern w:val="0"/>
      <w:sz w:val="20"/>
      <w:szCs w:val="20"/>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85" w:type="dxa"/>
        <w:left w:w="85" w:type="dxa"/>
        <w:bottom w:w="85" w:type="dxa"/>
        <w:right w:w="85"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rsid w:val="00966BF8"/>
    <w:rPr>
      <w:rFonts w:eastAsia="Century Gothic"/>
      <w:color w:val="FFFFFF" w:themeColor="background1"/>
      <w:kern w:val="0"/>
      <w:sz w:val="20"/>
      <w:szCs w:val="20"/>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85" w:type="dxa"/>
        <w:left w:w="85" w:type="dxa"/>
        <w:bottom w:w="85" w:type="dxa"/>
        <w:right w:w="85"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rsid w:val="00966BF8"/>
    <w:rPr>
      <w:rFonts w:eastAsia="Century Gothic"/>
      <w:color w:val="FFFFFF" w:themeColor="background1"/>
      <w:kern w:val="0"/>
      <w:sz w:val="20"/>
      <w:szCs w:val="20"/>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85" w:type="dxa"/>
        <w:left w:w="85" w:type="dxa"/>
        <w:bottom w:w="85" w:type="dxa"/>
        <w:right w:w="85"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rsid w:val="00966BF8"/>
    <w:rPr>
      <w:rFonts w:eastAsia="Century Gothic"/>
      <w:color w:val="FFFFFF" w:themeColor="background1"/>
      <w:kern w:val="0"/>
      <w:sz w:val="20"/>
      <w:szCs w:val="20"/>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85" w:type="dxa"/>
        <w:left w:w="85" w:type="dxa"/>
        <w:bottom w:w="85" w:type="dxa"/>
        <w:right w:w="85"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rsid w:val="00966BF8"/>
    <w:rPr>
      <w:rFonts w:eastAsia="Century Gothic"/>
      <w:color w:val="FFFFFF" w:themeColor="background1"/>
      <w:kern w:val="0"/>
      <w:sz w:val="20"/>
      <w:szCs w:val="20"/>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85" w:type="dxa"/>
        <w:left w:w="85" w:type="dxa"/>
        <w:bottom w:w="85" w:type="dxa"/>
        <w:right w:w="85"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rsid w:val="00966BF8"/>
    <w:rPr>
      <w:rFonts w:eastAsia="Century Gothic"/>
      <w:color w:val="FFFFFF" w:themeColor="background1"/>
      <w:kern w:val="0"/>
      <w:sz w:val="20"/>
      <w:szCs w:val="20"/>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85" w:type="dxa"/>
        <w:left w:w="85" w:type="dxa"/>
        <w:bottom w:w="85" w:type="dxa"/>
        <w:right w:w="85"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rsid w:val="00966BF8"/>
    <w:rPr>
      <w:rFonts w:eastAsia="Century Gothic"/>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CellMar>
        <w:top w:w="57" w:type="dxa"/>
        <w:left w:w="57" w:type="dxa"/>
        <w:bottom w:w="57" w:type="dxa"/>
        <w:right w:w="57"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rsid w:val="00966BF8"/>
    <w:rPr>
      <w:rFonts w:eastAsia="Century Gothic"/>
      <w:color w:val="2F5496" w:themeColor="accent1" w:themeShade="BF"/>
      <w:kern w:val="0"/>
      <w:sz w:val="20"/>
      <w:szCs w:val="20"/>
      <w14:ligatures w14:val="none"/>
    </w:rPr>
    <w:tblPr>
      <w:tblStyleRowBandSize w:val="1"/>
      <w:tblStyleColBandSize w:val="1"/>
      <w:tblBorders>
        <w:top w:val="single" w:sz="4" w:space="0" w:color="4472C4" w:themeColor="accent1"/>
        <w:bottom w:val="single" w:sz="4" w:space="0" w:color="4472C4" w:themeColor="accent1"/>
      </w:tblBorders>
      <w:tblCellMar>
        <w:top w:w="57" w:type="dxa"/>
        <w:left w:w="57" w:type="dxa"/>
        <w:bottom w:w="57" w:type="dxa"/>
        <w:right w:w="57"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98"/>
    <w:rsid w:val="00966BF8"/>
    <w:rPr>
      <w:rFonts w:eastAsia="Century Gothic"/>
      <w:color w:val="C45911" w:themeColor="accent2" w:themeShade="BF"/>
      <w:kern w:val="0"/>
      <w:sz w:val="20"/>
      <w:szCs w:val="20"/>
      <w14:ligatures w14:val="none"/>
    </w:rPr>
    <w:tblPr>
      <w:tblStyleRowBandSize w:val="1"/>
      <w:tblStyleColBandSize w:val="1"/>
      <w:tblBorders>
        <w:top w:val="single" w:sz="4" w:space="0" w:color="ED7D31" w:themeColor="accent2"/>
        <w:bottom w:val="single" w:sz="4" w:space="0" w:color="ED7D31" w:themeColor="accent2"/>
      </w:tblBorders>
      <w:tblCellMar>
        <w:top w:w="57" w:type="dxa"/>
        <w:left w:w="57" w:type="dxa"/>
        <w:bottom w:w="57" w:type="dxa"/>
        <w:right w:w="57"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98"/>
    <w:rsid w:val="00966BF8"/>
    <w:rPr>
      <w:rFonts w:eastAsia="Century Gothic"/>
      <w:color w:val="7B7B7B" w:themeColor="accent3" w:themeShade="BF"/>
      <w:kern w:val="0"/>
      <w:sz w:val="20"/>
      <w:szCs w:val="20"/>
      <w14:ligatures w14:val="none"/>
    </w:rPr>
    <w:tblPr>
      <w:tblStyleRowBandSize w:val="1"/>
      <w:tblStyleColBandSize w:val="1"/>
      <w:tblBorders>
        <w:top w:val="single" w:sz="4" w:space="0" w:color="A5A5A5" w:themeColor="accent3"/>
        <w:bottom w:val="single" w:sz="4" w:space="0" w:color="A5A5A5" w:themeColor="accent3"/>
      </w:tblBorders>
      <w:tblCellMar>
        <w:top w:w="57" w:type="dxa"/>
        <w:left w:w="57" w:type="dxa"/>
        <w:bottom w:w="57" w:type="dxa"/>
        <w:right w:w="57"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98"/>
    <w:rsid w:val="00966BF8"/>
    <w:rPr>
      <w:rFonts w:eastAsia="Century Gothic"/>
      <w:color w:val="BF8F00" w:themeColor="accent4" w:themeShade="BF"/>
      <w:kern w:val="0"/>
      <w:sz w:val="20"/>
      <w:szCs w:val="20"/>
      <w14:ligatures w14:val="none"/>
    </w:rPr>
    <w:tblPr>
      <w:tblStyleRowBandSize w:val="1"/>
      <w:tblStyleColBandSize w:val="1"/>
      <w:tblBorders>
        <w:top w:val="single" w:sz="4" w:space="0" w:color="FFC000" w:themeColor="accent4"/>
        <w:bottom w:val="single" w:sz="4" w:space="0" w:color="FFC000" w:themeColor="accent4"/>
      </w:tblBorders>
      <w:tblCellMar>
        <w:top w:w="57" w:type="dxa"/>
        <w:left w:w="57" w:type="dxa"/>
        <w:bottom w:w="57" w:type="dxa"/>
        <w:right w:w="57"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98"/>
    <w:rsid w:val="00966BF8"/>
    <w:rPr>
      <w:rFonts w:eastAsia="Century Gothic"/>
      <w:color w:val="2E74B5" w:themeColor="accent5" w:themeShade="BF"/>
      <w:kern w:val="0"/>
      <w:sz w:val="20"/>
      <w:szCs w:val="20"/>
      <w14:ligatures w14:val="none"/>
    </w:rPr>
    <w:tblPr>
      <w:tblStyleRowBandSize w:val="1"/>
      <w:tblStyleColBandSize w:val="1"/>
      <w:tblBorders>
        <w:top w:val="single" w:sz="4" w:space="0" w:color="5B9BD5" w:themeColor="accent5"/>
        <w:bottom w:val="single" w:sz="4" w:space="0" w:color="5B9BD5" w:themeColor="accent5"/>
      </w:tblBorders>
      <w:tblCellMar>
        <w:top w:w="57" w:type="dxa"/>
        <w:left w:w="57" w:type="dxa"/>
        <w:bottom w:w="57" w:type="dxa"/>
        <w:right w:w="57"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98"/>
    <w:rsid w:val="00966BF8"/>
    <w:rPr>
      <w:rFonts w:eastAsia="Century Gothic"/>
      <w:color w:val="538135" w:themeColor="accent6" w:themeShade="BF"/>
      <w:kern w:val="0"/>
      <w:sz w:val="20"/>
      <w:szCs w:val="20"/>
      <w14:ligatures w14:val="none"/>
    </w:rPr>
    <w:tblPr>
      <w:tblStyleRowBandSize w:val="1"/>
      <w:tblStyleColBandSize w:val="1"/>
      <w:tblBorders>
        <w:top w:val="single" w:sz="4" w:space="0" w:color="70AD47" w:themeColor="accent6"/>
        <w:bottom w:val="single" w:sz="4" w:space="0" w:color="70AD47" w:themeColor="accent6"/>
      </w:tblBorders>
      <w:tblCellMar>
        <w:top w:w="57" w:type="dxa"/>
        <w:left w:w="57" w:type="dxa"/>
        <w:bottom w:w="57" w:type="dxa"/>
        <w:right w:w="57"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98"/>
    <w:rsid w:val="00966BF8"/>
    <w:rPr>
      <w:rFonts w:eastAsia="Century Gothic"/>
      <w:color w:val="000000" w:themeColor="text1"/>
      <w:kern w:val="0"/>
      <w:sz w:val="20"/>
      <w:szCs w:val="20"/>
      <w14:ligatures w14:val="none"/>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rsid w:val="00966BF8"/>
    <w:rPr>
      <w:rFonts w:eastAsia="Century Gothic"/>
      <w:color w:val="2F5496" w:themeColor="accent1" w:themeShade="BF"/>
      <w:kern w:val="0"/>
      <w:sz w:val="20"/>
      <w:szCs w:val="20"/>
      <w14:ligatures w14:val="none"/>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rsid w:val="00966BF8"/>
    <w:rPr>
      <w:rFonts w:eastAsia="Century Gothic"/>
      <w:color w:val="C45911" w:themeColor="accent2" w:themeShade="BF"/>
      <w:kern w:val="0"/>
      <w:sz w:val="20"/>
      <w:szCs w:val="20"/>
      <w14:ligatures w14:val="none"/>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rsid w:val="00966BF8"/>
    <w:rPr>
      <w:rFonts w:eastAsia="Century Gothic"/>
      <w:color w:val="7B7B7B" w:themeColor="accent3" w:themeShade="BF"/>
      <w:kern w:val="0"/>
      <w:sz w:val="20"/>
      <w:szCs w:val="20"/>
      <w14:ligatures w14:val="none"/>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rsid w:val="00966BF8"/>
    <w:rPr>
      <w:rFonts w:eastAsia="Century Gothic"/>
      <w:color w:val="BF8F00" w:themeColor="accent4" w:themeShade="BF"/>
      <w:kern w:val="0"/>
      <w:sz w:val="20"/>
      <w:szCs w:val="20"/>
      <w14:ligatures w14:val="none"/>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rsid w:val="00966BF8"/>
    <w:rPr>
      <w:rFonts w:eastAsia="Century Gothic"/>
      <w:color w:val="2E74B5" w:themeColor="accent5" w:themeShade="BF"/>
      <w:kern w:val="0"/>
      <w:sz w:val="20"/>
      <w:szCs w:val="20"/>
      <w14:ligatures w14:val="none"/>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rsid w:val="00966BF8"/>
    <w:rPr>
      <w:rFonts w:eastAsia="Century Gothic"/>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rsid w:val="00966BF8"/>
    <w:rPr>
      <w:rFonts w:eastAsia="Century Gothic"/>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CellMar>
        <w:top w:w="57" w:type="dxa"/>
        <w:left w:w="57" w:type="dxa"/>
        <w:bottom w:w="57" w:type="dxa"/>
        <w:right w:w="5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rsid w:val="00966BF8"/>
    <w:rPr>
      <w:rFonts w:eastAsia="Century Gothic"/>
      <w:kern w:val="0"/>
      <w:sz w:val="20"/>
      <w:szCs w:val="20"/>
      <w14:ligatures w14:val="none"/>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3"/>
    <w:rsid w:val="00966BF8"/>
    <w:pPr>
      <w:tabs>
        <w:tab w:val="num" w:pos="567"/>
      </w:tabs>
      <w:spacing w:after="120" w:line="280" w:lineRule="atLeast"/>
      <w:ind w:left="568" w:hanging="284"/>
    </w:pPr>
    <w:rPr>
      <w:rFonts w:eastAsia="Century Gothic"/>
      <w:color w:val="000000" w:themeColor="text1"/>
      <w:kern w:val="0"/>
      <w:sz w:val="20"/>
      <w:szCs w:val="20"/>
      <w14:ligatures w14:val="none"/>
    </w:rPr>
  </w:style>
  <w:style w:type="paragraph" w:styleId="ListBullet3">
    <w:name w:val="List Bullet 3"/>
    <w:basedOn w:val="Normal"/>
    <w:uiPriority w:val="3"/>
    <w:rsid w:val="00966BF8"/>
    <w:pPr>
      <w:tabs>
        <w:tab w:val="num" w:pos="851"/>
      </w:tabs>
      <w:spacing w:after="120" w:line="280" w:lineRule="atLeast"/>
      <w:ind w:left="852" w:hanging="284"/>
    </w:pPr>
    <w:rPr>
      <w:rFonts w:eastAsia="Century Gothic"/>
      <w:color w:val="000000" w:themeColor="text1"/>
      <w:kern w:val="0"/>
      <w:sz w:val="20"/>
      <w:szCs w:val="20"/>
      <w14:ligatures w14:val="none"/>
    </w:rPr>
  </w:style>
  <w:style w:type="paragraph" w:styleId="ListBullet4">
    <w:name w:val="List Bullet 4"/>
    <w:basedOn w:val="Normal"/>
    <w:uiPriority w:val="3"/>
    <w:semiHidden/>
    <w:unhideWhenUsed/>
    <w:rsid w:val="00966BF8"/>
    <w:pPr>
      <w:numPr>
        <w:ilvl w:val="3"/>
        <w:numId w:val="22"/>
      </w:numPr>
      <w:spacing w:after="100"/>
      <w:contextualSpacing/>
    </w:pPr>
    <w:rPr>
      <w:rFonts w:eastAsia="Century Gothic"/>
      <w:color w:val="000000" w:themeColor="text1"/>
      <w:kern w:val="0"/>
      <w:sz w:val="20"/>
      <w:szCs w:val="20"/>
      <w14:ligatures w14:val="none"/>
    </w:rPr>
  </w:style>
  <w:style w:type="paragraph" w:styleId="ListBullet5">
    <w:name w:val="List Bullet 5"/>
    <w:basedOn w:val="Normal"/>
    <w:uiPriority w:val="3"/>
    <w:semiHidden/>
    <w:unhideWhenUsed/>
    <w:rsid w:val="00966BF8"/>
    <w:pPr>
      <w:numPr>
        <w:ilvl w:val="4"/>
        <w:numId w:val="23"/>
      </w:numPr>
      <w:spacing w:after="100"/>
      <w:contextualSpacing/>
    </w:pPr>
    <w:rPr>
      <w:rFonts w:eastAsia="Century Gothic"/>
      <w:color w:val="000000" w:themeColor="text1"/>
      <w:kern w:val="0"/>
      <w:sz w:val="20"/>
      <w:szCs w:val="20"/>
      <w14:ligatures w14:val="none"/>
    </w:rPr>
  </w:style>
  <w:style w:type="paragraph" w:customStyle="1" w:styleId="TableText">
    <w:name w:val="Table Text"/>
    <w:basedOn w:val="Normal"/>
    <w:uiPriority w:val="9"/>
    <w:qFormat/>
    <w:rsid w:val="00966BF8"/>
    <w:pPr>
      <w:spacing w:before="40" w:after="40" w:line="240" w:lineRule="atLeast"/>
    </w:pPr>
    <w:rPr>
      <w:rFonts w:eastAsia="Century Gothic" w:cs="Calibri"/>
      <w:color w:val="000000" w:themeColor="text1"/>
      <w:kern w:val="0"/>
      <w:sz w:val="20"/>
      <w:szCs w:val="24"/>
      <w14:ligatures w14:val="none"/>
    </w:rPr>
  </w:style>
  <w:style w:type="numbering" w:customStyle="1" w:styleId="Headings">
    <w:name w:val="Headings"/>
    <w:uiPriority w:val="99"/>
    <w:rsid w:val="00966BF8"/>
    <w:pPr>
      <w:numPr>
        <w:numId w:val="24"/>
      </w:numPr>
    </w:pPr>
  </w:style>
  <w:style w:type="paragraph" w:customStyle="1" w:styleId="NormalBold">
    <w:name w:val="Normal Bold"/>
    <w:basedOn w:val="Normal"/>
    <w:link w:val="NormalBoldChar"/>
    <w:uiPriority w:val="50"/>
    <w:semiHidden/>
    <w:qFormat/>
    <w:rsid w:val="00966BF8"/>
    <w:pPr>
      <w:spacing w:after="160" w:line="280" w:lineRule="atLeast"/>
    </w:pPr>
    <w:rPr>
      <w:rFonts w:eastAsiaTheme="majorEastAsia" w:cs="Calibri"/>
      <w:b/>
      <w:color w:val="000000" w:themeColor="text1"/>
      <w:kern w:val="0"/>
      <w:sz w:val="20"/>
      <w:szCs w:val="24"/>
      <w:lang w:eastAsia="en-AU"/>
      <w14:ligatures w14:val="none"/>
    </w:rPr>
  </w:style>
  <w:style w:type="paragraph" w:customStyle="1" w:styleId="TableTextItalic">
    <w:name w:val="Table Text Italic"/>
    <w:basedOn w:val="TableText"/>
    <w:uiPriority w:val="9"/>
    <w:qFormat/>
    <w:rsid w:val="00966BF8"/>
    <w:rPr>
      <w:i/>
      <w:iCs/>
    </w:rPr>
  </w:style>
  <w:style w:type="character" w:customStyle="1" w:styleId="NormalBoldChar">
    <w:name w:val="Normal Bold Char"/>
    <w:basedOn w:val="DefaultParagraphFont"/>
    <w:link w:val="NormalBold"/>
    <w:uiPriority w:val="50"/>
    <w:semiHidden/>
    <w:rsid w:val="00966BF8"/>
    <w:rPr>
      <w:rFonts w:eastAsiaTheme="majorEastAsia" w:cs="Calibri"/>
      <w:b/>
      <w:color w:val="000000" w:themeColor="text1"/>
      <w:kern w:val="0"/>
      <w:sz w:val="20"/>
      <w:szCs w:val="24"/>
      <w:lang w:eastAsia="en-AU"/>
      <w14:ligatures w14:val="none"/>
    </w:rPr>
  </w:style>
  <w:style w:type="paragraph" w:styleId="TOC4">
    <w:name w:val="toc 4"/>
    <w:basedOn w:val="Normal"/>
    <w:next w:val="Normal"/>
    <w:uiPriority w:val="39"/>
    <w:semiHidden/>
    <w:rsid w:val="00966BF8"/>
    <w:pPr>
      <w:tabs>
        <w:tab w:val="right" w:leader="dot" w:pos="9638"/>
      </w:tabs>
      <w:spacing w:before="20" w:after="20" w:line="280" w:lineRule="atLeast"/>
      <w:ind w:left="1134" w:hanging="567"/>
      <w:contextualSpacing/>
    </w:pPr>
    <w:rPr>
      <w:rFonts w:eastAsiaTheme="majorEastAsia" w:cs="Calibri"/>
      <w:color w:val="000000" w:themeColor="text1"/>
      <w:kern w:val="0"/>
      <w:sz w:val="20"/>
      <w:szCs w:val="24"/>
      <w:lang w:eastAsia="en-AU"/>
      <w14:ligatures w14:val="none"/>
    </w:rPr>
  </w:style>
  <w:style w:type="paragraph" w:styleId="Subtitle">
    <w:name w:val="Subtitle"/>
    <w:basedOn w:val="Normal"/>
    <w:next w:val="Normal"/>
    <w:link w:val="SubtitleChar"/>
    <w:uiPriority w:val="49"/>
    <w:rsid w:val="00966BF8"/>
    <w:pPr>
      <w:numPr>
        <w:ilvl w:val="1"/>
      </w:numPr>
      <w:spacing w:after="640"/>
    </w:pPr>
    <w:rPr>
      <w:rFonts w:eastAsiaTheme="minorEastAsia"/>
      <w:b/>
      <w:color w:val="E7E6E6" w:themeColor="background2"/>
      <w:kern w:val="0"/>
      <w:sz w:val="32"/>
      <w:lang w:eastAsia="en-AU"/>
      <w14:ligatures w14:val="none"/>
    </w:rPr>
  </w:style>
  <w:style w:type="character" w:customStyle="1" w:styleId="SubtitleChar">
    <w:name w:val="Subtitle Char"/>
    <w:basedOn w:val="DefaultParagraphFont"/>
    <w:link w:val="Subtitle"/>
    <w:uiPriority w:val="49"/>
    <w:rsid w:val="00966BF8"/>
    <w:rPr>
      <w:rFonts w:eastAsiaTheme="minorEastAsia"/>
      <w:b/>
      <w:color w:val="E7E6E6" w:themeColor="background2"/>
      <w:kern w:val="0"/>
      <w:sz w:val="32"/>
      <w:lang w:eastAsia="en-AU"/>
      <w14:ligatures w14:val="none"/>
    </w:rPr>
  </w:style>
  <w:style w:type="paragraph" w:customStyle="1" w:styleId="CoverTitle">
    <w:name w:val="Cover Title"/>
    <w:uiPriority w:val="19"/>
    <w:semiHidden/>
    <w:qFormat/>
    <w:rsid w:val="00966BF8"/>
    <w:pPr>
      <w:numPr>
        <w:numId w:val="27"/>
      </w:numPr>
    </w:pPr>
    <w:rPr>
      <w:rFonts w:eastAsiaTheme="majorEastAsia" w:cs="Calibri"/>
      <w:bCs/>
      <w:iCs/>
      <w:color w:val="E7E6E6" w:themeColor="background2"/>
      <w:kern w:val="0"/>
      <w:sz w:val="72"/>
      <w:szCs w:val="28"/>
      <w:lang w:eastAsia="en-AU"/>
      <w14:ligatures w14:val="none"/>
    </w:rPr>
  </w:style>
  <w:style w:type="table" w:customStyle="1" w:styleId="PlainGridBlack">
    <w:name w:val="_Plain Grid Black"/>
    <w:basedOn w:val="TableNormal"/>
    <w:uiPriority w:val="99"/>
    <w:rsid w:val="00966BF8"/>
    <w:rPr>
      <w:rFonts w:eastAsia="Times New Roman" w:cs="Times New Roman"/>
      <w:color w:val="4472C4" w:themeColor="accent1"/>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ColorfulGrid">
    <w:name w:val="Colorful Grid"/>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8"/>
    <w:semiHidden/>
    <w:unhideWhenUsed/>
    <w:rsid w:val="00966BF8"/>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unhideWhenUsed/>
    <w:rsid w:val="00966BF8"/>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98"/>
    <w:semiHidden/>
    <w:unhideWhenUsed/>
    <w:rsid w:val="00966BF8"/>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8"/>
    <w:semiHidden/>
    <w:unhideWhenUsed/>
    <w:rsid w:val="00966BF8"/>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8"/>
    <w:semiHidden/>
    <w:unhideWhenUsed/>
    <w:rsid w:val="00966BF8"/>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8"/>
    <w:semiHidden/>
    <w:unhideWhenUsed/>
    <w:rsid w:val="00966BF8"/>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98"/>
    <w:semiHidden/>
    <w:unhideWhenUsed/>
    <w:rsid w:val="00966BF8"/>
    <w:rPr>
      <w:rFonts w:ascii="Times New Roman" w:eastAsia="Times New Roman" w:hAnsi="Times New Roman" w:cs="Times New Roman"/>
      <w:color w:val="FFFFFF" w:themeColor="background1"/>
      <w:kern w:val="0"/>
      <w:sz w:val="20"/>
      <w:szCs w:val="20"/>
      <w:lang w:eastAsia="en-AU"/>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8"/>
    <w:semiHidden/>
    <w:unhideWhenUsed/>
    <w:rsid w:val="00966BF8"/>
    <w:rPr>
      <w:rFonts w:ascii="Times New Roman" w:eastAsia="Times New Roman" w:hAnsi="Times New Roman" w:cs="Times New Roman"/>
      <w:color w:val="000000" w:themeColor="text1" w:themeShade="BF"/>
      <w:kern w:val="0"/>
      <w:sz w:val="20"/>
      <w:szCs w:val="20"/>
      <w:lang w:eastAsia="en-AU"/>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unhideWhenUsed/>
    <w:rsid w:val="00966BF8"/>
    <w:rPr>
      <w:rFonts w:ascii="Times New Roman" w:eastAsia="Times New Roman" w:hAnsi="Times New Roman" w:cs="Times New Roman"/>
      <w:color w:val="2F5496" w:themeColor="accent1" w:themeShade="BF"/>
      <w:kern w:val="0"/>
      <w:sz w:val="20"/>
      <w:szCs w:val="20"/>
      <w:lang w:eastAsia="en-AU"/>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8"/>
    <w:semiHidden/>
    <w:unhideWhenUsed/>
    <w:rsid w:val="00966BF8"/>
    <w:rPr>
      <w:rFonts w:ascii="Times New Roman" w:eastAsia="Times New Roman" w:hAnsi="Times New Roman" w:cs="Times New Roman"/>
      <w:color w:val="C45911" w:themeColor="accent2" w:themeShade="BF"/>
      <w:kern w:val="0"/>
      <w:sz w:val="20"/>
      <w:szCs w:val="20"/>
      <w:lang w:eastAsia="en-AU"/>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8"/>
    <w:semiHidden/>
    <w:unhideWhenUsed/>
    <w:rsid w:val="00966BF8"/>
    <w:rPr>
      <w:rFonts w:ascii="Times New Roman" w:eastAsia="Times New Roman" w:hAnsi="Times New Roman" w:cs="Times New Roman"/>
      <w:color w:val="7B7B7B" w:themeColor="accent3" w:themeShade="BF"/>
      <w:kern w:val="0"/>
      <w:sz w:val="20"/>
      <w:szCs w:val="20"/>
      <w:lang w:eastAsia="en-AU"/>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8"/>
    <w:semiHidden/>
    <w:unhideWhenUsed/>
    <w:rsid w:val="00966BF8"/>
    <w:rPr>
      <w:rFonts w:ascii="Times New Roman" w:eastAsia="Times New Roman" w:hAnsi="Times New Roman" w:cs="Times New Roman"/>
      <w:color w:val="BF8F00" w:themeColor="accent4" w:themeShade="BF"/>
      <w:kern w:val="0"/>
      <w:sz w:val="20"/>
      <w:szCs w:val="20"/>
      <w:lang w:eastAsia="en-AU"/>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8"/>
    <w:semiHidden/>
    <w:unhideWhenUsed/>
    <w:rsid w:val="00966BF8"/>
    <w:rPr>
      <w:rFonts w:ascii="Times New Roman" w:eastAsia="Times New Roman" w:hAnsi="Times New Roman" w:cs="Times New Roman"/>
      <w:color w:val="2E74B5" w:themeColor="accent5" w:themeShade="BF"/>
      <w:kern w:val="0"/>
      <w:sz w:val="20"/>
      <w:szCs w:val="20"/>
      <w:lang w:eastAsia="en-AU"/>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8"/>
    <w:semiHidden/>
    <w:unhideWhenUsed/>
    <w:rsid w:val="00966BF8"/>
    <w:rPr>
      <w:rFonts w:ascii="Times New Roman" w:eastAsia="Times New Roman" w:hAnsi="Times New Roman" w:cs="Times New Roman"/>
      <w:color w:val="538135" w:themeColor="accent6" w:themeShade="BF"/>
      <w:kern w:val="0"/>
      <w:sz w:val="20"/>
      <w:szCs w:val="20"/>
      <w:lang w:eastAsia="en-AU"/>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7Colorful-Accent6">
    <w:name w:val="List Table 7 Colorful Accent 6"/>
    <w:basedOn w:val="TableNormal"/>
    <w:uiPriority w:val="98"/>
    <w:rsid w:val="00966BF8"/>
    <w:rPr>
      <w:rFonts w:ascii="Times New Roman" w:eastAsia="Times New Roman" w:hAnsi="Times New Roman" w:cs="Times New Roman"/>
      <w:color w:val="538135" w:themeColor="accent6" w:themeShade="BF"/>
      <w:kern w:val="0"/>
      <w:sz w:val="20"/>
      <w:szCs w:val="20"/>
      <w:lang w:eastAsia="en-AU"/>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8"/>
    <w:semiHidden/>
    <w:unhideWhenUsed/>
    <w:rsid w:val="00966BF8"/>
    <w:rPr>
      <w:rFonts w:ascii="Times New Roman" w:eastAsia="Times New Roman" w:hAnsi="Times New Roman" w:cs="Times New Roman"/>
      <w:color w:val="000000" w:themeColor="text1"/>
      <w:kern w:val="0"/>
      <w:sz w:val="20"/>
      <w:szCs w:val="20"/>
      <w:lang w:eastAsia="en-AU"/>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966BF8"/>
    <w:rPr>
      <w:rFonts w:asciiTheme="majorHAnsi" w:eastAsiaTheme="majorEastAsia" w:hAnsiTheme="majorHAnsi" w:cstheme="majorBidi"/>
      <w:color w:val="000000" w:themeColor="text1"/>
      <w:kern w:val="0"/>
      <w:sz w:val="20"/>
      <w:szCs w:val="20"/>
      <w:lang w:eastAsia="en-AU"/>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966BF8"/>
    <w:rPr>
      <w:rFonts w:ascii="Times New Roman" w:eastAsia="Times New Roman" w:hAnsi="Times New Roman" w:cs="Times New Roman"/>
      <w:kern w:val="0"/>
      <w:sz w:val="20"/>
      <w:szCs w:val="20"/>
      <w:lang w:eastAsia="en-AU"/>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966BF8"/>
    <w:pPr>
      <w:spacing w:after="227" w:line="220" w:lineRule="atLeast"/>
    </w:pPr>
    <w:rPr>
      <w:rFonts w:ascii="Times New Roman" w:eastAsia="Times New Roman" w:hAnsi="Times New Roman" w:cs="Times New Roman"/>
      <w:color w:val="000080"/>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966BF8"/>
    <w:pPr>
      <w:spacing w:after="227" w:line="220" w:lineRule="atLeast"/>
    </w:pPr>
    <w:rPr>
      <w:rFonts w:ascii="Times New Roman" w:eastAsia="Times New Roman" w:hAnsi="Times New Roman" w:cs="Times New Roman"/>
      <w:color w:val="FFFFFF"/>
      <w:kern w:val="0"/>
      <w:sz w:val="20"/>
      <w:szCs w:val="20"/>
      <w:lang w:eastAsia="en-A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966BF8"/>
    <w:pPr>
      <w:spacing w:after="227" w:line="220" w:lineRule="atLeast"/>
    </w:pPr>
    <w:rPr>
      <w:rFonts w:ascii="Times New Roman" w:eastAsia="Times New Roman" w:hAnsi="Times New Roman" w:cs="Times New Roman"/>
      <w:b/>
      <w:bCs/>
      <w:kern w:val="0"/>
      <w:sz w:val="20"/>
      <w:szCs w:val="20"/>
      <w:lang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966BF8"/>
    <w:pPr>
      <w:spacing w:after="227" w:line="220" w:lineRule="atLeast"/>
    </w:pPr>
    <w:rPr>
      <w:rFonts w:ascii="Times New Roman" w:eastAsia="Times New Roman" w:hAnsi="Times New Roman" w:cs="Times New Roman"/>
      <w:b/>
      <w:bCs/>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966BF8"/>
    <w:pPr>
      <w:spacing w:after="227" w:line="220" w:lineRule="atLeast"/>
    </w:pPr>
    <w:rPr>
      <w:rFonts w:ascii="Times New Roman" w:eastAsia="Times New Roman" w:hAnsi="Times New Roman" w:cs="Times New Roman"/>
      <w:b/>
      <w:bCs/>
      <w:kern w:val="0"/>
      <w:sz w:val="20"/>
      <w:szCs w:val="20"/>
      <w:lang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966BF8"/>
    <w:pPr>
      <w:spacing w:after="227" w:line="220" w:lineRule="atLeast"/>
    </w:pPr>
    <w:rPr>
      <w:rFonts w:ascii="Times New Roman" w:eastAsia="Times New Roman" w:hAnsi="Times New Roman" w:cs="Times New Roman"/>
      <w:b/>
      <w:bCs/>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rsid w:val="00966BF8"/>
    <w:rPr>
      <w:rFonts w:ascii="Times New Roman" w:eastAsia="Times New Roman" w:hAnsi="Times New Roman" w:cs="Times New Roman"/>
      <w:kern w:val="0"/>
      <w:sz w:val="20"/>
      <w:szCs w:val="20"/>
      <w:lang w:eastAsia="en-A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966BF8"/>
    <w:pPr>
      <w:spacing w:after="227" w:line="220" w:lineRule="atLeast"/>
    </w:pPr>
    <w:rPr>
      <w:rFonts w:ascii="Times New Roman" w:eastAsia="Times New Roman" w:hAnsi="Times New Roman" w:cs="Times New Roman"/>
      <w:kern w:val="0"/>
      <w:sz w:val="20"/>
      <w:szCs w:val="20"/>
      <w:lang w:eastAsia="en-A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Text">
    <w:name w:val="Header Text"/>
    <w:basedOn w:val="Normal"/>
    <w:uiPriority w:val="12"/>
    <w:semiHidden/>
    <w:rsid w:val="00966BF8"/>
    <w:pPr>
      <w:spacing w:after="160" w:line="204" w:lineRule="auto"/>
    </w:pPr>
    <w:rPr>
      <w:rFonts w:asciiTheme="majorHAnsi" w:eastAsiaTheme="majorEastAsia" w:hAnsiTheme="majorHAnsi" w:cs="Calibri"/>
      <w:b/>
      <w:color w:val="44546A" w:themeColor="text2"/>
      <w:kern w:val="0"/>
      <w:sz w:val="40"/>
      <w:szCs w:val="24"/>
      <w:lang w:eastAsia="en-AU"/>
      <w14:ligatures w14:val="none"/>
    </w:rPr>
  </w:style>
  <w:style w:type="paragraph" w:customStyle="1" w:styleId="IntroCopy">
    <w:name w:val="Intro Copy"/>
    <w:basedOn w:val="Normal"/>
    <w:uiPriority w:val="2"/>
    <w:qFormat/>
    <w:rsid w:val="00966BF8"/>
    <w:pPr>
      <w:spacing w:before="240" w:line="340" w:lineRule="atLeast"/>
    </w:pPr>
    <w:rPr>
      <w:rFonts w:eastAsiaTheme="majorEastAsia" w:cs="Calibri"/>
      <w:i/>
      <w:color w:val="2294CD"/>
      <w:kern w:val="0"/>
      <w:sz w:val="24"/>
      <w:szCs w:val="24"/>
      <w:lang w:eastAsia="en-AU"/>
      <w14:ligatures w14:val="none"/>
    </w:rPr>
  </w:style>
  <w:style w:type="paragraph" w:customStyle="1" w:styleId="SourceNotes">
    <w:name w:val="Source Notes"/>
    <w:basedOn w:val="Normal"/>
    <w:uiPriority w:val="12"/>
    <w:qFormat/>
    <w:rsid w:val="00966BF8"/>
    <w:pPr>
      <w:spacing w:before="40" w:after="160" w:line="240" w:lineRule="atLeast"/>
    </w:pPr>
    <w:rPr>
      <w:rFonts w:eastAsiaTheme="majorEastAsia" w:cs="Calibri"/>
      <w:color w:val="507CB9"/>
      <w:kern w:val="0"/>
      <w:sz w:val="18"/>
      <w:szCs w:val="24"/>
      <w:lang w:eastAsia="en-AU"/>
      <w14:ligatures w14:val="none"/>
    </w:rPr>
  </w:style>
  <w:style w:type="paragraph" w:customStyle="1" w:styleId="NumberedHeading1">
    <w:name w:val="Numbered Heading 1"/>
    <w:basedOn w:val="Heading1"/>
    <w:next w:val="Normal"/>
    <w:link w:val="NumberedHeading1Char"/>
    <w:uiPriority w:val="1"/>
    <w:rsid w:val="00966BF8"/>
    <w:pPr>
      <w:keepNext w:val="0"/>
      <w:keepLines w:val="0"/>
      <w:numPr>
        <w:ilvl w:val="1"/>
        <w:numId w:val="27"/>
      </w:numPr>
      <w:pBdr>
        <w:bottom w:val="single" w:sz="4" w:space="1" w:color="E7E6E6" w:themeColor="background2"/>
      </w:pBdr>
      <w:spacing w:after="160" w:line="280" w:lineRule="atLeast"/>
    </w:pPr>
    <w:rPr>
      <w:rFonts w:cs="Calibri"/>
      <w:bCs/>
      <w:iCs/>
      <w:caps/>
      <w:color w:val="E7E6E6" w:themeColor="background2"/>
      <w:kern w:val="0"/>
      <w:szCs w:val="28"/>
      <w:lang w:eastAsia="en-AU"/>
      <w14:ligatures w14:val="none"/>
    </w:rPr>
  </w:style>
  <w:style w:type="paragraph" w:customStyle="1" w:styleId="NumberedHeading2">
    <w:name w:val="Numbered Heading 2"/>
    <w:basedOn w:val="Heading2"/>
    <w:link w:val="NumberedHeading2Char"/>
    <w:uiPriority w:val="1"/>
    <w:rsid w:val="00966BF8"/>
    <w:pPr>
      <w:numPr>
        <w:ilvl w:val="2"/>
        <w:numId w:val="27"/>
      </w:numPr>
      <w:spacing w:after="160" w:line="280" w:lineRule="atLeast"/>
    </w:pPr>
    <w:rPr>
      <w:rFonts w:cs="Calibri"/>
      <w:b w:val="0"/>
      <w:bCs w:val="0"/>
      <w:iCs/>
      <w:caps/>
      <w:color w:val="ED7D31" w:themeColor="accent2"/>
      <w:kern w:val="0"/>
      <w:sz w:val="28"/>
      <w:lang w:eastAsia="en-AU"/>
      <w14:ligatures w14:val="none"/>
    </w:rPr>
  </w:style>
  <w:style w:type="character" w:customStyle="1" w:styleId="NumberedHeading1Char">
    <w:name w:val="Numbered Heading 1 Char"/>
    <w:basedOn w:val="Heading1Char"/>
    <w:link w:val="NumberedHeading1"/>
    <w:uiPriority w:val="1"/>
    <w:rsid w:val="00966BF8"/>
    <w:rPr>
      <w:rFonts w:asciiTheme="majorHAnsi" w:eastAsiaTheme="majorEastAsia" w:hAnsiTheme="majorHAnsi" w:cs="Calibri"/>
      <w:bCs/>
      <w:iCs/>
      <w:caps/>
      <w:color w:val="E7E6E6" w:themeColor="background2"/>
      <w:kern w:val="0"/>
      <w:sz w:val="32"/>
      <w:szCs w:val="28"/>
      <w:lang w:eastAsia="en-AU"/>
      <w14:ligatures w14:val="none"/>
    </w:rPr>
  </w:style>
  <w:style w:type="paragraph" w:customStyle="1" w:styleId="NumberedHeading3">
    <w:name w:val="Numbered Heading 3"/>
    <w:basedOn w:val="Heading3"/>
    <w:next w:val="NormalIndented3"/>
    <w:link w:val="NumberedHeading3Char"/>
    <w:uiPriority w:val="1"/>
    <w:rsid w:val="00966BF8"/>
    <w:pPr>
      <w:numPr>
        <w:ilvl w:val="3"/>
        <w:numId w:val="27"/>
      </w:numPr>
    </w:pPr>
  </w:style>
  <w:style w:type="numbering" w:customStyle="1" w:styleId="MasterHeadings">
    <w:name w:val="_MasterHeadings"/>
    <w:uiPriority w:val="99"/>
    <w:rsid w:val="00966BF8"/>
    <w:pPr>
      <w:numPr>
        <w:numId w:val="25"/>
      </w:numPr>
    </w:pPr>
  </w:style>
  <w:style w:type="character" w:customStyle="1" w:styleId="NumberedHeading3Char">
    <w:name w:val="Numbered Heading 3 Char"/>
    <w:basedOn w:val="Heading3Char"/>
    <w:link w:val="NumberedHeading3"/>
    <w:uiPriority w:val="1"/>
    <w:rsid w:val="00966BF8"/>
    <w:rPr>
      <w:rFonts w:eastAsiaTheme="majorEastAsia" w:cs="Calibri"/>
      <w:b/>
      <w:bCs/>
      <w:iCs w:val="0"/>
      <w:color w:val="507CB9"/>
      <w:kern w:val="0"/>
      <w:sz w:val="24"/>
      <w:szCs w:val="26"/>
      <w:lang w:eastAsia="en-AU"/>
      <w14:ligatures w14:val="none"/>
    </w:rPr>
  </w:style>
  <w:style w:type="character" w:customStyle="1" w:styleId="NumberedHeading2Char">
    <w:name w:val="Numbered Heading 2 Char"/>
    <w:basedOn w:val="Heading2Char"/>
    <w:link w:val="NumberedHeading2"/>
    <w:uiPriority w:val="1"/>
    <w:rsid w:val="00966BF8"/>
    <w:rPr>
      <w:rFonts w:asciiTheme="majorHAnsi" w:eastAsiaTheme="majorEastAsia" w:hAnsiTheme="majorHAnsi" w:cs="Calibri"/>
      <w:b w:val="0"/>
      <w:bCs w:val="0"/>
      <w:iCs/>
      <w:caps/>
      <w:color w:val="ED7D31" w:themeColor="accent2"/>
      <w:kern w:val="0"/>
      <w:sz w:val="28"/>
      <w:szCs w:val="26"/>
      <w:lang w:eastAsia="en-AU"/>
      <w14:ligatures w14:val="none"/>
    </w:rPr>
  </w:style>
  <w:style w:type="table" w:customStyle="1" w:styleId="TableGrid30">
    <w:name w:val="Table Grid3"/>
    <w:basedOn w:val="TableNormal"/>
    <w:next w:val="TableGrid"/>
    <w:uiPriority w:val="39"/>
    <w:rsid w:val="00966BF8"/>
    <w:rPr>
      <w:rFonts w:ascii="Arial" w:eastAsia="Arial" w:hAnsi="Arial"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1">
    <w:name w:val="Normal Indented 1"/>
    <w:basedOn w:val="Normal"/>
    <w:uiPriority w:val="2"/>
    <w:rsid w:val="00966BF8"/>
    <w:pPr>
      <w:spacing w:after="160" w:line="280" w:lineRule="atLeast"/>
      <w:ind w:left="284"/>
    </w:pPr>
    <w:rPr>
      <w:rFonts w:eastAsiaTheme="majorEastAsia" w:cs="Calibri"/>
      <w:color w:val="000000" w:themeColor="text1"/>
      <w:kern w:val="0"/>
      <w:sz w:val="20"/>
      <w:szCs w:val="24"/>
      <w:lang w:eastAsia="en-AU"/>
      <w14:ligatures w14:val="none"/>
    </w:rPr>
  </w:style>
  <w:style w:type="paragraph" w:customStyle="1" w:styleId="NormalIndented2">
    <w:name w:val="Normal Indented 2"/>
    <w:basedOn w:val="NormalIndented1"/>
    <w:uiPriority w:val="2"/>
    <w:rsid w:val="00966BF8"/>
    <w:pPr>
      <w:ind w:left="567"/>
    </w:pPr>
  </w:style>
  <w:style w:type="paragraph" w:customStyle="1" w:styleId="NormalIndented3">
    <w:name w:val="Normal Indented 3"/>
    <w:basedOn w:val="Normal"/>
    <w:uiPriority w:val="2"/>
    <w:rsid w:val="00966BF8"/>
    <w:pPr>
      <w:spacing w:after="160" w:line="280" w:lineRule="atLeast"/>
      <w:ind w:left="851"/>
    </w:pPr>
    <w:rPr>
      <w:rFonts w:eastAsiaTheme="majorEastAsia" w:cs="Calibri"/>
      <w:color w:val="000000" w:themeColor="text1"/>
      <w:kern w:val="0"/>
      <w:sz w:val="20"/>
      <w:szCs w:val="24"/>
      <w:lang w:eastAsia="en-AU"/>
      <w14:ligatures w14:val="none"/>
    </w:rPr>
  </w:style>
  <w:style w:type="paragraph" w:customStyle="1" w:styleId="Date-FooterLink">
    <w:name w:val="Date - Footer Link"/>
    <w:basedOn w:val="Normal"/>
    <w:semiHidden/>
    <w:qFormat/>
    <w:rsid w:val="00966BF8"/>
    <w:pPr>
      <w:spacing w:after="160" w:line="280" w:lineRule="atLeast"/>
    </w:pPr>
    <w:rPr>
      <w:rFonts w:asciiTheme="majorHAnsi" w:eastAsiaTheme="majorEastAsia" w:hAnsiTheme="majorHAnsi" w:cs="Calibri"/>
      <w:b/>
      <w:color w:val="44546A" w:themeColor="text2"/>
      <w:kern w:val="0"/>
      <w:sz w:val="24"/>
      <w:szCs w:val="24"/>
      <w:lang w:eastAsia="en-AU"/>
      <w14:ligatures w14:val="none"/>
    </w:rPr>
  </w:style>
  <w:style w:type="paragraph" w:customStyle="1" w:styleId="TableHeadingBlue">
    <w:name w:val="Table Heading Blue"/>
    <w:basedOn w:val="TableHeading"/>
    <w:next w:val="TableText"/>
    <w:link w:val="TableHeadingBlueChar"/>
    <w:uiPriority w:val="9"/>
    <w:qFormat/>
    <w:rsid w:val="00966BF8"/>
    <w:rPr>
      <w:color w:val="E7E6E6" w:themeColor="background2"/>
    </w:rPr>
  </w:style>
  <w:style w:type="character" w:customStyle="1" w:styleId="TableHeadingChar">
    <w:name w:val="Table Heading Char"/>
    <w:basedOn w:val="DefaultParagraphFont"/>
    <w:link w:val="TableHeading"/>
    <w:uiPriority w:val="9"/>
    <w:rsid w:val="00966BF8"/>
    <w:rPr>
      <w:rFonts w:eastAsia="Century Gothic" w:cs="Calibri"/>
      <w:b/>
      <w:bCs/>
      <w:color w:val="FFFFFF"/>
      <w:kern w:val="0"/>
      <w:sz w:val="20"/>
      <w:szCs w:val="24"/>
      <w14:ligatures w14:val="none"/>
    </w:rPr>
  </w:style>
  <w:style w:type="character" w:customStyle="1" w:styleId="TableHeadingBlueChar">
    <w:name w:val="Table Heading Blue Char"/>
    <w:basedOn w:val="TableHeadingChar"/>
    <w:link w:val="TableHeadingBlue"/>
    <w:uiPriority w:val="9"/>
    <w:rsid w:val="00966BF8"/>
    <w:rPr>
      <w:rFonts w:eastAsia="Century Gothic" w:cs="Calibri"/>
      <w:b/>
      <w:bCs/>
      <w:color w:val="E7E6E6" w:themeColor="background2"/>
      <w:kern w:val="0"/>
      <w:sz w:val="20"/>
      <w:szCs w:val="24"/>
      <w14:ligatures w14:val="none"/>
    </w:rPr>
  </w:style>
  <w:style w:type="paragraph" w:customStyle="1" w:styleId="Heading1NOTOC">
    <w:name w:val="Heading 1 NO TOC"/>
    <w:basedOn w:val="Heading1"/>
    <w:uiPriority w:val="1"/>
    <w:qFormat/>
    <w:rsid w:val="00966BF8"/>
    <w:pPr>
      <w:keepNext w:val="0"/>
      <w:keepLines w:val="0"/>
      <w:pBdr>
        <w:bottom w:val="single" w:sz="4" w:space="1" w:color="E7E6E6" w:themeColor="background2"/>
      </w:pBdr>
      <w:spacing w:after="160" w:line="280" w:lineRule="atLeast"/>
      <w:outlineLvl w:val="9"/>
    </w:pPr>
    <w:rPr>
      <w:rFonts w:asciiTheme="minorHAnsi" w:hAnsiTheme="minorHAnsi" w:cs="Calibri"/>
      <w:bCs/>
      <w:iCs/>
      <w:caps/>
      <w:color w:val="E7E6E6" w:themeColor="background2"/>
      <w:kern w:val="0"/>
      <w:szCs w:val="28"/>
      <w:lang w:eastAsia="en-AU"/>
      <w14:ligatures w14:val="none"/>
    </w:rPr>
  </w:style>
  <w:style w:type="paragraph" w:customStyle="1" w:styleId="IntroCopySolid">
    <w:name w:val="Intro Copy Solid"/>
    <w:basedOn w:val="IntroCopy"/>
    <w:uiPriority w:val="2"/>
    <w:qFormat/>
    <w:rsid w:val="00966BF8"/>
    <w:pPr>
      <w:pBdr>
        <w:top w:val="single" w:sz="8" w:space="8" w:color="2294CD"/>
        <w:left w:val="single" w:sz="8" w:space="8" w:color="2294CD"/>
        <w:bottom w:val="single" w:sz="8" w:space="8" w:color="2294CD"/>
        <w:right w:val="single" w:sz="8" w:space="8" w:color="2294CD"/>
      </w:pBdr>
      <w:shd w:val="clear" w:color="auto" w:fill="2294CD"/>
      <w:spacing w:line="276" w:lineRule="auto"/>
      <w:ind w:left="159" w:right="159"/>
      <w:contextualSpacing/>
    </w:pPr>
    <w:rPr>
      <w:color w:val="FFFFFF" w:themeColor="background1"/>
    </w:rPr>
  </w:style>
  <w:style w:type="table" w:customStyle="1" w:styleId="TableGrid10">
    <w:name w:val="Table Grid1"/>
    <w:basedOn w:val="TableNormal"/>
    <w:next w:val="TableGrid"/>
    <w:uiPriority w:val="59"/>
    <w:semiHidden/>
    <w:rsid w:val="00966BF8"/>
    <w:rPr>
      <w:rFonts w:ascii="Calibri" w:eastAsia="Times New Roman" w:hAnsi="Calibri" w:cs="Times New Roman"/>
      <w:kern w:val="0"/>
      <w:sz w:val="20"/>
      <w:szCs w:val="20"/>
      <w:lang w:eastAsia="en-A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pterHeading">
    <w:name w:val="Chapter Heading"/>
    <w:next w:val="Normal"/>
    <w:qFormat/>
    <w:rsid w:val="00966BF8"/>
    <w:pPr>
      <w:pageBreakBefore/>
      <w:pBdr>
        <w:top w:val="single" w:sz="2" w:space="6" w:color="2294CD"/>
        <w:left w:val="single" w:sz="2" w:space="6" w:color="2294CD"/>
        <w:bottom w:val="single" w:sz="2" w:space="6" w:color="2294CD"/>
        <w:right w:val="single" w:sz="2" w:space="6" w:color="2294CD"/>
      </w:pBdr>
      <w:shd w:val="clear" w:color="auto" w:fill="2294CD"/>
      <w:spacing w:after="240"/>
    </w:pPr>
    <w:rPr>
      <w:rFonts w:eastAsiaTheme="majorEastAsia" w:cs="Calibri"/>
      <w:bCs/>
      <w:iCs/>
      <w:caps/>
      <w:color w:val="FFFFFF" w:themeColor="background1"/>
      <w:kern w:val="0"/>
      <w:sz w:val="44"/>
      <w:szCs w:val="28"/>
      <w:lang w:eastAsia="en-AU"/>
      <w14:ligatures w14:val="none"/>
    </w:rPr>
  </w:style>
  <w:style w:type="paragraph" w:styleId="TOC5">
    <w:name w:val="toc 5"/>
    <w:basedOn w:val="Normal"/>
    <w:next w:val="Normal"/>
    <w:uiPriority w:val="39"/>
    <w:semiHidden/>
    <w:rsid w:val="00966BF8"/>
    <w:pPr>
      <w:tabs>
        <w:tab w:val="left" w:pos="1134"/>
        <w:tab w:val="right" w:leader="dot" w:pos="9628"/>
      </w:tabs>
      <w:spacing w:after="100" w:line="280" w:lineRule="atLeast"/>
      <w:ind w:left="1701" w:hanging="567"/>
      <w:contextualSpacing/>
    </w:pPr>
    <w:rPr>
      <w:rFonts w:eastAsiaTheme="majorEastAsia" w:cs="Calibri"/>
      <w:i/>
      <w:color w:val="000000" w:themeColor="text1"/>
      <w:kern w:val="0"/>
      <w:sz w:val="20"/>
      <w:szCs w:val="24"/>
      <w:lang w:eastAsia="en-AU"/>
      <w14:ligatures w14:val="none"/>
    </w:rPr>
  </w:style>
  <w:style w:type="paragraph" w:styleId="TOC6">
    <w:name w:val="toc 6"/>
    <w:basedOn w:val="Normal"/>
    <w:next w:val="Normal"/>
    <w:autoRedefine/>
    <w:uiPriority w:val="39"/>
    <w:semiHidden/>
    <w:rsid w:val="00966BF8"/>
    <w:pPr>
      <w:tabs>
        <w:tab w:val="left" w:pos="1760"/>
        <w:tab w:val="right" w:leader="dot" w:pos="9628"/>
      </w:tabs>
      <w:spacing w:after="100" w:line="280" w:lineRule="atLeast"/>
      <w:ind w:left="1000"/>
    </w:pPr>
    <w:rPr>
      <w:rFonts w:eastAsiaTheme="majorEastAsia" w:cs="Calibri"/>
      <w:noProof/>
      <w:color w:val="000000" w:themeColor="text1"/>
      <w:kern w:val="0"/>
      <w:sz w:val="20"/>
      <w:szCs w:val="24"/>
      <w:lang w:eastAsia="en-AU"/>
      <w14:ligatures w14:val="none"/>
    </w:rPr>
  </w:style>
  <w:style w:type="paragraph" w:styleId="Caption">
    <w:name w:val="caption"/>
    <w:basedOn w:val="Normal"/>
    <w:next w:val="Normal"/>
    <w:uiPriority w:val="8"/>
    <w:rsid w:val="00966BF8"/>
    <w:pPr>
      <w:spacing w:before="240" w:after="120"/>
    </w:pPr>
    <w:rPr>
      <w:rFonts w:eastAsiaTheme="majorEastAsia" w:cs="Calibri"/>
      <w:b/>
      <w:iCs/>
      <w:color w:val="507CB9"/>
      <w:kern w:val="0"/>
      <w:szCs w:val="18"/>
      <w:lang w:eastAsia="en-AU"/>
      <w14:ligatures w14:val="none"/>
    </w:rPr>
  </w:style>
  <w:style w:type="paragraph" w:customStyle="1" w:styleId="CVBody">
    <w:name w:val="CV Body"/>
    <w:basedOn w:val="Normal"/>
    <w:uiPriority w:val="13"/>
    <w:semiHidden/>
    <w:qFormat/>
    <w:rsid w:val="00966BF8"/>
    <w:pPr>
      <w:spacing w:after="60" w:line="200" w:lineRule="atLeast"/>
    </w:pPr>
    <w:rPr>
      <w:rFonts w:eastAsia="Arial" w:cs="Times New Roman"/>
      <w:kern w:val="0"/>
      <w:sz w:val="18"/>
      <w14:ligatures w14:val="none"/>
    </w:rPr>
  </w:style>
  <w:style w:type="paragraph" w:customStyle="1" w:styleId="CoverSubtitle">
    <w:name w:val="Cover Subtitle"/>
    <w:basedOn w:val="CoverTitle"/>
    <w:uiPriority w:val="19"/>
    <w:semiHidden/>
    <w:qFormat/>
    <w:rsid w:val="00966BF8"/>
    <w:pPr>
      <w:spacing w:before="240"/>
    </w:pPr>
    <w:rPr>
      <w:b/>
      <w:caps/>
      <w:sz w:val="48"/>
    </w:rPr>
  </w:style>
  <w:style w:type="character" w:customStyle="1" w:styleId="ListNumberChar">
    <w:name w:val="List Number Char"/>
    <w:basedOn w:val="DefaultParagraphFont"/>
    <w:link w:val="ListNumber"/>
    <w:uiPriority w:val="3"/>
    <w:rsid w:val="00966BF8"/>
    <w:rPr>
      <w:rFonts w:eastAsia="Century Gothic"/>
      <w:color w:val="000000" w:themeColor="text1"/>
      <w:kern w:val="0"/>
      <w:sz w:val="20"/>
      <w:szCs w:val="20"/>
      <w14:ligatures w14:val="none"/>
    </w:rPr>
  </w:style>
  <w:style w:type="paragraph" w:customStyle="1" w:styleId="CVLabel">
    <w:name w:val="CV Label"/>
    <w:basedOn w:val="Normal"/>
    <w:uiPriority w:val="13"/>
    <w:semiHidden/>
    <w:qFormat/>
    <w:rsid w:val="00966BF8"/>
    <w:pPr>
      <w:spacing w:line="240" w:lineRule="exact"/>
      <w:ind w:left="-6" w:right="-45"/>
    </w:pPr>
    <w:rPr>
      <w:rFonts w:eastAsia="Arial" w:cs="Times New Roman"/>
      <w:b/>
      <w:bCs/>
      <w:color w:val="2294CD"/>
      <w:kern w:val="0"/>
      <w:sz w:val="19"/>
      <w:szCs w:val="20"/>
      <w14:ligatures w14:val="none"/>
    </w:rPr>
  </w:style>
  <w:style w:type="paragraph" w:customStyle="1" w:styleId="CVHeading">
    <w:name w:val="CV Heading"/>
    <w:basedOn w:val="Normal"/>
    <w:uiPriority w:val="13"/>
    <w:semiHidden/>
    <w:qFormat/>
    <w:rsid w:val="00966BF8"/>
    <w:pPr>
      <w:spacing w:after="60" w:line="200" w:lineRule="atLeast"/>
    </w:pPr>
    <w:rPr>
      <w:rFonts w:eastAsia="Arial" w:cs="Times New Roman"/>
      <w:b/>
      <w:color w:val="E7E6E6" w:themeColor="background2"/>
      <w:kern w:val="0"/>
      <w:sz w:val="28"/>
      <w14:ligatures w14:val="none"/>
    </w:rPr>
  </w:style>
  <w:style w:type="paragraph" w:customStyle="1" w:styleId="TableBullets">
    <w:name w:val="Table Bullets"/>
    <w:basedOn w:val="TableText"/>
    <w:uiPriority w:val="10"/>
    <w:qFormat/>
    <w:rsid w:val="00966BF8"/>
    <w:pPr>
      <w:numPr>
        <w:numId w:val="28"/>
      </w:numPr>
      <w:spacing w:before="0" w:after="80"/>
      <w:ind w:left="284" w:hanging="284"/>
    </w:pPr>
  </w:style>
  <w:style w:type="paragraph" w:customStyle="1" w:styleId="Heading2NOTOC">
    <w:name w:val="Heading 2 NO TOC"/>
    <w:basedOn w:val="Heading2"/>
    <w:uiPriority w:val="1"/>
    <w:qFormat/>
    <w:rsid w:val="00966BF8"/>
    <w:pPr>
      <w:numPr>
        <w:ilvl w:val="1"/>
      </w:numPr>
      <w:spacing w:after="160" w:line="280" w:lineRule="atLeast"/>
      <w:outlineLvl w:val="9"/>
    </w:pPr>
    <w:rPr>
      <w:rFonts w:cs="Calibri"/>
      <w:b w:val="0"/>
      <w:bCs w:val="0"/>
      <w:iCs/>
      <w:caps/>
      <w:color w:val="ED7D31" w:themeColor="accent2"/>
      <w:kern w:val="0"/>
      <w:sz w:val="28"/>
      <w:lang w:eastAsia="en-AU"/>
      <w14:ligatures w14:val="none"/>
    </w:rPr>
  </w:style>
  <w:style w:type="paragraph" w:styleId="TableofFigures">
    <w:name w:val="table of figures"/>
    <w:basedOn w:val="Normal"/>
    <w:next w:val="Normal"/>
    <w:uiPriority w:val="99"/>
    <w:unhideWhenUsed/>
    <w:rsid w:val="00966BF8"/>
    <w:pPr>
      <w:spacing w:line="280" w:lineRule="atLeast"/>
    </w:pPr>
    <w:rPr>
      <w:rFonts w:eastAsiaTheme="majorEastAsia" w:cs="Calibri"/>
      <w:color w:val="000000" w:themeColor="text1"/>
      <w:kern w:val="0"/>
      <w:sz w:val="20"/>
      <w:szCs w:val="24"/>
      <w:lang w:eastAsia="en-AU"/>
      <w14:ligatures w14:val="none"/>
    </w:rPr>
  </w:style>
  <w:style w:type="paragraph" w:customStyle="1" w:styleId="CoverDetail">
    <w:name w:val="Cover Detail"/>
    <w:basedOn w:val="CoverSubtitle"/>
    <w:uiPriority w:val="19"/>
    <w:semiHidden/>
    <w:qFormat/>
    <w:rsid w:val="00966BF8"/>
    <w:pPr>
      <w:contextualSpacing/>
    </w:pPr>
    <w:rPr>
      <w:color w:val="B1B2B6"/>
      <w:sz w:val="24"/>
    </w:rPr>
  </w:style>
  <w:style w:type="paragraph" w:customStyle="1" w:styleId="CoverInsideDetail">
    <w:name w:val="Cover Inside Detail"/>
    <w:basedOn w:val="CoverDetail"/>
    <w:uiPriority w:val="19"/>
    <w:semiHidden/>
    <w:qFormat/>
    <w:rsid w:val="00966BF8"/>
    <w:pPr>
      <w:spacing w:before="360"/>
    </w:pPr>
    <w:rPr>
      <w:color w:val="FFFFFF" w:themeColor="background1"/>
      <w:sz w:val="28"/>
    </w:rPr>
  </w:style>
  <w:style w:type="paragraph" w:customStyle="1" w:styleId="CoverDetailWhite">
    <w:name w:val="Cover Detail White"/>
    <w:basedOn w:val="CoverDetail"/>
    <w:uiPriority w:val="19"/>
    <w:semiHidden/>
    <w:qFormat/>
    <w:rsid w:val="00966BF8"/>
    <w:pPr>
      <w:spacing w:before="120" w:line="280" w:lineRule="atLeast"/>
    </w:pPr>
    <w:rPr>
      <w:b w:val="0"/>
      <w:caps w:val="0"/>
      <w:color w:val="FFFFFF" w:themeColor="background1"/>
    </w:rPr>
  </w:style>
  <w:style w:type="paragraph" w:customStyle="1" w:styleId="CVMainHeading">
    <w:name w:val="CV Main Heading"/>
    <w:basedOn w:val="CVHeading"/>
    <w:uiPriority w:val="13"/>
    <w:semiHidden/>
    <w:qFormat/>
    <w:rsid w:val="00966BF8"/>
    <w:rPr>
      <w:sz w:val="20"/>
    </w:rPr>
  </w:style>
  <w:style w:type="paragraph" w:customStyle="1" w:styleId="TableBullet">
    <w:name w:val="Table Bullet"/>
    <w:basedOn w:val="TableText"/>
    <w:uiPriority w:val="10"/>
    <w:qFormat/>
    <w:rsid w:val="00966BF8"/>
    <w:pPr>
      <w:spacing w:before="0" w:after="0"/>
      <w:ind w:left="170" w:hanging="170"/>
    </w:pPr>
    <w:rPr>
      <w:sz w:val="18"/>
    </w:rPr>
  </w:style>
  <w:style w:type="paragraph" w:customStyle="1" w:styleId="InfoBoxDarkText">
    <w:name w:val="Info Box Dark Text"/>
    <w:basedOn w:val="IntroCopy"/>
    <w:uiPriority w:val="2"/>
    <w:qFormat/>
    <w:rsid w:val="00966BF8"/>
    <w:pPr>
      <w:spacing w:before="60" w:after="60" w:line="276" w:lineRule="auto"/>
      <w:ind w:left="113" w:right="113"/>
    </w:pPr>
    <w:rPr>
      <w:i w:val="0"/>
      <w:color w:val="E7E6E6" w:themeColor="background2"/>
      <w:sz w:val="20"/>
    </w:rPr>
  </w:style>
  <w:style w:type="paragraph" w:customStyle="1" w:styleId="InfoBoxLightText">
    <w:name w:val="Info Box Light Text"/>
    <w:basedOn w:val="InfoBoxDarkText"/>
    <w:uiPriority w:val="2"/>
    <w:qFormat/>
    <w:rsid w:val="00966BF8"/>
    <w:rPr>
      <w:color w:val="FFFFFF" w:themeColor="background1"/>
    </w:rPr>
  </w:style>
  <w:style w:type="paragraph" w:customStyle="1" w:styleId="NumberedHeadingChapter">
    <w:name w:val="Numbered Heading Chapter"/>
    <w:basedOn w:val="NumberedHeading1"/>
    <w:link w:val="NumberedHeadingChapterChar"/>
    <w:uiPriority w:val="2"/>
    <w:qFormat/>
    <w:rsid w:val="00966BF8"/>
    <w:pPr>
      <w:pBdr>
        <w:top w:val="single" w:sz="2" w:space="6" w:color="2294CD"/>
        <w:left w:val="single" w:sz="2" w:space="6" w:color="2294CD"/>
        <w:bottom w:val="single" w:sz="2" w:space="6" w:color="2294CD"/>
        <w:right w:val="single" w:sz="2" w:space="6" w:color="2294CD"/>
      </w:pBdr>
      <w:shd w:val="clear" w:color="auto" w:fill="2294CD"/>
      <w:spacing w:before="160" w:after="240"/>
    </w:pPr>
    <w:rPr>
      <w:b/>
      <w:color w:val="FFFFFF" w:themeColor="background1"/>
      <w:sz w:val="44"/>
    </w:rPr>
  </w:style>
  <w:style w:type="paragraph" w:customStyle="1" w:styleId="SourceNotesV2">
    <w:name w:val="Source Notes V2"/>
    <w:basedOn w:val="SourceNotes"/>
    <w:uiPriority w:val="2"/>
    <w:qFormat/>
    <w:rsid w:val="00966BF8"/>
    <w:pPr>
      <w:spacing w:after="0" w:line="200" w:lineRule="atLeast"/>
      <w:jc w:val="right"/>
    </w:pPr>
    <w:rPr>
      <w:color w:val="A1D5EF"/>
      <w:sz w:val="16"/>
    </w:rPr>
  </w:style>
  <w:style w:type="character" w:customStyle="1" w:styleId="NumberedHeadingChapterChar">
    <w:name w:val="Numbered Heading Chapter Char"/>
    <w:basedOn w:val="NumberedHeading1Char"/>
    <w:link w:val="NumberedHeadingChapter"/>
    <w:uiPriority w:val="2"/>
    <w:rsid w:val="00966BF8"/>
    <w:rPr>
      <w:rFonts w:asciiTheme="majorHAnsi" w:eastAsiaTheme="majorEastAsia" w:hAnsiTheme="majorHAnsi" w:cs="Calibri"/>
      <w:b/>
      <w:bCs/>
      <w:iCs/>
      <w:caps/>
      <w:color w:val="FFFFFF" w:themeColor="background1"/>
      <w:kern w:val="0"/>
      <w:sz w:val="44"/>
      <w:szCs w:val="28"/>
      <w:shd w:val="clear" w:color="auto" w:fill="2294CD"/>
      <w:lang w:eastAsia="en-AU"/>
      <w14:ligatures w14:val="none"/>
    </w:rPr>
  </w:style>
  <w:style w:type="paragraph" w:customStyle="1" w:styleId="Heading3NOTOC">
    <w:name w:val="Heading 3 NO TOC"/>
    <w:basedOn w:val="Heading3"/>
    <w:uiPriority w:val="2"/>
    <w:qFormat/>
    <w:rsid w:val="00966BF8"/>
    <w:pPr>
      <w:outlineLvl w:val="9"/>
    </w:pPr>
  </w:style>
  <w:style w:type="paragraph" w:customStyle="1" w:styleId="CVHeadingSmall">
    <w:name w:val="CV Heading Small"/>
    <w:basedOn w:val="CVHeading"/>
    <w:uiPriority w:val="2"/>
    <w:semiHidden/>
    <w:qFormat/>
    <w:rsid w:val="00966BF8"/>
    <w:rPr>
      <w:sz w:val="20"/>
    </w:rPr>
  </w:style>
  <w:style w:type="character" w:styleId="FollowedHyperlink">
    <w:name w:val="FollowedHyperlink"/>
    <w:basedOn w:val="DefaultParagraphFont"/>
    <w:uiPriority w:val="50"/>
    <w:semiHidden/>
    <w:rsid w:val="00966BF8"/>
    <w:rPr>
      <w:color w:val="954F72" w:themeColor="followedHyperlink"/>
      <w:u w:val="single"/>
    </w:rPr>
  </w:style>
  <w:style w:type="paragraph" w:customStyle="1" w:styleId="Default">
    <w:name w:val="Default"/>
    <w:rsid w:val="00966BF8"/>
    <w:pPr>
      <w:autoSpaceDE w:val="0"/>
      <w:autoSpaceDN w:val="0"/>
      <w:adjustRightInd w:val="0"/>
    </w:pPr>
    <w:rPr>
      <w:rFonts w:ascii="Arial" w:eastAsia="Times New Roman" w:hAnsi="Arial" w:cs="Arial"/>
      <w:color w:val="000000"/>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6356">
      <w:bodyDiv w:val="1"/>
      <w:marLeft w:val="0"/>
      <w:marRight w:val="0"/>
      <w:marTop w:val="0"/>
      <w:marBottom w:val="0"/>
      <w:divBdr>
        <w:top w:val="none" w:sz="0" w:space="0" w:color="auto"/>
        <w:left w:val="none" w:sz="0" w:space="0" w:color="auto"/>
        <w:bottom w:val="none" w:sz="0" w:space="0" w:color="auto"/>
        <w:right w:val="none" w:sz="0" w:space="0" w:color="auto"/>
      </w:divBdr>
    </w:div>
    <w:div w:id="429277150">
      <w:bodyDiv w:val="1"/>
      <w:marLeft w:val="0"/>
      <w:marRight w:val="0"/>
      <w:marTop w:val="0"/>
      <w:marBottom w:val="0"/>
      <w:divBdr>
        <w:top w:val="none" w:sz="0" w:space="0" w:color="auto"/>
        <w:left w:val="none" w:sz="0" w:space="0" w:color="auto"/>
        <w:bottom w:val="none" w:sz="0" w:space="0" w:color="auto"/>
        <w:right w:val="none" w:sz="0" w:space="0" w:color="auto"/>
      </w:divBdr>
    </w:div>
    <w:div w:id="1021591221">
      <w:bodyDiv w:val="1"/>
      <w:marLeft w:val="0"/>
      <w:marRight w:val="0"/>
      <w:marTop w:val="0"/>
      <w:marBottom w:val="0"/>
      <w:divBdr>
        <w:top w:val="none" w:sz="0" w:space="0" w:color="auto"/>
        <w:left w:val="none" w:sz="0" w:space="0" w:color="auto"/>
        <w:bottom w:val="none" w:sz="0" w:space="0" w:color="auto"/>
        <w:right w:val="none" w:sz="0" w:space="0" w:color="auto"/>
      </w:divBdr>
    </w:div>
    <w:div w:id="1257979139">
      <w:bodyDiv w:val="1"/>
      <w:marLeft w:val="0"/>
      <w:marRight w:val="0"/>
      <w:marTop w:val="0"/>
      <w:marBottom w:val="0"/>
      <w:divBdr>
        <w:top w:val="none" w:sz="0" w:space="0" w:color="auto"/>
        <w:left w:val="none" w:sz="0" w:space="0" w:color="auto"/>
        <w:bottom w:val="none" w:sz="0" w:space="0" w:color="auto"/>
        <w:right w:val="none" w:sz="0" w:space="0" w:color="auto"/>
      </w:divBdr>
    </w:div>
    <w:div w:id="1868133491">
      <w:bodyDiv w:val="1"/>
      <w:marLeft w:val="0"/>
      <w:marRight w:val="0"/>
      <w:marTop w:val="0"/>
      <w:marBottom w:val="0"/>
      <w:divBdr>
        <w:top w:val="none" w:sz="0" w:space="0" w:color="auto"/>
        <w:left w:val="none" w:sz="0" w:space="0" w:color="auto"/>
        <w:bottom w:val="none" w:sz="0" w:space="0" w:color="auto"/>
        <w:right w:val="none" w:sz="0" w:space="0" w:color="auto"/>
      </w:divBdr>
    </w:div>
    <w:div w:id="19619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6285D199E77B48B46991D0F44D3896" ma:contentTypeVersion="5" ma:contentTypeDescription="Create a new document." ma:contentTypeScope="" ma:versionID="41170deb709969802ae154c8fc730fb1">
  <xsd:schema xmlns:xsd="http://www.w3.org/2001/XMLSchema" xmlns:xs="http://www.w3.org/2001/XMLSchema" xmlns:p="http://schemas.microsoft.com/office/2006/metadata/properties" xmlns:ns2="9aa44d85-6019-436f-be8d-c01cf06f10b2" xmlns:ns3="4bf14651-bb68-485b-9dd1-34f5ba69eef6" targetNamespace="http://schemas.microsoft.com/office/2006/metadata/properties" ma:root="true" ma:fieldsID="6efcf5afab2a4ce7dabb56b17e4eea8f" ns2:_="" ns3:_="">
    <xsd:import namespace="9aa44d85-6019-436f-be8d-c01cf06f10b2"/>
    <xsd:import namespace="4bf14651-bb68-485b-9dd1-34f5ba69ee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4d85-6019-436f-be8d-c01cf06f1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14651-bb68-485b-9dd1-34f5ba69ee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C5BB5-95E3-4D5C-893C-ABFE17F3DC1F}">
  <ds:schemaRefs>
    <ds:schemaRef ds:uri="http://schemas.microsoft.com/sharepoint/v3/contenttype/forms"/>
  </ds:schemaRefs>
</ds:datastoreItem>
</file>

<file path=customXml/itemProps2.xml><?xml version="1.0" encoding="utf-8"?>
<ds:datastoreItem xmlns:ds="http://schemas.openxmlformats.org/officeDocument/2006/customXml" ds:itemID="{DB595ECD-A452-4E3C-8176-2302A5B3F74B}">
  <ds:schemaRefs>
    <ds:schemaRef ds:uri="http://schemas.openxmlformats.org/package/2006/metadata/core-properties"/>
    <ds:schemaRef ds:uri="http://purl.org/dc/dcmitype/"/>
    <ds:schemaRef ds:uri="http://schemas.microsoft.com/office/infopath/2007/PartnerControls"/>
    <ds:schemaRef ds:uri="9aa44d85-6019-436f-be8d-c01cf06f10b2"/>
    <ds:schemaRef ds:uri="http://schemas.microsoft.com/office/2006/documentManagement/types"/>
    <ds:schemaRef ds:uri="http://purl.org/dc/elements/1.1/"/>
    <ds:schemaRef ds:uri="http://schemas.microsoft.com/office/2006/metadata/properties"/>
    <ds:schemaRef ds:uri="4bf14651-bb68-485b-9dd1-34f5ba69eef6"/>
    <ds:schemaRef ds:uri="http://purl.org/dc/terms/"/>
    <ds:schemaRef ds:uri="http://www.w3.org/XML/1998/namespace"/>
  </ds:schemaRefs>
</ds:datastoreItem>
</file>

<file path=customXml/itemProps3.xml><?xml version="1.0" encoding="utf-8"?>
<ds:datastoreItem xmlns:ds="http://schemas.openxmlformats.org/officeDocument/2006/customXml" ds:itemID="{550210C6-6001-40C3-9E87-3D671989CE03}">
  <ds:schemaRefs>
    <ds:schemaRef ds:uri="http://schemas.openxmlformats.org/officeDocument/2006/bibliography"/>
  </ds:schemaRefs>
</ds:datastoreItem>
</file>

<file path=customXml/itemProps4.xml><?xml version="1.0" encoding="utf-8"?>
<ds:datastoreItem xmlns:ds="http://schemas.openxmlformats.org/officeDocument/2006/customXml" ds:itemID="{1D284100-3B0D-4CE4-9388-A38F32640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4d85-6019-436f-be8d-c01cf06f10b2"/>
    <ds:schemaRef ds:uri="4bf14651-bb68-485b-9dd1-34f5ba69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8119</Words>
  <Characters>47235</Characters>
  <Application>Microsoft Office Word</Application>
  <DocSecurity>4</DocSecurity>
  <Lines>747</Lines>
  <Paragraphs>249</Paragraphs>
  <ScaleCrop>false</ScaleCrop>
  <HeadingPairs>
    <vt:vector size="2" baseType="variant">
      <vt:variant>
        <vt:lpstr>Title</vt:lpstr>
      </vt:variant>
      <vt:variant>
        <vt:i4>1</vt:i4>
      </vt:variant>
    </vt:vector>
  </HeadingPairs>
  <TitlesOfParts>
    <vt:vector size="1" baseType="lpstr">
      <vt:lpstr>Strategic Review Report: Occupied Palestinian Territories Humanitarian and Development Program (2019 – 22)</vt:lpstr>
    </vt:vector>
  </TitlesOfParts>
  <Company/>
  <LinksUpToDate>false</LinksUpToDate>
  <CharactersWithSpaces>55239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Review Report: Occupied Palestinian Territories Humanitarian and Development Program (2019 – 22)</dc:title>
  <dc:subject>final report october 2023</dc:subject>
  <dc:creator>Alinea International</dc:creator>
  <cp:keywords>[SEC=OFFICIAL:Sensitive]</cp:keywords>
  <dc:description/>
  <cp:lastModifiedBy>Patrick Baggoley</cp:lastModifiedBy>
  <cp:revision>2</cp:revision>
  <cp:lastPrinted>2024-08-08T02:31:00Z</cp:lastPrinted>
  <dcterms:created xsi:type="dcterms:W3CDTF">2024-08-09T02:19:00Z</dcterms:created>
  <dcterms:modified xsi:type="dcterms:W3CDTF">2024-08-09T02:19:00Z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0x010100A16285D199E77B48B46991D0F44D3896</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v=2022.1;a=SHA256;h=830C02B61E08893668E8C47248BCE39932043CEE6CAE60795128C8220D552E41</vt:lpwstr>
  </property>
  <property fmtid="{D5CDD505-2E9C-101B-9397-08002B2CF9AE}" pid="8" name="PM_Qualifier">
    <vt:lpwstr/>
  </property>
  <property fmtid="{D5CDD505-2E9C-101B-9397-08002B2CF9AE}" pid="9" name="PM_SecurityClassification">
    <vt:lpwstr>OFFICIAL:Sensitive</vt:lpwstr>
  </property>
  <property fmtid="{D5CDD505-2E9C-101B-9397-08002B2CF9AE}" pid="10" name="PM_ProtectiveMarkingValue_Header">
    <vt:lpwstr>OFFICIAL: Sensitive</vt:lpwstr>
  </property>
  <property fmtid="{D5CDD505-2E9C-101B-9397-08002B2CF9AE}" pid="11" name="PM_OriginationTimeStamp">
    <vt:lpwstr>2023-10-03T01:39:03Z</vt:lpwstr>
  </property>
  <property fmtid="{D5CDD505-2E9C-101B-9397-08002B2CF9AE}" pid="12" name="PM_Markers">
    <vt:lpwstr/>
  </property>
  <property fmtid="{D5CDD505-2E9C-101B-9397-08002B2CF9AE}" pid="13" name="PM_InsertionValue">
    <vt:lpwstr>OFFICIAL: Sensitive</vt:lpwstr>
  </property>
  <property fmtid="{D5CDD505-2E9C-101B-9397-08002B2CF9AE}" pid="14" name="PM_Originator_Hash_SHA1">
    <vt:lpwstr>E5329D78ADFF18985C404F3A4015F7B7C209C4C5</vt:lpwstr>
  </property>
  <property fmtid="{D5CDD505-2E9C-101B-9397-08002B2CF9AE}" pid="15" name="PM_DisplayValueSecClassificationWithQualifier">
    <vt:lpwstr>OFFICIAL: Sensitive</vt:lpwstr>
  </property>
  <property fmtid="{D5CDD505-2E9C-101B-9397-08002B2CF9AE}" pid="16" name="PM_Originating_FileId">
    <vt:lpwstr>CDA1520DE24D43D4A6E10CC48FAAA2F5</vt:lpwstr>
  </property>
  <property fmtid="{D5CDD505-2E9C-101B-9397-08002B2CF9AE}" pid="17" name="PM_ProtectiveMarkingValue_Footer">
    <vt:lpwstr>OFFICIAL: Sensitive</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 Sensitive</vt:lpwstr>
  </property>
  <property fmtid="{D5CDD505-2E9C-101B-9397-08002B2CF9AE}" pid="21" name="PM_OriginatorUserAccountName_SHA256">
    <vt:lpwstr>C427463A240001568B1E728057080C091949066E05DD342FA6B5B9F6FF33F8D6</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v=2022.2;d=gov.au;g=ABA70C08-925C-5FA3-8765-3178156983AC</vt:lpwstr>
  </property>
  <property fmtid="{D5CDD505-2E9C-101B-9397-08002B2CF9AE}" pid="24" name="PM_Hash_Version">
    <vt:lpwstr>2022.1</vt:lpwstr>
  </property>
  <property fmtid="{D5CDD505-2E9C-101B-9397-08002B2CF9AE}" pid="25" name="PM_Hash_Salt_Prev">
    <vt:lpwstr>9427B6A6AE32824AC0A4016E5E57EA67</vt:lpwstr>
  </property>
  <property fmtid="{D5CDD505-2E9C-101B-9397-08002B2CF9AE}" pid="26" name="PM_Hash_Salt">
    <vt:lpwstr>556E3F3573F7FA905642106441BFBF5F</vt:lpwstr>
  </property>
  <property fmtid="{D5CDD505-2E9C-101B-9397-08002B2CF9AE}" pid="27" name="PM_Hash_SHA1">
    <vt:lpwstr>F569556C80E08507C5D61572840B1FD4A8546907</vt:lpwstr>
  </property>
  <property fmtid="{D5CDD505-2E9C-101B-9397-08002B2CF9AE}" pid="28" name="PM_SecurityClassification_Prev">
    <vt:lpwstr>OFFICIAL:Sensitive</vt:lpwstr>
  </property>
  <property fmtid="{D5CDD505-2E9C-101B-9397-08002B2CF9AE}" pid="29" name="PM_Qualifier_Prev">
    <vt:lpwstr/>
  </property>
  <property fmtid="{D5CDD505-2E9C-101B-9397-08002B2CF9AE}" pid="30" name="MediaServiceImageTags">
    <vt:lpwstr/>
  </property>
</Properties>
</file>