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footer3.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1CB43A" w14:textId="77E5EC29" w:rsidR="00867101" w:rsidRDefault="00987122" w:rsidP="00867101">
      <w:pPr>
        <w:jc w:val="center"/>
        <w:rPr>
          <w:b/>
        </w:rPr>
      </w:pPr>
      <w:r>
        <w:rPr>
          <w:b/>
        </w:rPr>
        <w:tab/>
      </w:r>
    </w:p>
    <w:p w14:paraId="43DC0B4E" w14:textId="77777777" w:rsidR="00867101" w:rsidRDefault="00867101" w:rsidP="00867101">
      <w:pPr>
        <w:jc w:val="center"/>
        <w:rPr>
          <w:b/>
        </w:rPr>
      </w:pPr>
      <w:r>
        <w:rPr>
          <w:b/>
        </w:rPr>
        <w:t>Strategic Review of Australia’s Support for Peace in Mindanao</w:t>
      </w:r>
    </w:p>
    <w:p w14:paraId="64585EF5" w14:textId="77777777" w:rsidR="00867101" w:rsidRDefault="00867101" w:rsidP="00867101"/>
    <w:p w14:paraId="6BAA9563" w14:textId="77777777" w:rsidR="00867101" w:rsidRDefault="00867101" w:rsidP="00867101"/>
    <w:p w14:paraId="0A31DFF1" w14:textId="3668E676" w:rsidR="00867101" w:rsidRDefault="00867101" w:rsidP="009C013C">
      <w:pPr>
        <w:jc w:val="center"/>
        <w:rPr>
          <w:b/>
          <w:sz w:val="22"/>
          <w:szCs w:val="22"/>
        </w:rPr>
      </w:pPr>
      <w:r w:rsidRPr="009C013C">
        <w:rPr>
          <w:b/>
          <w:sz w:val="22"/>
          <w:szCs w:val="22"/>
        </w:rPr>
        <w:t>Table of Contents</w:t>
      </w:r>
    </w:p>
    <w:p w14:paraId="715E0266" w14:textId="77777777" w:rsidR="00867101" w:rsidRDefault="00867101" w:rsidP="009C013C">
      <w:pPr>
        <w:jc w:val="center"/>
        <w:rPr>
          <w:b/>
          <w:sz w:val="22"/>
          <w:szCs w:val="22"/>
        </w:rPr>
      </w:pPr>
    </w:p>
    <w:p w14:paraId="3E8EF279" w14:textId="7FCEEAFC" w:rsidR="00867101" w:rsidRDefault="00867101" w:rsidP="00867101">
      <w:pPr>
        <w:rPr>
          <w:sz w:val="22"/>
          <w:szCs w:val="22"/>
        </w:rPr>
      </w:pPr>
      <w:r>
        <w:rPr>
          <w:sz w:val="22"/>
          <w:szCs w:val="22"/>
        </w:rPr>
        <w:t>List of Acronyms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2</w:t>
      </w:r>
    </w:p>
    <w:p w14:paraId="0CF8E9B2" w14:textId="77777777" w:rsidR="00867101" w:rsidRDefault="00867101" w:rsidP="00867101">
      <w:pPr>
        <w:rPr>
          <w:sz w:val="22"/>
          <w:szCs w:val="22"/>
        </w:rPr>
      </w:pPr>
    </w:p>
    <w:p w14:paraId="1C6A185D" w14:textId="7428BD6E" w:rsidR="00867101" w:rsidRDefault="00867101" w:rsidP="00867101">
      <w:pPr>
        <w:rPr>
          <w:sz w:val="22"/>
          <w:szCs w:val="22"/>
        </w:rPr>
      </w:pPr>
      <w:r>
        <w:rPr>
          <w:sz w:val="22"/>
          <w:szCs w:val="22"/>
        </w:rPr>
        <w:t>I. Background</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3</w:t>
      </w:r>
    </w:p>
    <w:p w14:paraId="2D356321" w14:textId="77777777" w:rsidR="00867101" w:rsidRDefault="00867101" w:rsidP="00867101">
      <w:pPr>
        <w:rPr>
          <w:sz w:val="22"/>
          <w:szCs w:val="22"/>
        </w:rPr>
      </w:pPr>
    </w:p>
    <w:p w14:paraId="59F819FF" w14:textId="1E0A415A" w:rsidR="00867101" w:rsidRDefault="00867101" w:rsidP="00867101">
      <w:pPr>
        <w:rPr>
          <w:sz w:val="22"/>
          <w:szCs w:val="22"/>
        </w:rPr>
      </w:pPr>
      <w:r>
        <w:rPr>
          <w:sz w:val="22"/>
          <w:szCs w:val="22"/>
        </w:rPr>
        <w:t>II.  Mission Findings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3</w:t>
      </w:r>
    </w:p>
    <w:p w14:paraId="4019D26A" w14:textId="47CB7825" w:rsidR="00867101" w:rsidRDefault="00867101" w:rsidP="00867101">
      <w:pPr>
        <w:rPr>
          <w:sz w:val="22"/>
          <w:szCs w:val="22"/>
        </w:rPr>
      </w:pPr>
      <w:r>
        <w:rPr>
          <w:sz w:val="22"/>
          <w:szCs w:val="22"/>
        </w:rPr>
        <w:t xml:space="preserve">      </w:t>
      </w:r>
    </w:p>
    <w:p w14:paraId="39A9F291" w14:textId="4DE6B388" w:rsidR="00867101" w:rsidRDefault="00867101" w:rsidP="00867101">
      <w:pPr>
        <w:rPr>
          <w:sz w:val="22"/>
          <w:szCs w:val="22"/>
        </w:rPr>
      </w:pPr>
      <w:r>
        <w:rPr>
          <w:sz w:val="22"/>
          <w:szCs w:val="22"/>
        </w:rPr>
        <w:t xml:space="preserve">      On </w:t>
      </w:r>
      <w:r w:rsidR="005A6C69">
        <w:rPr>
          <w:sz w:val="22"/>
          <w:szCs w:val="22"/>
        </w:rPr>
        <w:t>E</w:t>
      </w:r>
      <w:r>
        <w:rPr>
          <w:sz w:val="22"/>
          <w:szCs w:val="22"/>
        </w:rPr>
        <w:t>ffectiveness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3</w:t>
      </w:r>
    </w:p>
    <w:p w14:paraId="63CD0A9E" w14:textId="26823A3B" w:rsidR="00867101" w:rsidRDefault="00867101" w:rsidP="00867101">
      <w:pPr>
        <w:rPr>
          <w:sz w:val="22"/>
          <w:szCs w:val="22"/>
        </w:rPr>
      </w:pPr>
      <w:r>
        <w:rPr>
          <w:sz w:val="22"/>
          <w:szCs w:val="22"/>
        </w:rPr>
        <w:t xml:space="preserve">      On </w:t>
      </w:r>
      <w:r w:rsidR="005A6C69">
        <w:rPr>
          <w:sz w:val="22"/>
          <w:szCs w:val="22"/>
        </w:rPr>
        <w:t>R</w:t>
      </w:r>
      <w:r>
        <w:rPr>
          <w:sz w:val="22"/>
          <w:szCs w:val="22"/>
        </w:rPr>
        <w:t>elevance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7</w:t>
      </w:r>
    </w:p>
    <w:p w14:paraId="167332F2" w14:textId="77777777" w:rsidR="00867101" w:rsidRDefault="00867101" w:rsidP="00867101">
      <w:pPr>
        <w:rPr>
          <w:sz w:val="22"/>
          <w:szCs w:val="22"/>
        </w:rPr>
      </w:pPr>
    </w:p>
    <w:p w14:paraId="3D6CCE29" w14:textId="6D00AA65" w:rsidR="00867101" w:rsidRDefault="00867101" w:rsidP="00867101">
      <w:pPr>
        <w:rPr>
          <w:sz w:val="22"/>
          <w:szCs w:val="22"/>
        </w:rPr>
      </w:pPr>
      <w:r>
        <w:rPr>
          <w:sz w:val="22"/>
          <w:szCs w:val="22"/>
        </w:rPr>
        <w:t>III.  Possible Scenarios:  Opportunities and Risks</w:t>
      </w:r>
      <w:r>
        <w:rPr>
          <w:sz w:val="22"/>
          <w:szCs w:val="22"/>
        </w:rPr>
        <w:tab/>
      </w:r>
      <w:r>
        <w:rPr>
          <w:sz w:val="22"/>
          <w:szCs w:val="22"/>
        </w:rPr>
        <w:tab/>
      </w:r>
      <w:r>
        <w:rPr>
          <w:sz w:val="22"/>
          <w:szCs w:val="22"/>
        </w:rPr>
        <w:tab/>
        <w:t xml:space="preserve">            </w:t>
      </w:r>
      <w:r w:rsidR="005A6C69">
        <w:rPr>
          <w:sz w:val="22"/>
          <w:szCs w:val="22"/>
        </w:rPr>
        <w:t xml:space="preserve">  9</w:t>
      </w:r>
    </w:p>
    <w:p w14:paraId="7C966875" w14:textId="77777777" w:rsidR="00867101" w:rsidRDefault="00867101" w:rsidP="00867101">
      <w:pPr>
        <w:rPr>
          <w:sz w:val="22"/>
          <w:szCs w:val="22"/>
        </w:rPr>
      </w:pPr>
    </w:p>
    <w:p w14:paraId="3132514F" w14:textId="250E22CD" w:rsidR="00867101" w:rsidRDefault="00867101" w:rsidP="00867101">
      <w:pPr>
        <w:rPr>
          <w:sz w:val="22"/>
          <w:szCs w:val="22"/>
        </w:rPr>
      </w:pPr>
      <w:r>
        <w:rPr>
          <w:sz w:val="22"/>
          <w:szCs w:val="22"/>
        </w:rPr>
        <w:t>IV.  Recommendations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11</w:t>
      </w:r>
    </w:p>
    <w:p w14:paraId="2A59D05D" w14:textId="77777777" w:rsidR="00867101" w:rsidRDefault="00867101" w:rsidP="00867101">
      <w:pPr>
        <w:rPr>
          <w:sz w:val="22"/>
          <w:szCs w:val="22"/>
        </w:rPr>
      </w:pPr>
    </w:p>
    <w:p w14:paraId="0D86FEF8" w14:textId="0EF02286" w:rsidR="00867101" w:rsidRDefault="00867101" w:rsidP="00867101">
      <w:pPr>
        <w:rPr>
          <w:sz w:val="22"/>
          <w:szCs w:val="22"/>
        </w:rPr>
      </w:pPr>
      <w:r>
        <w:rPr>
          <w:sz w:val="22"/>
          <w:szCs w:val="22"/>
        </w:rPr>
        <w:t xml:space="preserve">       Part A.  BASIC</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11</w:t>
      </w:r>
    </w:p>
    <w:p w14:paraId="2D692B86" w14:textId="4B1B47F5" w:rsidR="00867101" w:rsidRDefault="00867101" w:rsidP="00867101">
      <w:pPr>
        <w:rPr>
          <w:sz w:val="22"/>
          <w:szCs w:val="22"/>
        </w:rPr>
      </w:pPr>
      <w:r>
        <w:rPr>
          <w:sz w:val="22"/>
          <w:szCs w:val="22"/>
        </w:rPr>
        <w:t xml:space="preserve">       Part B.  Future Programming</w:t>
      </w:r>
      <w:r>
        <w:rPr>
          <w:sz w:val="22"/>
          <w:szCs w:val="22"/>
        </w:rPr>
        <w:tab/>
      </w:r>
      <w:r>
        <w:rPr>
          <w:sz w:val="22"/>
          <w:szCs w:val="22"/>
        </w:rPr>
        <w:tab/>
      </w:r>
      <w:r>
        <w:rPr>
          <w:sz w:val="22"/>
          <w:szCs w:val="22"/>
        </w:rPr>
        <w:tab/>
      </w:r>
      <w:r>
        <w:rPr>
          <w:sz w:val="22"/>
          <w:szCs w:val="22"/>
        </w:rPr>
        <w:tab/>
      </w:r>
      <w:r>
        <w:rPr>
          <w:sz w:val="22"/>
          <w:szCs w:val="22"/>
        </w:rPr>
        <w:tab/>
        <w:t xml:space="preserve">            1</w:t>
      </w:r>
      <w:r w:rsidR="003A2A93">
        <w:rPr>
          <w:sz w:val="22"/>
          <w:szCs w:val="22"/>
        </w:rPr>
        <w:t>3</w:t>
      </w:r>
    </w:p>
    <w:p w14:paraId="5570727A" w14:textId="77777777" w:rsidR="00867101" w:rsidRDefault="00867101" w:rsidP="00867101">
      <w:pPr>
        <w:rPr>
          <w:sz w:val="22"/>
          <w:szCs w:val="22"/>
        </w:rPr>
      </w:pPr>
    </w:p>
    <w:p w14:paraId="7385F3F0" w14:textId="4FA30A65" w:rsidR="005A6C69" w:rsidRDefault="005A6C69" w:rsidP="00867101">
      <w:pPr>
        <w:rPr>
          <w:sz w:val="22"/>
          <w:szCs w:val="22"/>
        </w:rPr>
      </w:pPr>
      <w:r>
        <w:rPr>
          <w:sz w:val="22"/>
          <w:szCs w:val="22"/>
        </w:rPr>
        <w:t>Literature Cited</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17</w:t>
      </w:r>
    </w:p>
    <w:p w14:paraId="74EC2DD4" w14:textId="77777777" w:rsidR="005A6C69" w:rsidRDefault="005A6C69" w:rsidP="00867101">
      <w:pPr>
        <w:rPr>
          <w:sz w:val="22"/>
          <w:szCs w:val="22"/>
        </w:rPr>
      </w:pPr>
    </w:p>
    <w:p w14:paraId="55E49F57" w14:textId="081FF605" w:rsidR="00867101" w:rsidRDefault="00867101" w:rsidP="00867101">
      <w:pPr>
        <w:rPr>
          <w:sz w:val="22"/>
          <w:szCs w:val="22"/>
        </w:rPr>
      </w:pPr>
      <w:r>
        <w:rPr>
          <w:sz w:val="22"/>
          <w:szCs w:val="22"/>
        </w:rPr>
        <w:t xml:space="preserve">Annex A.  </w:t>
      </w:r>
      <w:r w:rsidR="00590BD7">
        <w:rPr>
          <w:sz w:val="22"/>
          <w:szCs w:val="22"/>
        </w:rPr>
        <w:t xml:space="preserve"> Review Mission Interviews</w:t>
      </w:r>
      <w:r w:rsidR="00590BD7">
        <w:rPr>
          <w:sz w:val="22"/>
          <w:szCs w:val="22"/>
        </w:rPr>
        <w:tab/>
      </w:r>
      <w:r w:rsidR="00590BD7">
        <w:rPr>
          <w:sz w:val="22"/>
          <w:szCs w:val="22"/>
        </w:rPr>
        <w:tab/>
      </w:r>
      <w:r w:rsidR="00590BD7">
        <w:rPr>
          <w:sz w:val="22"/>
          <w:szCs w:val="22"/>
        </w:rPr>
        <w:tab/>
      </w:r>
      <w:r w:rsidR="00590BD7">
        <w:rPr>
          <w:sz w:val="22"/>
          <w:szCs w:val="22"/>
        </w:rPr>
        <w:tab/>
      </w:r>
      <w:r w:rsidR="00590BD7">
        <w:rPr>
          <w:sz w:val="22"/>
          <w:szCs w:val="22"/>
        </w:rPr>
        <w:tab/>
        <w:t xml:space="preserve">            18</w:t>
      </w:r>
    </w:p>
    <w:p w14:paraId="3EC1B176" w14:textId="77777777" w:rsidR="00867101" w:rsidRDefault="00867101" w:rsidP="00867101">
      <w:pPr>
        <w:rPr>
          <w:sz w:val="22"/>
          <w:szCs w:val="22"/>
        </w:rPr>
      </w:pPr>
    </w:p>
    <w:p w14:paraId="4F3F344F" w14:textId="7B4EBE73" w:rsidR="00867101" w:rsidRDefault="00867101" w:rsidP="00867101">
      <w:pPr>
        <w:rPr>
          <w:sz w:val="22"/>
          <w:szCs w:val="22"/>
        </w:rPr>
      </w:pPr>
      <w:r>
        <w:rPr>
          <w:sz w:val="22"/>
          <w:szCs w:val="22"/>
        </w:rPr>
        <w:t>Annex B.</w:t>
      </w:r>
      <w:r w:rsidR="00590BD7">
        <w:rPr>
          <w:sz w:val="22"/>
          <w:szCs w:val="22"/>
        </w:rPr>
        <w:t xml:space="preserve">   Terms of Reference</w:t>
      </w:r>
      <w:r w:rsidR="00590BD7">
        <w:rPr>
          <w:sz w:val="22"/>
          <w:szCs w:val="22"/>
        </w:rPr>
        <w:tab/>
      </w:r>
      <w:r w:rsidR="00590BD7">
        <w:rPr>
          <w:sz w:val="22"/>
          <w:szCs w:val="22"/>
        </w:rPr>
        <w:tab/>
      </w:r>
      <w:r w:rsidR="00590BD7">
        <w:rPr>
          <w:sz w:val="22"/>
          <w:szCs w:val="22"/>
        </w:rPr>
        <w:tab/>
      </w:r>
      <w:r w:rsidR="00590BD7">
        <w:rPr>
          <w:sz w:val="22"/>
          <w:szCs w:val="22"/>
        </w:rPr>
        <w:tab/>
      </w:r>
      <w:r w:rsidR="00590BD7">
        <w:rPr>
          <w:sz w:val="22"/>
          <w:szCs w:val="22"/>
        </w:rPr>
        <w:tab/>
      </w:r>
      <w:r w:rsidR="00590BD7">
        <w:rPr>
          <w:sz w:val="22"/>
          <w:szCs w:val="22"/>
        </w:rPr>
        <w:tab/>
        <w:t xml:space="preserve">             22</w:t>
      </w:r>
    </w:p>
    <w:p w14:paraId="46C699A2" w14:textId="77777777" w:rsidR="00867101" w:rsidRDefault="00867101" w:rsidP="00867101">
      <w:pPr>
        <w:rPr>
          <w:sz w:val="22"/>
          <w:szCs w:val="22"/>
        </w:rPr>
      </w:pPr>
    </w:p>
    <w:p w14:paraId="53132FCA" w14:textId="465C05CB" w:rsidR="00867101" w:rsidRDefault="00867101" w:rsidP="00867101">
      <w:pPr>
        <w:rPr>
          <w:sz w:val="22"/>
          <w:szCs w:val="22"/>
        </w:rPr>
      </w:pPr>
      <w:r>
        <w:rPr>
          <w:sz w:val="22"/>
          <w:szCs w:val="22"/>
        </w:rPr>
        <w:t>Annex C.</w:t>
      </w:r>
      <w:r w:rsidR="00590BD7">
        <w:rPr>
          <w:sz w:val="22"/>
          <w:szCs w:val="22"/>
        </w:rPr>
        <w:t xml:space="preserve">   Evaluation Matrix – Performance of BASIC Partners Against </w:t>
      </w:r>
    </w:p>
    <w:p w14:paraId="53ED0169" w14:textId="41AA7F4F" w:rsidR="00590BD7" w:rsidRPr="009C013C" w:rsidRDefault="00590BD7" w:rsidP="00867101">
      <w:pPr>
        <w:rPr>
          <w:sz w:val="22"/>
          <w:szCs w:val="22"/>
        </w:rPr>
      </w:pPr>
      <w:r>
        <w:rPr>
          <w:sz w:val="22"/>
          <w:szCs w:val="22"/>
        </w:rPr>
        <w:tab/>
      </w:r>
      <w:r>
        <w:rPr>
          <w:sz w:val="22"/>
          <w:szCs w:val="22"/>
        </w:rPr>
        <w:tab/>
        <w:t>Re</w:t>
      </w:r>
      <w:r w:rsidR="002D0562">
        <w:rPr>
          <w:sz w:val="22"/>
          <w:szCs w:val="22"/>
        </w:rPr>
        <w:t>view Criteria</w:t>
      </w:r>
      <w:r w:rsidR="002D0562">
        <w:rPr>
          <w:sz w:val="22"/>
          <w:szCs w:val="22"/>
        </w:rPr>
        <w:tab/>
      </w:r>
      <w:r w:rsidR="002D0562">
        <w:rPr>
          <w:sz w:val="22"/>
          <w:szCs w:val="22"/>
        </w:rPr>
        <w:tab/>
      </w:r>
      <w:r w:rsidR="002D0562">
        <w:rPr>
          <w:sz w:val="22"/>
          <w:szCs w:val="22"/>
        </w:rPr>
        <w:tab/>
      </w:r>
      <w:r w:rsidR="002D0562">
        <w:rPr>
          <w:sz w:val="22"/>
          <w:szCs w:val="22"/>
        </w:rPr>
        <w:tab/>
      </w:r>
      <w:r w:rsidR="002D0562">
        <w:rPr>
          <w:sz w:val="22"/>
          <w:szCs w:val="22"/>
        </w:rPr>
        <w:tab/>
        <w:t xml:space="preserve">            29</w:t>
      </w:r>
    </w:p>
    <w:p w14:paraId="2D3FC408" w14:textId="77777777" w:rsidR="00867101" w:rsidRDefault="00867101" w:rsidP="007B43C2">
      <w:pPr>
        <w:rPr>
          <w:b/>
        </w:rPr>
      </w:pPr>
    </w:p>
    <w:p w14:paraId="02503762" w14:textId="77777777" w:rsidR="00867101" w:rsidRDefault="00867101" w:rsidP="007B43C2">
      <w:pPr>
        <w:rPr>
          <w:b/>
        </w:rPr>
      </w:pPr>
    </w:p>
    <w:p w14:paraId="5A696139" w14:textId="77777777" w:rsidR="00867101" w:rsidRDefault="00867101" w:rsidP="007B43C2">
      <w:pPr>
        <w:rPr>
          <w:b/>
        </w:rPr>
      </w:pPr>
    </w:p>
    <w:p w14:paraId="17C3B183" w14:textId="77777777" w:rsidR="00867101" w:rsidRDefault="00867101" w:rsidP="007B43C2">
      <w:pPr>
        <w:rPr>
          <w:b/>
        </w:rPr>
      </w:pPr>
    </w:p>
    <w:p w14:paraId="497DA4FD" w14:textId="77777777" w:rsidR="00867101" w:rsidRDefault="00867101" w:rsidP="007B43C2">
      <w:pPr>
        <w:rPr>
          <w:b/>
        </w:rPr>
      </w:pPr>
    </w:p>
    <w:p w14:paraId="3F3AE193" w14:textId="77777777" w:rsidR="00867101" w:rsidRDefault="00867101" w:rsidP="007B43C2">
      <w:pPr>
        <w:rPr>
          <w:b/>
        </w:rPr>
      </w:pPr>
    </w:p>
    <w:p w14:paraId="50EC8956" w14:textId="77777777" w:rsidR="00867101" w:rsidRDefault="00867101" w:rsidP="007B43C2">
      <w:pPr>
        <w:rPr>
          <w:b/>
        </w:rPr>
      </w:pPr>
    </w:p>
    <w:p w14:paraId="1D5D8648" w14:textId="77777777" w:rsidR="00867101" w:rsidRDefault="00867101" w:rsidP="007B43C2">
      <w:pPr>
        <w:rPr>
          <w:b/>
        </w:rPr>
      </w:pPr>
    </w:p>
    <w:p w14:paraId="27F52A0F" w14:textId="77777777" w:rsidR="00867101" w:rsidRDefault="00867101" w:rsidP="007B43C2">
      <w:pPr>
        <w:rPr>
          <w:b/>
        </w:rPr>
      </w:pPr>
    </w:p>
    <w:p w14:paraId="035B5A3E" w14:textId="77777777" w:rsidR="00867101" w:rsidRDefault="00867101" w:rsidP="007B43C2">
      <w:pPr>
        <w:rPr>
          <w:b/>
        </w:rPr>
      </w:pPr>
    </w:p>
    <w:p w14:paraId="62A1B95D" w14:textId="77777777" w:rsidR="00867101" w:rsidRDefault="00867101" w:rsidP="007B43C2">
      <w:pPr>
        <w:rPr>
          <w:b/>
        </w:rPr>
      </w:pPr>
    </w:p>
    <w:p w14:paraId="71511181" w14:textId="77777777" w:rsidR="00867101" w:rsidRDefault="00867101" w:rsidP="007B43C2">
      <w:pPr>
        <w:rPr>
          <w:b/>
        </w:rPr>
      </w:pPr>
    </w:p>
    <w:p w14:paraId="4E197135" w14:textId="77777777" w:rsidR="00867101" w:rsidRDefault="00867101" w:rsidP="007B43C2">
      <w:pPr>
        <w:rPr>
          <w:b/>
        </w:rPr>
      </w:pPr>
    </w:p>
    <w:p w14:paraId="4118D519" w14:textId="77777777" w:rsidR="00867101" w:rsidRDefault="00867101" w:rsidP="007B43C2">
      <w:pPr>
        <w:rPr>
          <w:b/>
        </w:rPr>
      </w:pPr>
    </w:p>
    <w:p w14:paraId="70B3E790" w14:textId="77777777" w:rsidR="00867101" w:rsidRDefault="00867101" w:rsidP="007B43C2">
      <w:pPr>
        <w:rPr>
          <w:b/>
        </w:rPr>
      </w:pPr>
    </w:p>
    <w:p w14:paraId="0A6F9B68" w14:textId="77777777" w:rsidR="00867101" w:rsidRDefault="00867101" w:rsidP="007B43C2">
      <w:pPr>
        <w:rPr>
          <w:b/>
        </w:rPr>
      </w:pPr>
    </w:p>
    <w:p w14:paraId="76A998DA" w14:textId="77777777" w:rsidR="00867101" w:rsidRDefault="00867101" w:rsidP="007B43C2">
      <w:pPr>
        <w:rPr>
          <w:b/>
        </w:rPr>
      </w:pPr>
    </w:p>
    <w:p w14:paraId="76216432" w14:textId="77777777" w:rsidR="005A6C69" w:rsidRDefault="005A6C69" w:rsidP="007B43C2">
      <w:pPr>
        <w:rPr>
          <w:b/>
        </w:rPr>
      </w:pPr>
    </w:p>
    <w:p w14:paraId="30E74108" w14:textId="057884CA" w:rsidR="007B43C2" w:rsidRDefault="00FD132D" w:rsidP="007B43C2">
      <w:pPr>
        <w:rPr>
          <w:b/>
          <w:sz w:val="22"/>
          <w:szCs w:val="22"/>
        </w:rPr>
      </w:pPr>
      <w:r>
        <w:rPr>
          <w:b/>
        </w:rPr>
        <w:lastRenderedPageBreak/>
        <w:t xml:space="preserve">List of </w:t>
      </w:r>
      <w:r w:rsidR="007B43C2" w:rsidRPr="00FD132D">
        <w:rPr>
          <w:b/>
          <w:sz w:val="22"/>
          <w:szCs w:val="22"/>
        </w:rPr>
        <w:t>Acronyms</w:t>
      </w:r>
    </w:p>
    <w:p w14:paraId="7B8AF373" w14:textId="77777777" w:rsidR="00FD132D" w:rsidRPr="001C732F" w:rsidRDefault="00FD132D" w:rsidP="007B43C2">
      <w:pPr>
        <w:rPr>
          <w:sz w:val="22"/>
          <w:szCs w:val="22"/>
        </w:rPr>
      </w:pPr>
    </w:p>
    <w:p w14:paraId="32B6901F" w14:textId="77777777" w:rsidR="007B43C2" w:rsidRPr="001C732F" w:rsidRDefault="007B43C2" w:rsidP="007B43C2">
      <w:pPr>
        <w:rPr>
          <w:sz w:val="22"/>
          <w:szCs w:val="22"/>
        </w:rPr>
      </w:pPr>
    </w:p>
    <w:p w14:paraId="20C3C24A" w14:textId="77777777" w:rsidR="007B43C2" w:rsidRDefault="007B43C2" w:rsidP="007B43C2">
      <w:pPr>
        <w:rPr>
          <w:sz w:val="22"/>
          <w:szCs w:val="22"/>
        </w:rPr>
      </w:pPr>
      <w:r>
        <w:rPr>
          <w:sz w:val="22"/>
          <w:szCs w:val="22"/>
        </w:rPr>
        <w:t>AFP – Armed Forces of the Philippines</w:t>
      </w:r>
    </w:p>
    <w:p w14:paraId="1101603C" w14:textId="77777777" w:rsidR="007B43C2" w:rsidRDefault="007B43C2" w:rsidP="007B43C2">
      <w:pPr>
        <w:rPr>
          <w:sz w:val="22"/>
          <w:szCs w:val="22"/>
        </w:rPr>
      </w:pPr>
      <w:r>
        <w:rPr>
          <w:sz w:val="22"/>
          <w:szCs w:val="22"/>
        </w:rPr>
        <w:t>ARMM – Autonomous Region in Muslim Mindanao</w:t>
      </w:r>
    </w:p>
    <w:p w14:paraId="7CD59EFB" w14:textId="77777777" w:rsidR="007B43C2" w:rsidRDefault="007B43C2" w:rsidP="007B43C2">
      <w:pPr>
        <w:rPr>
          <w:sz w:val="22"/>
          <w:szCs w:val="22"/>
        </w:rPr>
      </w:pPr>
      <w:r>
        <w:rPr>
          <w:sz w:val="22"/>
          <w:szCs w:val="22"/>
        </w:rPr>
        <w:t>ASG -  Abu Sayyaf Group</w:t>
      </w:r>
    </w:p>
    <w:p w14:paraId="2A410470" w14:textId="77777777" w:rsidR="007B43C2" w:rsidRDefault="007B43C2" w:rsidP="007B43C2">
      <w:pPr>
        <w:rPr>
          <w:sz w:val="22"/>
          <w:szCs w:val="22"/>
        </w:rPr>
      </w:pPr>
      <w:r>
        <w:rPr>
          <w:sz w:val="22"/>
          <w:szCs w:val="22"/>
        </w:rPr>
        <w:t>Australian DFAT -  Australian Department of Foreign Affairs and Trade</w:t>
      </w:r>
    </w:p>
    <w:p w14:paraId="1B53FCE7" w14:textId="77777777" w:rsidR="007B43C2" w:rsidRDefault="007B43C2" w:rsidP="007B43C2">
      <w:pPr>
        <w:rPr>
          <w:sz w:val="22"/>
          <w:szCs w:val="22"/>
        </w:rPr>
      </w:pPr>
      <w:r w:rsidRPr="001C732F">
        <w:rPr>
          <w:sz w:val="22"/>
          <w:szCs w:val="22"/>
        </w:rPr>
        <w:t>BASIC Bangsamoro</w:t>
      </w:r>
      <w:r>
        <w:rPr>
          <w:sz w:val="22"/>
          <w:szCs w:val="22"/>
        </w:rPr>
        <w:t xml:space="preserve"> -  Building Sustainable Institutions and Communities in Bangsamoro</w:t>
      </w:r>
    </w:p>
    <w:p w14:paraId="0019F6F3" w14:textId="77777777" w:rsidR="007B43C2" w:rsidRDefault="007B43C2" w:rsidP="007B43C2">
      <w:pPr>
        <w:rPr>
          <w:sz w:val="22"/>
          <w:szCs w:val="22"/>
        </w:rPr>
      </w:pPr>
      <w:r>
        <w:rPr>
          <w:sz w:val="22"/>
          <w:szCs w:val="22"/>
        </w:rPr>
        <w:t>BaSulTa – Basilan, Sulu, Tawi Tawi</w:t>
      </w:r>
    </w:p>
    <w:p w14:paraId="7F237142" w14:textId="77777777" w:rsidR="007B43C2" w:rsidRDefault="007B43C2" w:rsidP="007B43C2">
      <w:pPr>
        <w:rPr>
          <w:sz w:val="22"/>
          <w:szCs w:val="22"/>
        </w:rPr>
      </w:pPr>
      <w:r>
        <w:rPr>
          <w:sz w:val="22"/>
          <w:szCs w:val="22"/>
        </w:rPr>
        <w:t>BBL -  Bangsamoro Basic Law</w:t>
      </w:r>
      <w:bookmarkStart w:id="0" w:name="_GoBack"/>
      <w:bookmarkEnd w:id="0"/>
    </w:p>
    <w:p w14:paraId="0DBCFEE5" w14:textId="77777777" w:rsidR="007B43C2" w:rsidRDefault="007B43C2" w:rsidP="007B43C2">
      <w:pPr>
        <w:rPr>
          <w:sz w:val="22"/>
          <w:szCs w:val="22"/>
        </w:rPr>
      </w:pPr>
      <w:r>
        <w:rPr>
          <w:sz w:val="22"/>
          <w:szCs w:val="22"/>
        </w:rPr>
        <w:t>BDAF – Bangsamoro Development Assistance Fund</w:t>
      </w:r>
    </w:p>
    <w:p w14:paraId="1CAA7A37" w14:textId="06326CED" w:rsidR="00FD132D" w:rsidRDefault="00FD132D" w:rsidP="007B43C2">
      <w:pPr>
        <w:rPr>
          <w:sz w:val="22"/>
          <w:szCs w:val="22"/>
        </w:rPr>
      </w:pPr>
      <w:r>
        <w:rPr>
          <w:sz w:val="22"/>
          <w:szCs w:val="22"/>
        </w:rPr>
        <w:t>BG – Bangsamoro Government</w:t>
      </w:r>
    </w:p>
    <w:p w14:paraId="268B5981" w14:textId="77777777" w:rsidR="007B43C2" w:rsidRDefault="007B43C2" w:rsidP="007B43C2">
      <w:pPr>
        <w:rPr>
          <w:sz w:val="22"/>
          <w:szCs w:val="22"/>
        </w:rPr>
      </w:pPr>
      <w:r>
        <w:rPr>
          <w:sz w:val="22"/>
          <w:szCs w:val="22"/>
        </w:rPr>
        <w:t>BIFF – Bangsamoro Islamic Freedom Fighters</w:t>
      </w:r>
    </w:p>
    <w:p w14:paraId="4AF57A30" w14:textId="77777777" w:rsidR="007B43C2" w:rsidRDefault="007B43C2" w:rsidP="007B43C2">
      <w:pPr>
        <w:rPr>
          <w:sz w:val="22"/>
          <w:szCs w:val="22"/>
        </w:rPr>
      </w:pPr>
      <w:r>
        <w:rPr>
          <w:sz w:val="22"/>
          <w:szCs w:val="22"/>
        </w:rPr>
        <w:t>BTF – Bangsamoro Trust Fund</w:t>
      </w:r>
    </w:p>
    <w:p w14:paraId="465D527D" w14:textId="77777777" w:rsidR="007B43C2" w:rsidRDefault="007B43C2" w:rsidP="007B43C2">
      <w:pPr>
        <w:rPr>
          <w:sz w:val="22"/>
          <w:szCs w:val="22"/>
        </w:rPr>
      </w:pPr>
      <w:r>
        <w:rPr>
          <w:sz w:val="22"/>
          <w:szCs w:val="22"/>
        </w:rPr>
        <w:t>BTC -  Bangsamoro Transition Commission</w:t>
      </w:r>
    </w:p>
    <w:p w14:paraId="05325117" w14:textId="77777777" w:rsidR="007B43C2" w:rsidRDefault="007B43C2" w:rsidP="007B43C2">
      <w:pPr>
        <w:rPr>
          <w:sz w:val="22"/>
          <w:szCs w:val="22"/>
        </w:rPr>
      </w:pPr>
      <w:r>
        <w:rPr>
          <w:sz w:val="22"/>
          <w:szCs w:val="22"/>
        </w:rPr>
        <w:t>CAA – Conflict-Affected Areas</w:t>
      </w:r>
    </w:p>
    <w:p w14:paraId="765DA45D" w14:textId="77777777" w:rsidR="007B43C2" w:rsidRDefault="007B43C2" w:rsidP="007B43C2">
      <w:pPr>
        <w:rPr>
          <w:sz w:val="22"/>
          <w:szCs w:val="22"/>
        </w:rPr>
      </w:pPr>
      <w:r>
        <w:rPr>
          <w:sz w:val="22"/>
          <w:szCs w:val="22"/>
        </w:rPr>
        <w:t>CAB – Comprehensive Agreement on the Bangsamoro</w:t>
      </w:r>
    </w:p>
    <w:p w14:paraId="017768CB" w14:textId="77777777" w:rsidR="007B43C2" w:rsidRDefault="007B43C2" w:rsidP="007B43C2">
      <w:pPr>
        <w:rPr>
          <w:sz w:val="22"/>
          <w:szCs w:val="22"/>
        </w:rPr>
      </w:pPr>
      <w:r>
        <w:rPr>
          <w:sz w:val="22"/>
          <w:szCs w:val="22"/>
        </w:rPr>
        <w:t>CBD – Cross Border Trade</w:t>
      </w:r>
    </w:p>
    <w:p w14:paraId="5CFBE187" w14:textId="77777777" w:rsidR="007B43C2" w:rsidRDefault="007B43C2" w:rsidP="007B43C2">
      <w:pPr>
        <w:rPr>
          <w:sz w:val="22"/>
          <w:szCs w:val="22"/>
        </w:rPr>
      </w:pPr>
      <w:r>
        <w:rPr>
          <w:sz w:val="22"/>
          <w:szCs w:val="22"/>
        </w:rPr>
        <w:t>CDD – Community-driven development</w:t>
      </w:r>
    </w:p>
    <w:p w14:paraId="4607D135" w14:textId="77777777" w:rsidR="007B43C2" w:rsidRDefault="007B43C2" w:rsidP="007B43C2">
      <w:pPr>
        <w:rPr>
          <w:sz w:val="22"/>
          <w:szCs w:val="22"/>
        </w:rPr>
      </w:pPr>
      <w:r>
        <w:rPr>
          <w:sz w:val="22"/>
          <w:szCs w:val="22"/>
        </w:rPr>
        <w:t>CHD – Center for Humanitarian Dialogue</w:t>
      </w:r>
    </w:p>
    <w:p w14:paraId="34F1C967" w14:textId="77777777" w:rsidR="007B43C2" w:rsidRDefault="007B43C2" w:rsidP="007B43C2">
      <w:pPr>
        <w:rPr>
          <w:sz w:val="22"/>
          <w:szCs w:val="22"/>
        </w:rPr>
      </w:pPr>
      <w:r>
        <w:rPr>
          <w:sz w:val="22"/>
          <w:szCs w:val="22"/>
        </w:rPr>
        <w:t>CfC - Coalition for Change</w:t>
      </w:r>
    </w:p>
    <w:p w14:paraId="3AC84484" w14:textId="77777777" w:rsidR="007B43C2" w:rsidRDefault="007B43C2" w:rsidP="007B43C2">
      <w:pPr>
        <w:rPr>
          <w:sz w:val="22"/>
          <w:szCs w:val="22"/>
        </w:rPr>
      </w:pPr>
      <w:r>
        <w:rPr>
          <w:sz w:val="22"/>
          <w:szCs w:val="22"/>
        </w:rPr>
        <w:t xml:space="preserve">CSO – Civil Society Organization </w:t>
      </w:r>
    </w:p>
    <w:p w14:paraId="2FF95C76" w14:textId="77777777" w:rsidR="007B43C2" w:rsidRDefault="007B43C2" w:rsidP="007B43C2">
      <w:pPr>
        <w:rPr>
          <w:sz w:val="22"/>
          <w:szCs w:val="22"/>
        </w:rPr>
      </w:pPr>
      <w:r>
        <w:rPr>
          <w:sz w:val="22"/>
          <w:szCs w:val="22"/>
        </w:rPr>
        <w:t>CVE – Countering Violent Extremism</w:t>
      </w:r>
    </w:p>
    <w:p w14:paraId="0C5CF2E9" w14:textId="77777777" w:rsidR="007B43C2" w:rsidRDefault="007B43C2" w:rsidP="007B43C2">
      <w:pPr>
        <w:rPr>
          <w:sz w:val="22"/>
          <w:szCs w:val="22"/>
        </w:rPr>
      </w:pPr>
      <w:r>
        <w:rPr>
          <w:sz w:val="22"/>
          <w:szCs w:val="22"/>
        </w:rPr>
        <w:t>CVI – Conflict, Violence and Instability</w:t>
      </w:r>
    </w:p>
    <w:p w14:paraId="64DF9887" w14:textId="77777777" w:rsidR="007B43C2" w:rsidRDefault="007B43C2" w:rsidP="007B43C2">
      <w:pPr>
        <w:rPr>
          <w:sz w:val="22"/>
          <w:szCs w:val="22"/>
        </w:rPr>
      </w:pPr>
      <w:r>
        <w:rPr>
          <w:sz w:val="22"/>
          <w:szCs w:val="22"/>
        </w:rPr>
        <w:t>FAB – Framework Agreement on the Bangsamoro</w:t>
      </w:r>
    </w:p>
    <w:p w14:paraId="70EB629C" w14:textId="77777777" w:rsidR="007B43C2" w:rsidRDefault="007B43C2" w:rsidP="007B43C2">
      <w:pPr>
        <w:rPr>
          <w:sz w:val="22"/>
          <w:szCs w:val="22"/>
        </w:rPr>
      </w:pPr>
      <w:r>
        <w:rPr>
          <w:sz w:val="22"/>
          <w:szCs w:val="22"/>
        </w:rPr>
        <w:t xml:space="preserve">FASTRAC – Facility for Advisory Support for Transition Activities </w:t>
      </w:r>
    </w:p>
    <w:p w14:paraId="1132E646" w14:textId="77777777" w:rsidR="007B43C2" w:rsidRDefault="007B43C2" w:rsidP="007B43C2">
      <w:pPr>
        <w:rPr>
          <w:sz w:val="22"/>
          <w:szCs w:val="22"/>
        </w:rPr>
      </w:pPr>
      <w:r>
        <w:rPr>
          <w:sz w:val="22"/>
          <w:szCs w:val="22"/>
        </w:rPr>
        <w:t>GPH – Government of the Philippines</w:t>
      </w:r>
    </w:p>
    <w:p w14:paraId="68B8B89C" w14:textId="77777777" w:rsidR="007B43C2" w:rsidRDefault="007B43C2" w:rsidP="007B43C2">
      <w:pPr>
        <w:rPr>
          <w:sz w:val="22"/>
          <w:szCs w:val="22"/>
        </w:rPr>
      </w:pPr>
      <w:r>
        <w:rPr>
          <w:sz w:val="22"/>
          <w:szCs w:val="22"/>
        </w:rPr>
        <w:t>IA – International Alert</w:t>
      </w:r>
    </w:p>
    <w:p w14:paraId="118F26D2" w14:textId="77777777" w:rsidR="007B43C2" w:rsidRDefault="007B43C2" w:rsidP="007B43C2">
      <w:pPr>
        <w:rPr>
          <w:sz w:val="22"/>
          <w:szCs w:val="22"/>
        </w:rPr>
      </w:pPr>
      <w:r>
        <w:rPr>
          <w:sz w:val="22"/>
          <w:szCs w:val="22"/>
        </w:rPr>
        <w:t>IAG – Institute for Autonomy and Governance</w:t>
      </w:r>
    </w:p>
    <w:p w14:paraId="3BD0FA37" w14:textId="77777777" w:rsidR="007B43C2" w:rsidRDefault="007B43C2" w:rsidP="007B43C2">
      <w:pPr>
        <w:rPr>
          <w:sz w:val="22"/>
          <w:szCs w:val="22"/>
        </w:rPr>
      </w:pPr>
      <w:r>
        <w:rPr>
          <w:sz w:val="22"/>
          <w:szCs w:val="22"/>
        </w:rPr>
        <w:t xml:space="preserve">IOM – International Office of Migration </w:t>
      </w:r>
    </w:p>
    <w:p w14:paraId="5B1BE519" w14:textId="77777777" w:rsidR="007B43C2" w:rsidRDefault="007B43C2" w:rsidP="007B43C2">
      <w:pPr>
        <w:rPr>
          <w:sz w:val="22"/>
          <w:szCs w:val="22"/>
        </w:rPr>
      </w:pPr>
      <w:r>
        <w:rPr>
          <w:sz w:val="22"/>
          <w:szCs w:val="22"/>
        </w:rPr>
        <w:t>IP-  Indigenous People</w:t>
      </w:r>
    </w:p>
    <w:p w14:paraId="5830D71B" w14:textId="77777777" w:rsidR="007B43C2" w:rsidRDefault="007B43C2" w:rsidP="007B43C2">
      <w:pPr>
        <w:rPr>
          <w:sz w:val="22"/>
          <w:szCs w:val="22"/>
        </w:rPr>
      </w:pPr>
      <w:r>
        <w:rPr>
          <w:sz w:val="22"/>
          <w:szCs w:val="22"/>
        </w:rPr>
        <w:t>LGUs-  Local Government Units</w:t>
      </w:r>
    </w:p>
    <w:p w14:paraId="64B91DA5" w14:textId="77777777" w:rsidR="007B43C2" w:rsidRDefault="007B43C2" w:rsidP="007B43C2">
      <w:pPr>
        <w:rPr>
          <w:sz w:val="22"/>
          <w:szCs w:val="22"/>
        </w:rPr>
      </w:pPr>
      <w:r>
        <w:rPr>
          <w:sz w:val="22"/>
          <w:szCs w:val="22"/>
        </w:rPr>
        <w:t>MILF – Moro Islamic Liberation Front</w:t>
      </w:r>
    </w:p>
    <w:p w14:paraId="2CB31FEE" w14:textId="77777777" w:rsidR="007B43C2" w:rsidRDefault="007B43C2" w:rsidP="007B43C2">
      <w:pPr>
        <w:rPr>
          <w:sz w:val="22"/>
          <w:szCs w:val="22"/>
        </w:rPr>
      </w:pPr>
      <w:r>
        <w:rPr>
          <w:sz w:val="22"/>
          <w:szCs w:val="22"/>
        </w:rPr>
        <w:t>MNLF-  Moro National Liberation Front</w:t>
      </w:r>
    </w:p>
    <w:p w14:paraId="6EDCB0E5" w14:textId="77777777" w:rsidR="007B43C2" w:rsidRDefault="007B43C2" w:rsidP="007B43C2">
      <w:pPr>
        <w:rPr>
          <w:sz w:val="22"/>
          <w:szCs w:val="22"/>
        </w:rPr>
      </w:pPr>
      <w:r>
        <w:rPr>
          <w:sz w:val="22"/>
          <w:szCs w:val="22"/>
        </w:rPr>
        <w:t>MTF-  Mindanao Trust Fund</w:t>
      </w:r>
    </w:p>
    <w:p w14:paraId="237B2D51" w14:textId="77777777" w:rsidR="007B43C2" w:rsidRDefault="007B43C2" w:rsidP="007B43C2">
      <w:pPr>
        <w:rPr>
          <w:sz w:val="22"/>
          <w:szCs w:val="22"/>
        </w:rPr>
      </w:pPr>
      <w:r>
        <w:rPr>
          <w:sz w:val="22"/>
          <w:szCs w:val="22"/>
        </w:rPr>
        <w:t>OPAPP – Office of the Presidential Adviser on the Peace Process</w:t>
      </w:r>
    </w:p>
    <w:p w14:paraId="47863419" w14:textId="77777777" w:rsidR="007B43C2" w:rsidRDefault="007B43C2" w:rsidP="007B43C2">
      <w:pPr>
        <w:rPr>
          <w:sz w:val="22"/>
          <w:szCs w:val="22"/>
        </w:rPr>
      </w:pPr>
      <w:r>
        <w:rPr>
          <w:sz w:val="22"/>
          <w:szCs w:val="22"/>
        </w:rPr>
        <w:t>PHRODF – Philippine Australia Human Resource and Organizational Development Facility</w:t>
      </w:r>
    </w:p>
    <w:p w14:paraId="02897B5A" w14:textId="77777777" w:rsidR="007B43C2" w:rsidRDefault="007B43C2" w:rsidP="007B43C2">
      <w:pPr>
        <w:rPr>
          <w:sz w:val="22"/>
          <w:szCs w:val="22"/>
        </w:rPr>
      </w:pPr>
      <w:r>
        <w:rPr>
          <w:sz w:val="22"/>
          <w:szCs w:val="22"/>
        </w:rPr>
        <w:t>POC – Peace and Order Council</w:t>
      </w:r>
    </w:p>
    <w:p w14:paraId="6F4DDE1F" w14:textId="77777777" w:rsidR="007B43C2" w:rsidRDefault="007B43C2" w:rsidP="007B43C2">
      <w:pPr>
        <w:rPr>
          <w:sz w:val="22"/>
          <w:szCs w:val="22"/>
        </w:rPr>
      </w:pPr>
      <w:r>
        <w:rPr>
          <w:sz w:val="22"/>
          <w:szCs w:val="22"/>
        </w:rPr>
        <w:t>PNP – Philippine National Police</w:t>
      </w:r>
    </w:p>
    <w:p w14:paraId="194F2E79" w14:textId="77777777" w:rsidR="007B43C2" w:rsidRDefault="007B43C2" w:rsidP="007B43C2">
      <w:pPr>
        <w:rPr>
          <w:sz w:val="22"/>
          <w:szCs w:val="22"/>
        </w:rPr>
      </w:pPr>
      <w:r>
        <w:rPr>
          <w:sz w:val="22"/>
          <w:szCs w:val="22"/>
        </w:rPr>
        <w:t>SC – Supreme Court</w:t>
      </w:r>
    </w:p>
    <w:p w14:paraId="0DB68F08" w14:textId="0D7511D8" w:rsidR="007B43C2" w:rsidRDefault="007B43C2" w:rsidP="007B43C2">
      <w:pPr>
        <w:rPr>
          <w:sz w:val="22"/>
          <w:szCs w:val="22"/>
        </w:rPr>
      </w:pPr>
      <w:r>
        <w:rPr>
          <w:sz w:val="22"/>
          <w:szCs w:val="22"/>
        </w:rPr>
        <w:t>SWS – Social Weather Station</w:t>
      </w:r>
      <w:r w:rsidR="007E0EF4">
        <w:rPr>
          <w:sz w:val="22"/>
          <w:szCs w:val="22"/>
        </w:rPr>
        <w:t>s</w:t>
      </w:r>
    </w:p>
    <w:p w14:paraId="2F99ECCA" w14:textId="77777777" w:rsidR="007B43C2" w:rsidRDefault="007B43C2" w:rsidP="007B43C2">
      <w:pPr>
        <w:rPr>
          <w:sz w:val="22"/>
          <w:szCs w:val="22"/>
        </w:rPr>
      </w:pPr>
      <w:r>
        <w:rPr>
          <w:sz w:val="22"/>
          <w:szCs w:val="22"/>
        </w:rPr>
        <w:t>TAF -  The Asia Foundation</w:t>
      </w:r>
    </w:p>
    <w:p w14:paraId="3F1DD4C7" w14:textId="77777777" w:rsidR="007B43C2" w:rsidRDefault="007B43C2" w:rsidP="007B43C2">
      <w:pPr>
        <w:rPr>
          <w:sz w:val="22"/>
          <w:szCs w:val="22"/>
        </w:rPr>
      </w:pPr>
      <w:r>
        <w:rPr>
          <w:sz w:val="22"/>
          <w:szCs w:val="22"/>
        </w:rPr>
        <w:t>TJRC -  Transitional Justice and Reconciliation Commission</w:t>
      </w:r>
    </w:p>
    <w:p w14:paraId="7678B67F" w14:textId="77777777" w:rsidR="007B43C2" w:rsidRDefault="007B43C2" w:rsidP="007B43C2">
      <w:pPr>
        <w:rPr>
          <w:sz w:val="22"/>
          <w:szCs w:val="22"/>
        </w:rPr>
      </w:pPr>
      <w:r>
        <w:rPr>
          <w:sz w:val="22"/>
          <w:szCs w:val="22"/>
        </w:rPr>
        <w:t xml:space="preserve">WB – World Bank </w:t>
      </w:r>
    </w:p>
    <w:p w14:paraId="0FFE2F09" w14:textId="77777777" w:rsidR="007B43C2" w:rsidRDefault="007B43C2" w:rsidP="007B43C2">
      <w:pPr>
        <w:rPr>
          <w:sz w:val="22"/>
          <w:szCs w:val="22"/>
        </w:rPr>
      </w:pPr>
    </w:p>
    <w:p w14:paraId="4C82BD5F" w14:textId="77777777" w:rsidR="007B43C2" w:rsidRDefault="007B43C2" w:rsidP="007B43C2">
      <w:pPr>
        <w:rPr>
          <w:sz w:val="22"/>
          <w:szCs w:val="22"/>
        </w:rPr>
      </w:pPr>
    </w:p>
    <w:p w14:paraId="3CD29816" w14:textId="77777777" w:rsidR="005A6C69" w:rsidRDefault="005A6C69" w:rsidP="00D07C51">
      <w:pPr>
        <w:jc w:val="center"/>
        <w:rPr>
          <w:b/>
        </w:rPr>
      </w:pPr>
    </w:p>
    <w:p w14:paraId="5F4E928E" w14:textId="77777777" w:rsidR="003F4D67" w:rsidRDefault="003F4D67" w:rsidP="00D07C51">
      <w:pPr>
        <w:jc w:val="center"/>
        <w:rPr>
          <w:b/>
        </w:rPr>
      </w:pPr>
    </w:p>
    <w:p w14:paraId="43E8C273" w14:textId="2236341A" w:rsidR="00D07C51" w:rsidRDefault="007B3EF6" w:rsidP="00D07C51">
      <w:pPr>
        <w:jc w:val="center"/>
        <w:rPr>
          <w:b/>
        </w:rPr>
      </w:pPr>
      <w:r>
        <w:rPr>
          <w:b/>
        </w:rPr>
        <w:t>Strategic Review of Australia’s Support for Peace in Mindanao</w:t>
      </w:r>
    </w:p>
    <w:p w14:paraId="5378A1AC" w14:textId="77777777" w:rsidR="00D07C51" w:rsidRDefault="00D07C51" w:rsidP="00D07C51">
      <w:pPr>
        <w:jc w:val="center"/>
        <w:rPr>
          <w:b/>
        </w:rPr>
      </w:pPr>
    </w:p>
    <w:p w14:paraId="55DF32E7" w14:textId="583DBE22" w:rsidR="00D07C51" w:rsidRDefault="00010A70" w:rsidP="00D07C51">
      <w:pPr>
        <w:jc w:val="center"/>
        <w:rPr>
          <w:b/>
        </w:rPr>
      </w:pPr>
      <w:r>
        <w:rPr>
          <w:b/>
        </w:rPr>
        <w:t xml:space="preserve">(Final Report of the Review Mission) </w:t>
      </w:r>
    </w:p>
    <w:p w14:paraId="6EB0A593" w14:textId="77777777" w:rsidR="00D07C51" w:rsidRDefault="00D07C51" w:rsidP="00D07C51">
      <w:pPr>
        <w:jc w:val="center"/>
        <w:rPr>
          <w:b/>
        </w:rPr>
      </w:pPr>
    </w:p>
    <w:p w14:paraId="09CCFA8E" w14:textId="626603E2" w:rsidR="00D07C51" w:rsidRDefault="00D07C51" w:rsidP="00D07C51">
      <w:pPr>
        <w:jc w:val="both"/>
        <w:rPr>
          <w:b/>
          <w:sz w:val="22"/>
          <w:szCs w:val="22"/>
        </w:rPr>
      </w:pPr>
      <w:r w:rsidRPr="00A70467">
        <w:rPr>
          <w:b/>
          <w:sz w:val="22"/>
          <w:szCs w:val="22"/>
        </w:rPr>
        <w:t xml:space="preserve">I.  </w:t>
      </w:r>
      <w:r w:rsidR="00842065">
        <w:rPr>
          <w:b/>
          <w:sz w:val="22"/>
          <w:szCs w:val="22"/>
        </w:rPr>
        <w:tab/>
      </w:r>
      <w:r w:rsidR="00CE455A">
        <w:rPr>
          <w:b/>
          <w:sz w:val="22"/>
          <w:szCs w:val="22"/>
        </w:rPr>
        <w:t xml:space="preserve">Background </w:t>
      </w:r>
    </w:p>
    <w:p w14:paraId="1188984E" w14:textId="77777777" w:rsidR="007B3EF6" w:rsidRDefault="007B3EF6" w:rsidP="00D07C51">
      <w:pPr>
        <w:jc w:val="both"/>
        <w:rPr>
          <w:b/>
          <w:sz w:val="22"/>
          <w:szCs w:val="22"/>
        </w:rPr>
      </w:pPr>
    </w:p>
    <w:p w14:paraId="1548613F" w14:textId="5ECCCA95" w:rsidR="002664DF" w:rsidRDefault="007B3EF6" w:rsidP="00D07C51">
      <w:pPr>
        <w:jc w:val="both"/>
        <w:rPr>
          <w:sz w:val="22"/>
          <w:szCs w:val="22"/>
        </w:rPr>
      </w:pPr>
      <w:r>
        <w:rPr>
          <w:sz w:val="22"/>
          <w:szCs w:val="22"/>
        </w:rPr>
        <w:t xml:space="preserve">1. </w:t>
      </w:r>
      <w:r w:rsidR="002664DF">
        <w:rPr>
          <w:sz w:val="22"/>
          <w:szCs w:val="22"/>
        </w:rPr>
        <w:t xml:space="preserve"> </w:t>
      </w:r>
      <w:r w:rsidR="00254997">
        <w:rPr>
          <w:sz w:val="22"/>
          <w:szCs w:val="22"/>
        </w:rPr>
        <w:tab/>
      </w:r>
      <w:r w:rsidR="00DC6BC2">
        <w:rPr>
          <w:sz w:val="22"/>
          <w:szCs w:val="22"/>
        </w:rPr>
        <w:t xml:space="preserve">The </w:t>
      </w:r>
      <w:r w:rsidR="00B674A1">
        <w:rPr>
          <w:sz w:val="22"/>
          <w:szCs w:val="22"/>
        </w:rPr>
        <w:t xml:space="preserve">Department of </w:t>
      </w:r>
      <w:r w:rsidR="0044527F">
        <w:rPr>
          <w:sz w:val="22"/>
          <w:szCs w:val="22"/>
        </w:rPr>
        <w:t xml:space="preserve">Foreign Affairs </w:t>
      </w:r>
      <w:r w:rsidR="00DC6BC2">
        <w:rPr>
          <w:sz w:val="22"/>
          <w:szCs w:val="22"/>
        </w:rPr>
        <w:t>and Trade (DFAT) appointed a three person team</w:t>
      </w:r>
      <w:r w:rsidR="00DC6BC2" w:rsidRPr="00A70467">
        <w:rPr>
          <w:rStyle w:val="FootnoteReference"/>
          <w:sz w:val="22"/>
          <w:szCs w:val="22"/>
        </w:rPr>
        <w:footnoteReference w:id="1"/>
      </w:r>
      <w:r w:rsidR="00DC6BC2">
        <w:rPr>
          <w:sz w:val="22"/>
          <w:szCs w:val="22"/>
        </w:rPr>
        <w:t xml:space="preserve"> </w:t>
      </w:r>
      <w:r w:rsidR="00B674A1">
        <w:rPr>
          <w:sz w:val="22"/>
          <w:szCs w:val="22"/>
        </w:rPr>
        <w:t>to c</w:t>
      </w:r>
      <w:r w:rsidR="00DC6BC2">
        <w:rPr>
          <w:sz w:val="22"/>
          <w:szCs w:val="22"/>
        </w:rPr>
        <w:t xml:space="preserve">onduct a strategic review of Australia’s </w:t>
      </w:r>
      <w:r w:rsidR="00B674A1">
        <w:rPr>
          <w:sz w:val="22"/>
          <w:szCs w:val="22"/>
        </w:rPr>
        <w:t xml:space="preserve">support </w:t>
      </w:r>
      <w:r w:rsidR="00DC6BC2">
        <w:rPr>
          <w:sz w:val="22"/>
          <w:szCs w:val="22"/>
        </w:rPr>
        <w:t>for the peace process in Mindanao from 23 August to 4 November 2016</w:t>
      </w:r>
      <w:r w:rsidR="00B674A1">
        <w:rPr>
          <w:sz w:val="22"/>
          <w:szCs w:val="22"/>
        </w:rPr>
        <w:t xml:space="preserve">.  The objectives of the review </w:t>
      </w:r>
      <w:r w:rsidR="009C4A4D">
        <w:rPr>
          <w:sz w:val="22"/>
          <w:szCs w:val="22"/>
        </w:rPr>
        <w:t xml:space="preserve">were to: </w:t>
      </w:r>
      <w:r>
        <w:rPr>
          <w:sz w:val="22"/>
          <w:szCs w:val="22"/>
        </w:rPr>
        <w:t>a) assess the effectiveness and relevance of BASIC</w:t>
      </w:r>
      <w:r w:rsidR="00390A95">
        <w:rPr>
          <w:rStyle w:val="FootnoteReference"/>
          <w:sz w:val="22"/>
          <w:szCs w:val="22"/>
        </w:rPr>
        <w:footnoteReference w:id="2"/>
      </w:r>
      <w:r>
        <w:rPr>
          <w:sz w:val="22"/>
          <w:szCs w:val="22"/>
        </w:rPr>
        <w:t xml:space="preserve"> Bangsamoro </w:t>
      </w:r>
      <w:r w:rsidR="008C5388">
        <w:rPr>
          <w:sz w:val="22"/>
          <w:szCs w:val="22"/>
        </w:rPr>
        <w:t>(‘BASIC’)</w:t>
      </w:r>
      <w:r w:rsidR="009C4A4D">
        <w:rPr>
          <w:sz w:val="22"/>
          <w:szCs w:val="22"/>
        </w:rPr>
        <w:t xml:space="preserve"> program,</w:t>
      </w:r>
      <w:r w:rsidR="008C5388">
        <w:rPr>
          <w:sz w:val="22"/>
          <w:szCs w:val="22"/>
        </w:rPr>
        <w:t xml:space="preserve"> </w:t>
      </w:r>
      <w:r>
        <w:rPr>
          <w:sz w:val="22"/>
          <w:szCs w:val="22"/>
        </w:rPr>
        <w:t xml:space="preserve">and b) provide strategic advice on Australia’s wider support for peace in Muslim Mindanao. </w:t>
      </w:r>
      <w:r w:rsidR="009C4A4D">
        <w:rPr>
          <w:sz w:val="22"/>
          <w:szCs w:val="22"/>
        </w:rPr>
        <w:t xml:space="preserve"> Th</w:t>
      </w:r>
      <w:r w:rsidR="00517840">
        <w:rPr>
          <w:sz w:val="22"/>
          <w:szCs w:val="22"/>
        </w:rPr>
        <w:t>e review team conducted</w:t>
      </w:r>
      <w:r w:rsidR="009C4A4D">
        <w:rPr>
          <w:sz w:val="22"/>
          <w:szCs w:val="22"/>
        </w:rPr>
        <w:t xml:space="preserve"> </w:t>
      </w:r>
      <w:r w:rsidR="0044527F">
        <w:rPr>
          <w:sz w:val="22"/>
          <w:szCs w:val="22"/>
        </w:rPr>
        <w:t xml:space="preserve">a </w:t>
      </w:r>
      <w:r w:rsidR="009C4A4D">
        <w:rPr>
          <w:sz w:val="22"/>
          <w:szCs w:val="22"/>
        </w:rPr>
        <w:t>desk review</w:t>
      </w:r>
      <w:r w:rsidR="0044527F">
        <w:rPr>
          <w:sz w:val="22"/>
          <w:szCs w:val="22"/>
        </w:rPr>
        <w:t xml:space="preserve"> </w:t>
      </w:r>
      <w:r w:rsidR="009C4A4D">
        <w:rPr>
          <w:sz w:val="22"/>
          <w:szCs w:val="22"/>
        </w:rPr>
        <w:t xml:space="preserve">of progress reports of </w:t>
      </w:r>
      <w:r w:rsidR="00154C5A">
        <w:rPr>
          <w:sz w:val="22"/>
          <w:szCs w:val="22"/>
        </w:rPr>
        <w:t xml:space="preserve">BASIC </w:t>
      </w:r>
      <w:r w:rsidR="009C4A4D">
        <w:rPr>
          <w:sz w:val="22"/>
          <w:szCs w:val="22"/>
        </w:rPr>
        <w:t xml:space="preserve">implementing </w:t>
      </w:r>
      <w:r w:rsidR="00154C5A">
        <w:rPr>
          <w:sz w:val="22"/>
          <w:szCs w:val="22"/>
        </w:rPr>
        <w:t>partners</w:t>
      </w:r>
      <w:r w:rsidR="00390A95">
        <w:rPr>
          <w:rStyle w:val="FootnoteReference"/>
          <w:sz w:val="22"/>
          <w:szCs w:val="22"/>
        </w:rPr>
        <w:footnoteReference w:id="3"/>
      </w:r>
      <w:r w:rsidR="00154C5A">
        <w:rPr>
          <w:sz w:val="22"/>
          <w:szCs w:val="22"/>
        </w:rPr>
        <w:t xml:space="preserve">, </w:t>
      </w:r>
      <w:r w:rsidR="00934F16">
        <w:rPr>
          <w:sz w:val="22"/>
          <w:szCs w:val="22"/>
        </w:rPr>
        <w:t xml:space="preserve">and </w:t>
      </w:r>
      <w:r w:rsidR="00DC6BC2">
        <w:rPr>
          <w:sz w:val="22"/>
          <w:szCs w:val="22"/>
        </w:rPr>
        <w:t xml:space="preserve">field </w:t>
      </w:r>
      <w:r w:rsidR="00934F16">
        <w:rPr>
          <w:sz w:val="22"/>
          <w:szCs w:val="22"/>
        </w:rPr>
        <w:t>interviews (list at Annex A)</w:t>
      </w:r>
      <w:r w:rsidR="00DC6BC2">
        <w:rPr>
          <w:sz w:val="22"/>
          <w:szCs w:val="22"/>
        </w:rPr>
        <w:t xml:space="preserve"> </w:t>
      </w:r>
      <w:r w:rsidR="00934F16">
        <w:rPr>
          <w:sz w:val="22"/>
          <w:szCs w:val="22"/>
        </w:rPr>
        <w:t xml:space="preserve">from 19-29 September 2016. </w:t>
      </w:r>
      <w:r w:rsidR="009C4A4D">
        <w:rPr>
          <w:sz w:val="22"/>
          <w:szCs w:val="22"/>
        </w:rPr>
        <w:t xml:space="preserve"> </w:t>
      </w:r>
      <w:r w:rsidR="002664DF">
        <w:rPr>
          <w:sz w:val="22"/>
          <w:szCs w:val="22"/>
        </w:rPr>
        <w:t xml:space="preserve">It used a set of criteria drafted by the Australian Embassy </w:t>
      </w:r>
      <w:r w:rsidR="00254997">
        <w:rPr>
          <w:sz w:val="22"/>
          <w:szCs w:val="22"/>
        </w:rPr>
        <w:t>Manila</w:t>
      </w:r>
      <w:r w:rsidR="00946233">
        <w:rPr>
          <w:sz w:val="22"/>
          <w:szCs w:val="22"/>
        </w:rPr>
        <w:t>,</w:t>
      </w:r>
      <w:r w:rsidR="00254997">
        <w:rPr>
          <w:sz w:val="22"/>
          <w:szCs w:val="22"/>
        </w:rPr>
        <w:t xml:space="preserve"> </w:t>
      </w:r>
      <w:r w:rsidR="00946233">
        <w:rPr>
          <w:sz w:val="22"/>
          <w:szCs w:val="22"/>
        </w:rPr>
        <w:t xml:space="preserve">as </w:t>
      </w:r>
      <w:r w:rsidR="008C5388">
        <w:rPr>
          <w:sz w:val="22"/>
          <w:szCs w:val="22"/>
        </w:rPr>
        <w:t xml:space="preserve">set out in its </w:t>
      </w:r>
      <w:r w:rsidR="00390A95">
        <w:rPr>
          <w:sz w:val="22"/>
          <w:szCs w:val="22"/>
        </w:rPr>
        <w:t xml:space="preserve">Terms of </w:t>
      </w:r>
      <w:r w:rsidR="002664DF">
        <w:rPr>
          <w:sz w:val="22"/>
          <w:szCs w:val="22"/>
        </w:rPr>
        <w:t xml:space="preserve">Reference </w:t>
      </w:r>
      <w:r w:rsidR="00DC6BC2">
        <w:rPr>
          <w:sz w:val="22"/>
          <w:szCs w:val="22"/>
        </w:rPr>
        <w:t>(at A</w:t>
      </w:r>
      <w:r w:rsidR="002664DF" w:rsidRPr="00E53350">
        <w:rPr>
          <w:sz w:val="22"/>
          <w:szCs w:val="22"/>
        </w:rPr>
        <w:t>nnex B).</w:t>
      </w:r>
    </w:p>
    <w:p w14:paraId="27F42270" w14:textId="77777777" w:rsidR="002664DF" w:rsidRDefault="002664DF" w:rsidP="00D07C51">
      <w:pPr>
        <w:jc w:val="both"/>
        <w:rPr>
          <w:sz w:val="22"/>
          <w:szCs w:val="22"/>
        </w:rPr>
      </w:pPr>
    </w:p>
    <w:p w14:paraId="538326AE" w14:textId="51E3E063" w:rsidR="002664DF" w:rsidRDefault="00254997" w:rsidP="00D07C51">
      <w:pPr>
        <w:jc w:val="both"/>
        <w:rPr>
          <w:sz w:val="22"/>
          <w:szCs w:val="22"/>
        </w:rPr>
      </w:pPr>
      <w:r>
        <w:rPr>
          <w:sz w:val="22"/>
          <w:szCs w:val="22"/>
        </w:rPr>
        <w:t>2</w:t>
      </w:r>
      <w:r w:rsidR="002664DF">
        <w:rPr>
          <w:sz w:val="22"/>
          <w:szCs w:val="22"/>
        </w:rPr>
        <w:t xml:space="preserve">.   </w:t>
      </w:r>
      <w:r>
        <w:rPr>
          <w:sz w:val="22"/>
          <w:szCs w:val="22"/>
        </w:rPr>
        <w:tab/>
      </w:r>
      <w:r w:rsidR="002664DF">
        <w:rPr>
          <w:sz w:val="22"/>
          <w:szCs w:val="22"/>
        </w:rPr>
        <w:t xml:space="preserve">The Australian Embassy Manila identified </w:t>
      </w:r>
      <w:r>
        <w:rPr>
          <w:sz w:val="22"/>
          <w:szCs w:val="22"/>
        </w:rPr>
        <w:t xml:space="preserve">two key changes in context which </w:t>
      </w:r>
      <w:r w:rsidR="000F43D2">
        <w:rPr>
          <w:sz w:val="22"/>
          <w:szCs w:val="22"/>
        </w:rPr>
        <w:t xml:space="preserve">had </w:t>
      </w:r>
      <w:r>
        <w:rPr>
          <w:sz w:val="22"/>
          <w:szCs w:val="22"/>
        </w:rPr>
        <w:t>impacted</w:t>
      </w:r>
      <w:r w:rsidR="002664DF">
        <w:rPr>
          <w:sz w:val="22"/>
          <w:szCs w:val="22"/>
        </w:rPr>
        <w:t xml:space="preserve"> current activities:</w:t>
      </w:r>
      <w:r w:rsidR="00390A95">
        <w:rPr>
          <w:sz w:val="22"/>
          <w:szCs w:val="22"/>
        </w:rPr>
        <w:t xml:space="preserve"> </w:t>
      </w:r>
      <w:r w:rsidR="002664DF">
        <w:rPr>
          <w:sz w:val="22"/>
          <w:szCs w:val="22"/>
        </w:rPr>
        <w:t>a) the failure to pass the proposed Bang</w:t>
      </w:r>
      <w:r w:rsidR="00390A95">
        <w:rPr>
          <w:sz w:val="22"/>
          <w:szCs w:val="22"/>
        </w:rPr>
        <w:t>s</w:t>
      </w:r>
      <w:r w:rsidR="002664DF">
        <w:rPr>
          <w:sz w:val="22"/>
          <w:szCs w:val="22"/>
        </w:rPr>
        <w:t xml:space="preserve">amoro Basic </w:t>
      </w:r>
      <w:r w:rsidR="00517840">
        <w:rPr>
          <w:sz w:val="22"/>
          <w:szCs w:val="22"/>
        </w:rPr>
        <w:t xml:space="preserve">Law (BBL) </w:t>
      </w:r>
      <w:r w:rsidR="00390A95">
        <w:rPr>
          <w:sz w:val="22"/>
          <w:szCs w:val="22"/>
        </w:rPr>
        <w:t xml:space="preserve">providing for the establishment of </w:t>
      </w:r>
      <w:r w:rsidR="00517840">
        <w:rPr>
          <w:sz w:val="22"/>
          <w:szCs w:val="22"/>
        </w:rPr>
        <w:t>the Bang</w:t>
      </w:r>
      <w:r w:rsidR="002664DF">
        <w:rPr>
          <w:sz w:val="22"/>
          <w:szCs w:val="22"/>
        </w:rPr>
        <w:t>s</w:t>
      </w:r>
      <w:r w:rsidR="00517840">
        <w:rPr>
          <w:sz w:val="22"/>
          <w:szCs w:val="22"/>
        </w:rPr>
        <w:t>amoro G</w:t>
      </w:r>
      <w:r w:rsidR="002664DF">
        <w:rPr>
          <w:sz w:val="22"/>
          <w:szCs w:val="22"/>
        </w:rPr>
        <w:t>overnment</w:t>
      </w:r>
      <w:r w:rsidR="00FB3039">
        <w:rPr>
          <w:sz w:val="22"/>
          <w:szCs w:val="22"/>
        </w:rPr>
        <w:t xml:space="preserve"> </w:t>
      </w:r>
      <w:r w:rsidR="00FD132D">
        <w:rPr>
          <w:sz w:val="22"/>
          <w:szCs w:val="22"/>
        </w:rPr>
        <w:t xml:space="preserve">(BG) </w:t>
      </w:r>
      <w:r w:rsidR="0044527F">
        <w:rPr>
          <w:sz w:val="22"/>
          <w:szCs w:val="22"/>
        </w:rPr>
        <w:t>in 2015</w:t>
      </w:r>
      <w:r w:rsidR="002664DF">
        <w:rPr>
          <w:sz w:val="22"/>
          <w:szCs w:val="22"/>
        </w:rPr>
        <w:t xml:space="preserve">; and b) </w:t>
      </w:r>
      <w:r w:rsidR="00160248">
        <w:rPr>
          <w:sz w:val="22"/>
          <w:szCs w:val="22"/>
        </w:rPr>
        <w:t xml:space="preserve">the new </w:t>
      </w:r>
      <w:r>
        <w:rPr>
          <w:sz w:val="22"/>
          <w:szCs w:val="22"/>
        </w:rPr>
        <w:t>peace</w:t>
      </w:r>
      <w:r w:rsidR="00160248">
        <w:rPr>
          <w:sz w:val="22"/>
          <w:szCs w:val="22"/>
        </w:rPr>
        <w:t xml:space="preserve"> strategy promul</w:t>
      </w:r>
      <w:r>
        <w:rPr>
          <w:sz w:val="22"/>
          <w:szCs w:val="22"/>
        </w:rPr>
        <w:t>gated by the new Government of the Philippines (GPH)</w:t>
      </w:r>
      <w:r w:rsidR="00FB3039">
        <w:rPr>
          <w:sz w:val="22"/>
          <w:szCs w:val="22"/>
        </w:rPr>
        <w:t xml:space="preserve"> </w:t>
      </w:r>
      <w:r w:rsidR="00390A95">
        <w:rPr>
          <w:sz w:val="22"/>
          <w:szCs w:val="22"/>
        </w:rPr>
        <w:t>under</w:t>
      </w:r>
      <w:r w:rsidR="0044527F">
        <w:rPr>
          <w:sz w:val="22"/>
          <w:szCs w:val="22"/>
        </w:rPr>
        <w:t xml:space="preserve"> President </w:t>
      </w:r>
      <w:r w:rsidR="00FD132D">
        <w:rPr>
          <w:sz w:val="22"/>
          <w:szCs w:val="22"/>
        </w:rPr>
        <w:t xml:space="preserve">Rodrigo </w:t>
      </w:r>
      <w:r w:rsidR="0044527F">
        <w:rPr>
          <w:sz w:val="22"/>
          <w:szCs w:val="22"/>
        </w:rPr>
        <w:t>Duterte</w:t>
      </w:r>
      <w:r>
        <w:rPr>
          <w:sz w:val="22"/>
          <w:szCs w:val="22"/>
        </w:rPr>
        <w:t>.  It asked the review team to assess the effectiveness and relevance of current activities against the new context, including a) assessing the extent to which BASIC partners had adjusted their programming, and b) suggesting what changes might be required for BASIC and Australia’s wider peace support.</w:t>
      </w:r>
    </w:p>
    <w:p w14:paraId="1EDEA691" w14:textId="77777777" w:rsidR="00517840" w:rsidRDefault="00517840" w:rsidP="00D07C51">
      <w:pPr>
        <w:jc w:val="both"/>
        <w:rPr>
          <w:sz w:val="22"/>
          <w:szCs w:val="22"/>
        </w:rPr>
      </w:pPr>
    </w:p>
    <w:p w14:paraId="478B833B" w14:textId="77777777" w:rsidR="00946233" w:rsidRDefault="00517840" w:rsidP="00517840">
      <w:pPr>
        <w:jc w:val="both"/>
        <w:rPr>
          <w:sz w:val="22"/>
          <w:szCs w:val="22"/>
        </w:rPr>
      </w:pPr>
      <w:r>
        <w:rPr>
          <w:sz w:val="22"/>
          <w:szCs w:val="22"/>
        </w:rPr>
        <w:t>3.</w:t>
      </w:r>
      <w:r>
        <w:rPr>
          <w:sz w:val="22"/>
          <w:szCs w:val="22"/>
        </w:rPr>
        <w:tab/>
      </w:r>
      <w:r w:rsidR="007B3EF6">
        <w:rPr>
          <w:sz w:val="22"/>
          <w:szCs w:val="22"/>
        </w:rPr>
        <w:t>T</w:t>
      </w:r>
      <w:r w:rsidR="002664DF">
        <w:rPr>
          <w:sz w:val="22"/>
          <w:szCs w:val="22"/>
        </w:rPr>
        <w:t>he review team presen</w:t>
      </w:r>
      <w:r>
        <w:rPr>
          <w:sz w:val="22"/>
          <w:szCs w:val="22"/>
        </w:rPr>
        <w:t xml:space="preserve">ted its </w:t>
      </w:r>
      <w:r w:rsidR="007B3EF6">
        <w:rPr>
          <w:sz w:val="22"/>
          <w:szCs w:val="22"/>
        </w:rPr>
        <w:t xml:space="preserve">initial findings at a meeting with </w:t>
      </w:r>
      <w:r w:rsidR="002664DF">
        <w:rPr>
          <w:sz w:val="22"/>
          <w:szCs w:val="22"/>
        </w:rPr>
        <w:t>the Australian Embassy, chaired by Deputy Head of Mission, Mat Kimberl</w:t>
      </w:r>
      <w:r w:rsidR="00692A01">
        <w:rPr>
          <w:sz w:val="22"/>
          <w:szCs w:val="22"/>
        </w:rPr>
        <w:t>e</w:t>
      </w:r>
      <w:r w:rsidR="002664DF">
        <w:rPr>
          <w:sz w:val="22"/>
          <w:szCs w:val="22"/>
        </w:rPr>
        <w:t xml:space="preserve">y, on 30 September 2016.  </w:t>
      </w:r>
    </w:p>
    <w:p w14:paraId="7DF8C972" w14:textId="77777777" w:rsidR="00946233" w:rsidRDefault="00946233" w:rsidP="00517840">
      <w:pPr>
        <w:jc w:val="both"/>
        <w:rPr>
          <w:sz w:val="22"/>
          <w:szCs w:val="22"/>
        </w:rPr>
      </w:pPr>
    </w:p>
    <w:p w14:paraId="0DEE5FC5" w14:textId="51046D6A" w:rsidR="00A34C4B" w:rsidRDefault="00946233" w:rsidP="00517840">
      <w:pPr>
        <w:jc w:val="both"/>
        <w:rPr>
          <w:sz w:val="22"/>
          <w:szCs w:val="22"/>
        </w:rPr>
      </w:pPr>
      <w:r>
        <w:rPr>
          <w:sz w:val="22"/>
          <w:szCs w:val="22"/>
        </w:rPr>
        <w:t>4.</w:t>
      </w:r>
      <w:r>
        <w:rPr>
          <w:sz w:val="22"/>
          <w:szCs w:val="22"/>
        </w:rPr>
        <w:tab/>
      </w:r>
      <w:r w:rsidR="00517840">
        <w:rPr>
          <w:sz w:val="22"/>
          <w:szCs w:val="22"/>
        </w:rPr>
        <w:t xml:space="preserve">This report elaborates on the team’s initial </w:t>
      </w:r>
      <w:r w:rsidR="00A34C4B">
        <w:rPr>
          <w:sz w:val="22"/>
          <w:szCs w:val="22"/>
        </w:rPr>
        <w:t>assessments</w:t>
      </w:r>
      <w:r>
        <w:rPr>
          <w:sz w:val="22"/>
          <w:szCs w:val="22"/>
        </w:rPr>
        <w:t>,</w:t>
      </w:r>
      <w:r w:rsidR="00A34C4B">
        <w:rPr>
          <w:sz w:val="22"/>
          <w:szCs w:val="22"/>
        </w:rPr>
        <w:t xml:space="preserve"> addressing comments made by Australian Embassy staff during the presentation and drawing on additional data not available at </w:t>
      </w:r>
      <w:r w:rsidR="00E215AD">
        <w:rPr>
          <w:sz w:val="22"/>
          <w:szCs w:val="22"/>
        </w:rPr>
        <w:t xml:space="preserve">the </w:t>
      </w:r>
      <w:r w:rsidR="00A34C4B">
        <w:rPr>
          <w:sz w:val="22"/>
          <w:szCs w:val="22"/>
        </w:rPr>
        <w:t>time of presentation.  The assessments herein are based on interviews, qualitative reports from BASIC partners</w:t>
      </w:r>
      <w:r w:rsidR="00A34C4B">
        <w:rPr>
          <w:rStyle w:val="FootnoteReference"/>
          <w:sz w:val="22"/>
          <w:szCs w:val="22"/>
        </w:rPr>
        <w:footnoteReference w:id="4"/>
      </w:r>
      <w:r w:rsidR="00A34C4B">
        <w:rPr>
          <w:sz w:val="22"/>
          <w:szCs w:val="22"/>
        </w:rPr>
        <w:t xml:space="preserve"> and information from secondary sources.  </w:t>
      </w:r>
    </w:p>
    <w:p w14:paraId="5C24BC0B" w14:textId="77777777" w:rsidR="009919D4" w:rsidRDefault="009919D4" w:rsidP="00A70467">
      <w:pPr>
        <w:tabs>
          <w:tab w:val="left" w:pos="284"/>
        </w:tabs>
        <w:jc w:val="both"/>
        <w:rPr>
          <w:sz w:val="22"/>
          <w:szCs w:val="22"/>
        </w:rPr>
      </w:pPr>
    </w:p>
    <w:p w14:paraId="444D10F3" w14:textId="287F873D" w:rsidR="00A70467" w:rsidRDefault="00A70467" w:rsidP="00A70467">
      <w:pPr>
        <w:tabs>
          <w:tab w:val="left" w:pos="284"/>
        </w:tabs>
        <w:jc w:val="both"/>
        <w:rPr>
          <w:b/>
          <w:sz w:val="22"/>
          <w:szCs w:val="22"/>
        </w:rPr>
      </w:pPr>
      <w:r>
        <w:rPr>
          <w:b/>
          <w:sz w:val="22"/>
          <w:szCs w:val="22"/>
        </w:rPr>
        <w:t xml:space="preserve">II.  </w:t>
      </w:r>
      <w:r w:rsidR="00842065">
        <w:rPr>
          <w:b/>
          <w:sz w:val="22"/>
          <w:szCs w:val="22"/>
        </w:rPr>
        <w:tab/>
      </w:r>
      <w:r>
        <w:rPr>
          <w:b/>
          <w:sz w:val="22"/>
          <w:szCs w:val="22"/>
        </w:rPr>
        <w:t>Mission Findings</w:t>
      </w:r>
      <w:r w:rsidR="00C86461">
        <w:rPr>
          <w:rStyle w:val="FootnoteReference"/>
          <w:b/>
          <w:sz w:val="22"/>
          <w:szCs w:val="22"/>
        </w:rPr>
        <w:footnoteReference w:id="5"/>
      </w:r>
    </w:p>
    <w:p w14:paraId="75F4895A" w14:textId="77777777" w:rsidR="00E9060D" w:rsidRDefault="00E9060D" w:rsidP="00A70467">
      <w:pPr>
        <w:tabs>
          <w:tab w:val="left" w:pos="284"/>
        </w:tabs>
        <w:jc w:val="both"/>
        <w:rPr>
          <w:b/>
          <w:sz w:val="22"/>
          <w:szCs w:val="22"/>
        </w:rPr>
      </w:pPr>
    </w:p>
    <w:p w14:paraId="1E995CDD" w14:textId="40B9488C" w:rsidR="006D61A3" w:rsidRDefault="00E9060D" w:rsidP="006D61A3">
      <w:pPr>
        <w:tabs>
          <w:tab w:val="left" w:pos="284"/>
        </w:tabs>
        <w:jc w:val="both"/>
        <w:rPr>
          <w:b/>
          <w:i/>
          <w:sz w:val="22"/>
          <w:szCs w:val="22"/>
          <w:u w:val="single"/>
        </w:rPr>
      </w:pPr>
      <w:r w:rsidRPr="006D61A3">
        <w:rPr>
          <w:b/>
          <w:i/>
          <w:sz w:val="22"/>
          <w:szCs w:val="22"/>
          <w:u w:val="single"/>
        </w:rPr>
        <w:t>On Effectiveness</w:t>
      </w:r>
    </w:p>
    <w:p w14:paraId="2E242981" w14:textId="77777777" w:rsidR="00FD132D" w:rsidRPr="006D61A3" w:rsidRDefault="00FD132D" w:rsidP="006D61A3">
      <w:pPr>
        <w:tabs>
          <w:tab w:val="left" w:pos="284"/>
        </w:tabs>
        <w:jc w:val="both"/>
        <w:rPr>
          <w:b/>
          <w:i/>
          <w:sz w:val="22"/>
          <w:szCs w:val="22"/>
          <w:u w:val="single"/>
        </w:rPr>
      </w:pPr>
    </w:p>
    <w:p w14:paraId="2AEABE03" w14:textId="0F668CD2" w:rsidR="00531ABE" w:rsidRPr="006D61A3" w:rsidRDefault="00155DEE" w:rsidP="006D61A3">
      <w:pPr>
        <w:tabs>
          <w:tab w:val="left" w:pos="284"/>
        </w:tabs>
        <w:jc w:val="both"/>
        <w:rPr>
          <w:i/>
          <w:sz w:val="22"/>
          <w:szCs w:val="22"/>
          <w:u w:val="single"/>
        </w:rPr>
      </w:pPr>
      <w:r>
        <w:rPr>
          <w:i/>
          <w:sz w:val="22"/>
          <w:szCs w:val="22"/>
        </w:rPr>
        <w:lastRenderedPageBreak/>
        <w:t xml:space="preserve">A. </w:t>
      </w:r>
      <w:r w:rsidR="00E9060D" w:rsidRPr="006D61A3">
        <w:rPr>
          <w:i/>
          <w:sz w:val="22"/>
          <w:szCs w:val="22"/>
        </w:rPr>
        <w:t>Attaining objectives and ad</w:t>
      </w:r>
      <w:r w:rsidR="006D61A3" w:rsidRPr="006D61A3">
        <w:rPr>
          <w:i/>
          <w:sz w:val="22"/>
          <w:szCs w:val="22"/>
        </w:rPr>
        <w:t>just</w:t>
      </w:r>
      <w:r w:rsidR="00C07604">
        <w:rPr>
          <w:i/>
          <w:sz w:val="22"/>
          <w:szCs w:val="22"/>
        </w:rPr>
        <w:t>ing</w:t>
      </w:r>
      <w:r w:rsidR="006D61A3" w:rsidRPr="006D61A3">
        <w:rPr>
          <w:i/>
          <w:sz w:val="22"/>
          <w:szCs w:val="22"/>
        </w:rPr>
        <w:t xml:space="preserve"> to the changing context </w:t>
      </w:r>
    </w:p>
    <w:p w14:paraId="7064DBE2" w14:textId="77777777" w:rsidR="00531ABE" w:rsidRDefault="00531ABE" w:rsidP="00A70467">
      <w:pPr>
        <w:tabs>
          <w:tab w:val="left" w:pos="284"/>
        </w:tabs>
        <w:jc w:val="both"/>
        <w:rPr>
          <w:b/>
          <w:i/>
          <w:sz w:val="22"/>
          <w:szCs w:val="22"/>
        </w:rPr>
      </w:pPr>
    </w:p>
    <w:p w14:paraId="18D8C9C4" w14:textId="446EA045" w:rsidR="0068083F" w:rsidRDefault="006D61A3" w:rsidP="00A70467">
      <w:pPr>
        <w:tabs>
          <w:tab w:val="left" w:pos="284"/>
        </w:tabs>
        <w:jc w:val="both"/>
        <w:rPr>
          <w:sz w:val="22"/>
          <w:szCs w:val="22"/>
        </w:rPr>
      </w:pPr>
      <w:r>
        <w:rPr>
          <w:sz w:val="22"/>
          <w:szCs w:val="22"/>
        </w:rPr>
        <w:t xml:space="preserve">5.  </w:t>
      </w:r>
      <w:r w:rsidR="009D5962">
        <w:rPr>
          <w:sz w:val="22"/>
          <w:szCs w:val="22"/>
        </w:rPr>
        <w:tab/>
      </w:r>
      <w:r w:rsidR="009D5962">
        <w:rPr>
          <w:sz w:val="22"/>
          <w:szCs w:val="22"/>
        </w:rPr>
        <w:tab/>
      </w:r>
      <w:r>
        <w:rPr>
          <w:sz w:val="22"/>
          <w:szCs w:val="22"/>
        </w:rPr>
        <w:t xml:space="preserve">All four BASIC partners aimed to build a constituency supportive of the passage of the proposed BBL in Congress.  </w:t>
      </w:r>
      <w:r w:rsidR="0068083F">
        <w:rPr>
          <w:sz w:val="22"/>
          <w:szCs w:val="22"/>
        </w:rPr>
        <w:t>Their efforts were geared to attaining this goal from the beginning of BASIC implementation in late 2014 up to the third quarter of 2015 when it was clea</w:t>
      </w:r>
      <w:r w:rsidR="000A275F">
        <w:rPr>
          <w:sz w:val="22"/>
          <w:szCs w:val="22"/>
        </w:rPr>
        <w:t xml:space="preserve">r that the bill would not pass in view of the Mamasapano incident in January 2015 that drastically changed public opinion against the BBL.  The expected non-passage of the bill and the scheduled presidential election in 2016 altered the political context within which BASIC partners operated.  </w:t>
      </w:r>
    </w:p>
    <w:p w14:paraId="3D34E5B4" w14:textId="77777777" w:rsidR="0068083F" w:rsidRDefault="0068083F" w:rsidP="00A70467">
      <w:pPr>
        <w:tabs>
          <w:tab w:val="left" w:pos="284"/>
        </w:tabs>
        <w:jc w:val="both"/>
        <w:rPr>
          <w:sz w:val="22"/>
          <w:szCs w:val="22"/>
        </w:rPr>
      </w:pPr>
    </w:p>
    <w:p w14:paraId="7DD73AC6" w14:textId="4C4312B2" w:rsidR="00813840" w:rsidRDefault="000A275F" w:rsidP="00A70467">
      <w:pPr>
        <w:tabs>
          <w:tab w:val="left" w:pos="284"/>
        </w:tabs>
        <w:jc w:val="both"/>
        <w:rPr>
          <w:sz w:val="22"/>
          <w:szCs w:val="22"/>
        </w:rPr>
      </w:pPr>
      <w:r>
        <w:rPr>
          <w:sz w:val="22"/>
          <w:szCs w:val="22"/>
        </w:rPr>
        <w:t xml:space="preserve">6.  </w:t>
      </w:r>
      <w:r w:rsidR="009D5962">
        <w:rPr>
          <w:sz w:val="22"/>
          <w:szCs w:val="22"/>
        </w:rPr>
        <w:tab/>
      </w:r>
      <w:r w:rsidR="009D5962">
        <w:rPr>
          <w:sz w:val="22"/>
          <w:szCs w:val="22"/>
        </w:rPr>
        <w:tab/>
      </w:r>
      <w:r w:rsidR="008C5388" w:rsidRPr="006D61A3">
        <w:rPr>
          <w:b/>
          <w:sz w:val="22"/>
          <w:szCs w:val="22"/>
        </w:rPr>
        <w:t xml:space="preserve">BASIC partners were generally successful at building constituencies in support </w:t>
      </w:r>
      <w:r w:rsidR="001A7BCA" w:rsidRPr="006D61A3">
        <w:rPr>
          <w:b/>
          <w:sz w:val="22"/>
          <w:szCs w:val="22"/>
        </w:rPr>
        <w:t>of the peace process.</w:t>
      </w:r>
      <w:r w:rsidR="008C5388">
        <w:rPr>
          <w:b/>
          <w:sz w:val="22"/>
          <w:szCs w:val="22"/>
        </w:rPr>
        <w:t xml:space="preserve">  </w:t>
      </w:r>
      <w:r w:rsidR="008C5388">
        <w:rPr>
          <w:sz w:val="22"/>
          <w:szCs w:val="22"/>
        </w:rPr>
        <w:t>BASIC partners were able to identify positive examples of increasing civil society engagement (</w:t>
      </w:r>
      <w:r w:rsidR="000D1390">
        <w:rPr>
          <w:sz w:val="22"/>
          <w:szCs w:val="22"/>
        </w:rPr>
        <w:t xml:space="preserve">i.e. </w:t>
      </w:r>
      <w:r w:rsidR="007534A8">
        <w:rPr>
          <w:sz w:val="22"/>
          <w:szCs w:val="22"/>
        </w:rPr>
        <w:t xml:space="preserve">with </w:t>
      </w:r>
      <w:r w:rsidR="008C5388">
        <w:rPr>
          <w:sz w:val="22"/>
          <w:szCs w:val="22"/>
        </w:rPr>
        <w:t>women’s groups, media, academic institutions, faith-based organizations,</w:t>
      </w:r>
      <w:r w:rsidR="000D1390">
        <w:rPr>
          <w:sz w:val="22"/>
          <w:szCs w:val="22"/>
        </w:rPr>
        <w:t xml:space="preserve"> and</w:t>
      </w:r>
      <w:r w:rsidR="008C5388">
        <w:rPr>
          <w:sz w:val="22"/>
          <w:szCs w:val="22"/>
        </w:rPr>
        <w:t xml:space="preserve"> indigenous people</w:t>
      </w:r>
      <w:r w:rsidR="000D1390">
        <w:rPr>
          <w:sz w:val="22"/>
          <w:szCs w:val="22"/>
        </w:rPr>
        <w:t>’s</w:t>
      </w:r>
      <w:r w:rsidR="008C5388">
        <w:rPr>
          <w:sz w:val="22"/>
          <w:szCs w:val="22"/>
        </w:rPr>
        <w:t xml:space="preserve"> (IPs)</w:t>
      </w:r>
      <w:r w:rsidR="000D1390">
        <w:rPr>
          <w:sz w:val="22"/>
          <w:szCs w:val="22"/>
        </w:rPr>
        <w:t xml:space="preserve"> groups)</w:t>
      </w:r>
      <w:r w:rsidR="008C5388">
        <w:rPr>
          <w:sz w:val="22"/>
          <w:szCs w:val="22"/>
        </w:rPr>
        <w:t xml:space="preserve"> and local government units (LGUs</w:t>
      </w:r>
      <w:r w:rsidR="00160248">
        <w:rPr>
          <w:sz w:val="22"/>
          <w:szCs w:val="22"/>
        </w:rPr>
        <w:t>) in the peace-process</w:t>
      </w:r>
      <w:r w:rsidR="000D1390">
        <w:rPr>
          <w:sz w:val="22"/>
          <w:szCs w:val="22"/>
        </w:rPr>
        <w:t>,</w:t>
      </w:r>
      <w:r w:rsidR="00160248">
        <w:rPr>
          <w:sz w:val="22"/>
          <w:szCs w:val="22"/>
        </w:rPr>
        <w:t xml:space="preserve"> and</w:t>
      </w:r>
      <w:r w:rsidR="008C5388">
        <w:rPr>
          <w:sz w:val="22"/>
          <w:szCs w:val="22"/>
        </w:rPr>
        <w:t xml:space="preserve"> </w:t>
      </w:r>
      <w:r w:rsidR="000E3D17">
        <w:rPr>
          <w:sz w:val="22"/>
          <w:szCs w:val="22"/>
        </w:rPr>
        <w:t xml:space="preserve">their </w:t>
      </w:r>
      <w:r w:rsidR="008C5388">
        <w:rPr>
          <w:sz w:val="22"/>
          <w:szCs w:val="22"/>
        </w:rPr>
        <w:t xml:space="preserve">influence on key stakeholders, including OPAPP, MILF and legislators.  </w:t>
      </w:r>
      <w:r w:rsidR="00813840">
        <w:rPr>
          <w:sz w:val="22"/>
          <w:szCs w:val="22"/>
        </w:rPr>
        <w:t xml:space="preserve">Among them, BASIC partners sponsored the </w:t>
      </w:r>
      <w:r w:rsidR="000D1390">
        <w:rPr>
          <w:sz w:val="22"/>
          <w:szCs w:val="22"/>
        </w:rPr>
        <w:t xml:space="preserve">conduct of </w:t>
      </w:r>
      <w:r w:rsidR="000D1390" w:rsidRPr="00566759">
        <w:rPr>
          <w:sz w:val="22"/>
          <w:szCs w:val="22"/>
        </w:rPr>
        <w:t>hundreds</w:t>
      </w:r>
      <w:r w:rsidR="000D1390" w:rsidRPr="00BC43E9">
        <w:rPr>
          <w:sz w:val="22"/>
          <w:szCs w:val="22"/>
        </w:rPr>
        <w:t xml:space="preserve"> of forums, </w:t>
      </w:r>
      <w:r w:rsidR="00813840" w:rsidRPr="00BC43E9">
        <w:rPr>
          <w:sz w:val="22"/>
          <w:szCs w:val="22"/>
        </w:rPr>
        <w:t xml:space="preserve">orientation workshops, training programs and meetings to inform key stakeholders and the public on the provisions of the BBL and the reasons behind them. </w:t>
      </w:r>
      <w:r w:rsidR="006E322E" w:rsidRPr="00BC43E9">
        <w:rPr>
          <w:sz w:val="22"/>
          <w:szCs w:val="22"/>
        </w:rPr>
        <w:t>BASIC p</w:t>
      </w:r>
      <w:r w:rsidR="007534A8" w:rsidRPr="00BC43E9">
        <w:rPr>
          <w:sz w:val="22"/>
          <w:szCs w:val="22"/>
        </w:rPr>
        <w:t>artners report</w:t>
      </w:r>
      <w:r w:rsidR="004F6291" w:rsidRPr="00BC43E9">
        <w:rPr>
          <w:sz w:val="22"/>
          <w:szCs w:val="22"/>
        </w:rPr>
        <w:t xml:space="preserve"> 9,009 </w:t>
      </w:r>
      <w:r w:rsidR="007534A8" w:rsidRPr="00BC43E9">
        <w:rPr>
          <w:sz w:val="22"/>
          <w:szCs w:val="22"/>
        </w:rPr>
        <w:t>people</w:t>
      </w:r>
      <w:r w:rsidR="00B509FA" w:rsidRPr="00BC43E9">
        <w:rPr>
          <w:sz w:val="22"/>
          <w:szCs w:val="22"/>
        </w:rPr>
        <w:t xml:space="preserve"> (</w:t>
      </w:r>
      <w:r w:rsidR="004F6291" w:rsidRPr="00566759">
        <w:rPr>
          <w:color w:val="000000" w:themeColor="text1"/>
          <w:sz w:val="22"/>
          <w:szCs w:val="22"/>
        </w:rPr>
        <w:t>3,749</w:t>
      </w:r>
      <w:r w:rsidR="00B509FA" w:rsidRPr="00566759">
        <w:rPr>
          <w:color w:val="000000" w:themeColor="text1"/>
          <w:sz w:val="22"/>
          <w:szCs w:val="22"/>
        </w:rPr>
        <w:t xml:space="preserve"> women and </w:t>
      </w:r>
      <w:r w:rsidR="004F6291" w:rsidRPr="00566759">
        <w:rPr>
          <w:color w:val="000000" w:themeColor="text1"/>
          <w:sz w:val="22"/>
          <w:szCs w:val="22"/>
        </w:rPr>
        <w:t>5,350</w:t>
      </w:r>
      <w:r w:rsidR="00B509FA" w:rsidRPr="00566759">
        <w:rPr>
          <w:color w:val="000000" w:themeColor="text1"/>
          <w:sz w:val="22"/>
          <w:szCs w:val="22"/>
        </w:rPr>
        <w:t xml:space="preserve"> men</w:t>
      </w:r>
      <w:r w:rsidR="00B509FA" w:rsidRPr="00BC43E9">
        <w:rPr>
          <w:sz w:val="22"/>
          <w:szCs w:val="22"/>
        </w:rPr>
        <w:t>)</w:t>
      </w:r>
      <w:r w:rsidR="007534A8" w:rsidRPr="00BC43E9">
        <w:rPr>
          <w:sz w:val="22"/>
          <w:szCs w:val="22"/>
        </w:rPr>
        <w:t xml:space="preserve"> were</w:t>
      </w:r>
      <w:r w:rsidR="007534A8">
        <w:rPr>
          <w:sz w:val="22"/>
          <w:szCs w:val="22"/>
        </w:rPr>
        <w:t xml:space="preserve"> reached between July 2014 and </w:t>
      </w:r>
      <w:r w:rsidR="00B509FA">
        <w:rPr>
          <w:sz w:val="22"/>
          <w:szCs w:val="22"/>
        </w:rPr>
        <w:t>June 2016</w:t>
      </w:r>
      <w:r w:rsidR="007534A8">
        <w:rPr>
          <w:sz w:val="22"/>
          <w:szCs w:val="22"/>
        </w:rPr>
        <w:t>.</w:t>
      </w:r>
      <w:r w:rsidR="004F6291">
        <w:rPr>
          <w:rStyle w:val="FootnoteReference"/>
          <w:sz w:val="22"/>
          <w:szCs w:val="22"/>
        </w:rPr>
        <w:footnoteReference w:id="6"/>
      </w:r>
      <w:r w:rsidR="007534A8">
        <w:rPr>
          <w:sz w:val="22"/>
          <w:szCs w:val="22"/>
        </w:rPr>
        <w:t xml:space="preserve"> </w:t>
      </w:r>
    </w:p>
    <w:p w14:paraId="45A195DD" w14:textId="77777777" w:rsidR="00813840" w:rsidRDefault="00813840" w:rsidP="00A70467">
      <w:pPr>
        <w:tabs>
          <w:tab w:val="left" w:pos="284"/>
        </w:tabs>
        <w:jc w:val="both"/>
        <w:rPr>
          <w:sz w:val="22"/>
          <w:szCs w:val="22"/>
        </w:rPr>
      </w:pPr>
    </w:p>
    <w:p w14:paraId="36383BF2" w14:textId="49F81300" w:rsidR="00813840" w:rsidRDefault="00813840" w:rsidP="00A70467">
      <w:pPr>
        <w:tabs>
          <w:tab w:val="left" w:pos="284"/>
        </w:tabs>
        <w:jc w:val="both"/>
        <w:rPr>
          <w:sz w:val="22"/>
          <w:szCs w:val="22"/>
        </w:rPr>
      </w:pPr>
      <w:r>
        <w:rPr>
          <w:sz w:val="22"/>
          <w:szCs w:val="22"/>
        </w:rPr>
        <w:t xml:space="preserve">7.  </w:t>
      </w:r>
      <w:r w:rsidR="009D5962">
        <w:rPr>
          <w:sz w:val="22"/>
          <w:szCs w:val="22"/>
        </w:rPr>
        <w:tab/>
      </w:r>
      <w:r w:rsidR="009D5962">
        <w:rPr>
          <w:sz w:val="22"/>
          <w:szCs w:val="22"/>
        </w:rPr>
        <w:tab/>
      </w:r>
      <w:r>
        <w:rPr>
          <w:sz w:val="22"/>
          <w:szCs w:val="22"/>
        </w:rPr>
        <w:t>The Institute for Autonomy and Governance (IAG) specifically targeted LGUs for their information sharing campaign</w:t>
      </w:r>
      <w:r w:rsidR="006D61A3">
        <w:rPr>
          <w:sz w:val="22"/>
          <w:szCs w:val="22"/>
        </w:rPr>
        <w:t>,</w:t>
      </w:r>
      <w:r>
        <w:rPr>
          <w:sz w:val="22"/>
          <w:szCs w:val="22"/>
        </w:rPr>
        <w:t xml:space="preserve"> cognizant of their critical role in ensuring </w:t>
      </w:r>
      <w:r w:rsidR="006D61A3">
        <w:rPr>
          <w:sz w:val="22"/>
          <w:szCs w:val="22"/>
        </w:rPr>
        <w:t xml:space="preserve">the likely </w:t>
      </w:r>
      <w:r>
        <w:rPr>
          <w:sz w:val="22"/>
          <w:szCs w:val="22"/>
        </w:rPr>
        <w:t>success of</w:t>
      </w:r>
      <w:r w:rsidR="006D61A3">
        <w:rPr>
          <w:sz w:val="22"/>
          <w:szCs w:val="22"/>
        </w:rPr>
        <w:t xml:space="preserve"> the</w:t>
      </w:r>
      <w:r>
        <w:rPr>
          <w:sz w:val="22"/>
          <w:szCs w:val="22"/>
        </w:rPr>
        <w:t xml:space="preserve"> BBL</w:t>
      </w:r>
      <w:r w:rsidR="006D61A3">
        <w:rPr>
          <w:sz w:val="22"/>
          <w:szCs w:val="22"/>
        </w:rPr>
        <w:t>’s</w:t>
      </w:r>
      <w:r>
        <w:rPr>
          <w:sz w:val="22"/>
          <w:szCs w:val="22"/>
        </w:rPr>
        <w:t xml:space="preserve"> implementation.  International Alert (IA) conducted impressive advocacy work with key legislators in Congress through their political mapping project</w:t>
      </w:r>
      <w:r w:rsidR="001A7BCA">
        <w:rPr>
          <w:sz w:val="22"/>
          <w:szCs w:val="22"/>
        </w:rPr>
        <w:t xml:space="preserve"> and their active media campaign at the national level.</w:t>
      </w:r>
      <w:r>
        <w:rPr>
          <w:sz w:val="22"/>
          <w:szCs w:val="22"/>
        </w:rPr>
        <w:t xml:space="preserve">  Oxfam and W</w:t>
      </w:r>
      <w:r w:rsidR="00FE078C">
        <w:rPr>
          <w:sz w:val="22"/>
          <w:szCs w:val="22"/>
        </w:rPr>
        <w:t>E</w:t>
      </w:r>
      <w:r>
        <w:rPr>
          <w:sz w:val="22"/>
          <w:szCs w:val="22"/>
        </w:rPr>
        <w:t>Act1325 focused their activities on promoting women’s participation in drafting provisions of the BBL that</w:t>
      </w:r>
      <w:r w:rsidR="000D1390">
        <w:rPr>
          <w:sz w:val="22"/>
          <w:szCs w:val="22"/>
        </w:rPr>
        <w:t xml:space="preserve"> would</w:t>
      </w:r>
      <w:r>
        <w:rPr>
          <w:sz w:val="22"/>
          <w:szCs w:val="22"/>
        </w:rPr>
        <w:t xml:space="preserve"> affect women</w:t>
      </w:r>
      <w:r w:rsidR="000D1390">
        <w:rPr>
          <w:sz w:val="22"/>
          <w:szCs w:val="22"/>
        </w:rPr>
        <w:t xml:space="preserve">’s rights. </w:t>
      </w:r>
      <w:r>
        <w:rPr>
          <w:sz w:val="22"/>
          <w:szCs w:val="22"/>
        </w:rPr>
        <w:t xml:space="preserve">The Asia Foundation (TAF) </w:t>
      </w:r>
      <w:r w:rsidR="001A7BCA">
        <w:rPr>
          <w:sz w:val="22"/>
          <w:szCs w:val="22"/>
        </w:rPr>
        <w:t>produced analytical papers supportive of the BBL and disseminated them to its broad network of local partners including media and members of the Armed Forces of the Philippines</w:t>
      </w:r>
      <w:r w:rsidR="000D1390">
        <w:rPr>
          <w:sz w:val="22"/>
          <w:szCs w:val="22"/>
        </w:rPr>
        <w:t xml:space="preserve"> (AFP)</w:t>
      </w:r>
      <w:r w:rsidR="001A7BCA">
        <w:rPr>
          <w:sz w:val="22"/>
          <w:szCs w:val="22"/>
        </w:rPr>
        <w:t xml:space="preserve"> and Philippine National Police Force</w:t>
      </w:r>
      <w:r w:rsidR="000D1390">
        <w:rPr>
          <w:sz w:val="22"/>
          <w:szCs w:val="22"/>
        </w:rPr>
        <w:t xml:space="preserve"> (PNP)</w:t>
      </w:r>
      <w:r w:rsidR="001A7BCA">
        <w:rPr>
          <w:sz w:val="22"/>
          <w:szCs w:val="22"/>
        </w:rPr>
        <w:t xml:space="preserve">.  </w:t>
      </w:r>
    </w:p>
    <w:p w14:paraId="06868C3E" w14:textId="77777777" w:rsidR="00813840" w:rsidRDefault="00813840" w:rsidP="00A70467">
      <w:pPr>
        <w:tabs>
          <w:tab w:val="left" w:pos="284"/>
        </w:tabs>
        <w:jc w:val="both"/>
        <w:rPr>
          <w:sz w:val="22"/>
          <w:szCs w:val="22"/>
        </w:rPr>
      </w:pPr>
    </w:p>
    <w:p w14:paraId="1E82B47C" w14:textId="54EC145F" w:rsidR="00703F2C" w:rsidRDefault="001A7BCA" w:rsidP="00A70467">
      <w:pPr>
        <w:tabs>
          <w:tab w:val="left" w:pos="284"/>
        </w:tabs>
        <w:jc w:val="both"/>
        <w:rPr>
          <w:sz w:val="22"/>
          <w:szCs w:val="22"/>
        </w:rPr>
      </w:pPr>
      <w:r>
        <w:rPr>
          <w:sz w:val="22"/>
          <w:szCs w:val="22"/>
        </w:rPr>
        <w:t xml:space="preserve">8.  </w:t>
      </w:r>
      <w:r w:rsidR="009D5962">
        <w:rPr>
          <w:sz w:val="22"/>
          <w:szCs w:val="22"/>
        </w:rPr>
        <w:tab/>
      </w:r>
      <w:r w:rsidR="009D5962">
        <w:rPr>
          <w:sz w:val="22"/>
          <w:szCs w:val="22"/>
        </w:rPr>
        <w:tab/>
      </w:r>
      <w:r w:rsidR="00BE1426">
        <w:rPr>
          <w:b/>
          <w:sz w:val="22"/>
          <w:szCs w:val="22"/>
        </w:rPr>
        <w:t>All but one of the</w:t>
      </w:r>
      <w:r w:rsidR="00EB3398">
        <w:rPr>
          <w:b/>
          <w:sz w:val="22"/>
          <w:szCs w:val="22"/>
        </w:rPr>
        <w:t xml:space="preserve"> </w:t>
      </w:r>
      <w:r w:rsidR="00BD3ED9" w:rsidRPr="003A2A93">
        <w:rPr>
          <w:b/>
          <w:sz w:val="22"/>
          <w:szCs w:val="22"/>
        </w:rPr>
        <w:t>four implementing partner</w:t>
      </w:r>
      <w:r w:rsidR="006F2E03">
        <w:rPr>
          <w:b/>
          <w:sz w:val="22"/>
          <w:szCs w:val="22"/>
        </w:rPr>
        <w:t>s</w:t>
      </w:r>
      <w:r w:rsidR="00EB3398">
        <w:rPr>
          <w:b/>
          <w:sz w:val="22"/>
          <w:szCs w:val="22"/>
        </w:rPr>
        <w:t xml:space="preserve"> made adjustments, but none of these adjustments demonstrated partners had developed any systematic plans to achieve program outcomes </w:t>
      </w:r>
      <w:r w:rsidR="003D20C0">
        <w:rPr>
          <w:b/>
          <w:sz w:val="22"/>
          <w:szCs w:val="22"/>
        </w:rPr>
        <w:t xml:space="preserve">effectively </w:t>
      </w:r>
      <w:r w:rsidR="00EB3398">
        <w:rPr>
          <w:b/>
          <w:sz w:val="22"/>
          <w:szCs w:val="22"/>
        </w:rPr>
        <w:t xml:space="preserve">in the changed context.  </w:t>
      </w:r>
      <w:r>
        <w:rPr>
          <w:sz w:val="22"/>
          <w:szCs w:val="22"/>
        </w:rPr>
        <w:t>IAG adjusted i</w:t>
      </w:r>
      <w:r w:rsidR="006D61A3">
        <w:rPr>
          <w:sz w:val="22"/>
          <w:szCs w:val="22"/>
        </w:rPr>
        <w:t xml:space="preserve">ts activities but its original objectives (determining an </w:t>
      </w:r>
      <w:r w:rsidR="00505855">
        <w:rPr>
          <w:sz w:val="22"/>
          <w:szCs w:val="22"/>
        </w:rPr>
        <w:t xml:space="preserve">administrative role </w:t>
      </w:r>
      <w:r w:rsidR="006D61A3">
        <w:rPr>
          <w:sz w:val="22"/>
          <w:szCs w:val="22"/>
        </w:rPr>
        <w:t xml:space="preserve">for LGUs </w:t>
      </w:r>
      <w:r w:rsidR="00505855">
        <w:rPr>
          <w:sz w:val="22"/>
          <w:szCs w:val="22"/>
        </w:rPr>
        <w:t>with</w:t>
      </w:r>
      <w:r w:rsidR="00DD7C50">
        <w:rPr>
          <w:sz w:val="22"/>
          <w:szCs w:val="22"/>
        </w:rPr>
        <w:t>in an enhanced</w:t>
      </w:r>
      <w:r w:rsidR="00505855">
        <w:rPr>
          <w:sz w:val="22"/>
          <w:szCs w:val="22"/>
        </w:rPr>
        <w:t xml:space="preserve"> autonomous region</w:t>
      </w:r>
      <w:r w:rsidR="00D46F3C">
        <w:rPr>
          <w:sz w:val="22"/>
          <w:szCs w:val="22"/>
        </w:rPr>
        <w:t xml:space="preserve"> and promoting greater participation </w:t>
      </w:r>
      <w:r w:rsidR="00EB3398">
        <w:rPr>
          <w:sz w:val="22"/>
          <w:szCs w:val="22"/>
        </w:rPr>
        <w:t>in</w:t>
      </w:r>
      <w:r w:rsidR="00D46F3C">
        <w:rPr>
          <w:sz w:val="22"/>
          <w:szCs w:val="22"/>
        </w:rPr>
        <w:t xml:space="preserve"> the peace process </w:t>
      </w:r>
      <w:r w:rsidR="00EB3398">
        <w:rPr>
          <w:sz w:val="22"/>
          <w:szCs w:val="22"/>
        </w:rPr>
        <w:t>through driving</w:t>
      </w:r>
      <w:r w:rsidR="00D46F3C">
        <w:rPr>
          <w:sz w:val="22"/>
          <w:szCs w:val="22"/>
        </w:rPr>
        <w:t xml:space="preserve"> better understanding of the BBL provisions</w:t>
      </w:r>
      <w:r w:rsidR="00505855">
        <w:rPr>
          <w:sz w:val="22"/>
          <w:szCs w:val="22"/>
        </w:rPr>
        <w:t xml:space="preserve">) </w:t>
      </w:r>
      <w:r w:rsidR="00D46F3C">
        <w:rPr>
          <w:sz w:val="22"/>
          <w:szCs w:val="22"/>
        </w:rPr>
        <w:t xml:space="preserve">lost </w:t>
      </w:r>
      <w:r w:rsidR="00BD3ED9">
        <w:rPr>
          <w:sz w:val="22"/>
          <w:szCs w:val="22"/>
        </w:rPr>
        <w:t xml:space="preserve">much of </w:t>
      </w:r>
      <w:r w:rsidR="00D46F3C">
        <w:rPr>
          <w:sz w:val="22"/>
          <w:szCs w:val="22"/>
        </w:rPr>
        <w:t xml:space="preserve">their traction with </w:t>
      </w:r>
      <w:r w:rsidR="000C1CA1">
        <w:rPr>
          <w:sz w:val="22"/>
          <w:szCs w:val="22"/>
        </w:rPr>
        <w:t xml:space="preserve">the </w:t>
      </w:r>
      <w:r w:rsidR="00505855">
        <w:rPr>
          <w:sz w:val="22"/>
          <w:szCs w:val="22"/>
        </w:rPr>
        <w:t xml:space="preserve">non-passage of </w:t>
      </w:r>
      <w:r w:rsidR="007534A8">
        <w:rPr>
          <w:sz w:val="22"/>
          <w:szCs w:val="22"/>
        </w:rPr>
        <w:t xml:space="preserve">the </w:t>
      </w:r>
      <w:r w:rsidR="00505855">
        <w:rPr>
          <w:sz w:val="22"/>
          <w:szCs w:val="22"/>
        </w:rPr>
        <w:t>BBL.  IAG noted that the activities under their original twin objectives were now geared toward maintaining peace and stability at the LGU/community level due to rising frustrations as a result of the non-passage of BBL.  I</w:t>
      </w:r>
      <w:r w:rsidR="003D20C0">
        <w:rPr>
          <w:sz w:val="22"/>
          <w:szCs w:val="22"/>
        </w:rPr>
        <w:t xml:space="preserve">n </w:t>
      </w:r>
      <w:r w:rsidR="00BE1426">
        <w:rPr>
          <w:sz w:val="22"/>
          <w:szCs w:val="22"/>
        </w:rPr>
        <w:t>a meeting</w:t>
      </w:r>
      <w:r w:rsidR="003D20C0">
        <w:rPr>
          <w:sz w:val="22"/>
          <w:szCs w:val="22"/>
        </w:rPr>
        <w:t xml:space="preserve"> with the Australian Embassy in Manila, IA argued that supporting Constitutional Reform should be its new priority.  It shifted its work to political mapping and lobbying parliamentarians on </w:t>
      </w:r>
      <w:r w:rsidR="000031B0">
        <w:rPr>
          <w:sz w:val="22"/>
          <w:szCs w:val="22"/>
        </w:rPr>
        <w:t>Federalism, obstacles</w:t>
      </w:r>
      <w:r w:rsidR="003D20C0">
        <w:rPr>
          <w:sz w:val="22"/>
          <w:szCs w:val="22"/>
        </w:rPr>
        <w:t xml:space="preserve"> to the peace process and a campaign to protect the autonomy provision enshrined in the 1986 Constitution.  </w:t>
      </w:r>
      <w:r w:rsidR="00BE1426">
        <w:rPr>
          <w:sz w:val="22"/>
          <w:szCs w:val="22"/>
        </w:rPr>
        <w:t>It continued its</w:t>
      </w:r>
      <w:r w:rsidR="00563B02">
        <w:rPr>
          <w:sz w:val="22"/>
          <w:szCs w:val="22"/>
        </w:rPr>
        <w:t xml:space="preserve"> </w:t>
      </w:r>
      <w:r w:rsidR="00703F2C">
        <w:rPr>
          <w:sz w:val="22"/>
          <w:szCs w:val="22"/>
        </w:rPr>
        <w:t>conflict prevention and mediation</w:t>
      </w:r>
      <w:r w:rsidR="00BE1426">
        <w:rPr>
          <w:sz w:val="22"/>
          <w:szCs w:val="22"/>
        </w:rPr>
        <w:t xml:space="preserve"> activities</w:t>
      </w:r>
      <w:r w:rsidR="00703F2C">
        <w:rPr>
          <w:sz w:val="22"/>
          <w:szCs w:val="22"/>
        </w:rPr>
        <w:t xml:space="preserve"> as a way of </w:t>
      </w:r>
      <w:r w:rsidR="00563B02">
        <w:rPr>
          <w:sz w:val="22"/>
          <w:szCs w:val="22"/>
        </w:rPr>
        <w:t>addressing clan conflict (rido) in selected areas of ARMM.</w:t>
      </w:r>
      <w:r w:rsidR="00703F2C">
        <w:rPr>
          <w:sz w:val="22"/>
          <w:szCs w:val="22"/>
        </w:rPr>
        <w:t xml:space="preserve"> </w:t>
      </w:r>
      <w:r w:rsidR="001E56A1">
        <w:rPr>
          <w:sz w:val="22"/>
          <w:szCs w:val="22"/>
        </w:rPr>
        <w:t xml:space="preserve"> </w:t>
      </w:r>
      <w:r w:rsidR="00703F2C">
        <w:rPr>
          <w:sz w:val="22"/>
          <w:szCs w:val="22"/>
        </w:rPr>
        <w:t xml:space="preserve">  </w:t>
      </w:r>
    </w:p>
    <w:p w14:paraId="5C7D2226" w14:textId="77777777" w:rsidR="00703F2C" w:rsidRDefault="00703F2C" w:rsidP="00A70467">
      <w:pPr>
        <w:tabs>
          <w:tab w:val="left" w:pos="284"/>
        </w:tabs>
        <w:jc w:val="both"/>
        <w:rPr>
          <w:sz w:val="22"/>
          <w:szCs w:val="22"/>
        </w:rPr>
      </w:pPr>
    </w:p>
    <w:p w14:paraId="0A8093E1" w14:textId="662E5677" w:rsidR="00A90713" w:rsidRDefault="005F5FA6" w:rsidP="00A70467">
      <w:pPr>
        <w:tabs>
          <w:tab w:val="left" w:pos="284"/>
        </w:tabs>
        <w:jc w:val="both"/>
        <w:rPr>
          <w:sz w:val="22"/>
          <w:szCs w:val="22"/>
        </w:rPr>
      </w:pPr>
      <w:r>
        <w:rPr>
          <w:sz w:val="22"/>
          <w:szCs w:val="22"/>
        </w:rPr>
        <w:t>9</w:t>
      </w:r>
      <w:r w:rsidR="00DD7C50">
        <w:rPr>
          <w:sz w:val="22"/>
          <w:szCs w:val="22"/>
        </w:rPr>
        <w:t xml:space="preserve">.  </w:t>
      </w:r>
      <w:r w:rsidR="009D5962">
        <w:rPr>
          <w:sz w:val="22"/>
          <w:szCs w:val="22"/>
        </w:rPr>
        <w:tab/>
      </w:r>
      <w:r w:rsidR="009D5962">
        <w:rPr>
          <w:sz w:val="22"/>
          <w:szCs w:val="22"/>
        </w:rPr>
        <w:tab/>
      </w:r>
      <w:r w:rsidR="00DD7C50">
        <w:rPr>
          <w:sz w:val="22"/>
          <w:szCs w:val="22"/>
        </w:rPr>
        <w:t>Oxfam and W</w:t>
      </w:r>
      <w:r w:rsidR="00FE078C">
        <w:rPr>
          <w:sz w:val="22"/>
          <w:szCs w:val="22"/>
        </w:rPr>
        <w:t>E</w:t>
      </w:r>
      <w:r w:rsidR="00DD7C50">
        <w:rPr>
          <w:sz w:val="22"/>
          <w:szCs w:val="22"/>
        </w:rPr>
        <w:t>Act1</w:t>
      </w:r>
      <w:r w:rsidR="00703F2C">
        <w:rPr>
          <w:sz w:val="22"/>
          <w:szCs w:val="22"/>
        </w:rPr>
        <w:t>3</w:t>
      </w:r>
      <w:r w:rsidR="00DD7C50">
        <w:rPr>
          <w:sz w:val="22"/>
          <w:szCs w:val="22"/>
        </w:rPr>
        <w:t>2</w:t>
      </w:r>
      <w:r w:rsidR="00703F2C">
        <w:rPr>
          <w:sz w:val="22"/>
          <w:szCs w:val="22"/>
        </w:rPr>
        <w:t xml:space="preserve">5 did not make any adjustments to </w:t>
      </w:r>
      <w:r w:rsidR="001E56A1">
        <w:rPr>
          <w:sz w:val="22"/>
          <w:szCs w:val="22"/>
        </w:rPr>
        <w:t>their</w:t>
      </w:r>
      <w:r w:rsidR="00703F2C">
        <w:rPr>
          <w:sz w:val="22"/>
          <w:szCs w:val="22"/>
        </w:rPr>
        <w:t xml:space="preserve"> activities arguing that “despite the</w:t>
      </w:r>
      <w:r w:rsidR="00B25491">
        <w:rPr>
          <w:sz w:val="22"/>
          <w:szCs w:val="22"/>
        </w:rPr>
        <w:t xml:space="preserve"> changes in external context, …</w:t>
      </w:r>
      <w:r w:rsidR="00703F2C">
        <w:rPr>
          <w:sz w:val="22"/>
          <w:szCs w:val="22"/>
        </w:rPr>
        <w:t xml:space="preserve">the Project remains relevant.”  TAF responded to </w:t>
      </w:r>
      <w:r w:rsidR="00703F2C">
        <w:rPr>
          <w:sz w:val="22"/>
          <w:szCs w:val="22"/>
        </w:rPr>
        <w:lastRenderedPageBreak/>
        <w:t xml:space="preserve">the changed environment by intensifying effort in building and strengthening </w:t>
      </w:r>
      <w:r w:rsidR="00B25491">
        <w:rPr>
          <w:sz w:val="22"/>
          <w:szCs w:val="22"/>
        </w:rPr>
        <w:t>its</w:t>
      </w:r>
      <w:r w:rsidR="00DD7C50">
        <w:rPr>
          <w:sz w:val="22"/>
          <w:szCs w:val="22"/>
        </w:rPr>
        <w:t xml:space="preserve"> peace constituency</w:t>
      </w:r>
      <w:r w:rsidR="00703F2C">
        <w:rPr>
          <w:sz w:val="22"/>
          <w:szCs w:val="22"/>
        </w:rPr>
        <w:t xml:space="preserve">.  </w:t>
      </w:r>
      <w:r w:rsidR="00DD7C50">
        <w:rPr>
          <w:sz w:val="22"/>
          <w:szCs w:val="22"/>
        </w:rPr>
        <w:t xml:space="preserve"> </w:t>
      </w:r>
      <w:r w:rsidR="00703F2C">
        <w:rPr>
          <w:sz w:val="22"/>
          <w:szCs w:val="22"/>
        </w:rPr>
        <w:t>It also continued its conflict mediation and prevention</w:t>
      </w:r>
      <w:r w:rsidR="00DD7C50">
        <w:rPr>
          <w:sz w:val="22"/>
          <w:szCs w:val="22"/>
        </w:rPr>
        <w:t xml:space="preserve"> activities</w:t>
      </w:r>
      <w:r w:rsidR="00B25491">
        <w:rPr>
          <w:sz w:val="22"/>
          <w:szCs w:val="22"/>
        </w:rPr>
        <w:t>,</w:t>
      </w:r>
      <w:r w:rsidR="00703F2C">
        <w:rPr>
          <w:sz w:val="22"/>
          <w:szCs w:val="22"/>
        </w:rPr>
        <w:t xml:space="preserve"> focusing on addressing horizontal conflicts (</w:t>
      </w:r>
      <w:r w:rsidR="00703F2C" w:rsidRPr="00703F2C">
        <w:rPr>
          <w:i/>
          <w:sz w:val="22"/>
          <w:szCs w:val="22"/>
        </w:rPr>
        <w:t>rido</w:t>
      </w:r>
      <w:r w:rsidR="00B25491">
        <w:rPr>
          <w:sz w:val="22"/>
          <w:szCs w:val="22"/>
        </w:rPr>
        <w:t xml:space="preserve">) that could destabilize </w:t>
      </w:r>
      <w:r w:rsidR="00DD7C50">
        <w:rPr>
          <w:sz w:val="22"/>
          <w:szCs w:val="22"/>
        </w:rPr>
        <w:t xml:space="preserve">the </w:t>
      </w:r>
      <w:r w:rsidR="00E9060D">
        <w:rPr>
          <w:sz w:val="22"/>
          <w:szCs w:val="22"/>
        </w:rPr>
        <w:t xml:space="preserve">overall peace process. </w:t>
      </w:r>
    </w:p>
    <w:p w14:paraId="37CFB3D5" w14:textId="77777777" w:rsidR="00A90713" w:rsidRDefault="00A90713" w:rsidP="00A70467">
      <w:pPr>
        <w:tabs>
          <w:tab w:val="left" w:pos="284"/>
        </w:tabs>
        <w:jc w:val="both"/>
        <w:rPr>
          <w:sz w:val="22"/>
          <w:szCs w:val="22"/>
        </w:rPr>
      </w:pPr>
    </w:p>
    <w:p w14:paraId="0B5BDBA3" w14:textId="446E9D79" w:rsidR="008C5388" w:rsidRDefault="005F5FA6" w:rsidP="00A70467">
      <w:pPr>
        <w:tabs>
          <w:tab w:val="left" w:pos="284"/>
        </w:tabs>
        <w:jc w:val="both"/>
        <w:rPr>
          <w:sz w:val="22"/>
          <w:szCs w:val="22"/>
        </w:rPr>
      </w:pPr>
      <w:r>
        <w:rPr>
          <w:sz w:val="22"/>
          <w:szCs w:val="22"/>
        </w:rPr>
        <w:t>10</w:t>
      </w:r>
      <w:r w:rsidR="00A90713">
        <w:rPr>
          <w:sz w:val="22"/>
          <w:szCs w:val="22"/>
        </w:rPr>
        <w:t>.</w:t>
      </w:r>
      <w:r w:rsidR="00A90713">
        <w:rPr>
          <w:sz w:val="22"/>
          <w:szCs w:val="22"/>
        </w:rPr>
        <w:tab/>
      </w:r>
      <w:r w:rsidR="00A90713">
        <w:rPr>
          <w:b/>
          <w:sz w:val="22"/>
          <w:szCs w:val="22"/>
        </w:rPr>
        <w:t xml:space="preserve">DFAT managed </w:t>
      </w:r>
      <w:r w:rsidR="00842065">
        <w:rPr>
          <w:b/>
          <w:sz w:val="22"/>
          <w:szCs w:val="22"/>
        </w:rPr>
        <w:t xml:space="preserve">BASIC </w:t>
      </w:r>
      <w:r w:rsidR="00A90713">
        <w:rPr>
          <w:b/>
          <w:sz w:val="22"/>
          <w:szCs w:val="22"/>
        </w:rPr>
        <w:t xml:space="preserve">partners adequately but could have acted earlier to coordinate re-focused activities supporting the peace process.  </w:t>
      </w:r>
      <w:r w:rsidR="000F3C42">
        <w:rPr>
          <w:sz w:val="22"/>
          <w:szCs w:val="22"/>
        </w:rPr>
        <w:t xml:space="preserve">Although OPAPP continued to assure donors that the BBL would pass through most of 2015, it became clear after the Mamasapano incident that public sentiment had changed dramatically.   </w:t>
      </w:r>
      <w:r w:rsidR="00A90713">
        <w:rPr>
          <w:sz w:val="22"/>
          <w:szCs w:val="22"/>
        </w:rPr>
        <w:t xml:space="preserve">DFAT convened a coordination meeting in November 2015 with all partners and continued to manage partners through individual </w:t>
      </w:r>
      <w:r w:rsidR="000F4C0F">
        <w:rPr>
          <w:sz w:val="22"/>
          <w:szCs w:val="22"/>
        </w:rPr>
        <w:t xml:space="preserve">and group </w:t>
      </w:r>
      <w:r w:rsidR="00A90713">
        <w:rPr>
          <w:sz w:val="22"/>
          <w:szCs w:val="22"/>
        </w:rPr>
        <w:t>quarterly meetings.  However, it missed an opportunity to coordinate a combined re-engagement strategy when it became clear in February 2015 the peace process was in peril.</w:t>
      </w:r>
      <w:r w:rsidR="00444419">
        <w:rPr>
          <w:sz w:val="22"/>
          <w:szCs w:val="22"/>
        </w:rPr>
        <w:t xml:space="preserve"> </w:t>
      </w:r>
    </w:p>
    <w:p w14:paraId="2081280C" w14:textId="77777777" w:rsidR="008C5388" w:rsidRDefault="008C5388" w:rsidP="00A70467">
      <w:pPr>
        <w:tabs>
          <w:tab w:val="left" w:pos="284"/>
        </w:tabs>
        <w:jc w:val="both"/>
        <w:rPr>
          <w:sz w:val="22"/>
          <w:szCs w:val="22"/>
        </w:rPr>
      </w:pPr>
    </w:p>
    <w:p w14:paraId="1106104B" w14:textId="40778000" w:rsidR="00B25491" w:rsidRPr="00B25491" w:rsidRDefault="00155DEE" w:rsidP="00A70467">
      <w:pPr>
        <w:tabs>
          <w:tab w:val="left" w:pos="284"/>
        </w:tabs>
        <w:jc w:val="both"/>
        <w:rPr>
          <w:i/>
          <w:sz w:val="22"/>
          <w:szCs w:val="22"/>
        </w:rPr>
      </w:pPr>
      <w:r>
        <w:rPr>
          <w:i/>
          <w:sz w:val="22"/>
          <w:szCs w:val="22"/>
        </w:rPr>
        <w:t xml:space="preserve">B. </w:t>
      </w:r>
      <w:r w:rsidR="00E9060D" w:rsidRPr="00B25491">
        <w:rPr>
          <w:i/>
          <w:sz w:val="22"/>
          <w:szCs w:val="22"/>
        </w:rPr>
        <w:t xml:space="preserve">Addressing drivers of conflict and violence </w:t>
      </w:r>
    </w:p>
    <w:p w14:paraId="375982F9" w14:textId="77777777" w:rsidR="00B25491" w:rsidRDefault="00B25491" w:rsidP="00A70467">
      <w:pPr>
        <w:tabs>
          <w:tab w:val="left" w:pos="284"/>
        </w:tabs>
        <w:jc w:val="both"/>
        <w:rPr>
          <w:b/>
          <w:i/>
          <w:sz w:val="22"/>
          <w:szCs w:val="22"/>
        </w:rPr>
      </w:pPr>
    </w:p>
    <w:p w14:paraId="2DE93D70" w14:textId="6D356A9F" w:rsidR="00B94D9A" w:rsidRDefault="005F5FA6" w:rsidP="00A70467">
      <w:pPr>
        <w:tabs>
          <w:tab w:val="left" w:pos="284"/>
        </w:tabs>
        <w:jc w:val="both"/>
        <w:rPr>
          <w:sz w:val="22"/>
          <w:szCs w:val="22"/>
        </w:rPr>
      </w:pPr>
      <w:r>
        <w:rPr>
          <w:sz w:val="22"/>
          <w:szCs w:val="22"/>
        </w:rPr>
        <w:t>11</w:t>
      </w:r>
      <w:r w:rsidR="00B25491">
        <w:rPr>
          <w:sz w:val="22"/>
          <w:szCs w:val="22"/>
        </w:rPr>
        <w:t>.</w:t>
      </w:r>
      <w:r w:rsidR="00B25491">
        <w:rPr>
          <w:sz w:val="22"/>
          <w:szCs w:val="22"/>
        </w:rPr>
        <w:tab/>
      </w:r>
      <w:r w:rsidR="00E9060D">
        <w:rPr>
          <w:b/>
          <w:i/>
          <w:sz w:val="22"/>
          <w:szCs w:val="22"/>
        </w:rPr>
        <w:t xml:space="preserve"> </w:t>
      </w:r>
      <w:r w:rsidR="00842065" w:rsidRPr="00B25491">
        <w:rPr>
          <w:b/>
          <w:sz w:val="22"/>
          <w:szCs w:val="22"/>
        </w:rPr>
        <w:t xml:space="preserve">BASIC partners </w:t>
      </w:r>
      <w:r w:rsidR="00BD7D8E" w:rsidRPr="00B25491">
        <w:rPr>
          <w:b/>
          <w:sz w:val="22"/>
          <w:szCs w:val="22"/>
        </w:rPr>
        <w:t>deployed local conflict management tools successfully</w:t>
      </w:r>
      <w:r w:rsidR="00F65288" w:rsidRPr="00B25491">
        <w:rPr>
          <w:b/>
          <w:sz w:val="22"/>
          <w:szCs w:val="22"/>
        </w:rPr>
        <w:t>.</w:t>
      </w:r>
      <w:r w:rsidR="00BD7D8E">
        <w:rPr>
          <w:b/>
          <w:sz w:val="22"/>
          <w:szCs w:val="22"/>
        </w:rPr>
        <w:t xml:space="preserve"> </w:t>
      </w:r>
      <w:r w:rsidR="00F65288">
        <w:rPr>
          <w:sz w:val="22"/>
          <w:szCs w:val="22"/>
        </w:rPr>
        <w:t>IA</w:t>
      </w:r>
      <w:r w:rsidR="00160248">
        <w:rPr>
          <w:sz w:val="22"/>
          <w:szCs w:val="22"/>
        </w:rPr>
        <w:t xml:space="preserve"> </w:t>
      </w:r>
      <w:r w:rsidR="00B26B7D">
        <w:rPr>
          <w:sz w:val="22"/>
          <w:szCs w:val="22"/>
        </w:rPr>
        <w:t>addressed conflict arising from op</w:t>
      </w:r>
      <w:r w:rsidR="00B25491">
        <w:rPr>
          <w:sz w:val="22"/>
          <w:szCs w:val="22"/>
        </w:rPr>
        <w:t>erations of “shadow economies” (i.e., illegal gun trade and informal land transactions</w:t>
      </w:r>
      <w:r w:rsidR="00B26B7D">
        <w:rPr>
          <w:sz w:val="22"/>
          <w:szCs w:val="22"/>
        </w:rPr>
        <w:t xml:space="preserve">).  Its conflict mediation activities were informed by the results of its </w:t>
      </w:r>
      <w:r w:rsidR="00572C8D">
        <w:rPr>
          <w:sz w:val="22"/>
          <w:szCs w:val="22"/>
        </w:rPr>
        <w:t>conflict monitoring system that</w:t>
      </w:r>
      <w:r w:rsidR="00DD7C50">
        <w:rPr>
          <w:sz w:val="22"/>
          <w:szCs w:val="22"/>
        </w:rPr>
        <w:t xml:space="preserve"> provided</w:t>
      </w:r>
      <w:r w:rsidR="00B26B7D">
        <w:rPr>
          <w:sz w:val="22"/>
          <w:szCs w:val="22"/>
        </w:rPr>
        <w:t xml:space="preserve"> up-to-date information on conflict in the Ba</w:t>
      </w:r>
      <w:r w:rsidR="00572C8D">
        <w:rPr>
          <w:sz w:val="22"/>
          <w:szCs w:val="22"/>
        </w:rPr>
        <w:t>ngsamoro</w:t>
      </w:r>
      <w:r w:rsidR="00B25491">
        <w:rPr>
          <w:sz w:val="22"/>
          <w:szCs w:val="22"/>
        </w:rPr>
        <w:t xml:space="preserve"> region</w:t>
      </w:r>
      <w:r w:rsidR="00DD7C50">
        <w:rPr>
          <w:sz w:val="22"/>
          <w:szCs w:val="22"/>
        </w:rPr>
        <w:t xml:space="preserve">.  </w:t>
      </w:r>
      <w:r w:rsidR="00572C8D">
        <w:rPr>
          <w:sz w:val="22"/>
          <w:szCs w:val="22"/>
        </w:rPr>
        <w:t>TAF</w:t>
      </w:r>
      <w:r w:rsidR="00575D33">
        <w:rPr>
          <w:sz w:val="22"/>
          <w:szCs w:val="22"/>
        </w:rPr>
        <w:t xml:space="preserve"> </w:t>
      </w:r>
      <w:r w:rsidR="00B25491">
        <w:rPr>
          <w:sz w:val="22"/>
          <w:szCs w:val="22"/>
        </w:rPr>
        <w:t xml:space="preserve">supported clan-based conflict management </w:t>
      </w:r>
      <w:r w:rsidR="00575D33">
        <w:rPr>
          <w:sz w:val="22"/>
          <w:szCs w:val="22"/>
        </w:rPr>
        <w:t xml:space="preserve">that could </w:t>
      </w:r>
      <w:r w:rsidR="00B25491">
        <w:rPr>
          <w:sz w:val="22"/>
          <w:szCs w:val="22"/>
        </w:rPr>
        <w:t>mitigate conflict which may have</w:t>
      </w:r>
      <w:r w:rsidR="00575D33">
        <w:rPr>
          <w:sz w:val="22"/>
          <w:szCs w:val="22"/>
        </w:rPr>
        <w:t xml:space="preserve"> impact</w:t>
      </w:r>
      <w:r w:rsidR="00B25491">
        <w:rPr>
          <w:sz w:val="22"/>
          <w:szCs w:val="22"/>
        </w:rPr>
        <w:t xml:space="preserve">ed </w:t>
      </w:r>
      <w:r w:rsidR="00575D33">
        <w:rPr>
          <w:sz w:val="22"/>
          <w:szCs w:val="22"/>
        </w:rPr>
        <w:t>the peace process</w:t>
      </w:r>
      <w:r w:rsidR="00575D33">
        <w:rPr>
          <w:i/>
          <w:sz w:val="22"/>
          <w:szCs w:val="22"/>
        </w:rPr>
        <w:t>.</w:t>
      </w:r>
      <w:r w:rsidR="00575D33">
        <w:rPr>
          <w:rStyle w:val="FootnoteReference"/>
          <w:i/>
          <w:sz w:val="22"/>
          <w:szCs w:val="22"/>
        </w:rPr>
        <w:footnoteReference w:id="7"/>
      </w:r>
      <w:r w:rsidR="00575D33">
        <w:rPr>
          <w:i/>
          <w:sz w:val="22"/>
          <w:szCs w:val="22"/>
        </w:rPr>
        <w:t xml:space="preserve">  </w:t>
      </w:r>
      <w:r w:rsidR="00575D33">
        <w:rPr>
          <w:sz w:val="22"/>
          <w:szCs w:val="22"/>
        </w:rPr>
        <w:t xml:space="preserve">Similar to IA, it employed traditional leaders and traditional dispute mechanisms to successfully mediate </w:t>
      </w:r>
      <w:r w:rsidR="00575D33">
        <w:rPr>
          <w:i/>
          <w:sz w:val="22"/>
          <w:szCs w:val="22"/>
        </w:rPr>
        <w:t>rido.</w:t>
      </w:r>
      <w:r w:rsidR="00755CBA">
        <w:rPr>
          <w:sz w:val="22"/>
          <w:szCs w:val="22"/>
        </w:rPr>
        <w:t xml:space="preserve"> </w:t>
      </w:r>
      <w:r w:rsidR="00B25491">
        <w:rPr>
          <w:sz w:val="22"/>
          <w:szCs w:val="22"/>
        </w:rPr>
        <w:t xml:space="preserve">Oxfam </w:t>
      </w:r>
      <w:r w:rsidR="00755CBA" w:rsidRPr="00496219">
        <w:rPr>
          <w:sz w:val="22"/>
          <w:szCs w:val="22"/>
        </w:rPr>
        <w:t xml:space="preserve">invested in </w:t>
      </w:r>
      <w:r w:rsidR="00755CBA">
        <w:rPr>
          <w:sz w:val="22"/>
          <w:szCs w:val="22"/>
        </w:rPr>
        <w:t xml:space="preserve">the </w:t>
      </w:r>
      <w:r w:rsidR="00755CBA" w:rsidRPr="00496219">
        <w:rPr>
          <w:sz w:val="22"/>
          <w:szCs w:val="22"/>
        </w:rPr>
        <w:t>revival of the Grassroots Peace Monitoring Network</w:t>
      </w:r>
      <w:r w:rsidR="00755CBA">
        <w:rPr>
          <w:sz w:val="22"/>
          <w:szCs w:val="22"/>
        </w:rPr>
        <w:t xml:space="preserve"> (GPMN)</w:t>
      </w:r>
      <w:r w:rsidR="00755CBA" w:rsidRPr="00496219">
        <w:rPr>
          <w:sz w:val="22"/>
          <w:szCs w:val="22"/>
        </w:rPr>
        <w:t xml:space="preserve">, </w:t>
      </w:r>
      <w:r w:rsidR="00755CBA">
        <w:rPr>
          <w:sz w:val="22"/>
          <w:szCs w:val="22"/>
        </w:rPr>
        <w:t>to prevent</w:t>
      </w:r>
      <w:r w:rsidR="00755CBA" w:rsidRPr="00496219">
        <w:rPr>
          <w:sz w:val="22"/>
          <w:szCs w:val="22"/>
        </w:rPr>
        <w:t xml:space="preserve"> possible outbreaks of</w:t>
      </w:r>
      <w:r w:rsidR="00755CBA">
        <w:rPr>
          <w:sz w:val="22"/>
          <w:szCs w:val="22"/>
        </w:rPr>
        <w:t xml:space="preserve"> community</w:t>
      </w:r>
      <w:r w:rsidR="00755CBA" w:rsidRPr="00496219">
        <w:rPr>
          <w:sz w:val="22"/>
          <w:szCs w:val="22"/>
        </w:rPr>
        <w:t xml:space="preserve"> violence</w:t>
      </w:r>
      <w:r w:rsidR="004618AD">
        <w:rPr>
          <w:sz w:val="22"/>
          <w:szCs w:val="22"/>
        </w:rPr>
        <w:t xml:space="preserve">.  Women comprised </w:t>
      </w:r>
      <w:r w:rsidR="00145A56">
        <w:rPr>
          <w:sz w:val="22"/>
          <w:szCs w:val="22"/>
        </w:rPr>
        <w:t>22</w:t>
      </w:r>
      <w:r w:rsidR="00755CBA" w:rsidRPr="00496219">
        <w:rPr>
          <w:sz w:val="22"/>
          <w:szCs w:val="22"/>
        </w:rPr>
        <w:t xml:space="preserve"> of the </w:t>
      </w:r>
      <w:r w:rsidR="00755CBA" w:rsidRPr="00121603">
        <w:rPr>
          <w:sz w:val="22"/>
          <w:szCs w:val="22"/>
        </w:rPr>
        <w:t xml:space="preserve">81 grassroots peace monitors </w:t>
      </w:r>
      <w:r w:rsidR="004618AD">
        <w:rPr>
          <w:sz w:val="22"/>
          <w:szCs w:val="22"/>
        </w:rPr>
        <w:t xml:space="preserve">Oxfam </w:t>
      </w:r>
      <w:r w:rsidR="00755CBA" w:rsidRPr="00121603">
        <w:rPr>
          <w:sz w:val="22"/>
          <w:szCs w:val="22"/>
        </w:rPr>
        <w:t xml:space="preserve">trained. </w:t>
      </w:r>
      <w:r w:rsidR="00B94D9A" w:rsidRPr="00121603">
        <w:rPr>
          <w:sz w:val="22"/>
          <w:szCs w:val="22"/>
        </w:rPr>
        <w:t>IAG</w:t>
      </w:r>
      <w:r w:rsidR="00F61649">
        <w:rPr>
          <w:sz w:val="22"/>
          <w:szCs w:val="22"/>
        </w:rPr>
        <w:t xml:space="preserve"> </w:t>
      </w:r>
      <w:r w:rsidR="001037C9">
        <w:rPr>
          <w:sz w:val="22"/>
          <w:szCs w:val="22"/>
        </w:rPr>
        <w:t xml:space="preserve">worked directly with local formal institutions involved in </w:t>
      </w:r>
      <w:r w:rsidR="00B94D9A" w:rsidRPr="00121603">
        <w:rPr>
          <w:sz w:val="22"/>
          <w:szCs w:val="22"/>
        </w:rPr>
        <w:t>conflict mediation and prevention</w:t>
      </w:r>
      <w:r w:rsidR="001037C9">
        <w:rPr>
          <w:sz w:val="22"/>
          <w:szCs w:val="22"/>
        </w:rPr>
        <w:t xml:space="preserve"> through the provincial and municipal peace and order councils</w:t>
      </w:r>
      <w:r w:rsidR="00B03E2C">
        <w:rPr>
          <w:sz w:val="22"/>
          <w:szCs w:val="22"/>
        </w:rPr>
        <w:t xml:space="preserve"> (POCs)</w:t>
      </w:r>
      <w:r w:rsidR="00B94D9A" w:rsidRPr="00121603">
        <w:rPr>
          <w:sz w:val="22"/>
          <w:szCs w:val="22"/>
        </w:rPr>
        <w:t>.</w:t>
      </w:r>
      <w:r w:rsidR="001037C9">
        <w:rPr>
          <w:sz w:val="22"/>
          <w:szCs w:val="22"/>
        </w:rPr>
        <w:t xml:space="preserve">  However, it is not clear what actions </w:t>
      </w:r>
      <w:r w:rsidR="000F3C42">
        <w:rPr>
          <w:sz w:val="22"/>
          <w:szCs w:val="22"/>
        </w:rPr>
        <w:t>IAG took in cases where</w:t>
      </w:r>
      <w:r w:rsidR="001037C9">
        <w:rPr>
          <w:sz w:val="22"/>
          <w:szCs w:val="22"/>
        </w:rPr>
        <w:t xml:space="preserve"> LGU officials or their clan members were directly involved in the conflict.</w:t>
      </w:r>
    </w:p>
    <w:p w14:paraId="024C034C" w14:textId="77777777" w:rsidR="00755CBA" w:rsidRDefault="00755CBA" w:rsidP="00A70467">
      <w:pPr>
        <w:tabs>
          <w:tab w:val="left" w:pos="284"/>
        </w:tabs>
        <w:jc w:val="both"/>
        <w:rPr>
          <w:sz w:val="22"/>
          <w:szCs w:val="22"/>
        </w:rPr>
      </w:pPr>
    </w:p>
    <w:p w14:paraId="619D7D62" w14:textId="687A380C" w:rsidR="00F65288" w:rsidRPr="004060AF" w:rsidRDefault="005F5FA6" w:rsidP="00D04289">
      <w:pPr>
        <w:tabs>
          <w:tab w:val="left" w:pos="284"/>
        </w:tabs>
        <w:jc w:val="both"/>
        <w:rPr>
          <w:sz w:val="22"/>
          <w:szCs w:val="22"/>
        </w:rPr>
      </w:pPr>
      <w:r>
        <w:rPr>
          <w:sz w:val="22"/>
          <w:szCs w:val="22"/>
        </w:rPr>
        <w:t>12</w:t>
      </w:r>
      <w:r w:rsidR="00B94D9A">
        <w:rPr>
          <w:sz w:val="22"/>
          <w:szCs w:val="22"/>
        </w:rPr>
        <w:t xml:space="preserve">.  </w:t>
      </w:r>
      <w:r w:rsidR="00B94D9A">
        <w:rPr>
          <w:sz w:val="22"/>
          <w:szCs w:val="22"/>
        </w:rPr>
        <w:tab/>
        <w:t xml:space="preserve">However, conflict mediation and prevention </w:t>
      </w:r>
      <w:r w:rsidR="00B94D9A" w:rsidRPr="009C013C">
        <w:rPr>
          <w:sz w:val="22"/>
          <w:szCs w:val="22"/>
        </w:rPr>
        <w:t>activities of the BASIC partners had very limited geographical coverage</w:t>
      </w:r>
      <w:r w:rsidR="009564F5" w:rsidRPr="009C013C">
        <w:rPr>
          <w:sz w:val="22"/>
          <w:szCs w:val="22"/>
        </w:rPr>
        <w:t xml:space="preserve"> and </w:t>
      </w:r>
      <w:r w:rsidR="009564F5" w:rsidRPr="004D36BD">
        <w:rPr>
          <w:b/>
          <w:sz w:val="22"/>
          <w:szCs w:val="22"/>
        </w:rPr>
        <w:t>the use of these mechanisms may not be sustainable in the long term</w:t>
      </w:r>
      <w:r w:rsidR="00B94D9A">
        <w:rPr>
          <w:sz w:val="22"/>
          <w:szCs w:val="22"/>
        </w:rPr>
        <w:t>. While their efforts result</w:t>
      </w:r>
      <w:r w:rsidR="006E322E">
        <w:rPr>
          <w:sz w:val="22"/>
          <w:szCs w:val="22"/>
        </w:rPr>
        <w:t>ed</w:t>
      </w:r>
      <w:r w:rsidR="00B94D9A">
        <w:rPr>
          <w:sz w:val="22"/>
          <w:szCs w:val="22"/>
        </w:rPr>
        <w:t xml:space="preserve"> in documentation of </w:t>
      </w:r>
      <w:r w:rsidR="006E322E">
        <w:rPr>
          <w:sz w:val="22"/>
          <w:szCs w:val="22"/>
        </w:rPr>
        <w:t xml:space="preserve">specific </w:t>
      </w:r>
      <w:r w:rsidR="00B94D9A">
        <w:rPr>
          <w:sz w:val="22"/>
          <w:szCs w:val="22"/>
        </w:rPr>
        <w:t>experiences and insights on the effectiveness of informal or traditional institutions in medi</w:t>
      </w:r>
      <w:r w:rsidR="00DD7C50">
        <w:rPr>
          <w:sz w:val="22"/>
          <w:szCs w:val="22"/>
        </w:rPr>
        <w:t>ating conflict, these projects we</w:t>
      </w:r>
      <w:r w:rsidR="00B94D9A">
        <w:rPr>
          <w:sz w:val="22"/>
          <w:szCs w:val="22"/>
        </w:rPr>
        <w:t xml:space="preserve">re too “micro” in nature </w:t>
      </w:r>
      <w:r w:rsidR="007C1988">
        <w:rPr>
          <w:sz w:val="22"/>
          <w:szCs w:val="22"/>
        </w:rPr>
        <w:t xml:space="preserve">to </w:t>
      </w:r>
      <w:r w:rsidR="009564F5">
        <w:rPr>
          <w:sz w:val="22"/>
          <w:szCs w:val="22"/>
        </w:rPr>
        <w:t xml:space="preserve">lead to </w:t>
      </w:r>
      <w:r w:rsidR="007C1988">
        <w:rPr>
          <w:sz w:val="22"/>
          <w:szCs w:val="22"/>
        </w:rPr>
        <w:t>significant reduction in the overall incidence of horizontal conflict</w:t>
      </w:r>
      <w:r w:rsidR="006E322E">
        <w:rPr>
          <w:sz w:val="22"/>
          <w:szCs w:val="22"/>
        </w:rPr>
        <w:t>, given its pervasiveness</w:t>
      </w:r>
      <w:r w:rsidR="007C1988">
        <w:rPr>
          <w:sz w:val="22"/>
          <w:szCs w:val="22"/>
        </w:rPr>
        <w:t>.</w:t>
      </w:r>
      <w:r w:rsidR="007C1988">
        <w:rPr>
          <w:rStyle w:val="FootnoteReference"/>
          <w:sz w:val="22"/>
          <w:szCs w:val="22"/>
        </w:rPr>
        <w:footnoteReference w:id="8"/>
      </w:r>
      <w:r w:rsidR="007C1988">
        <w:rPr>
          <w:sz w:val="22"/>
          <w:szCs w:val="22"/>
        </w:rPr>
        <w:t xml:space="preserve">  </w:t>
      </w:r>
      <w:r w:rsidR="004D36BD">
        <w:rPr>
          <w:sz w:val="22"/>
          <w:szCs w:val="22"/>
        </w:rPr>
        <w:t>There have been</w:t>
      </w:r>
      <w:r w:rsidR="00DD7C50">
        <w:rPr>
          <w:sz w:val="22"/>
          <w:szCs w:val="22"/>
        </w:rPr>
        <w:t xml:space="preserve"> </w:t>
      </w:r>
      <w:r w:rsidR="004060AF">
        <w:rPr>
          <w:sz w:val="22"/>
          <w:szCs w:val="22"/>
        </w:rPr>
        <w:t>numerous studies conducted in the past on community-based conflict mediation</w:t>
      </w:r>
      <w:r w:rsidR="00F63575">
        <w:rPr>
          <w:sz w:val="22"/>
          <w:szCs w:val="22"/>
        </w:rPr>
        <w:t>.</w:t>
      </w:r>
      <w:r w:rsidR="004060AF">
        <w:rPr>
          <w:rStyle w:val="FootnoteReference"/>
          <w:sz w:val="22"/>
          <w:szCs w:val="22"/>
        </w:rPr>
        <w:footnoteReference w:id="9"/>
      </w:r>
      <w:r w:rsidR="004D36BD">
        <w:rPr>
          <w:sz w:val="22"/>
          <w:szCs w:val="22"/>
        </w:rPr>
        <w:t xml:space="preserve">  However, without being adopted by </w:t>
      </w:r>
      <w:r w:rsidR="004D36BD">
        <w:rPr>
          <w:sz w:val="22"/>
          <w:szCs w:val="22"/>
        </w:rPr>
        <w:lastRenderedPageBreak/>
        <w:t>government institutions, these informal institutions will not be able to reach a sufficient scale to make a sustained impact on violence.</w:t>
      </w:r>
      <w:r w:rsidR="004060AF">
        <w:rPr>
          <w:sz w:val="22"/>
          <w:szCs w:val="22"/>
        </w:rPr>
        <w:t xml:space="preserve"> </w:t>
      </w:r>
    </w:p>
    <w:p w14:paraId="71E011FC" w14:textId="77777777" w:rsidR="00F65288" w:rsidRDefault="00F65288" w:rsidP="00D04289">
      <w:pPr>
        <w:tabs>
          <w:tab w:val="left" w:pos="284"/>
        </w:tabs>
        <w:jc w:val="both"/>
        <w:rPr>
          <w:sz w:val="22"/>
          <w:szCs w:val="22"/>
        </w:rPr>
      </w:pPr>
    </w:p>
    <w:p w14:paraId="2F5080D6" w14:textId="700775B4" w:rsidR="002679BE" w:rsidRDefault="005F5FA6" w:rsidP="00D04289">
      <w:pPr>
        <w:tabs>
          <w:tab w:val="left" w:pos="284"/>
        </w:tabs>
        <w:jc w:val="both"/>
        <w:rPr>
          <w:sz w:val="22"/>
          <w:szCs w:val="22"/>
        </w:rPr>
      </w:pPr>
      <w:r>
        <w:rPr>
          <w:sz w:val="22"/>
          <w:szCs w:val="22"/>
        </w:rPr>
        <w:t>13</w:t>
      </w:r>
      <w:r w:rsidR="00FC4F04">
        <w:rPr>
          <w:sz w:val="22"/>
          <w:szCs w:val="22"/>
        </w:rPr>
        <w:t>.</w:t>
      </w:r>
      <w:r w:rsidR="00FC4F04">
        <w:rPr>
          <w:sz w:val="22"/>
          <w:szCs w:val="22"/>
        </w:rPr>
        <w:tab/>
      </w:r>
      <w:r w:rsidR="00563B02" w:rsidRPr="001A3461">
        <w:rPr>
          <w:rFonts w:cs="Calibri"/>
          <w:b/>
          <w:iCs/>
          <w:sz w:val="22"/>
          <w:szCs w:val="22"/>
        </w:rPr>
        <w:t>BASIC partners have good convening power at a community level, and undertook a significant number of outreach activities, but cannot reach or influence all key local political leaders and stakeholders that matter</w:t>
      </w:r>
      <w:r w:rsidR="00563B02" w:rsidRPr="001A3461">
        <w:rPr>
          <w:rFonts w:cs="Calibri"/>
          <w:iCs/>
          <w:sz w:val="22"/>
          <w:szCs w:val="22"/>
        </w:rPr>
        <w:t>.   IAG undertook 21 activities with local leaders in Sulu</w:t>
      </w:r>
      <w:r w:rsidR="005A43DF" w:rsidRPr="001A3461">
        <w:rPr>
          <w:rFonts w:cs="Calibri"/>
          <w:iCs/>
          <w:sz w:val="22"/>
          <w:szCs w:val="22"/>
        </w:rPr>
        <w:t>,</w:t>
      </w:r>
      <w:r w:rsidR="00563B02" w:rsidRPr="001A3461">
        <w:rPr>
          <w:rFonts w:cs="Calibri"/>
          <w:iCs/>
          <w:sz w:val="22"/>
          <w:szCs w:val="22"/>
        </w:rPr>
        <w:t xml:space="preserve"> which were acknowledged by a prominent local leader as having given these groups a voice in the peace process and having helped to address concerns around the peace process</w:t>
      </w:r>
      <w:r w:rsidR="005A43DF" w:rsidRPr="001A3461">
        <w:rPr>
          <w:rFonts w:cs="Calibri"/>
          <w:iCs/>
          <w:sz w:val="22"/>
          <w:szCs w:val="22"/>
        </w:rPr>
        <w:t>.  Although these activities demonstrated IAG’s ability to convene groups not previously part of the peace process</w:t>
      </w:r>
      <w:r w:rsidR="00563B02" w:rsidRPr="001A3461">
        <w:rPr>
          <w:rFonts w:cs="Calibri"/>
          <w:iCs/>
          <w:sz w:val="22"/>
          <w:szCs w:val="22"/>
        </w:rPr>
        <w:t xml:space="preserve"> their messaging lacked resonance not coming from the MILF. </w:t>
      </w:r>
      <w:r w:rsidR="007551D3" w:rsidRPr="001A3461">
        <w:rPr>
          <w:sz w:val="22"/>
          <w:szCs w:val="22"/>
        </w:rPr>
        <w:t xml:space="preserve"> </w:t>
      </w:r>
      <w:r w:rsidR="00563B02">
        <w:rPr>
          <w:sz w:val="22"/>
          <w:szCs w:val="22"/>
        </w:rPr>
        <w:t xml:space="preserve">While </w:t>
      </w:r>
      <w:r w:rsidR="007551D3">
        <w:rPr>
          <w:sz w:val="22"/>
          <w:szCs w:val="22"/>
        </w:rPr>
        <w:t xml:space="preserve">IA </w:t>
      </w:r>
      <w:r w:rsidR="008067F9">
        <w:rPr>
          <w:sz w:val="22"/>
          <w:szCs w:val="22"/>
        </w:rPr>
        <w:t xml:space="preserve">demonstrated it </w:t>
      </w:r>
      <w:r w:rsidR="00563B02">
        <w:rPr>
          <w:sz w:val="22"/>
          <w:szCs w:val="22"/>
        </w:rPr>
        <w:t xml:space="preserve">was able to raise awareness on the adverse impact </w:t>
      </w:r>
      <w:r w:rsidR="00CB3CEC">
        <w:rPr>
          <w:sz w:val="22"/>
          <w:szCs w:val="22"/>
        </w:rPr>
        <w:t xml:space="preserve">on BaSulTa </w:t>
      </w:r>
      <w:r w:rsidR="00563B02">
        <w:rPr>
          <w:sz w:val="22"/>
          <w:szCs w:val="22"/>
        </w:rPr>
        <w:t xml:space="preserve">of the closure of cross-border trading </w:t>
      </w:r>
      <w:r w:rsidR="00CB3CEC">
        <w:rPr>
          <w:sz w:val="22"/>
          <w:szCs w:val="22"/>
        </w:rPr>
        <w:t xml:space="preserve">with Sabah among key Philippine authorities, the Malaysian authorities </w:t>
      </w:r>
      <w:r w:rsidR="008067F9">
        <w:rPr>
          <w:sz w:val="22"/>
          <w:szCs w:val="22"/>
        </w:rPr>
        <w:t xml:space="preserve">continue to maintain trade restrictions </w:t>
      </w:r>
      <w:r w:rsidR="00CB3CEC">
        <w:rPr>
          <w:sz w:val="22"/>
          <w:szCs w:val="22"/>
        </w:rPr>
        <w:t xml:space="preserve">as of the writing of this report. </w:t>
      </w:r>
      <w:r w:rsidR="00563B02">
        <w:rPr>
          <w:sz w:val="22"/>
          <w:szCs w:val="22"/>
        </w:rPr>
        <w:t xml:space="preserve"> </w:t>
      </w:r>
      <w:r w:rsidR="007551D3">
        <w:rPr>
          <w:sz w:val="22"/>
          <w:szCs w:val="22"/>
        </w:rPr>
        <w:t xml:space="preserve">The rising incidence of kidnap-for-ransom </w:t>
      </w:r>
      <w:r w:rsidR="003931FF">
        <w:rPr>
          <w:sz w:val="22"/>
          <w:szCs w:val="22"/>
        </w:rPr>
        <w:t xml:space="preserve">(KfR) </w:t>
      </w:r>
      <w:r w:rsidR="007551D3">
        <w:rPr>
          <w:sz w:val="22"/>
          <w:szCs w:val="22"/>
        </w:rPr>
        <w:t xml:space="preserve">activities and the emergence of various criminal groups in the Sulu archipelago constrained activities of BASIC partners </w:t>
      </w:r>
      <w:r w:rsidR="00907B31">
        <w:rPr>
          <w:sz w:val="22"/>
          <w:szCs w:val="22"/>
        </w:rPr>
        <w:t>there.</w:t>
      </w:r>
      <w:r w:rsidR="007551D3">
        <w:rPr>
          <w:sz w:val="22"/>
          <w:szCs w:val="22"/>
        </w:rPr>
        <w:t xml:space="preserve"> It also </w:t>
      </w:r>
      <w:r w:rsidR="004D36BD">
        <w:rPr>
          <w:sz w:val="22"/>
          <w:szCs w:val="22"/>
        </w:rPr>
        <w:t xml:space="preserve">limited </w:t>
      </w:r>
      <w:r w:rsidR="007551D3">
        <w:rPr>
          <w:sz w:val="22"/>
          <w:szCs w:val="22"/>
        </w:rPr>
        <w:t>monitoring and evaluating</w:t>
      </w:r>
      <w:r w:rsidR="004D36BD">
        <w:rPr>
          <w:sz w:val="22"/>
          <w:szCs w:val="22"/>
        </w:rPr>
        <w:t xml:space="preserve"> due to security concerns.  With the exception of IAG’s website</w:t>
      </w:r>
      <w:r w:rsidR="004D36BD">
        <w:rPr>
          <w:rStyle w:val="FootnoteReference"/>
          <w:sz w:val="22"/>
          <w:szCs w:val="22"/>
        </w:rPr>
        <w:footnoteReference w:id="10"/>
      </w:r>
      <w:r w:rsidR="004D36BD">
        <w:rPr>
          <w:sz w:val="22"/>
          <w:szCs w:val="22"/>
        </w:rPr>
        <w:t xml:space="preserve">, </w:t>
      </w:r>
      <w:r w:rsidR="00BD6B53">
        <w:rPr>
          <w:sz w:val="22"/>
          <w:szCs w:val="22"/>
        </w:rPr>
        <w:t>BASIC partne</w:t>
      </w:r>
      <w:r w:rsidR="004D36BD">
        <w:rPr>
          <w:sz w:val="22"/>
          <w:szCs w:val="22"/>
        </w:rPr>
        <w:t xml:space="preserve">rs </w:t>
      </w:r>
      <w:r w:rsidR="00BD6B53">
        <w:rPr>
          <w:sz w:val="22"/>
          <w:szCs w:val="22"/>
        </w:rPr>
        <w:t>did not demonstrate any substantive inclusion of people with disability.</w:t>
      </w:r>
    </w:p>
    <w:p w14:paraId="08CB14BC" w14:textId="77777777" w:rsidR="00FC4F04" w:rsidRDefault="00FC4F04" w:rsidP="00D04289">
      <w:pPr>
        <w:tabs>
          <w:tab w:val="left" w:pos="284"/>
        </w:tabs>
        <w:jc w:val="both"/>
        <w:rPr>
          <w:sz w:val="22"/>
          <w:szCs w:val="22"/>
        </w:rPr>
      </w:pPr>
    </w:p>
    <w:p w14:paraId="0EA3337F" w14:textId="3261FCA9" w:rsidR="00B25491" w:rsidRPr="00B25491" w:rsidRDefault="00155DEE" w:rsidP="00D04289">
      <w:pPr>
        <w:tabs>
          <w:tab w:val="left" w:pos="284"/>
        </w:tabs>
        <w:jc w:val="both"/>
        <w:rPr>
          <w:i/>
          <w:sz w:val="22"/>
          <w:szCs w:val="22"/>
        </w:rPr>
      </w:pPr>
      <w:r>
        <w:rPr>
          <w:i/>
          <w:sz w:val="22"/>
          <w:szCs w:val="22"/>
        </w:rPr>
        <w:t xml:space="preserve">C. </w:t>
      </w:r>
      <w:r w:rsidR="004D36BD">
        <w:rPr>
          <w:i/>
          <w:sz w:val="22"/>
          <w:szCs w:val="22"/>
        </w:rPr>
        <w:t xml:space="preserve">Impact </w:t>
      </w:r>
      <w:r w:rsidR="00B526CA" w:rsidRPr="00B25491">
        <w:rPr>
          <w:i/>
          <w:sz w:val="22"/>
          <w:szCs w:val="22"/>
        </w:rPr>
        <w:t>of research on policies and programs</w:t>
      </w:r>
    </w:p>
    <w:p w14:paraId="25C121D1" w14:textId="77777777" w:rsidR="00B25491" w:rsidRDefault="00B25491" w:rsidP="00D04289">
      <w:pPr>
        <w:tabs>
          <w:tab w:val="left" w:pos="284"/>
        </w:tabs>
        <w:jc w:val="both"/>
        <w:rPr>
          <w:b/>
          <w:i/>
          <w:sz w:val="22"/>
          <w:szCs w:val="22"/>
        </w:rPr>
      </w:pPr>
    </w:p>
    <w:p w14:paraId="4BE25E15" w14:textId="33C51C78" w:rsidR="00B526CA" w:rsidRDefault="005F5FA6" w:rsidP="00D04289">
      <w:pPr>
        <w:tabs>
          <w:tab w:val="left" w:pos="284"/>
        </w:tabs>
        <w:jc w:val="both"/>
        <w:rPr>
          <w:sz w:val="22"/>
          <w:szCs w:val="22"/>
        </w:rPr>
      </w:pPr>
      <w:r>
        <w:rPr>
          <w:i/>
          <w:sz w:val="22"/>
          <w:szCs w:val="22"/>
        </w:rPr>
        <w:t>14</w:t>
      </w:r>
      <w:r w:rsidR="00B25491">
        <w:rPr>
          <w:i/>
          <w:sz w:val="22"/>
          <w:szCs w:val="22"/>
        </w:rPr>
        <w:t>.</w:t>
      </w:r>
      <w:r w:rsidR="00B25491">
        <w:rPr>
          <w:i/>
          <w:sz w:val="22"/>
          <w:szCs w:val="22"/>
        </w:rPr>
        <w:tab/>
      </w:r>
      <w:r w:rsidR="00B25491">
        <w:rPr>
          <w:i/>
          <w:sz w:val="22"/>
          <w:szCs w:val="22"/>
        </w:rPr>
        <w:tab/>
      </w:r>
      <w:r w:rsidR="004D36BD" w:rsidRPr="004D36BD">
        <w:rPr>
          <w:b/>
          <w:sz w:val="22"/>
          <w:szCs w:val="22"/>
        </w:rPr>
        <w:t>BASIC partners</w:t>
      </w:r>
      <w:r w:rsidR="00D90898" w:rsidRPr="004D36BD">
        <w:rPr>
          <w:b/>
          <w:sz w:val="22"/>
          <w:szCs w:val="22"/>
        </w:rPr>
        <w:t xml:space="preserve"> were </w:t>
      </w:r>
      <w:r w:rsidR="004D36BD" w:rsidRPr="004D36BD">
        <w:rPr>
          <w:b/>
          <w:sz w:val="22"/>
          <w:szCs w:val="22"/>
        </w:rPr>
        <w:t xml:space="preserve">generally </w:t>
      </w:r>
      <w:r w:rsidR="00D90898" w:rsidRPr="004D36BD">
        <w:rPr>
          <w:b/>
          <w:sz w:val="22"/>
          <w:szCs w:val="22"/>
        </w:rPr>
        <w:t>successful in clarifying controversial provisions in the BBL and were able to reach their target audiences.</w:t>
      </w:r>
      <w:r w:rsidR="00D90898">
        <w:rPr>
          <w:sz w:val="22"/>
          <w:szCs w:val="22"/>
        </w:rPr>
        <w:t xml:space="preserve">  IA was actively engaged in </w:t>
      </w:r>
      <w:r w:rsidR="004D36BD">
        <w:rPr>
          <w:sz w:val="22"/>
          <w:szCs w:val="22"/>
        </w:rPr>
        <w:t xml:space="preserve">advocacy </w:t>
      </w:r>
      <w:r w:rsidR="00D90898">
        <w:rPr>
          <w:sz w:val="22"/>
          <w:szCs w:val="22"/>
        </w:rPr>
        <w:t xml:space="preserve">with key legislators, assisted by their political mapping tool.  IAG conducted a series of workshops and forums with LGU officials, utilizing their research and position papers, to clarify provisions in the BBL </w:t>
      </w:r>
      <w:r w:rsidR="004D36BD">
        <w:rPr>
          <w:sz w:val="22"/>
          <w:szCs w:val="22"/>
        </w:rPr>
        <w:t>causing concerns that they would</w:t>
      </w:r>
      <w:r w:rsidR="0031630B">
        <w:rPr>
          <w:sz w:val="22"/>
          <w:szCs w:val="22"/>
        </w:rPr>
        <w:t xml:space="preserve"> clip LGU powers.   TAF used its extensive local networks in Mindanao, including media outlets and academic institutions, t</w:t>
      </w:r>
      <w:r w:rsidR="004D36BD">
        <w:rPr>
          <w:sz w:val="22"/>
          <w:szCs w:val="22"/>
        </w:rPr>
        <w:t>o allay the fears of</w:t>
      </w:r>
      <w:r w:rsidR="0031630B">
        <w:rPr>
          <w:sz w:val="22"/>
          <w:szCs w:val="22"/>
        </w:rPr>
        <w:t xml:space="preserve"> local op</w:t>
      </w:r>
      <w:r w:rsidR="004D36BD">
        <w:rPr>
          <w:sz w:val="22"/>
          <w:szCs w:val="22"/>
        </w:rPr>
        <w:t xml:space="preserve">inion leaders regarding the BBL.  </w:t>
      </w:r>
      <w:r w:rsidR="0031630B">
        <w:rPr>
          <w:sz w:val="22"/>
          <w:szCs w:val="22"/>
        </w:rPr>
        <w:t>However, TAF could have more effectively tapped the advocacy expertise in its Coalition for Change (CfC) project</w:t>
      </w:r>
      <w:r w:rsidR="00AF7900">
        <w:rPr>
          <w:sz w:val="22"/>
          <w:szCs w:val="22"/>
        </w:rPr>
        <w:t>,</w:t>
      </w:r>
      <w:r w:rsidR="0031630B">
        <w:rPr>
          <w:sz w:val="22"/>
          <w:szCs w:val="22"/>
        </w:rPr>
        <w:t xml:space="preserve"> enabl</w:t>
      </w:r>
      <w:r w:rsidR="00AF7900">
        <w:rPr>
          <w:sz w:val="22"/>
          <w:szCs w:val="22"/>
        </w:rPr>
        <w:t>ing</w:t>
      </w:r>
      <w:r w:rsidR="0031630B">
        <w:rPr>
          <w:sz w:val="22"/>
          <w:szCs w:val="22"/>
        </w:rPr>
        <w:t xml:space="preserve"> it to reach more legislators. Oxfam and W</w:t>
      </w:r>
      <w:r w:rsidR="00907B31">
        <w:rPr>
          <w:sz w:val="22"/>
          <w:szCs w:val="22"/>
        </w:rPr>
        <w:t>EAct1</w:t>
      </w:r>
      <w:r w:rsidR="0031630B">
        <w:rPr>
          <w:sz w:val="22"/>
          <w:szCs w:val="22"/>
        </w:rPr>
        <w:t>3</w:t>
      </w:r>
      <w:r w:rsidR="00907B31">
        <w:rPr>
          <w:sz w:val="22"/>
          <w:szCs w:val="22"/>
        </w:rPr>
        <w:t>2</w:t>
      </w:r>
      <w:r w:rsidR="0031630B">
        <w:rPr>
          <w:sz w:val="22"/>
          <w:szCs w:val="22"/>
        </w:rPr>
        <w:t>5 were mostly engaged in o</w:t>
      </w:r>
      <w:r w:rsidR="004D36BD">
        <w:rPr>
          <w:sz w:val="22"/>
          <w:szCs w:val="22"/>
        </w:rPr>
        <w:t>utreach</w:t>
      </w:r>
      <w:r w:rsidR="0031630B">
        <w:rPr>
          <w:sz w:val="22"/>
          <w:szCs w:val="22"/>
        </w:rPr>
        <w:t xml:space="preserve"> advocacy on the BBL and the overall peace process</w:t>
      </w:r>
      <w:r w:rsidR="004D36BD">
        <w:rPr>
          <w:sz w:val="22"/>
          <w:szCs w:val="22"/>
        </w:rPr>
        <w:t>, as well as developing</w:t>
      </w:r>
      <w:r w:rsidR="00B94175">
        <w:rPr>
          <w:sz w:val="22"/>
          <w:szCs w:val="22"/>
        </w:rPr>
        <w:t xml:space="preserve"> a gender peacebuilding training manual</w:t>
      </w:r>
      <w:r w:rsidR="00F63575">
        <w:rPr>
          <w:sz w:val="22"/>
          <w:szCs w:val="22"/>
        </w:rPr>
        <w:t>.</w:t>
      </w:r>
      <w:r w:rsidR="002B6893">
        <w:rPr>
          <w:rStyle w:val="FootnoteReference"/>
          <w:sz w:val="22"/>
          <w:szCs w:val="22"/>
        </w:rPr>
        <w:footnoteReference w:id="11"/>
      </w:r>
      <w:r w:rsidR="0031630B">
        <w:rPr>
          <w:sz w:val="22"/>
          <w:szCs w:val="22"/>
        </w:rPr>
        <w:t xml:space="preserve">   </w:t>
      </w:r>
    </w:p>
    <w:p w14:paraId="54919128" w14:textId="77777777" w:rsidR="0031630B" w:rsidRDefault="0031630B" w:rsidP="00D04289">
      <w:pPr>
        <w:tabs>
          <w:tab w:val="left" w:pos="284"/>
        </w:tabs>
        <w:jc w:val="both"/>
        <w:rPr>
          <w:sz w:val="22"/>
          <w:szCs w:val="22"/>
        </w:rPr>
      </w:pPr>
    </w:p>
    <w:p w14:paraId="39299D0E" w14:textId="51D2977B" w:rsidR="00B25491" w:rsidRPr="00B25491" w:rsidRDefault="00155DEE" w:rsidP="00DC6BC2">
      <w:pPr>
        <w:widowControl w:val="0"/>
        <w:autoSpaceDE w:val="0"/>
        <w:autoSpaceDN w:val="0"/>
        <w:adjustRightInd w:val="0"/>
        <w:spacing w:after="240"/>
        <w:jc w:val="both"/>
        <w:rPr>
          <w:i/>
          <w:sz w:val="22"/>
          <w:szCs w:val="22"/>
        </w:rPr>
      </w:pPr>
      <w:r>
        <w:rPr>
          <w:i/>
          <w:sz w:val="22"/>
          <w:szCs w:val="22"/>
        </w:rPr>
        <w:t xml:space="preserve">D. </w:t>
      </w:r>
      <w:r w:rsidR="0031630B" w:rsidRPr="00B25491">
        <w:rPr>
          <w:i/>
          <w:sz w:val="22"/>
          <w:szCs w:val="22"/>
        </w:rPr>
        <w:t>Promoting gender equality and women’s empowerment</w:t>
      </w:r>
      <w:r w:rsidR="007F00B3" w:rsidRPr="00B25491">
        <w:rPr>
          <w:rStyle w:val="FootnoteReference"/>
          <w:i/>
          <w:sz w:val="22"/>
          <w:szCs w:val="22"/>
        </w:rPr>
        <w:footnoteReference w:id="12"/>
      </w:r>
    </w:p>
    <w:p w14:paraId="00D09673" w14:textId="73135AD7" w:rsidR="00AF7900" w:rsidRDefault="005F5FA6" w:rsidP="00DC6BC2">
      <w:pPr>
        <w:widowControl w:val="0"/>
        <w:autoSpaceDE w:val="0"/>
        <w:autoSpaceDN w:val="0"/>
        <w:adjustRightInd w:val="0"/>
        <w:spacing w:after="240"/>
        <w:jc w:val="both"/>
        <w:rPr>
          <w:sz w:val="22"/>
          <w:szCs w:val="22"/>
        </w:rPr>
      </w:pPr>
      <w:r>
        <w:rPr>
          <w:sz w:val="22"/>
          <w:szCs w:val="22"/>
        </w:rPr>
        <w:t>15</w:t>
      </w:r>
      <w:r w:rsidR="00B25491">
        <w:rPr>
          <w:sz w:val="22"/>
          <w:szCs w:val="22"/>
        </w:rPr>
        <w:t>.</w:t>
      </w:r>
      <w:r w:rsidR="00B25491">
        <w:rPr>
          <w:sz w:val="22"/>
          <w:szCs w:val="22"/>
        </w:rPr>
        <w:tab/>
      </w:r>
      <w:r w:rsidR="0031630B">
        <w:rPr>
          <w:b/>
          <w:i/>
          <w:sz w:val="22"/>
          <w:szCs w:val="22"/>
        </w:rPr>
        <w:t xml:space="preserve"> </w:t>
      </w:r>
      <w:r w:rsidR="007C1E88" w:rsidRPr="004D36BD">
        <w:rPr>
          <w:b/>
          <w:sz w:val="22"/>
          <w:szCs w:val="22"/>
        </w:rPr>
        <w:t xml:space="preserve">BASIC partners </w:t>
      </w:r>
      <w:r w:rsidR="0031630B" w:rsidRPr="004D36BD">
        <w:rPr>
          <w:b/>
          <w:sz w:val="22"/>
          <w:szCs w:val="22"/>
        </w:rPr>
        <w:t xml:space="preserve">reported increased women’s participation in the political process but it is unclear </w:t>
      </w:r>
      <w:r w:rsidR="00B94175" w:rsidRPr="004D36BD">
        <w:rPr>
          <w:b/>
          <w:sz w:val="22"/>
          <w:szCs w:val="22"/>
        </w:rPr>
        <w:t>to what extent the</w:t>
      </w:r>
      <w:r w:rsidR="0048502C" w:rsidRPr="004D36BD">
        <w:rPr>
          <w:b/>
          <w:sz w:val="22"/>
          <w:szCs w:val="22"/>
        </w:rPr>
        <w:t>ir</w:t>
      </w:r>
      <w:r w:rsidR="00B94175" w:rsidRPr="004D36BD">
        <w:rPr>
          <w:b/>
          <w:sz w:val="22"/>
          <w:szCs w:val="22"/>
        </w:rPr>
        <w:t xml:space="preserve"> activities contributed to gender</w:t>
      </w:r>
      <w:r w:rsidR="0031630B" w:rsidRPr="004D36BD">
        <w:rPr>
          <w:b/>
          <w:sz w:val="22"/>
          <w:szCs w:val="22"/>
        </w:rPr>
        <w:t xml:space="preserve"> </w:t>
      </w:r>
      <w:r w:rsidR="0048502C" w:rsidRPr="004D36BD">
        <w:rPr>
          <w:b/>
          <w:sz w:val="22"/>
          <w:szCs w:val="22"/>
        </w:rPr>
        <w:t>equality</w:t>
      </w:r>
      <w:r w:rsidR="0031630B" w:rsidRPr="004D36BD">
        <w:rPr>
          <w:b/>
          <w:sz w:val="22"/>
          <w:szCs w:val="22"/>
        </w:rPr>
        <w:t>.</w:t>
      </w:r>
      <w:r w:rsidR="0031630B">
        <w:rPr>
          <w:sz w:val="22"/>
          <w:szCs w:val="22"/>
        </w:rPr>
        <w:t xml:space="preserve"> </w:t>
      </w:r>
      <w:r w:rsidR="0048502C">
        <w:rPr>
          <w:sz w:val="22"/>
          <w:szCs w:val="22"/>
        </w:rPr>
        <w:t>After DFAT provided gender training to all partners in</w:t>
      </w:r>
      <w:r w:rsidR="004F6291">
        <w:rPr>
          <w:sz w:val="22"/>
          <w:szCs w:val="22"/>
        </w:rPr>
        <w:t xml:space="preserve"> </w:t>
      </w:r>
      <w:r w:rsidR="0048502C">
        <w:rPr>
          <w:sz w:val="22"/>
          <w:szCs w:val="22"/>
        </w:rPr>
        <w:t>2014, each partner provided sex-disaggre</w:t>
      </w:r>
      <w:r w:rsidR="004D36BD">
        <w:rPr>
          <w:sz w:val="22"/>
          <w:szCs w:val="22"/>
        </w:rPr>
        <w:t>gated data for their activities but little evidence on</w:t>
      </w:r>
      <w:r w:rsidR="004F6291">
        <w:rPr>
          <w:sz w:val="22"/>
          <w:szCs w:val="22"/>
        </w:rPr>
        <w:t xml:space="preserve"> the quality of women’s</w:t>
      </w:r>
      <w:r w:rsidR="00591782">
        <w:rPr>
          <w:sz w:val="22"/>
          <w:szCs w:val="22"/>
        </w:rPr>
        <w:t xml:space="preserve"> </w:t>
      </w:r>
      <w:r w:rsidR="004D36BD">
        <w:rPr>
          <w:sz w:val="22"/>
          <w:szCs w:val="22"/>
        </w:rPr>
        <w:t xml:space="preserve">influence.  </w:t>
      </w:r>
      <w:r w:rsidR="00AF7900">
        <w:rPr>
          <w:sz w:val="22"/>
          <w:szCs w:val="22"/>
        </w:rPr>
        <w:t>A</w:t>
      </w:r>
      <w:r w:rsidR="0048502C">
        <w:rPr>
          <w:sz w:val="22"/>
          <w:szCs w:val="22"/>
        </w:rPr>
        <w:t>side from Oxfam, BASIC p</w:t>
      </w:r>
      <w:r w:rsidR="0048502C" w:rsidRPr="007D1FF9">
        <w:rPr>
          <w:sz w:val="22"/>
          <w:szCs w:val="22"/>
        </w:rPr>
        <w:t xml:space="preserve">artners did not provide strong evidence of </w:t>
      </w:r>
      <w:r w:rsidR="0048502C">
        <w:rPr>
          <w:sz w:val="22"/>
          <w:szCs w:val="22"/>
        </w:rPr>
        <w:t xml:space="preserve">impacts of gendered peacebuilding or </w:t>
      </w:r>
      <w:r w:rsidR="0048502C" w:rsidRPr="007D1FF9">
        <w:rPr>
          <w:sz w:val="22"/>
          <w:szCs w:val="22"/>
        </w:rPr>
        <w:t>supporting sustainable improvements in women</w:t>
      </w:r>
      <w:r w:rsidR="0048502C">
        <w:rPr>
          <w:sz w:val="22"/>
          <w:szCs w:val="22"/>
        </w:rPr>
        <w:t>’s</w:t>
      </w:r>
      <w:r w:rsidR="0048502C" w:rsidRPr="007D1FF9">
        <w:rPr>
          <w:sz w:val="22"/>
          <w:szCs w:val="22"/>
        </w:rPr>
        <w:t xml:space="preserve"> capacity to participate in community decision-making. </w:t>
      </w:r>
      <w:r w:rsidR="002B66D8" w:rsidRPr="005A4098">
        <w:rPr>
          <w:sz w:val="22"/>
          <w:szCs w:val="22"/>
        </w:rPr>
        <w:t xml:space="preserve">Further analysis is necessary to assess the quality and impact </w:t>
      </w:r>
      <w:r w:rsidR="002B66D8" w:rsidRPr="005A4098">
        <w:rPr>
          <w:sz w:val="22"/>
          <w:szCs w:val="22"/>
        </w:rPr>
        <w:lastRenderedPageBreak/>
        <w:t xml:space="preserve">of the contributions of both female and male </w:t>
      </w:r>
      <w:r w:rsidR="002B66D8">
        <w:rPr>
          <w:sz w:val="22"/>
          <w:szCs w:val="22"/>
        </w:rPr>
        <w:t xml:space="preserve">participants </w:t>
      </w:r>
      <w:r w:rsidR="004D36BD">
        <w:rPr>
          <w:sz w:val="22"/>
          <w:szCs w:val="22"/>
        </w:rPr>
        <w:t>on</w:t>
      </w:r>
      <w:r w:rsidR="002B66D8" w:rsidRPr="005A4098">
        <w:rPr>
          <w:sz w:val="22"/>
          <w:szCs w:val="22"/>
        </w:rPr>
        <w:t xml:space="preserve"> the pro</w:t>
      </w:r>
      <w:r w:rsidR="004D36BD">
        <w:rPr>
          <w:sz w:val="22"/>
          <w:szCs w:val="22"/>
        </w:rPr>
        <w:t>motion of gender equality and in</w:t>
      </w:r>
      <w:r w:rsidR="002B66D8" w:rsidRPr="005A4098">
        <w:rPr>
          <w:sz w:val="22"/>
          <w:szCs w:val="22"/>
        </w:rPr>
        <w:t xml:space="preserve"> addressing gender-specific issues in the context of peace </w:t>
      </w:r>
      <w:r w:rsidR="002B66D8">
        <w:rPr>
          <w:sz w:val="22"/>
          <w:szCs w:val="22"/>
        </w:rPr>
        <w:t>negotiations</w:t>
      </w:r>
      <w:r w:rsidR="002B66D8" w:rsidRPr="005A4098">
        <w:rPr>
          <w:sz w:val="22"/>
          <w:szCs w:val="22"/>
        </w:rPr>
        <w:t xml:space="preserve">. </w:t>
      </w:r>
      <w:r w:rsidR="00BC43E9">
        <w:rPr>
          <w:sz w:val="22"/>
          <w:szCs w:val="22"/>
        </w:rPr>
        <w:t xml:space="preserve">Overall BASIC partners </w:t>
      </w:r>
      <w:r w:rsidR="006C4905">
        <w:rPr>
          <w:sz w:val="22"/>
          <w:szCs w:val="22"/>
        </w:rPr>
        <w:t>limited their</w:t>
      </w:r>
      <w:r w:rsidR="0048502C">
        <w:rPr>
          <w:sz w:val="22"/>
          <w:szCs w:val="22"/>
        </w:rPr>
        <w:t xml:space="preserve"> ‘gender </w:t>
      </w:r>
      <w:r w:rsidR="006C4905">
        <w:rPr>
          <w:sz w:val="22"/>
          <w:szCs w:val="22"/>
        </w:rPr>
        <w:t>sensitivity</w:t>
      </w:r>
      <w:r w:rsidR="00AF7900">
        <w:rPr>
          <w:sz w:val="22"/>
          <w:szCs w:val="22"/>
        </w:rPr>
        <w:t>’</w:t>
      </w:r>
      <w:r w:rsidR="006C4905">
        <w:rPr>
          <w:sz w:val="22"/>
          <w:szCs w:val="22"/>
        </w:rPr>
        <w:t xml:space="preserve"> to a focus on</w:t>
      </w:r>
      <w:r w:rsidR="0048502C">
        <w:rPr>
          <w:sz w:val="22"/>
          <w:szCs w:val="22"/>
        </w:rPr>
        <w:t xml:space="preserve"> women and </w:t>
      </w:r>
      <w:r w:rsidR="00BC43E9">
        <w:rPr>
          <w:sz w:val="22"/>
          <w:szCs w:val="22"/>
        </w:rPr>
        <w:t>did not</w:t>
      </w:r>
      <w:r w:rsidR="0048502C">
        <w:rPr>
          <w:sz w:val="22"/>
          <w:szCs w:val="22"/>
        </w:rPr>
        <w:t xml:space="preserve"> mainstream or target activities that worked to systemically change power relationships and inequalities between women and men, boys and girls. </w:t>
      </w:r>
    </w:p>
    <w:p w14:paraId="71E71F20" w14:textId="295BF91C" w:rsidR="00FC4F04" w:rsidRPr="00DC6BC2" w:rsidRDefault="005F5FA6" w:rsidP="00D04289">
      <w:pPr>
        <w:tabs>
          <w:tab w:val="left" w:pos="284"/>
        </w:tabs>
        <w:jc w:val="both"/>
        <w:rPr>
          <w:sz w:val="22"/>
          <w:szCs w:val="22"/>
        </w:rPr>
      </w:pPr>
      <w:r w:rsidRPr="005F5FA6">
        <w:rPr>
          <w:sz w:val="22"/>
          <w:szCs w:val="22"/>
        </w:rPr>
        <w:t>16.</w:t>
      </w:r>
      <w:r>
        <w:rPr>
          <w:sz w:val="22"/>
          <w:szCs w:val="22"/>
        </w:rPr>
        <w:tab/>
      </w:r>
      <w:r w:rsidR="0031630B">
        <w:rPr>
          <w:sz w:val="22"/>
          <w:szCs w:val="22"/>
        </w:rPr>
        <w:t>IAG ensured women’s participation in all the forums and workshops it conducted</w:t>
      </w:r>
      <w:r w:rsidR="00833B13">
        <w:rPr>
          <w:sz w:val="22"/>
          <w:szCs w:val="22"/>
        </w:rPr>
        <w:t>.</w:t>
      </w:r>
      <w:r w:rsidR="0031630B">
        <w:rPr>
          <w:sz w:val="22"/>
          <w:szCs w:val="22"/>
        </w:rPr>
        <w:t xml:space="preserve"> </w:t>
      </w:r>
      <w:r w:rsidR="004D36BD">
        <w:rPr>
          <w:sz w:val="22"/>
          <w:szCs w:val="22"/>
        </w:rPr>
        <w:t xml:space="preserve"> </w:t>
      </w:r>
      <w:r w:rsidR="0031630B">
        <w:rPr>
          <w:sz w:val="22"/>
          <w:szCs w:val="22"/>
        </w:rPr>
        <w:t>IA partnered with a women</w:t>
      </w:r>
      <w:r w:rsidR="00907B31">
        <w:rPr>
          <w:sz w:val="22"/>
          <w:szCs w:val="22"/>
        </w:rPr>
        <w:t>’s</w:t>
      </w:r>
      <w:r w:rsidR="0031630B">
        <w:rPr>
          <w:sz w:val="22"/>
          <w:szCs w:val="22"/>
        </w:rPr>
        <w:t xml:space="preserve"> CSO in raising awareness about the BBL and its local conflict mediation activities. TAF</w:t>
      </w:r>
      <w:r w:rsidR="00E26BC1">
        <w:rPr>
          <w:sz w:val="22"/>
          <w:szCs w:val="22"/>
        </w:rPr>
        <w:t xml:space="preserve"> als</w:t>
      </w:r>
      <w:r w:rsidR="004D36BD">
        <w:rPr>
          <w:sz w:val="22"/>
          <w:szCs w:val="22"/>
        </w:rPr>
        <w:t xml:space="preserve">o utilized </w:t>
      </w:r>
      <w:r w:rsidR="00E26BC1">
        <w:rPr>
          <w:sz w:val="22"/>
          <w:szCs w:val="22"/>
        </w:rPr>
        <w:t xml:space="preserve">a number of women’s groups as partners </w:t>
      </w:r>
      <w:r w:rsidR="004D36BD">
        <w:rPr>
          <w:sz w:val="22"/>
          <w:szCs w:val="22"/>
        </w:rPr>
        <w:t>to include both MNLF and IP representatives</w:t>
      </w:r>
      <w:r w:rsidR="00E26BC1">
        <w:rPr>
          <w:sz w:val="22"/>
          <w:szCs w:val="22"/>
        </w:rPr>
        <w:t xml:space="preserve"> to </w:t>
      </w:r>
      <w:r w:rsidR="00833B13">
        <w:rPr>
          <w:sz w:val="22"/>
          <w:szCs w:val="22"/>
        </w:rPr>
        <w:t xml:space="preserve">support </w:t>
      </w:r>
      <w:r w:rsidR="00E26BC1">
        <w:rPr>
          <w:sz w:val="22"/>
          <w:szCs w:val="22"/>
        </w:rPr>
        <w:t>a more inclusive peace process.</w:t>
      </w:r>
      <w:r w:rsidR="00AF7900">
        <w:rPr>
          <w:sz w:val="22"/>
          <w:szCs w:val="22"/>
        </w:rPr>
        <w:t xml:space="preserve"> </w:t>
      </w:r>
      <w:r w:rsidR="00161BF0" w:rsidRPr="007D1FF9">
        <w:rPr>
          <w:sz w:val="22"/>
          <w:szCs w:val="22"/>
        </w:rPr>
        <w:t>Oxfam, through W</w:t>
      </w:r>
      <w:r w:rsidR="007F00B3">
        <w:rPr>
          <w:sz w:val="22"/>
          <w:szCs w:val="22"/>
        </w:rPr>
        <w:t>E</w:t>
      </w:r>
      <w:r w:rsidR="00161BF0" w:rsidRPr="007D1FF9">
        <w:rPr>
          <w:sz w:val="22"/>
          <w:szCs w:val="22"/>
        </w:rPr>
        <w:t xml:space="preserve">Act1325, successfully collated and advocated for the inclusion of women’s perspectives into the final version of the BBL. </w:t>
      </w:r>
      <w:r w:rsidR="007F00B3">
        <w:rPr>
          <w:sz w:val="22"/>
          <w:szCs w:val="22"/>
        </w:rPr>
        <w:t>WE</w:t>
      </w:r>
      <w:r w:rsidR="00913929" w:rsidRPr="00BD6B53">
        <w:rPr>
          <w:sz w:val="22"/>
          <w:szCs w:val="22"/>
        </w:rPr>
        <w:t>Act1325</w:t>
      </w:r>
      <w:r w:rsidR="00BD6B53" w:rsidRPr="00BD6B53">
        <w:rPr>
          <w:sz w:val="22"/>
          <w:szCs w:val="22"/>
        </w:rPr>
        <w:t xml:space="preserve"> </w:t>
      </w:r>
      <w:r w:rsidR="00833B13">
        <w:rPr>
          <w:sz w:val="22"/>
          <w:szCs w:val="22"/>
        </w:rPr>
        <w:t xml:space="preserve">members </w:t>
      </w:r>
      <w:r w:rsidR="00BD6B53" w:rsidRPr="00BD6B53">
        <w:rPr>
          <w:sz w:val="22"/>
          <w:szCs w:val="22"/>
        </w:rPr>
        <w:t>identified tensions</w:t>
      </w:r>
      <w:r w:rsidR="00833B13">
        <w:rPr>
          <w:sz w:val="22"/>
          <w:szCs w:val="22"/>
        </w:rPr>
        <w:t xml:space="preserve"> that arose </w:t>
      </w:r>
      <w:r w:rsidR="00BD6B53" w:rsidRPr="00BD6B53">
        <w:rPr>
          <w:sz w:val="22"/>
          <w:szCs w:val="22"/>
        </w:rPr>
        <w:t>between themselves and</w:t>
      </w:r>
      <w:r w:rsidR="00BD6B53">
        <w:rPr>
          <w:sz w:val="22"/>
          <w:szCs w:val="22"/>
        </w:rPr>
        <w:t xml:space="preserve"> both men and</w:t>
      </w:r>
      <w:r w:rsidR="00BD6B53" w:rsidRPr="00BD6B53">
        <w:rPr>
          <w:sz w:val="22"/>
          <w:szCs w:val="22"/>
        </w:rPr>
        <w:t xml:space="preserve"> </w:t>
      </w:r>
      <w:r w:rsidR="00833B13">
        <w:rPr>
          <w:sz w:val="22"/>
          <w:szCs w:val="22"/>
        </w:rPr>
        <w:t xml:space="preserve">some </w:t>
      </w:r>
      <w:r w:rsidR="004D36BD">
        <w:rPr>
          <w:sz w:val="22"/>
          <w:szCs w:val="22"/>
        </w:rPr>
        <w:t xml:space="preserve">local </w:t>
      </w:r>
      <w:r w:rsidR="00BD6B53" w:rsidRPr="00BD6B53">
        <w:rPr>
          <w:sz w:val="22"/>
          <w:szCs w:val="22"/>
        </w:rPr>
        <w:t xml:space="preserve">women </w:t>
      </w:r>
      <w:r w:rsidR="00833B13">
        <w:rPr>
          <w:sz w:val="22"/>
          <w:szCs w:val="22"/>
        </w:rPr>
        <w:t xml:space="preserve">as a result of their rights-based </w:t>
      </w:r>
      <w:r w:rsidR="00833B13" w:rsidRPr="00BD6B53">
        <w:rPr>
          <w:sz w:val="22"/>
          <w:szCs w:val="22"/>
        </w:rPr>
        <w:t>approach</w:t>
      </w:r>
      <w:r w:rsidR="004F6291">
        <w:rPr>
          <w:sz w:val="22"/>
          <w:szCs w:val="22"/>
        </w:rPr>
        <w:t>.</w:t>
      </w:r>
      <w:r w:rsidR="00AF60D6">
        <w:rPr>
          <w:sz w:val="22"/>
          <w:szCs w:val="22"/>
        </w:rPr>
        <w:t xml:space="preserve"> The challenge of supporting meaningful participation of women and other identity groups and the</w:t>
      </w:r>
      <w:r w:rsidR="00833B13">
        <w:rPr>
          <w:sz w:val="22"/>
          <w:szCs w:val="22"/>
        </w:rPr>
        <w:t xml:space="preserve"> </w:t>
      </w:r>
      <w:r w:rsidR="00AF60D6">
        <w:rPr>
          <w:sz w:val="22"/>
          <w:szCs w:val="22"/>
        </w:rPr>
        <w:t xml:space="preserve">diverse </w:t>
      </w:r>
      <w:r w:rsidR="00833B13">
        <w:rPr>
          <w:sz w:val="22"/>
          <w:szCs w:val="22"/>
        </w:rPr>
        <w:t>views on gender</w:t>
      </w:r>
      <w:r w:rsidR="00AF60D6">
        <w:rPr>
          <w:sz w:val="22"/>
          <w:szCs w:val="22"/>
        </w:rPr>
        <w:t xml:space="preserve"> equality</w:t>
      </w:r>
      <w:r w:rsidR="00833B13">
        <w:rPr>
          <w:sz w:val="22"/>
          <w:szCs w:val="22"/>
        </w:rPr>
        <w:t xml:space="preserve"> </w:t>
      </w:r>
      <w:r w:rsidR="00AF60D6">
        <w:rPr>
          <w:sz w:val="22"/>
          <w:szCs w:val="22"/>
        </w:rPr>
        <w:t>highlight the complexity of undertaking gender-sensitive peacebuilding.</w:t>
      </w:r>
      <w:r w:rsidR="00BD6B53" w:rsidRPr="00BD6B53">
        <w:rPr>
          <w:sz w:val="22"/>
          <w:szCs w:val="22"/>
        </w:rPr>
        <w:t xml:space="preserve"> </w:t>
      </w:r>
      <w:r w:rsidR="00BD6B53" w:rsidRPr="00DC6BC2">
        <w:rPr>
          <w:sz w:val="22"/>
          <w:szCs w:val="22"/>
        </w:rPr>
        <w:t xml:space="preserve"> </w:t>
      </w:r>
    </w:p>
    <w:p w14:paraId="2850C248" w14:textId="77777777" w:rsidR="00BD6B53" w:rsidRDefault="00BD6B53" w:rsidP="00D04289">
      <w:pPr>
        <w:tabs>
          <w:tab w:val="left" w:pos="284"/>
        </w:tabs>
        <w:jc w:val="both"/>
        <w:rPr>
          <w:sz w:val="22"/>
          <w:szCs w:val="22"/>
        </w:rPr>
      </w:pPr>
    </w:p>
    <w:p w14:paraId="1916929A" w14:textId="3EA56A51" w:rsidR="00B25491" w:rsidRPr="00B25491" w:rsidRDefault="00155DEE" w:rsidP="00D04289">
      <w:pPr>
        <w:tabs>
          <w:tab w:val="left" w:pos="284"/>
        </w:tabs>
        <w:jc w:val="both"/>
        <w:rPr>
          <w:i/>
          <w:sz w:val="22"/>
          <w:szCs w:val="22"/>
        </w:rPr>
      </w:pPr>
      <w:r>
        <w:rPr>
          <w:i/>
          <w:sz w:val="22"/>
          <w:szCs w:val="22"/>
        </w:rPr>
        <w:t xml:space="preserve">E. </w:t>
      </w:r>
      <w:r w:rsidR="001212FD" w:rsidRPr="00B25491">
        <w:rPr>
          <w:i/>
          <w:sz w:val="22"/>
          <w:szCs w:val="22"/>
        </w:rPr>
        <w:t xml:space="preserve">Alignment with other </w:t>
      </w:r>
      <w:r w:rsidR="00054853" w:rsidRPr="00B25491">
        <w:rPr>
          <w:i/>
          <w:sz w:val="22"/>
          <w:szCs w:val="22"/>
        </w:rPr>
        <w:t xml:space="preserve">Australian assistance </w:t>
      </w:r>
      <w:r w:rsidR="00054853" w:rsidRPr="00EE4306">
        <w:rPr>
          <w:i/>
          <w:sz w:val="22"/>
          <w:szCs w:val="22"/>
        </w:rPr>
        <w:t xml:space="preserve">in </w:t>
      </w:r>
      <w:r w:rsidR="00054853" w:rsidRPr="00D3566A">
        <w:rPr>
          <w:i/>
          <w:sz w:val="22"/>
          <w:szCs w:val="22"/>
        </w:rPr>
        <w:t>Mindanao</w:t>
      </w:r>
    </w:p>
    <w:p w14:paraId="18337309" w14:textId="77777777" w:rsidR="00B25491" w:rsidRDefault="00B25491" w:rsidP="00D04289">
      <w:pPr>
        <w:tabs>
          <w:tab w:val="left" w:pos="284"/>
        </w:tabs>
        <w:jc w:val="both"/>
        <w:rPr>
          <w:b/>
          <w:i/>
          <w:sz w:val="22"/>
          <w:szCs w:val="22"/>
        </w:rPr>
      </w:pPr>
    </w:p>
    <w:p w14:paraId="2094DC78" w14:textId="1B0596C7" w:rsidR="00A42385" w:rsidRDefault="005F5FA6" w:rsidP="00D04289">
      <w:pPr>
        <w:tabs>
          <w:tab w:val="left" w:pos="284"/>
        </w:tabs>
        <w:jc w:val="both"/>
        <w:rPr>
          <w:sz w:val="22"/>
          <w:szCs w:val="22"/>
        </w:rPr>
      </w:pPr>
      <w:r>
        <w:rPr>
          <w:sz w:val="22"/>
          <w:szCs w:val="22"/>
        </w:rPr>
        <w:t>17</w:t>
      </w:r>
      <w:r w:rsidR="00B25491">
        <w:rPr>
          <w:sz w:val="22"/>
          <w:szCs w:val="22"/>
        </w:rPr>
        <w:t>.</w:t>
      </w:r>
      <w:r w:rsidR="00B25491">
        <w:rPr>
          <w:sz w:val="22"/>
          <w:szCs w:val="22"/>
        </w:rPr>
        <w:tab/>
      </w:r>
      <w:r w:rsidR="001212FD">
        <w:rPr>
          <w:b/>
          <w:i/>
          <w:sz w:val="22"/>
          <w:szCs w:val="22"/>
        </w:rPr>
        <w:t xml:space="preserve"> </w:t>
      </w:r>
      <w:r w:rsidR="00A42385">
        <w:rPr>
          <w:sz w:val="22"/>
          <w:szCs w:val="22"/>
        </w:rPr>
        <w:t>DFAT hosted q</w:t>
      </w:r>
      <w:r w:rsidR="001212FD">
        <w:rPr>
          <w:sz w:val="22"/>
          <w:szCs w:val="22"/>
        </w:rPr>
        <w:t xml:space="preserve">uarterly meetings </w:t>
      </w:r>
      <w:r w:rsidR="008A188E">
        <w:rPr>
          <w:sz w:val="22"/>
          <w:szCs w:val="22"/>
        </w:rPr>
        <w:t xml:space="preserve">in the </w:t>
      </w:r>
      <w:r w:rsidR="00AF7900">
        <w:rPr>
          <w:sz w:val="22"/>
          <w:szCs w:val="22"/>
        </w:rPr>
        <w:t>Embassy</w:t>
      </w:r>
      <w:r w:rsidR="001212FD">
        <w:rPr>
          <w:sz w:val="22"/>
          <w:szCs w:val="22"/>
        </w:rPr>
        <w:t xml:space="preserve"> but </w:t>
      </w:r>
      <w:r w:rsidR="00A42385">
        <w:rPr>
          <w:sz w:val="22"/>
          <w:szCs w:val="22"/>
        </w:rPr>
        <w:t>the review team did not have access to meeting records indicating whether or not BASIC partners were able to share experiences and coordinate efforts adequately, nor how much they were asked to contribute to DFAT’s wider peace support programming through FASTRAC, MTF, OPAPP, CfC and HRODF.</w:t>
      </w:r>
    </w:p>
    <w:p w14:paraId="3451FF60" w14:textId="2139CDDE" w:rsidR="001212FD" w:rsidRDefault="001212FD" w:rsidP="00D04289">
      <w:pPr>
        <w:tabs>
          <w:tab w:val="left" w:pos="284"/>
        </w:tabs>
        <w:jc w:val="both"/>
        <w:rPr>
          <w:sz w:val="22"/>
          <w:szCs w:val="22"/>
        </w:rPr>
      </w:pPr>
    </w:p>
    <w:p w14:paraId="6FC4844A" w14:textId="5AF6F553" w:rsidR="007414FC" w:rsidRDefault="005F5FA6" w:rsidP="00D04289">
      <w:pPr>
        <w:tabs>
          <w:tab w:val="left" w:pos="284"/>
        </w:tabs>
        <w:jc w:val="both"/>
        <w:rPr>
          <w:sz w:val="22"/>
          <w:szCs w:val="22"/>
        </w:rPr>
      </w:pPr>
      <w:r>
        <w:rPr>
          <w:sz w:val="22"/>
          <w:szCs w:val="22"/>
        </w:rPr>
        <w:t>18</w:t>
      </w:r>
      <w:r w:rsidR="00E37961">
        <w:rPr>
          <w:sz w:val="22"/>
          <w:szCs w:val="22"/>
        </w:rPr>
        <w:t xml:space="preserve">.   </w:t>
      </w:r>
      <w:r w:rsidR="009D5962">
        <w:rPr>
          <w:sz w:val="22"/>
          <w:szCs w:val="22"/>
        </w:rPr>
        <w:tab/>
      </w:r>
      <w:r w:rsidR="00FE23F1" w:rsidRPr="007414FC">
        <w:rPr>
          <w:b/>
          <w:sz w:val="22"/>
          <w:szCs w:val="22"/>
        </w:rPr>
        <w:t xml:space="preserve">Wider activities Australia funds to support peace and development in Mindanao remain relevant, but need to be re-configured to </w:t>
      </w:r>
      <w:r w:rsidR="00591782">
        <w:rPr>
          <w:b/>
          <w:sz w:val="22"/>
          <w:szCs w:val="22"/>
        </w:rPr>
        <w:t>deliver the best possible effect.</w:t>
      </w:r>
      <w:r w:rsidR="00E37961">
        <w:rPr>
          <w:sz w:val="22"/>
          <w:szCs w:val="22"/>
        </w:rPr>
        <w:t xml:space="preserve"> </w:t>
      </w:r>
      <w:r w:rsidR="00624C70">
        <w:rPr>
          <w:sz w:val="22"/>
          <w:szCs w:val="22"/>
        </w:rPr>
        <w:t xml:space="preserve">DFAT’s general approach in the face of ongoing </w:t>
      </w:r>
      <w:r w:rsidR="001A3461">
        <w:rPr>
          <w:sz w:val="22"/>
          <w:szCs w:val="22"/>
        </w:rPr>
        <w:t>un</w:t>
      </w:r>
      <w:r w:rsidR="00624C70">
        <w:rPr>
          <w:sz w:val="22"/>
          <w:szCs w:val="22"/>
        </w:rPr>
        <w:t>certainty should be to</w:t>
      </w:r>
      <w:r w:rsidR="00E046B7">
        <w:rPr>
          <w:sz w:val="22"/>
          <w:szCs w:val="22"/>
        </w:rPr>
        <w:t xml:space="preserve"> support effective existing me</w:t>
      </w:r>
      <w:r w:rsidR="00591782">
        <w:rPr>
          <w:sz w:val="22"/>
          <w:szCs w:val="22"/>
        </w:rPr>
        <w:t>c</w:t>
      </w:r>
      <w:r w:rsidR="00E046B7">
        <w:rPr>
          <w:sz w:val="22"/>
          <w:szCs w:val="22"/>
        </w:rPr>
        <w:t>hanisms</w:t>
      </w:r>
      <w:r w:rsidR="00624C70">
        <w:rPr>
          <w:sz w:val="22"/>
          <w:szCs w:val="22"/>
        </w:rPr>
        <w:t xml:space="preserve">, while being flexible in advocating for improvements to better align </w:t>
      </w:r>
      <w:r w:rsidR="00E046B7">
        <w:rPr>
          <w:sz w:val="22"/>
          <w:szCs w:val="22"/>
        </w:rPr>
        <w:t xml:space="preserve">them </w:t>
      </w:r>
      <w:r w:rsidR="00624C70">
        <w:rPr>
          <w:sz w:val="22"/>
          <w:szCs w:val="22"/>
        </w:rPr>
        <w:t xml:space="preserve">with the changing context.  </w:t>
      </w:r>
      <w:r w:rsidR="003F47CA">
        <w:rPr>
          <w:sz w:val="22"/>
          <w:szCs w:val="22"/>
        </w:rPr>
        <w:t>In line with the GPH’s expected ‘convergence’ agenda t</w:t>
      </w:r>
      <w:r w:rsidR="00E37961">
        <w:rPr>
          <w:sz w:val="22"/>
          <w:szCs w:val="22"/>
        </w:rPr>
        <w:t>he Facility for Advisory Support for Transition Capacities (</w:t>
      </w:r>
      <w:r w:rsidR="00FE23F1">
        <w:rPr>
          <w:sz w:val="22"/>
          <w:szCs w:val="22"/>
        </w:rPr>
        <w:t>FASTRAC</w:t>
      </w:r>
      <w:r w:rsidR="00E37961">
        <w:rPr>
          <w:sz w:val="22"/>
          <w:szCs w:val="22"/>
        </w:rPr>
        <w:t xml:space="preserve">) </w:t>
      </w:r>
      <w:r w:rsidR="00FE23F1">
        <w:rPr>
          <w:sz w:val="22"/>
          <w:szCs w:val="22"/>
        </w:rPr>
        <w:t xml:space="preserve">needs to expand its technical assistance </w:t>
      </w:r>
      <w:r w:rsidR="00907B31">
        <w:rPr>
          <w:sz w:val="22"/>
          <w:szCs w:val="22"/>
        </w:rPr>
        <w:t>beyond the MILF</w:t>
      </w:r>
      <w:r w:rsidR="00E37961">
        <w:rPr>
          <w:sz w:val="22"/>
          <w:szCs w:val="22"/>
        </w:rPr>
        <w:t xml:space="preserve"> </w:t>
      </w:r>
      <w:r w:rsidR="00FE23F1">
        <w:rPr>
          <w:sz w:val="22"/>
          <w:szCs w:val="22"/>
        </w:rPr>
        <w:t xml:space="preserve">to </w:t>
      </w:r>
      <w:r w:rsidR="00E37961">
        <w:rPr>
          <w:sz w:val="22"/>
          <w:szCs w:val="22"/>
        </w:rPr>
        <w:t>cover technical requirements</w:t>
      </w:r>
      <w:r w:rsidR="00FE23F1">
        <w:rPr>
          <w:sz w:val="22"/>
          <w:szCs w:val="22"/>
        </w:rPr>
        <w:t xml:space="preserve"> of wider groups</w:t>
      </w:r>
      <w:r w:rsidR="00E37961">
        <w:rPr>
          <w:sz w:val="22"/>
          <w:szCs w:val="22"/>
        </w:rPr>
        <w:t xml:space="preserve"> (such as the MNLF, IPs and women). </w:t>
      </w:r>
      <w:r w:rsidR="00FE23F1">
        <w:rPr>
          <w:sz w:val="22"/>
          <w:szCs w:val="22"/>
        </w:rPr>
        <w:t xml:space="preserve">The </w:t>
      </w:r>
      <w:r w:rsidR="00E37961">
        <w:rPr>
          <w:sz w:val="22"/>
          <w:szCs w:val="22"/>
        </w:rPr>
        <w:t>Mindanao Trust Fund (</w:t>
      </w:r>
      <w:r w:rsidR="00FE23F1">
        <w:rPr>
          <w:sz w:val="22"/>
          <w:szCs w:val="22"/>
        </w:rPr>
        <w:t>MTF</w:t>
      </w:r>
      <w:r w:rsidR="00E37961">
        <w:rPr>
          <w:sz w:val="22"/>
          <w:szCs w:val="22"/>
        </w:rPr>
        <w:t>)</w:t>
      </w:r>
      <w:r w:rsidR="00FE23F1">
        <w:rPr>
          <w:sz w:val="22"/>
          <w:szCs w:val="22"/>
        </w:rPr>
        <w:t xml:space="preserve"> needs to retain its technical expertise and relationships of trust i</w:t>
      </w:r>
      <w:r w:rsidR="00907B31">
        <w:rPr>
          <w:sz w:val="22"/>
          <w:szCs w:val="22"/>
        </w:rPr>
        <w:t xml:space="preserve">t has built up in target MILF camps and </w:t>
      </w:r>
      <w:r w:rsidR="00FE23F1">
        <w:rPr>
          <w:sz w:val="22"/>
          <w:szCs w:val="22"/>
        </w:rPr>
        <w:t xml:space="preserve">communities, but potentially adjust to a new management structure in line with GPH policy.  </w:t>
      </w:r>
      <w:r w:rsidR="003F47CA">
        <w:rPr>
          <w:sz w:val="22"/>
          <w:szCs w:val="22"/>
        </w:rPr>
        <w:t>The MTF or any new multi-donor mechanism must</w:t>
      </w:r>
      <w:r w:rsidR="00E37961">
        <w:rPr>
          <w:sz w:val="22"/>
          <w:szCs w:val="22"/>
        </w:rPr>
        <w:t xml:space="preserve"> provide leadership in the smooth transition of assistance from confidence-building activities, which has been the </w:t>
      </w:r>
      <w:r w:rsidR="00A42385">
        <w:rPr>
          <w:sz w:val="22"/>
          <w:szCs w:val="22"/>
        </w:rPr>
        <w:t>basis</w:t>
      </w:r>
      <w:r w:rsidR="00E37961">
        <w:rPr>
          <w:sz w:val="22"/>
          <w:szCs w:val="22"/>
        </w:rPr>
        <w:t xml:space="preserve"> of </w:t>
      </w:r>
      <w:r w:rsidR="003F47CA">
        <w:rPr>
          <w:sz w:val="22"/>
          <w:szCs w:val="22"/>
        </w:rPr>
        <w:t xml:space="preserve">GPH </w:t>
      </w:r>
      <w:r w:rsidR="00E37961">
        <w:rPr>
          <w:sz w:val="22"/>
          <w:szCs w:val="22"/>
        </w:rPr>
        <w:t xml:space="preserve">and donor interventions for almost two decades, </w:t>
      </w:r>
      <w:r w:rsidR="006802FB">
        <w:rPr>
          <w:sz w:val="22"/>
          <w:szCs w:val="22"/>
        </w:rPr>
        <w:t xml:space="preserve">to more sustainable livelihood activities </w:t>
      </w:r>
      <w:r w:rsidR="00B5017F">
        <w:rPr>
          <w:sz w:val="22"/>
          <w:szCs w:val="22"/>
        </w:rPr>
        <w:t>for</w:t>
      </w:r>
      <w:r w:rsidR="007414FC">
        <w:rPr>
          <w:sz w:val="22"/>
          <w:szCs w:val="22"/>
        </w:rPr>
        <w:t xml:space="preserve"> </w:t>
      </w:r>
      <w:r w:rsidR="006802FB">
        <w:rPr>
          <w:sz w:val="22"/>
          <w:szCs w:val="22"/>
        </w:rPr>
        <w:t>confl</w:t>
      </w:r>
      <w:r w:rsidR="00907B31">
        <w:rPr>
          <w:sz w:val="22"/>
          <w:szCs w:val="22"/>
        </w:rPr>
        <w:t xml:space="preserve">ict-affected communities. </w:t>
      </w:r>
      <w:r w:rsidR="00FE23F1">
        <w:rPr>
          <w:sz w:val="22"/>
          <w:szCs w:val="22"/>
        </w:rPr>
        <w:t>TAF’s C</w:t>
      </w:r>
      <w:r w:rsidR="00907B31">
        <w:rPr>
          <w:sz w:val="22"/>
          <w:szCs w:val="22"/>
        </w:rPr>
        <w:t>fC</w:t>
      </w:r>
      <w:r w:rsidR="00FE23F1">
        <w:rPr>
          <w:sz w:val="22"/>
          <w:szCs w:val="22"/>
        </w:rPr>
        <w:t xml:space="preserve"> conducted </w:t>
      </w:r>
      <w:r w:rsidR="00F00879" w:rsidRPr="009C013C">
        <w:rPr>
          <w:sz w:val="22"/>
          <w:szCs w:val="22"/>
        </w:rPr>
        <w:t>n</w:t>
      </w:r>
      <w:r w:rsidR="00B5017F">
        <w:rPr>
          <w:sz w:val="22"/>
          <w:szCs w:val="22"/>
        </w:rPr>
        <w:t xml:space="preserve">ational-level </w:t>
      </w:r>
      <w:r w:rsidR="00FE23F1">
        <w:rPr>
          <w:sz w:val="22"/>
          <w:szCs w:val="22"/>
        </w:rPr>
        <w:t xml:space="preserve">advocacy on the passage of the BBL, but should be reviewed to </w:t>
      </w:r>
      <w:r w:rsidR="00B5017F">
        <w:rPr>
          <w:sz w:val="22"/>
          <w:szCs w:val="22"/>
        </w:rPr>
        <w:t>better</w:t>
      </w:r>
      <w:r w:rsidR="007414FC">
        <w:rPr>
          <w:sz w:val="22"/>
          <w:szCs w:val="22"/>
        </w:rPr>
        <w:t xml:space="preserve"> complement with BASIC partners should the draft “Enabling Law”</w:t>
      </w:r>
      <w:r w:rsidR="00B5017F">
        <w:rPr>
          <w:sz w:val="22"/>
          <w:szCs w:val="22"/>
        </w:rPr>
        <w:t xml:space="preserve"> be</w:t>
      </w:r>
      <w:r w:rsidR="007414FC">
        <w:rPr>
          <w:sz w:val="22"/>
          <w:szCs w:val="22"/>
        </w:rPr>
        <w:t xml:space="preserve"> completed and filed in Congress for approval.</w:t>
      </w:r>
      <w:r w:rsidR="00FE23F1">
        <w:rPr>
          <w:sz w:val="22"/>
          <w:szCs w:val="22"/>
        </w:rPr>
        <w:t xml:space="preserve"> </w:t>
      </w:r>
      <w:r w:rsidR="00584D1B">
        <w:rPr>
          <w:sz w:val="22"/>
          <w:szCs w:val="22"/>
        </w:rPr>
        <w:t>The bulk of technical assistance to OPAPP was unspent, requiring a different approach to any future engagement.</w:t>
      </w:r>
      <w:r w:rsidR="007414FC">
        <w:rPr>
          <w:sz w:val="22"/>
          <w:szCs w:val="22"/>
        </w:rPr>
        <w:t xml:space="preserve"> The Philippine Human Resource and Organizational Development Fund (HRODF) have produced highly trained Bangsamoro scholars but only a few of them are directly working in conflict affected areas or</w:t>
      </w:r>
      <w:r w:rsidR="00CE1C5C">
        <w:rPr>
          <w:sz w:val="22"/>
          <w:szCs w:val="22"/>
        </w:rPr>
        <w:t xml:space="preserve"> on</w:t>
      </w:r>
      <w:r w:rsidR="007414FC">
        <w:rPr>
          <w:sz w:val="22"/>
          <w:szCs w:val="22"/>
        </w:rPr>
        <w:t xml:space="preserve"> the peace process</w:t>
      </w:r>
      <w:r w:rsidR="00BE17AB">
        <w:rPr>
          <w:sz w:val="22"/>
          <w:szCs w:val="22"/>
        </w:rPr>
        <w:t>.</w:t>
      </w:r>
    </w:p>
    <w:p w14:paraId="6113F5E1" w14:textId="77777777" w:rsidR="007414FC" w:rsidRDefault="007414FC" w:rsidP="00D04289">
      <w:pPr>
        <w:tabs>
          <w:tab w:val="left" w:pos="284"/>
        </w:tabs>
        <w:jc w:val="both"/>
        <w:rPr>
          <w:sz w:val="22"/>
          <w:szCs w:val="22"/>
        </w:rPr>
      </w:pPr>
    </w:p>
    <w:p w14:paraId="55CCA143" w14:textId="3519FC1A" w:rsidR="007414FC" w:rsidRDefault="007414FC" w:rsidP="00D04289">
      <w:pPr>
        <w:tabs>
          <w:tab w:val="left" w:pos="284"/>
        </w:tabs>
        <w:jc w:val="both"/>
        <w:rPr>
          <w:b/>
          <w:i/>
          <w:sz w:val="22"/>
          <w:szCs w:val="22"/>
          <w:u w:val="single"/>
        </w:rPr>
      </w:pPr>
      <w:r>
        <w:rPr>
          <w:b/>
          <w:i/>
          <w:sz w:val="22"/>
          <w:szCs w:val="22"/>
          <w:u w:val="single"/>
        </w:rPr>
        <w:t xml:space="preserve">On </w:t>
      </w:r>
      <w:r w:rsidR="005A6C69">
        <w:rPr>
          <w:b/>
          <w:i/>
          <w:sz w:val="22"/>
          <w:szCs w:val="22"/>
          <w:u w:val="single"/>
        </w:rPr>
        <w:t>R</w:t>
      </w:r>
      <w:r>
        <w:rPr>
          <w:b/>
          <w:i/>
          <w:sz w:val="22"/>
          <w:szCs w:val="22"/>
          <w:u w:val="single"/>
        </w:rPr>
        <w:t>elevance</w:t>
      </w:r>
    </w:p>
    <w:p w14:paraId="69FFF9A5" w14:textId="77777777" w:rsidR="007414FC" w:rsidRDefault="007414FC" w:rsidP="00D04289">
      <w:pPr>
        <w:tabs>
          <w:tab w:val="left" w:pos="284"/>
        </w:tabs>
        <w:jc w:val="both"/>
        <w:rPr>
          <w:b/>
          <w:i/>
          <w:sz w:val="22"/>
          <w:szCs w:val="22"/>
          <w:u w:val="single"/>
        </w:rPr>
      </w:pPr>
    </w:p>
    <w:p w14:paraId="6EC8AF19" w14:textId="77777777" w:rsidR="00B25491" w:rsidRPr="00B25491" w:rsidRDefault="00AC7AF3" w:rsidP="00D04289">
      <w:pPr>
        <w:tabs>
          <w:tab w:val="left" w:pos="284"/>
        </w:tabs>
        <w:jc w:val="both"/>
        <w:rPr>
          <w:i/>
          <w:sz w:val="22"/>
          <w:szCs w:val="22"/>
        </w:rPr>
      </w:pPr>
      <w:r w:rsidRPr="00B25491">
        <w:rPr>
          <w:i/>
          <w:sz w:val="22"/>
          <w:szCs w:val="22"/>
        </w:rPr>
        <w:t>Adjustments in response to change</w:t>
      </w:r>
      <w:r w:rsidR="00907B31" w:rsidRPr="00B25491">
        <w:rPr>
          <w:i/>
          <w:sz w:val="22"/>
          <w:szCs w:val="22"/>
        </w:rPr>
        <w:t>d</w:t>
      </w:r>
      <w:r w:rsidRPr="00B25491">
        <w:rPr>
          <w:i/>
          <w:sz w:val="22"/>
          <w:szCs w:val="22"/>
        </w:rPr>
        <w:t xml:space="preserve"> environment and </w:t>
      </w:r>
      <w:r w:rsidR="00B25491" w:rsidRPr="00B25491">
        <w:rPr>
          <w:i/>
          <w:sz w:val="22"/>
          <w:szCs w:val="22"/>
        </w:rPr>
        <w:t>relevance of programs/partners</w:t>
      </w:r>
    </w:p>
    <w:p w14:paraId="235CAAD5" w14:textId="77777777" w:rsidR="00B25491" w:rsidRDefault="00B25491" w:rsidP="00D04289">
      <w:pPr>
        <w:tabs>
          <w:tab w:val="left" w:pos="284"/>
        </w:tabs>
        <w:jc w:val="both"/>
        <w:rPr>
          <w:b/>
          <w:i/>
          <w:sz w:val="22"/>
          <w:szCs w:val="22"/>
        </w:rPr>
      </w:pPr>
    </w:p>
    <w:p w14:paraId="48C75536" w14:textId="69FA63D2" w:rsidR="009C43AA" w:rsidRDefault="005F5FA6" w:rsidP="00D04289">
      <w:pPr>
        <w:tabs>
          <w:tab w:val="left" w:pos="284"/>
        </w:tabs>
        <w:jc w:val="both"/>
        <w:rPr>
          <w:sz w:val="22"/>
          <w:szCs w:val="22"/>
        </w:rPr>
      </w:pPr>
      <w:r>
        <w:rPr>
          <w:sz w:val="22"/>
          <w:szCs w:val="22"/>
        </w:rPr>
        <w:lastRenderedPageBreak/>
        <w:t>19</w:t>
      </w:r>
      <w:r w:rsidR="00B25491">
        <w:rPr>
          <w:sz w:val="22"/>
          <w:szCs w:val="22"/>
        </w:rPr>
        <w:t>.</w:t>
      </w:r>
      <w:r w:rsidR="00AC7AF3">
        <w:rPr>
          <w:b/>
          <w:i/>
          <w:sz w:val="22"/>
          <w:szCs w:val="22"/>
        </w:rPr>
        <w:t xml:space="preserve">  </w:t>
      </w:r>
      <w:r w:rsidR="00AC7AF3">
        <w:rPr>
          <w:sz w:val="22"/>
          <w:szCs w:val="22"/>
        </w:rPr>
        <w:t xml:space="preserve">  </w:t>
      </w:r>
      <w:r w:rsidR="00B25491">
        <w:rPr>
          <w:sz w:val="22"/>
          <w:szCs w:val="22"/>
        </w:rPr>
        <w:tab/>
      </w:r>
      <w:r w:rsidR="009C43AA" w:rsidRPr="00A42385">
        <w:rPr>
          <w:b/>
          <w:sz w:val="22"/>
          <w:szCs w:val="22"/>
        </w:rPr>
        <w:t>BASIC partners</w:t>
      </w:r>
      <w:r w:rsidR="00A42385" w:rsidRPr="00A42385">
        <w:rPr>
          <w:b/>
          <w:sz w:val="22"/>
          <w:szCs w:val="22"/>
        </w:rPr>
        <w:t xml:space="preserve"> made adjustments, but some were in</w:t>
      </w:r>
      <w:r w:rsidR="00AC7AF3" w:rsidRPr="00A42385">
        <w:rPr>
          <w:b/>
          <w:sz w:val="22"/>
          <w:szCs w:val="22"/>
        </w:rPr>
        <w:t xml:space="preserve">adequate </w:t>
      </w:r>
      <w:r w:rsidR="00A42385" w:rsidRPr="00A42385">
        <w:rPr>
          <w:b/>
          <w:sz w:val="22"/>
          <w:szCs w:val="22"/>
        </w:rPr>
        <w:t xml:space="preserve">due to </w:t>
      </w:r>
      <w:r w:rsidR="004F1639">
        <w:rPr>
          <w:b/>
          <w:sz w:val="22"/>
          <w:szCs w:val="22"/>
        </w:rPr>
        <w:t xml:space="preserve">the </w:t>
      </w:r>
      <w:r w:rsidR="00A42385" w:rsidRPr="00A42385">
        <w:rPr>
          <w:b/>
          <w:sz w:val="22"/>
          <w:szCs w:val="22"/>
        </w:rPr>
        <w:t>constraints of their objectives.</w:t>
      </w:r>
      <w:r w:rsidR="00A42385">
        <w:rPr>
          <w:sz w:val="22"/>
          <w:szCs w:val="22"/>
        </w:rPr>
        <w:t xml:space="preserve">  </w:t>
      </w:r>
      <w:r w:rsidR="00AC7AF3">
        <w:rPr>
          <w:sz w:val="22"/>
          <w:szCs w:val="22"/>
        </w:rPr>
        <w:t>IAG’s efforts in ensuring participation of LGU officials in the peace process and in clarifying the role of LGUs within an enhanced autonomous region are no longer relevant gi</w:t>
      </w:r>
      <w:r w:rsidR="00A42385">
        <w:rPr>
          <w:sz w:val="22"/>
          <w:szCs w:val="22"/>
        </w:rPr>
        <w:t>ven the non-passage of the BBL and won’t be until the</w:t>
      </w:r>
      <w:r w:rsidR="00AC7AF3">
        <w:rPr>
          <w:sz w:val="22"/>
          <w:szCs w:val="22"/>
        </w:rPr>
        <w:t xml:space="preserve"> completion of t</w:t>
      </w:r>
      <w:r w:rsidR="00A42385">
        <w:rPr>
          <w:sz w:val="22"/>
          <w:szCs w:val="22"/>
        </w:rPr>
        <w:t xml:space="preserve">he “Enabling Law”.  </w:t>
      </w:r>
      <w:r w:rsidR="00AC7AF3">
        <w:rPr>
          <w:sz w:val="22"/>
          <w:szCs w:val="22"/>
        </w:rPr>
        <w:t>IA’s shift toward s</w:t>
      </w:r>
      <w:r w:rsidR="00A42385">
        <w:rPr>
          <w:sz w:val="22"/>
          <w:szCs w:val="22"/>
        </w:rPr>
        <w:t xml:space="preserve">upporting the “Enabling Law” </w:t>
      </w:r>
      <w:r w:rsidR="009C43AA">
        <w:rPr>
          <w:sz w:val="22"/>
          <w:szCs w:val="22"/>
        </w:rPr>
        <w:t xml:space="preserve">will have to wait until the re-organized BTC is established.  </w:t>
      </w:r>
      <w:r w:rsidR="00F85E8D">
        <w:rPr>
          <w:sz w:val="22"/>
          <w:szCs w:val="22"/>
        </w:rPr>
        <w:t xml:space="preserve">IA’s objectives on gun control and </w:t>
      </w:r>
      <w:r w:rsidR="009C43AA">
        <w:rPr>
          <w:sz w:val="22"/>
          <w:szCs w:val="22"/>
        </w:rPr>
        <w:t>cross-border issue projects are beyond</w:t>
      </w:r>
      <w:r w:rsidR="00907B31">
        <w:rPr>
          <w:sz w:val="22"/>
          <w:szCs w:val="22"/>
        </w:rPr>
        <w:t xml:space="preserve"> </w:t>
      </w:r>
      <w:r w:rsidR="00F85E8D">
        <w:rPr>
          <w:sz w:val="22"/>
          <w:szCs w:val="22"/>
        </w:rPr>
        <w:t xml:space="preserve">its </w:t>
      </w:r>
      <w:r w:rsidR="00907B31">
        <w:rPr>
          <w:sz w:val="22"/>
          <w:szCs w:val="22"/>
        </w:rPr>
        <w:t xml:space="preserve">capacity to </w:t>
      </w:r>
      <w:r w:rsidR="003931FF">
        <w:rPr>
          <w:sz w:val="22"/>
          <w:szCs w:val="22"/>
        </w:rPr>
        <w:t xml:space="preserve">achieve </w:t>
      </w:r>
      <w:r w:rsidR="00F85E8D">
        <w:rPr>
          <w:sz w:val="22"/>
          <w:szCs w:val="22"/>
        </w:rPr>
        <w:t>from outside government</w:t>
      </w:r>
      <w:r w:rsidR="009C43AA">
        <w:rPr>
          <w:sz w:val="22"/>
          <w:szCs w:val="22"/>
        </w:rPr>
        <w:t xml:space="preserve">. </w:t>
      </w:r>
      <w:r w:rsidR="00C228AB">
        <w:rPr>
          <w:sz w:val="22"/>
          <w:szCs w:val="22"/>
        </w:rPr>
        <w:t xml:space="preserve">   </w:t>
      </w:r>
      <w:r w:rsidR="003E3934">
        <w:rPr>
          <w:sz w:val="22"/>
          <w:szCs w:val="22"/>
        </w:rPr>
        <w:t xml:space="preserve">.  </w:t>
      </w:r>
      <w:r w:rsidR="009D380B">
        <w:rPr>
          <w:sz w:val="22"/>
          <w:szCs w:val="22"/>
        </w:rPr>
        <w:t>I</w:t>
      </w:r>
      <w:r w:rsidR="00F85E8D">
        <w:rPr>
          <w:sz w:val="22"/>
          <w:szCs w:val="22"/>
        </w:rPr>
        <w:t>A’s</w:t>
      </w:r>
      <w:r w:rsidR="009D380B">
        <w:rPr>
          <w:sz w:val="22"/>
          <w:szCs w:val="22"/>
        </w:rPr>
        <w:t xml:space="preserve"> work on horizontal conflict generated by “shadow economies”</w:t>
      </w:r>
      <w:r w:rsidR="007532B8">
        <w:rPr>
          <w:sz w:val="22"/>
          <w:szCs w:val="22"/>
        </w:rPr>
        <w:t>,</w:t>
      </w:r>
      <w:r w:rsidR="009D380B">
        <w:rPr>
          <w:sz w:val="22"/>
          <w:szCs w:val="22"/>
        </w:rPr>
        <w:t xml:space="preserve"> complemented by the results of its conflict monitoring system, exhibit</w:t>
      </w:r>
      <w:r w:rsidR="007532B8">
        <w:rPr>
          <w:sz w:val="22"/>
          <w:szCs w:val="22"/>
        </w:rPr>
        <w:t>s</w:t>
      </w:r>
      <w:r w:rsidR="009D380B">
        <w:rPr>
          <w:sz w:val="22"/>
          <w:szCs w:val="22"/>
        </w:rPr>
        <w:t xml:space="preserve"> strong potential for future programming work for the government and development partners in conflict areas. </w:t>
      </w:r>
      <w:r w:rsidR="009C43AA">
        <w:rPr>
          <w:sz w:val="22"/>
          <w:szCs w:val="22"/>
        </w:rPr>
        <w:t xml:space="preserve"> </w:t>
      </w:r>
      <w:r w:rsidR="00AC7AF3">
        <w:rPr>
          <w:sz w:val="22"/>
          <w:szCs w:val="22"/>
        </w:rPr>
        <w:t xml:space="preserve"> </w:t>
      </w:r>
    </w:p>
    <w:p w14:paraId="490D09CB" w14:textId="77777777" w:rsidR="009C43AA" w:rsidRDefault="009C43AA" w:rsidP="00D04289">
      <w:pPr>
        <w:tabs>
          <w:tab w:val="left" w:pos="284"/>
        </w:tabs>
        <w:jc w:val="both"/>
        <w:rPr>
          <w:sz w:val="22"/>
          <w:szCs w:val="22"/>
        </w:rPr>
      </w:pPr>
    </w:p>
    <w:p w14:paraId="22518523" w14:textId="41401F4E" w:rsidR="00DD7BE1" w:rsidRDefault="005F5FA6" w:rsidP="00D04289">
      <w:pPr>
        <w:tabs>
          <w:tab w:val="left" w:pos="284"/>
        </w:tabs>
        <w:jc w:val="both"/>
        <w:rPr>
          <w:sz w:val="22"/>
          <w:szCs w:val="22"/>
        </w:rPr>
      </w:pPr>
      <w:r>
        <w:rPr>
          <w:sz w:val="22"/>
          <w:szCs w:val="22"/>
        </w:rPr>
        <w:t>20</w:t>
      </w:r>
      <w:r w:rsidR="00E905C1">
        <w:rPr>
          <w:sz w:val="22"/>
          <w:szCs w:val="22"/>
        </w:rPr>
        <w:t xml:space="preserve">.  </w:t>
      </w:r>
      <w:r w:rsidR="00E905C1">
        <w:rPr>
          <w:sz w:val="22"/>
          <w:szCs w:val="22"/>
        </w:rPr>
        <w:tab/>
      </w:r>
      <w:r w:rsidR="00E905C1" w:rsidRPr="00121603">
        <w:rPr>
          <w:sz w:val="22"/>
          <w:szCs w:val="22"/>
        </w:rPr>
        <w:t>Oxfam and WE</w:t>
      </w:r>
      <w:r w:rsidR="009C43AA" w:rsidRPr="00121603">
        <w:rPr>
          <w:sz w:val="22"/>
          <w:szCs w:val="22"/>
        </w:rPr>
        <w:t>Act1</w:t>
      </w:r>
      <w:r w:rsidR="00E905C1" w:rsidRPr="00121603">
        <w:rPr>
          <w:sz w:val="22"/>
          <w:szCs w:val="22"/>
        </w:rPr>
        <w:t>3</w:t>
      </w:r>
      <w:r w:rsidR="009C43AA" w:rsidRPr="00121603">
        <w:rPr>
          <w:sz w:val="22"/>
          <w:szCs w:val="22"/>
        </w:rPr>
        <w:t xml:space="preserve">25 did not make any </w:t>
      </w:r>
      <w:r w:rsidR="003931FF" w:rsidRPr="00121603">
        <w:rPr>
          <w:sz w:val="22"/>
          <w:szCs w:val="22"/>
        </w:rPr>
        <w:t xml:space="preserve">significant </w:t>
      </w:r>
      <w:r w:rsidR="009C43AA" w:rsidRPr="00121603">
        <w:rPr>
          <w:sz w:val="22"/>
          <w:szCs w:val="22"/>
        </w:rPr>
        <w:t xml:space="preserve">adjustments arguing that the cross-cutting nature of gender as a development and peace concern </w:t>
      </w:r>
      <w:r w:rsidR="00226DA2" w:rsidRPr="00121603">
        <w:rPr>
          <w:sz w:val="22"/>
          <w:szCs w:val="22"/>
        </w:rPr>
        <w:t>sustain</w:t>
      </w:r>
      <w:r w:rsidR="003931FF" w:rsidRPr="00B9531C">
        <w:rPr>
          <w:sz w:val="22"/>
          <w:szCs w:val="22"/>
        </w:rPr>
        <w:t>ed</w:t>
      </w:r>
      <w:r w:rsidR="00226DA2" w:rsidRPr="00342B97">
        <w:rPr>
          <w:sz w:val="22"/>
          <w:szCs w:val="22"/>
        </w:rPr>
        <w:t xml:space="preserve"> </w:t>
      </w:r>
      <w:r w:rsidR="003931FF" w:rsidRPr="00CA10C5">
        <w:rPr>
          <w:sz w:val="22"/>
          <w:szCs w:val="22"/>
        </w:rPr>
        <w:t>program</w:t>
      </w:r>
      <w:r w:rsidR="00226DA2" w:rsidRPr="00DD7BE1">
        <w:rPr>
          <w:sz w:val="22"/>
          <w:szCs w:val="22"/>
        </w:rPr>
        <w:t xml:space="preserve"> relevance</w:t>
      </w:r>
      <w:r w:rsidR="009C43AA" w:rsidRPr="00DD7BE1">
        <w:rPr>
          <w:sz w:val="22"/>
          <w:szCs w:val="22"/>
        </w:rPr>
        <w:t xml:space="preserve">.  </w:t>
      </w:r>
      <w:r w:rsidR="00AC7AF3" w:rsidRPr="00DD7BE1">
        <w:rPr>
          <w:sz w:val="22"/>
          <w:szCs w:val="22"/>
        </w:rPr>
        <w:t xml:space="preserve"> </w:t>
      </w:r>
      <w:r w:rsidR="00F46543">
        <w:rPr>
          <w:sz w:val="22"/>
          <w:szCs w:val="22"/>
        </w:rPr>
        <w:t>This is correct, h</w:t>
      </w:r>
      <w:r w:rsidR="00F46543" w:rsidRPr="00DD7BE1">
        <w:rPr>
          <w:sz w:val="22"/>
          <w:szCs w:val="22"/>
        </w:rPr>
        <w:t>owever</w:t>
      </w:r>
      <w:r w:rsidR="009C43AA" w:rsidRPr="00DD7BE1">
        <w:rPr>
          <w:sz w:val="22"/>
          <w:szCs w:val="22"/>
        </w:rPr>
        <w:t xml:space="preserve"> </w:t>
      </w:r>
      <w:r w:rsidR="003931FF" w:rsidRPr="00DD7BE1">
        <w:rPr>
          <w:sz w:val="22"/>
          <w:szCs w:val="22"/>
        </w:rPr>
        <w:t xml:space="preserve">Oxfam </w:t>
      </w:r>
      <w:r w:rsidR="005C2DFA">
        <w:rPr>
          <w:sz w:val="22"/>
          <w:szCs w:val="22"/>
        </w:rPr>
        <w:t xml:space="preserve">(and IAG) </w:t>
      </w:r>
      <w:r w:rsidR="009C43AA" w:rsidRPr="00DD7BE1">
        <w:rPr>
          <w:sz w:val="22"/>
          <w:szCs w:val="22"/>
        </w:rPr>
        <w:t xml:space="preserve">could </w:t>
      </w:r>
      <w:r w:rsidR="00F46543">
        <w:rPr>
          <w:sz w:val="22"/>
          <w:szCs w:val="22"/>
        </w:rPr>
        <w:t xml:space="preserve">also </w:t>
      </w:r>
      <w:r w:rsidR="009C43AA" w:rsidRPr="00DD7BE1">
        <w:rPr>
          <w:sz w:val="22"/>
          <w:szCs w:val="22"/>
        </w:rPr>
        <w:t xml:space="preserve">have provided proposals on how to strategically position </w:t>
      </w:r>
      <w:r w:rsidR="009D380B" w:rsidRPr="00DD7BE1">
        <w:rPr>
          <w:sz w:val="22"/>
          <w:szCs w:val="22"/>
        </w:rPr>
        <w:t>the</w:t>
      </w:r>
      <w:r w:rsidR="003931FF" w:rsidRPr="00DD7BE1">
        <w:rPr>
          <w:sz w:val="22"/>
          <w:szCs w:val="22"/>
        </w:rPr>
        <w:t>ir</w:t>
      </w:r>
      <w:r w:rsidR="009D380B" w:rsidRPr="00DD7BE1">
        <w:rPr>
          <w:sz w:val="22"/>
          <w:szCs w:val="22"/>
        </w:rPr>
        <w:t xml:space="preserve"> </w:t>
      </w:r>
      <w:r w:rsidR="009C43AA" w:rsidRPr="00DD7BE1">
        <w:rPr>
          <w:sz w:val="22"/>
          <w:szCs w:val="22"/>
        </w:rPr>
        <w:t xml:space="preserve">gender </w:t>
      </w:r>
      <w:r w:rsidR="003931FF" w:rsidRPr="00DD7BE1">
        <w:rPr>
          <w:sz w:val="22"/>
          <w:szCs w:val="22"/>
        </w:rPr>
        <w:t>programming</w:t>
      </w:r>
      <w:r w:rsidR="009D380B" w:rsidRPr="00DD7BE1">
        <w:rPr>
          <w:sz w:val="22"/>
          <w:szCs w:val="22"/>
        </w:rPr>
        <w:t xml:space="preserve"> </w:t>
      </w:r>
      <w:r w:rsidR="005C2DFA">
        <w:rPr>
          <w:sz w:val="22"/>
          <w:szCs w:val="22"/>
        </w:rPr>
        <w:t>to target</w:t>
      </w:r>
      <w:r w:rsidR="003931FF" w:rsidRPr="00DD7BE1">
        <w:rPr>
          <w:sz w:val="22"/>
          <w:szCs w:val="22"/>
        </w:rPr>
        <w:t xml:space="preserve"> </w:t>
      </w:r>
      <w:r w:rsidR="00F46543">
        <w:rPr>
          <w:sz w:val="22"/>
          <w:szCs w:val="22"/>
        </w:rPr>
        <w:t xml:space="preserve">additional </w:t>
      </w:r>
      <w:r w:rsidR="003931FF" w:rsidRPr="00DD7BE1">
        <w:rPr>
          <w:sz w:val="22"/>
          <w:szCs w:val="22"/>
        </w:rPr>
        <w:t>stakeholders or</w:t>
      </w:r>
      <w:r w:rsidR="009D380B" w:rsidRPr="00DD7BE1">
        <w:rPr>
          <w:sz w:val="22"/>
          <w:szCs w:val="22"/>
        </w:rPr>
        <w:t xml:space="preserve"> institutions to effectively </w:t>
      </w:r>
      <w:r w:rsidR="00BF053D">
        <w:rPr>
          <w:sz w:val="22"/>
          <w:szCs w:val="22"/>
        </w:rPr>
        <w:t>advocate</w:t>
      </w:r>
      <w:r w:rsidR="00BF053D" w:rsidRPr="00DD7BE1">
        <w:rPr>
          <w:sz w:val="22"/>
          <w:szCs w:val="22"/>
        </w:rPr>
        <w:t xml:space="preserve"> </w:t>
      </w:r>
      <w:r w:rsidR="003931FF" w:rsidRPr="00DD7BE1">
        <w:rPr>
          <w:sz w:val="22"/>
          <w:szCs w:val="22"/>
        </w:rPr>
        <w:t>for gender equality</w:t>
      </w:r>
      <w:r w:rsidR="00121603" w:rsidRPr="00121603">
        <w:rPr>
          <w:sz w:val="22"/>
          <w:szCs w:val="22"/>
        </w:rPr>
        <w:t xml:space="preserve"> </w:t>
      </w:r>
      <w:r w:rsidR="00F46543">
        <w:rPr>
          <w:sz w:val="22"/>
          <w:szCs w:val="22"/>
        </w:rPr>
        <w:t>at all levels of government</w:t>
      </w:r>
      <w:r w:rsidR="009D380B" w:rsidRPr="00121603">
        <w:rPr>
          <w:sz w:val="22"/>
          <w:szCs w:val="22"/>
        </w:rPr>
        <w:t>.</w:t>
      </w:r>
      <w:r w:rsidR="009D380B">
        <w:rPr>
          <w:sz w:val="22"/>
          <w:szCs w:val="22"/>
        </w:rPr>
        <w:t xml:space="preserve"> TAF </w:t>
      </w:r>
      <w:r w:rsidR="007C03C3">
        <w:rPr>
          <w:sz w:val="22"/>
          <w:szCs w:val="22"/>
        </w:rPr>
        <w:t>broadened its engagement</w:t>
      </w:r>
      <w:r w:rsidR="00226DA2">
        <w:rPr>
          <w:sz w:val="22"/>
          <w:szCs w:val="22"/>
        </w:rPr>
        <w:t xml:space="preserve"> to include MNLF </w:t>
      </w:r>
      <w:r w:rsidR="007C03C3">
        <w:rPr>
          <w:sz w:val="22"/>
          <w:szCs w:val="22"/>
        </w:rPr>
        <w:t>and IPs in the peace conversation in response to the Duterte’</w:t>
      </w:r>
      <w:r w:rsidR="00E905C1">
        <w:rPr>
          <w:sz w:val="22"/>
          <w:szCs w:val="22"/>
        </w:rPr>
        <w:t xml:space="preserve">s peace roadmap </w:t>
      </w:r>
      <w:r w:rsidR="003931FF">
        <w:rPr>
          <w:sz w:val="22"/>
          <w:szCs w:val="22"/>
        </w:rPr>
        <w:t>aimed at a</w:t>
      </w:r>
      <w:r w:rsidR="00E905C1">
        <w:rPr>
          <w:sz w:val="22"/>
          <w:szCs w:val="22"/>
        </w:rPr>
        <w:t xml:space="preserve"> more “inclusive”</w:t>
      </w:r>
      <w:r w:rsidR="003931FF">
        <w:rPr>
          <w:sz w:val="22"/>
          <w:szCs w:val="22"/>
        </w:rPr>
        <w:t xml:space="preserve"> peace</w:t>
      </w:r>
      <w:r w:rsidR="007C03C3">
        <w:rPr>
          <w:sz w:val="22"/>
          <w:szCs w:val="22"/>
        </w:rPr>
        <w:t xml:space="preserve">. </w:t>
      </w:r>
      <w:r w:rsidR="00F00879">
        <w:rPr>
          <w:sz w:val="22"/>
          <w:szCs w:val="22"/>
        </w:rPr>
        <w:t xml:space="preserve"> </w:t>
      </w:r>
      <w:r w:rsidR="007C03C3">
        <w:rPr>
          <w:sz w:val="22"/>
          <w:szCs w:val="22"/>
        </w:rPr>
        <w:t xml:space="preserve">It continued addressing clan conflict or </w:t>
      </w:r>
      <w:r w:rsidR="007C03C3">
        <w:rPr>
          <w:i/>
          <w:sz w:val="22"/>
          <w:szCs w:val="22"/>
        </w:rPr>
        <w:t>rido</w:t>
      </w:r>
      <w:r w:rsidR="007C03C3">
        <w:rPr>
          <w:sz w:val="22"/>
          <w:szCs w:val="22"/>
        </w:rPr>
        <w:t>,</w:t>
      </w:r>
      <w:r w:rsidR="00A42385">
        <w:rPr>
          <w:sz w:val="22"/>
          <w:szCs w:val="22"/>
        </w:rPr>
        <w:t xml:space="preserve"> an area of comparative advantage</w:t>
      </w:r>
      <w:r w:rsidR="007C03C3">
        <w:rPr>
          <w:sz w:val="22"/>
          <w:szCs w:val="22"/>
        </w:rPr>
        <w:t>. The r</w:t>
      </w:r>
      <w:r w:rsidR="00A42385">
        <w:rPr>
          <w:sz w:val="22"/>
          <w:szCs w:val="22"/>
        </w:rPr>
        <w:t xml:space="preserve">ise in </w:t>
      </w:r>
      <w:r w:rsidR="007C03C3">
        <w:rPr>
          <w:sz w:val="22"/>
          <w:szCs w:val="22"/>
        </w:rPr>
        <w:t>horizontal confl</w:t>
      </w:r>
      <w:r w:rsidR="00E905C1">
        <w:rPr>
          <w:sz w:val="22"/>
          <w:szCs w:val="22"/>
        </w:rPr>
        <w:t>ict after the signing of the GPH</w:t>
      </w:r>
      <w:r w:rsidR="007C03C3">
        <w:rPr>
          <w:sz w:val="22"/>
          <w:szCs w:val="22"/>
        </w:rPr>
        <w:t xml:space="preserve">-MILF peace agreement attests to the relevance of </w:t>
      </w:r>
      <w:r w:rsidR="003931FF">
        <w:rPr>
          <w:sz w:val="22"/>
          <w:szCs w:val="22"/>
        </w:rPr>
        <w:t>this work</w:t>
      </w:r>
      <w:r w:rsidR="007C03C3">
        <w:rPr>
          <w:sz w:val="22"/>
          <w:szCs w:val="22"/>
        </w:rPr>
        <w:t xml:space="preserve">. </w:t>
      </w:r>
      <w:r w:rsidR="00A42385">
        <w:rPr>
          <w:sz w:val="22"/>
          <w:szCs w:val="22"/>
        </w:rPr>
        <w:t xml:space="preserve"> </w:t>
      </w:r>
    </w:p>
    <w:p w14:paraId="2C6D5DDE" w14:textId="77777777" w:rsidR="00DD7BE1" w:rsidRDefault="00DD7BE1" w:rsidP="00D04289">
      <w:pPr>
        <w:tabs>
          <w:tab w:val="left" w:pos="284"/>
        </w:tabs>
        <w:jc w:val="both"/>
        <w:rPr>
          <w:sz w:val="22"/>
          <w:szCs w:val="22"/>
        </w:rPr>
      </w:pPr>
    </w:p>
    <w:p w14:paraId="4F62C292" w14:textId="0034F8F6" w:rsidR="007532B8" w:rsidRDefault="005F5FA6" w:rsidP="00DD7BE1">
      <w:pPr>
        <w:tabs>
          <w:tab w:val="left" w:pos="284"/>
        </w:tabs>
        <w:jc w:val="both"/>
        <w:rPr>
          <w:sz w:val="22"/>
          <w:szCs w:val="22"/>
        </w:rPr>
      </w:pPr>
      <w:r w:rsidRPr="009C013C">
        <w:rPr>
          <w:sz w:val="22"/>
          <w:szCs w:val="22"/>
        </w:rPr>
        <w:t>21</w:t>
      </w:r>
      <w:r w:rsidR="00DD7BE1" w:rsidRPr="00F00879">
        <w:rPr>
          <w:sz w:val="22"/>
          <w:szCs w:val="22"/>
        </w:rPr>
        <w:t>.</w:t>
      </w:r>
      <w:r w:rsidR="00DD7BE1">
        <w:rPr>
          <w:sz w:val="22"/>
          <w:szCs w:val="22"/>
        </w:rPr>
        <w:t xml:space="preserve"> </w:t>
      </w:r>
      <w:r w:rsidR="00DD7BE1">
        <w:rPr>
          <w:sz w:val="22"/>
          <w:szCs w:val="22"/>
        </w:rPr>
        <w:tab/>
      </w:r>
      <w:r w:rsidR="00DD7BE1" w:rsidRPr="00DD7BE1">
        <w:rPr>
          <w:sz w:val="22"/>
          <w:szCs w:val="22"/>
        </w:rPr>
        <w:t xml:space="preserve">The review team was </w:t>
      </w:r>
      <w:r w:rsidR="00020595">
        <w:rPr>
          <w:sz w:val="22"/>
          <w:szCs w:val="22"/>
        </w:rPr>
        <w:t xml:space="preserve">also </w:t>
      </w:r>
      <w:r w:rsidR="00DD7BE1" w:rsidRPr="00DD7BE1">
        <w:rPr>
          <w:sz w:val="22"/>
          <w:szCs w:val="22"/>
        </w:rPr>
        <w:t>asked to investigate the comparative ad</w:t>
      </w:r>
      <w:r w:rsidR="00DD7BE1">
        <w:rPr>
          <w:sz w:val="22"/>
          <w:szCs w:val="22"/>
        </w:rPr>
        <w:t>vantage of working through the three i</w:t>
      </w:r>
      <w:r w:rsidR="00DD7BE1" w:rsidRPr="00DD7BE1">
        <w:rPr>
          <w:sz w:val="22"/>
          <w:szCs w:val="22"/>
        </w:rPr>
        <w:t xml:space="preserve">nternational NGOs instead of directly funding local </w:t>
      </w:r>
      <w:r w:rsidR="00DD7BE1">
        <w:rPr>
          <w:sz w:val="22"/>
          <w:szCs w:val="22"/>
        </w:rPr>
        <w:t xml:space="preserve">NGOs. </w:t>
      </w:r>
      <w:r w:rsidR="00F00879">
        <w:rPr>
          <w:sz w:val="22"/>
          <w:szCs w:val="22"/>
        </w:rPr>
        <w:t xml:space="preserve"> </w:t>
      </w:r>
      <w:r w:rsidR="007532B8">
        <w:rPr>
          <w:sz w:val="22"/>
          <w:szCs w:val="22"/>
        </w:rPr>
        <w:t xml:space="preserve">The review team assessed that, due to its current lack of internal risk management and accountability systems, </w:t>
      </w:r>
      <w:r w:rsidR="00F46543">
        <w:rPr>
          <w:sz w:val="22"/>
          <w:szCs w:val="22"/>
        </w:rPr>
        <w:t xml:space="preserve">funding to </w:t>
      </w:r>
      <w:r w:rsidR="007532B8">
        <w:rPr>
          <w:sz w:val="22"/>
          <w:szCs w:val="22"/>
        </w:rPr>
        <w:t>WEAct1325 should continue to be managed through Oxfam</w:t>
      </w:r>
      <w:r w:rsidR="002A2A2B">
        <w:rPr>
          <w:sz w:val="22"/>
          <w:szCs w:val="22"/>
        </w:rPr>
        <w:t xml:space="preserve"> or a similarly competent NGO with a strong gend</w:t>
      </w:r>
      <w:r w:rsidR="00274626">
        <w:rPr>
          <w:sz w:val="22"/>
          <w:szCs w:val="22"/>
        </w:rPr>
        <w:t>er-sensitive</w:t>
      </w:r>
      <w:r w:rsidR="002A2A2B">
        <w:rPr>
          <w:sz w:val="22"/>
          <w:szCs w:val="22"/>
        </w:rPr>
        <w:t xml:space="preserve"> approach</w:t>
      </w:r>
      <w:r w:rsidR="007532B8">
        <w:rPr>
          <w:sz w:val="22"/>
          <w:szCs w:val="22"/>
        </w:rPr>
        <w:t xml:space="preserve">.  Management arrangements for other BASIC partners remain appropriate. </w:t>
      </w:r>
      <w:r w:rsidR="00427F92">
        <w:rPr>
          <w:sz w:val="22"/>
          <w:szCs w:val="22"/>
        </w:rPr>
        <w:t xml:space="preserve"> However, given IA and TAF are both led by, and depend on, well-connected senior personnel, the review team recommended the Australian Embassy monitor the viability of these organisations in the near term.</w:t>
      </w:r>
    </w:p>
    <w:p w14:paraId="3C066CFA" w14:textId="77777777" w:rsidR="00DD7BE1" w:rsidRDefault="00DD7BE1" w:rsidP="00D04289">
      <w:pPr>
        <w:tabs>
          <w:tab w:val="left" w:pos="284"/>
        </w:tabs>
        <w:jc w:val="both"/>
        <w:rPr>
          <w:sz w:val="22"/>
          <w:szCs w:val="22"/>
        </w:rPr>
      </w:pPr>
    </w:p>
    <w:p w14:paraId="1927DFF6" w14:textId="17874DE4" w:rsidR="00B25491" w:rsidRPr="00B25491" w:rsidRDefault="00155DEE" w:rsidP="00D04289">
      <w:pPr>
        <w:tabs>
          <w:tab w:val="left" w:pos="284"/>
        </w:tabs>
        <w:jc w:val="both"/>
        <w:rPr>
          <w:sz w:val="22"/>
          <w:szCs w:val="22"/>
        </w:rPr>
      </w:pPr>
      <w:r>
        <w:rPr>
          <w:i/>
          <w:sz w:val="22"/>
          <w:szCs w:val="22"/>
        </w:rPr>
        <w:t xml:space="preserve">G. </w:t>
      </w:r>
      <w:r w:rsidR="007C03C3" w:rsidRPr="00B25491">
        <w:rPr>
          <w:i/>
          <w:sz w:val="22"/>
          <w:szCs w:val="22"/>
        </w:rPr>
        <w:t>New initiative</w:t>
      </w:r>
      <w:r w:rsidR="00521730" w:rsidRPr="00B25491">
        <w:rPr>
          <w:i/>
          <w:sz w:val="22"/>
          <w:szCs w:val="22"/>
        </w:rPr>
        <w:t>s</w:t>
      </w:r>
      <w:r w:rsidR="007C03C3" w:rsidRPr="00B25491">
        <w:rPr>
          <w:i/>
          <w:sz w:val="22"/>
          <w:szCs w:val="22"/>
        </w:rPr>
        <w:t xml:space="preserve">/objectives/partners to support the Duterte peace process </w:t>
      </w:r>
    </w:p>
    <w:p w14:paraId="20CCDC41" w14:textId="77777777" w:rsidR="00B25491" w:rsidRDefault="00B25491" w:rsidP="00D04289">
      <w:pPr>
        <w:tabs>
          <w:tab w:val="left" w:pos="284"/>
        </w:tabs>
        <w:jc w:val="both"/>
        <w:rPr>
          <w:sz w:val="22"/>
          <w:szCs w:val="22"/>
        </w:rPr>
      </w:pPr>
    </w:p>
    <w:p w14:paraId="24F6133F" w14:textId="0E09FAE8" w:rsidR="00303E9F" w:rsidRDefault="005F5FA6" w:rsidP="00D04289">
      <w:pPr>
        <w:tabs>
          <w:tab w:val="left" w:pos="284"/>
        </w:tabs>
        <w:jc w:val="both"/>
        <w:rPr>
          <w:sz w:val="22"/>
          <w:szCs w:val="22"/>
        </w:rPr>
      </w:pPr>
      <w:r>
        <w:rPr>
          <w:sz w:val="22"/>
          <w:szCs w:val="22"/>
        </w:rPr>
        <w:t>22</w:t>
      </w:r>
      <w:r w:rsidR="00B25491">
        <w:rPr>
          <w:sz w:val="22"/>
          <w:szCs w:val="22"/>
        </w:rPr>
        <w:t>.</w:t>
      </w:r>
      <w:r w:rsidR="00B25491">
        <w:rPr>
          <w:sz w:val="22"/>
          <w:szCs w:val="22"/>
        </w:rPr>
        <w:tab/>
      </w:r>
      <w:r w:rsidR="00521730">
        <w:rPr>
          <w:sz w:val="22"/>
          <w:szCs w:val="22"/>
        </w:rPr>
        <w:t xml:space="preserve">Besides the provision of technical assistance to the formulation of the “Enabling Law”, BASIC partners are now engaged in </w:t>
      </w:r>
      <w:r w:rsidR="00A42385">
        <w:rPr>
          <w:sz w:val="22"/>
          <w:szCs w:val="22"/>
        </w:rPr>
        <w:t xml:space="preserve">the political dialogue on federalism.  </w:t>
      </w:r>
      <w:r w:rsidR="00521730">
        <w:rPr>
          <w:sz w:val="22"/>
          <w:szCs w:val="22"/>
        </w:rPr>
        <w:t xml:space="preserve"> I</w:t>
      </w:r>
      <w:r w:rsidR="00A42385">
        <w:rPr>
          <w:sz w:val="22"/>
          <w:szCs w:val="22"/>
        </w:rPr>
        <w:t>AG, with its comparative advantage</w:t>
      </w:r>
      <w:r w:rsidR="00521730">
        <w:rPr>
          <w:sz w:val="22"/>
          <w:szCs w:val="22"/>
        </w:rPr>
        <w:t xml:space="preserve"> in local g</w:t>
      </w:r>
      <w:r w:rsidR="00A42385">
        <w:rPr>
          <w:sz w:val="22"/>
          <w:szCs w:val="22"/>
        </w:rPr>
        <w:t xml:space="preserve">overnance, is </w:t>
      </w:r>
      <w:r w:rsidR="00E7195C">
        <w:rPr>
          <w:sz w:val="22"/>
          <w:szCs w:val="22"/>
        </w:rPr>
        <w:t xml:space="preserve">involved </w:t>
      </w:r>
      <w:r w:rsidR="00A42385">
        <w:rPr>
          <w:sz w:val="22"/>
          <w:szCs w:val="22"/>
        </w:rPr>
        <w:t xml:space="preserve">at senior levels </w:t>
      </w:r>
      <w:r w:rsidR="00E7195C">
        <w:rPr>
          <w:sz w:val="22"/>
          <w:szCs w:val="22"/>
        </w:rPr>
        <w:t xml:space="preserve">in the federalism </w:t>
      </w:r>
      <w:r w:rsidR="00A42385">
        <w:rPr>
          <w:sz w:val="22"/>
          <w:szCs w:val="22"/>
        </w:rPr>
        <w:t xml:space="preserve">process.  </w:t>
      </w:r>
      <w:r w:rsidR="00521730">
        <w:rPr>
          <w:sz w:val="22"/>
          <w:szCs w:val="22"/>
        </w:rPr>
        <w:t xml:space="preserve"> </w:t>
      </w:r>
      <w:r w:rsidR="00E7195C">
        <w:rPr>
          <w:sz w:val="22"/>
          <w:szCs w:val="22"/>
        </w:rPr>
        <w:t>IA is also engaged in the federal</w:t>
      </w:r>
      <w:r w:rsidR="00FB147D">
        <w:rPr>
          <w:sz w:val="22"/>
          <w:szCs w:val="22"/>
        </w:rPr>
        <w:t>ism</w:t>
      </w:r>
      <w:r w:rsidR="00E7195C">
        <w:rPr>
          <w:sz w:val="22"/>
          <w:szCs w:val="22"/>
        </w:rPr>
        <w:t xml:space="preserve"> agenda an</w:t>
      </w:r>
      <w:r w:rsidR="00FB147D">
        <w:rPr>
          <w:sz w:val="22"/>
          <w:szCs w:val="22"/>
        </w:rPr>
        <w:t>d has also lent its expertise to</w:t>
      </w:r>
      <w:r w:rsidR="00E7195C">
        <w:rPr>
          <w:sz w:val="22"/>
          <w:szCs w:val="22"/>
        </w:rPr>
        <w:t xml:space="preserve"> the pea</w:t>
      </w:r>
      <w:r w:rsidR="00FB147D">
        <w:rPr>
          <w:sz w:val="22"/>
          <w:szCs w:val="22"/>
        </w:rPr>
        <w:t>ce talks between the GPH</w:t>
      </w:r>
      <w:r w:rsidR="00A42385">
        <w:rPr>
          <w:sz w:val="22"/>
          <w:szCs w:val="22"/>
        </w:rPr>
        <w:t xml:space="preserve"> and the Communist</w:t>
      </w:r>
      <w:r w:rsidR="00E7195C">
        <w:rPr>
          <w:sz w:val="22"/>
          <w:szCs w:val="22"/>
        </w:rPr>
        <w:t xml:space="preserve"> Part</w:t>
      </w:r>
      <w:r w:rsidR="00FB147D">
        <w:rPr>
          <w:sz w:val="22"/>
          <w:szCs w:val="22"/>
        </w:rPr>
        <w:t>y of the Philippines. Oxfam/WEAct1</w:t>
      </w:r>
      <w:r w:rsidR="00E7195C">
        <w:rPr>
          <w:sz w:val="22"/>
          <w:szCs w:val="22"/>
        </w:rPr>
        <w:t>3</w:t>
      </w:r>
      <w:r w:rsidR="00FB147D">
        <w:rPr>
          <w:sz w:val="22"/>
          <w:szCs w:val="22"/>
        </w:rPr>
        <w:t>2</w:t>
      </w:r>
      <w:r w:rsidR="00E7195C">
        <w:rPr>
          <w:sz w:val="22"/>
          <w:szCs w:val="22"/>
        </w:rPr>
        <w:t xml:space="preserve">5 </w:t>
      </w:r>
      <w:r w:rsidR="00A42385">
        <w:rPr>
          <w:sz w:val="22"/>
          <w:szCs w:val="22"/>
        </w:rPr>
        <w:t xml:space="preserve">has </w:t>
      </w:r>
      <w:r w:rsidR="00E7195C">
        <w:rPr>
          <w:sz w:val="22"/>
          <w:szCs w:val="22"/>
        </w:rPr>
        <w:t>intensified its community peace building and livelihood activities among local women to prevent outbreak of armed violence due frustration over the non-passage of the BBL.  TAF is attempting to expand the peace table to include the MNLF and IP groups in support of the government</w:t>
      </w:r>
      <w:r w:rsidR="00FB147D">
        <w:rPr>
          <w:sz w:val="22"/>
          <w:szCs w:val="22"/>
        </w:rPr>
        <w:t>’s</w:t>
      </w:r>
      <w:r w:rsidR="00E7195C">
        <w:rPr>
          <w:sz w:val="22"/>
          <w:szCs w:val="22"/>
        </w:rPr>
        <w:t xml:space="preserve"> peace roadmap of ensuring greater inclusivit</w:t>
      </w:r>
      <w:r w:rsidR="00FB147D">
        <w:rPr>
          <w:sz w:val="22"/>
          <w:szCs w:val="22"/>
        </w:rPr>
        <w:t xml:space="preserve">y.   </w:t>
      </w:r>
      <w:r w:rsidR="00E7195C">
        <w:rPr>
          <w:sz w:val="22"/>
          <w:szCs w:val="22"/>
        </w:rPr>
        <w:t xml:space="preserve"> </w:t>
      </w:r>
    </w:p>
    <w:p w14:paraId="1C6E814B" w14:textId="77777777" w:rsidR="00303E9F" w:rsidRDefault="00303E9F" w:rsidP="00D04289">
      <w:pPr>
        <w:tabs>
          <w:tab w:val="left" w:pos="284"/>
        </w:tabs>
        <w:jc w:val="both"/>
        <w:rPr>
          <w:sz w:val="22"/>
          <w:szCs w:val="22"/>
        </w:rPr>
      </w:pPr>
    </w:p>
    <w:p w14:paraId="262EF5B4" w14:textId="189AAD47" w:rsidR="00B21F24" w:rsidRDefault="005F5FA6" w:rsidP="00D04289">
      <w:pPr>
        <w:tabs>
          <w:tab w:val="left" w:pos="284"/>
        </w:tabs>
        <w:jc w:val="both"/>
        <w:rPr>
          <w:sz w:val="22"/>
          <w:szCs w:val="22"/>
        </w:rPr>
      </w:pPr>
      <w:r>
        <w:rPr>
          <w:sz w:val="22"/>
          <w:szCs w:val="22"/>
        </w:rPr>
        <w:t>23</w:t>
      </w:r>
      <w:r w:rsidR="00303E9F">
        <w:rPr>
          <w:sz w:val="22"/>
          <w:szCs w:val="22"/>
        </w:rPr>
        <w:t xml:space="preserve">.  </w:t>
      </w:r>
      <w:r w:rsidR="00303E9F">
        <w:rPr>
          <w:sz w:val="22"/>
          <w:szCs w:val="22"/>
        </w:rPr>
        <w:tab/>
        <w:t xml:space="preserve">Two major </w:t>
      </w:r>
      <w:r w:rsidR="001B2408">
        <w:rPr>
          <w:sz w:val="22"/>
          <w:szCs w:val="22"/>
        </w:rPr>
        <w:t xml:space="preserve">information </w:t>
      </w:r>
      <w:r w:rsidR="00303E9F">
        <w:rPr>
          <w:sz w:val="22"/>
          <w:szCs w:val="22"/>
        </w:rPr>
        <w:t>vacuums remain: what is really happening in the island provinces</w:t>
      </w:r>
      <w:r w:rsidR="001B2408">
        <w:rPr>
          <w:sz w:val="22"/>
          <w:szCs w:val="22"/>
        </w:rPr>
        <w:t xml:space="preserve">, particularly Sulu and Basilan; and </w:t>
      </w:r>
      <w:r w:rsidR="00303E9F">
        <w:rPr>
          <w:sz w:val="22"/>
          <w:szCs w:val="22"/>
        </w:rPr>
        <w:t>how far v</w:t>
      </w:r>
      <w:r w:rsidR="001B2408">
        <w:rPr>
          <w:sz w:val="22"/>
          <w:szCs w:val="22"/>
        </w:rPr>
        <w:t>iolent extremism has taken root</w:t>
      </w:r>
      <w:r w:rsidR="00303E9F">
        <w:rPr>
          <w:sz w:val="22"/>
          <w:szCs w:val="22"/>
        </w:rPr>
        <w:t xml:space="preserve">.   On the first concern, the proliferation of armed groups engaged in </w:t>
      </w:r>
      <w:r w:rsidR="003931FF">
        <w:rPr>
          <w:sz w:val="22"/>
          <w:szCs w:val="22"/>
        </w:rPr>
        <w:t>KfR</w:t>
      </w:r>
      <w:r w:rsidR="00303E9F">
        <w:rPr>
          <w:sz w:val="22"/>
          <w:szCs w:val="22"/>
        </w:rPr>
        <w:t xml:space="preserve"> and other criminal activities combined with poor local governance in Sulu and Basilan </w:t>
      </w:r>
      <w:r w:rsidR="008F58BA">
        <w:rPr>
          <w:sz w:val="22"/>
          <w:szCs w:val="22"/>
        </w:rPr>
        <w:t>had</w:t>
      </w:r>
      <w:r w:rsidR="00303E9F">
        <w:rPr>
          <w:sz w:val="22"/>
          <w:szCs w:val="22"/>
        </w:rPr>
        <w:t xml:space="preserve"> made the area practically inaccessible to non-residents</w:t>
      </w:r>
      <w:r w:rsidR="00564DD1">
        <w:rPr>
          <w:sz w:val="22"/>
          <w:szCs w:val="22"/>
        </w:rPr>
        <w:t>.</w:t>
      </w:r>
      <w:r w:rsidR="00303E9F">
        <w:rPr>
          <w:sz w:val="22"/>
          <w:szCs w:val="22"/>
        </w:rPr>
        <w:t xml:space="preserve"> </w:t>
      </w:r>
      <w:r w:rsidR="00564DD1">
        <w:rPr>
          <w:sz w:val="22"/>
          <w:szCs w:val="22"/>
        </w:rPr>
        <w:t xml:space="preserve"> </w:t>
      </w:r>
      <w:r w:rsidR="00303E9F">
        <w:rPr>
          <w:sz w:val="22"/>
          <w:szCs w:val="22"/>
        </w:rPr>
        <w:t xml:space="preserve">Basic data on socio-economic indicators are </w:t>
      </w:r>
      <w:r w:rsidR="00303E9F">
        <w:rPr>
          <w:sz w:val="22"/>
          <w:szCs w:val="22"/>
        </w:rPr>
        <w:lastRenderedPageBreak/>
        <w:t>unreliable</w:t>
      </w:r>
      <w:r w:rsidR="00427F92">
        <w:rPr>
          <w:sz w:val="22"/>
          <w:szCs w:val="22"/>
        </w:rPr>
        <w:t>,</w:t>
      </w:r>
      <w:r w:rsidR="00303E9F">
        <w:rPr>
          <w:sz w:val="22"/>
          <w:szCs w:val="22"/>
        </w:rPr>
        <w:t xml:space="preserve"> making it difficult to properly plan for the development of these islands.</w:t>
      </w:r>
      <w:r w:rsidR="00303E9F">
        <w:rPr>
          <w:rStyle w:val="FootnoteReference"/>
          <w:sz w:val="22"/>
          <w:szCs w:val="22"/>
        </w:rPr>
        <w:footnoteReference w:id="13"/>
      </w:r>
      <w:r w:rsidR="00564DD1">
        <w:rPr>
          <w:sz w:val="22"/>
          <w:szCs w:val="22"/>
        </w:rPr>
        <w:t xml:space="preserve">    Inciden</w:t>
      </w:r>
      <w:r w:rsidR="00427F92">
        <w:rPr>
          <w:sz w:val="22"/>
          <w:szCs w:val="22"/>
        </w:rPr>
        <w:t>ts</w:t>
      </w:r>
      <w:r w:rsidR="00564DD1">
        <w:rPr>
          <w:sz w:val="22"/>
          <w:szCs w:val="22"/>
        </w:rPr>
        <w:t xml:space="preserve"> of armed conflict are also underreported because of threat to security of media </w:t>
      </w:r>
      <w:r w:rsidR="00FB147D">
        <w:rPr>
          <w:sz w:val="22"/>
          <w:szCs w:val="22"/>
        </w:rPr>
        <w:t>in these provinces</w:t>
      </w:r>
      <w:r w:rsidR="00564DD1">
        <w:rPr>
          <w:sz w:val="22"/>
          <w:szCs w:val="22"/>
        </w:rPr>
        <w:t xml:space="preserve"> and the geographical remoteness of the island</w:t>
      </w:r>
      <w:r w:rsidR="00B21F24">
        <w:rPr>
          <w:sz w:val="22"/>
          <w:szCs w:val="22"/>
        </w:rPr>
        <w:t xml:space="preserve">s. </w:t>
      </w:r>
      <w:r w:rsidR="00DA1226">
        <w:rPr>
          <w:sz w:val="22"/>
          <w:szCs w:val="22"/>
        </w:rPr>
        <w:t xml:space="preserve">NGO </w:t>
      </w:r>
      <w:r w:rsidR="00FB147D">
        <w:rPr>
          <w:sz w:val="22"/>
          <w:szCs w:val="22"/>
        </w:rPr>
        <w:t xml:space="preserve">partners who have been working in the area for </w:t>
      </w:r>
      <w:r w:rsidR="00B61536">
        <w:rPr>
          <w:sz w:val="22"/>
          <w:szCs w:val="22"/>
        </w:rPr>
        <w:t xml:space="preserve">an </w:t>
      </w:r>
      <w:r w:rsidR="00FB147D">
        <w:rPr>
          <w:sz w:val="22"/>
          <w:szCs w:val="22"/>
        </w:rPr>
        <w:t xml:space="preserve">extended period, such as the Center for Humanitarian Dialogue (CHD), should be </w:t>
      </w:r>
      <w:r w:rsidR="00427F92">
        <w:rPr>
          <w:sz w:val="22"/>
          <w:szCs w:val="22"/>
        </w:rPr>
        <w:t xml:space="preserve">encouraged </w:t>
      </w:r>
      <w:r w:rsidR="00FB147D">
        <w:rPr>
          <w:sz w:val="22"/>
          <w:szCs w:val="22"/>
        </w:rPr>
        <w:t>to provide more</w:t>
      </w:r>
      <w:r w:rsidR="00B61536">
        <w:rPr>
          <w:sz w:val="22"/>
          <w:szCs w:val="22"/>
        </w:rPr>
        <w:t xml:space="preserve"> information on </w:t>
      </w:r>
      <w:r w:rsidR="00427F92">
        <w:rPr>
          <w:sz w:val="22"/>
          <w:szCs w:val="22"/>
        </w:rPr>
        <w:t xml:space="preserve">the </w:t>
      </w:r>
      <w:r w:rsidR="00B61536">
        <w:rPr>
          <w:sz w:val="22"/>
          <w:szCs w:val="22"/>
        </w:rPr>
        <w:t xml:space="preserve">drivers </w:t>
      </w:r>
      <w:r w:rsidR="00427F92">
        <w:rPr>
          <w:sz w:val="22"/>
          <w:szCs w:val="22"/>
        </w:rPr>
        <w:t xml:space="preserve">of conflict and violence </w:t>
      </w:r>
      <w:r w:rsidR="00B61536">
        <w:rPr>
          <w:sz w:val="22"/>
          <w:szCs w:val="22"/>
        </w:rPr>
        <w:t>in these places</w:t>
      </w:r>
      <w:r w:rsidR="00427F92">
        <w:rPr>
          <w:sz w:val="22"/>
          <w:szCs w:val="22"/>
        </w:rPr>
        <w:t xml:space="preserve"> </w:t>
      </w:r>
      <w:r w:rsidR="00B61536">
        <w:rPr>
          <w:sz w:val="22"/>
          <w:szCs w:val="22"/>
        </w:rPr>
        <w:t xml:space="preserve">and </w:t>
      </w:r>
      <w:r w:rsidR="00427F92">
        <w:rPr>
          <w:sz w:val="22"/>
          <w:szCs w:val="22"/>
        </w:rPr>
        <w:t>possible peace-building measures to address them.</w:t>
      </w:r>
      <w:r w:rsidR="00B61536">
        <w:rPr>
          <w:sz w:val="22"/>
          <w:szCs w:val="22"/>
        </w:rPr>
        <w:t xml:space="preserve">  </w:t>
      </w:r>
    </w:p>
    <w:p w14:paraId="39C87FAA" w14:textId="77777777" w:rsidR="00D56954" w:rsidRDefault="00D56954" w:rsidP="00D56954">
      <w:pPr>
        <w:tabs>
          <w:tab w:val="left" w:pos="284"/>
        </w:tabs>
        <w:jc w:val="both"/>
        <w:rPr>
          <w:sz w:val="22"/>
          <w:szCs w:val="22"/>
        </w:rPr>
      </w:pPr>
    </w:p>
    <w:p w14:paraId="509384A4" w14:textId="5B6D6F0A" w:rsidR="00B21F24" w:rsidRDefault="005F5FA6" w:rsidP="00D04289">
      <w:pPr>
        <w:tabs>
          <w:tab w:val="left" w:pos="284"/>
        </w:tabs>
        <w:jc w:val="both"/>
        <w:rPr>
          <w:sz w:val="22"/>
          <w:szCs w:val="22"/>
        </w:rPr>
      </w:pPr>
      <w:r w:rsidRPr="009C013C">
        <w:rPr>
          <w:sz w:val="22"/>
          <w:szCs w:val="22"/>
        </w:rPr>
        <w:t>24</w:t>
      </w:r>
      <w:r w:rsidR="00D56954" w:rsidRPr="00020595">
        <w:rPr>
          <w:sz w:val="22"/>
          <w:szCs w:val="22"/>
        </w:rPr>
        <w:t>.</w:t>
      </w:r>
      <w:r w:rsidR="00D56954">
        <w:rPr>
          <w:sz w:val="22"/>
          <w:szCs w:val="22"/>
        </w:rPr>
        <w:t xml:space="preserve"> </w:t>
      </w:r>
      <w:r w:rsidR="00D56954">
        <w:rPr>
          <w:sz w:val="22"/>
          <w:szCs w:val="22"/>
        </w:rPr>
        <w:tab/>
      </w:r>
      <w:r w:rsidR="00427F92" w:rsidRPr="006F2D48">
        <w:rPr>
          <w:b/>
          <w:sz w:val="22"/>
          <w:szCs w:val="22"/>
        </w:rPr>
        <w:t>Even</w:t>
      </w:r>
      <w:r w:rsidR="00427F92" w:rsidRPr="00427F92">
        <w:rPr>
          <w:sz w:val="22"/>
          <w:szCs w:val="22"/>
        </w:rPr>
        <w:t xml:space="preserve"> </w:t>
      </w:r>
      <w:r w:rsidR="00427F92" w:rsidRPr="009C013C">
        <w:rPr>
          <w:b/>
          <w:sz w:val="22"/>
          <w:szCs w:val="22"/>
        </w:rPr>
        <w:t>in the event that the GPH can achieve ‘</w:t>
      </w:r>
      <w:r w:rsidR="00D56954" w:rsidRPr="009C013C">
        <w:rPr>
          <w:b/>
          <w:sz w:val="22"/>
          <w:szCs w:val="22"/>
        </w:rPr>
        <w:t>convergence</w:t>
      </w:r>
      <w:r w:rsidR="00427F92" w:rsidRPr="009C013C">
        <w:rPr>
          <w:b/>
          <w:sz w:val="22"/>
          <w:szCs w:val="22"/>
        </w:rPr>
        <w:t>’ through the passage of multiple peace agreements into law (not a foregone conclusion), a yet harder stage of the peace process will begin.</w:t>
      </w:r>
      <w:r w:rsidR="00D56954" w:rsidRPr="009C013C">
        <w:rPr>
          <w:b/>
          <w:sz w:val="22"/>
          <w:szCs w:val="22"/>
        </w:rPr>
        <w:t xml:space="preserve"> </w:t>
      </w:r>
      <w:r w:rsidR="00D56954" w:rsidRPr="003C3C89">
        <w:rPr>
          <w:sz w:val="22"/>
          <w:szCs w:val="22"/>
        </w:rPr>
        <w:t>Given that</w:t>
      </w:r>
      <w:r w:rsidR="00145CB1">
        <w:rPr>
          <w:sz w:val="22"/>
          <w:szCs w:val="22"/>
        </w:rPr>
        <w:t xml:space="preserve"> an estimated</w:t>
      </w:r>
      <w:r w:rsidR="00D56954" w:rsidRPr="003C3C89">
        <w:rPr>
          <w:sz w:val="22"/>
          <w:szCs w:val="22"/>
        </w:rPr>
        <w:t xml:space="preserve"> 40% of peace agreements fail in the first five years, the period immediately after th</w:t>
      </w:r>
      <w:r w:rsidR="001B2408">
        <w:rPr>
          <w:sz w:val="22"/>
          <w:szCs w:val="22"/>
        </w:rPr>
        <w:t>e signing of a peace agreement will entail</w:t>
      </w:r>
      <w:r w:rsidR="00D56954" w:rsidRPr="003C3C89">
        <w:rPr>
          <w:sz w:val="22"/>
          <w:szCs w:val="22"/>
        </w:rPr>
        <w:t xml:space="preserve"> a high level of community vulnerability</w:t>
      </w:r>
      <w:r w:rsidR="005C0740">
        <w:rPr>
          <w:sz w:val="22"/>
          <w:szCs w:val="22"/>
        </w:rPr>
        <w:t xml:space="preserve"> to conflict</w:t>
      </w:r>
      <w:r w:rsidR="00145CB1">
        <w:rPr>
          <w:rStyle w:val="FootnoteReference"/>
          <w:sz w:val="22"/>
          <w:szCs w:val="22"/>
        </w:rPr>
        <w:footnoteReference w:id="14"/>
      </w:r>
      <w:r w:rsidR="00D56954" w:rsidRPr="003C3C89">
        <w:rPr>
          <w:sz w:val="22"/>
          <w:szCs w:val="22"/>
        </w:rPr>
        <w:t xml:space="preserve">. </w:t>
      </w:r>
      <w:r w:rsidR="001B2408">
        <w:rPr>
          <w:sz w:val="22"/>
          <w:szCs w:val="22"/>
        </w:rPr>
        <w:t>High expectations of early peace dividends by c</w:t>
      </w:r>
      <w:r w:rsidR="00D56954" w:rsidRPr="003C3C89">
        <w:rPr>
          <w:sz w:val="22"/>
          <w:szCs w:val="22"/>
        </w:rPr>
        <w:t xml:space="preserve">ommunities that have experienced violence, poverty and displacement for multiple generations </w:t>
      </w:r>
      <w:r w:rsidR="001B2408">
        <w:rPr>
          <w:sz w:val="22"/>
          <w:szCs w:val="22"/>
        </w:rPr>
        <w:t>may be dashed as the GPH struggles to deliver at large scale.  Australia will need to support partners in Mindanao</w:t>
      </w:r>
      <w:r w:rsidR="00D56954">
        <w:rPr>
          <w:sz w:val="22"/>
          <w:szCs w:val="22"/>
        </w:rPr>
        <w:t xml:space="preserve"> and </w:t>
      </w:r>
      <w:r w:rsidR="001B2408">
        <w:rPr>
          <w:sz w:val="22"/>
          <w:szCs w:val="22"/>
        </w:rPr>
        <w:t xml:space="preserve">at national </w:t>
      </w:r>
      <w:r w:rsidR="00D56954">
        <w:rPr>
          <w:sz w:val="22"/>
          <w:szCs w:val="22"/>
        </w:rPr>
        <w:t>levels to broaden conflict monitoring, widen gender-sensitive participation in decision making at all levels and support the restructuring of governance systems that support conflict-sensitive service delivery to communities.</w:t>
      </w:r>
    </w:p>
    <w:p w14:paraId="59DAC91E" w14:textId="336D653F" w:rsidR="008F58BA" w:rsidRDefault="008F58BA" w:rsidP="00D04289">
      <w:pPr>
        <w:tabs>
          <w:tab w:val="left" w:pos="284"/>
        </w:tabs>
        <w:jc w:val="both"/>
        <w:rPr>
          <w:sz w:val="22"/>
          <w:szCs w:val="22"/>
        </w:rPr>
      </w:pPr>
    </w:p>
    <w:p w14:paraId="1EE45F90" w14:textId="0B39FEBF" w:rsidR="00B25491" w:rsidRPr="00B25491" w:rsidRDefault="00155DEE" w:rsidP="00D04289">
      <w:pPr>
        <w:tabs>
          <w:tab w:val="left" w:pos="284"/>
        </w:tabs>
        <w:jc w:val="both"/>
        <w:rPr>
          <w:i/>
          <w:sz w:val="22"/>
          <w:szCs w:val="22"/>
        </w:rPr>
      </w:pPr>
      <w:r>
        <w:rPr>
          <w:i/>
          <w:sz w:val="22"/>
          <w:szCs w:val="22"/>
        </w:rPr>
        <w:t xml:space="preserve">H. </w:t>
      </w:r>
      <w:r w:rsidR="008F58BA" w:rsidRPr="00B25491">
        <w:rPr>
          <w:i/>
          <w:sz w:val="22"/>
          <w:szCs w:val="22"/>
        </w:rPr>
        <w:t>Extent of program support to regiona</w:t>
      </w:r>
      <w:r w:rsidR="00B25491" w:rsidRPr="00B25491">
        <w:rPr>
          <w:i/>
          <w:sz w:val="22"/>
          <w:szCs w:val="22"/>
        </w:rPr>
        <w:t xml:space="preserve">l security and economic growth </w:t>
      </w:r>
    </w:p>
    <w:p w14:paraId="3FD0D586" w14:textId="77777777" w:rsidR="00B25491" w:rsidRDefault="00B25491" w:rsidP="00D04289">
      <w:pPr>
        <w:tabs>
          <w:tab w:val="left" w:pos="284"/>
        </w:tabs>
        <w:jc w:val="both"/>
        <w:rPr>
          <w:b/>
          <w:i/>
          <w:sz w:val="22"/>
          <w:szCs w:val="22"/>
        </w:rPr>
      </w:pPr>
    </w:p>
    <w:p w14:paraId="21FA766F" w14:textId="06D1E34E" w:rsidR="003306C6" w:rsidRPr="00303E9F" w:rsidRDefault="005F5FA6" w:rsidP="00D04289">
      <w:pPr>
        <w:tabs>
          <w:tab w:val="left" w:pos="284"/>
        </w:tabs>
        <w:jc w:val="both"/>
        <w:rPr>
          <w:sz w:val="22"/>
          <w:szCs w:val="22"/>
        </w:rPr>
      </w:pPr>
      <w:r>
        <w:rPr>
          <w:sz w:val="22"/>
          <w:szCs w:val="22"/>
        </w:rPr>
        <w:t>2</w:t>
      </w:r>
      <w:r w:rsidR="003A2A93">
        <w:rPr>
          <w:sz w:val="22"/>
          <w:szCs w:val="22"/>
        </w:rPr>
        <w:t>5</w:t>
      </w:r>
      <w:r w:rsidR="00B25491">
        <w:rPr>
          <w:sz w:val="22"/>
          <w:szCs w:val="22"/>
        </w:rPr>
        <w:t>.</w:t>
      </w:r>
      <w:r w:rsidR="00B25491">
        <w:rPr>
          <w:sz w:val="22"/>
          <w:szCs w:val="22"/>
        </w:rPr>
        <w:tab/>
        <w:t xml:space="preserve">Some BASIC partners partially addressed this criterion.  </w:t>
      </w:r>
      <w:r w:rsidR="008F58BA">
        <w:rPr>
          <w:sz w:val="22"/>
          <w:szCs w:val="22"/>
        </w:rPr>
        <w:t>I</w:t>
      </w:r>
      <w:r w:rsidR="00B25491">
        <w:rPr>
          <w:sz w:val="22"/>
          <w:szCs w:val="22"/>
        </w:rPr>
        <w:t>A undertook a</w:t>
      </w:r>
      <w:r w:rsidR="008F58BA">
        <w:rPr>
          <w:sz w:val="22"/>
          <w:szCs w:val="22"/>
        </w:rPr>
        <w:t xml:space="preserve"> cross-border study on security issues involved in transporting good</w:t>
      </w:r>
      <w:r w:rsidR="00E577D6">
        <w:rPr>
          <w:sz w:val="22"/>
          <w:szCs w:val="22"/>
        </w:rPr>
        <w:t>s</w:t>
      </w:r>
      <w:r w:rsidR="008F58BA">
        <w:rPr>
          <w:sz w:val="22"/>
          <w:szCs w:val="22"/>
        </w:rPr>
        <w:t xml:space="preserve"> fro</w:t>
      </w:r>
      <w:r w:rsidR="008F58BA" w:rsidRPr="00373DF2">
        <w:rPr>
          <w:sz w:val="22"/>
          <w:szCs w:val="22"/>
        </w:rPr>
        <w:t>m</w:t>
      </w:r>
      <w:r w:rsidR="002E507A" w:rsidRPr="00373DF2">
        <w:rPr>
          <w:sz w:val="22"/>
          <w:szCs w:val="22"/>
        </w:rPr>
        <w:t xml:space="preserve"> Sabah to Sulu or Tawi Tawi and</w:t>
      </w:r>
      <w:r w:rsidR="008F58BA" w:rsidRPr="00373DF2">
        <w:rPr>
          <w:sz w:val="22"/>
          <w:szCs w:val="22"/>
        </w:rPr>
        <w:t xml:space="preserve"> livelihood opportunities generated by the trade</w:t>
      </w:r>
      <w:r w:rsidR="00B25491">
        <w:rPr>
          <w:sz w:val="22"/>
          <w:szCs w:val="22"/>
        </w:rPr>
        <w:t>,</w:t>
      </w:r>
      <w:r w:rsidR="008F58BA" w:rsidRPr="00373DF2">
        <w:rPr>
          <w:sz w:val="22"/>
          <w:szCs w:val="22"/>
        </w:rPr>
        <w:t xml:space="preserve"> particularly among wo</w:t>
      </w:r>
      <w:r w:rsidR="003306C6" w:rsidRPr="00373DF2">
        <w:rPr>
          <w:sz w:val="22"/>
          <w:szCs w:val="22"/>
        </w:rPr>
        <w:t>men.</w:t>
      </w:r>
      <w:r w:rsidR="00DA1226" w:rsidRPr="00C25C63">
        <w:rPr>
          <w:sz w:val="22"/>
          <w:szCs w:val="22"/>
        </w:rPr>
        <w:t xml:space="preserve"> </w:t>
      </w:r>
      <w:r w:rsidR="003306C6" w:rsidRPr="00121603">
        <w:rPr>
          <w:sz w:val="22"/>
          <w:szCs w:val="22"/>
        </w:rPr>
        <w:t>Oxfam and WEAct</w:t>
      </w:r>
      <w:r w:rsidR="002E507A" w:rsidRPr="00B9531C">
        <w:rPr>
          <w:sz w:val="22"/>
          <w:szCs w:val="22"/>
        </w:rPr>
        <w:t>1</w:t>
      </w:r>
      <w:r w:rsidR="008F58BA" w:rsidRPr="00B9531C">
        <w:rPr>
          <w:sz w:val="22"/>
          <w:szCs w:val="22"/>
        </w:rPr>
        <w:t>3</w:t>
      </w:r>
      <w:r w:rsidR="00B25491">
        <w:rPr>
          <w:sz w:val="22"/>
          <w:szCs w:val="22"/>
        </w:rPr>
        <w:t>25 conducted</w:t>
      </w:r>
      <w:r w:rsidR="002E507A" w:rsidRPr="001D03B1">
        <w:rPr>
          <w:sz w:val="22"/>
          <w:szCs w:val="22"/>
        </w:rPr>
        <w:t xml:space="preserve"> livelihood projects</w:t>
      </w:r>
      <w:r w:rsidR="00B25491">
        <w:rPr>
          <w:sz w:val="22"/>
          <w:szCs w:val="22"/>
        </w:rPr>
        <w:t>, but they</w:t>
      </w:r>
      <w:r w:rsidR="002E507A" w:rsidRPr="001D03B1">
        <w:rPr>
          <w:sz w:val="22"/>
          <w:szCs w:val="22"/>
        </w:rPr>
        <w:t xml:space="preserve"> were micro in scale </w:t>
      </w:r>
      <w:r w:rsidR="00C93571" w:rsidRPr="00373DF2">
        <w:rPr>
          <w:sz w:val="22"/>
          <w:szCs w:val="22"/>
        </w:rPr>
        <w:t xml:space="preserve">and there is no evidence they </w:t>
      </w:r>
      <w:r w:rsidR="00B25491">
        <w:rPr>
          <w:sz w:val="22"/>
          <w:szCs w:val="22"/>
        </w:rPr>
        <w:t>were</w:t>
      </w:r>
      <w:r w:rsidR="002E507A" w:rsidRPr="00373DF2">
        <w:rPr>
          <w:sz w:val="22"/>
          <w:szCs w:val="22"/>
        </w:rPr>
        <w:t xml:space="preserve"> economically sustainable. </w:t>
      </w:r>
    </w:p>
    <w:p w14:paraId="0117E993" w14:textId="4B610DB0" w:rsidR="004C2C62" w:rsidRPr="00A70467" w:rsidRDefault="009012CB" w:rsidP="00A70467">
      <w:pPr>
        <w:tabs>
          <w:tab w:val="left" w:pos="284"/>
        </w:tabs>
        <w:jc w:val="both"/>
        <w:rPr>
          <w:sz w:val="22"/>
          <w:szCs w:val="22"/>
        </w:rPr>
      </w:pPr>
      <w:r>
        <w:rPr>
          <w:sz w:val="22"/>
          <w:szCs w:val="22"/>
        </w:rPr>
        <w:t xml:space="preserve">  </w:t>
      </w:r>
      <w:r w:rsidR="002A42E7" w:rsidRPr="00A70467">
        <w:rPr>
          <w:sz w:val="22"/>
          <w:szCs w:val="22"/>
        </w:rPr>
        <w:t xml:space="preserve"> </w:t>
      </w:r>
      <w:r w:rsidR="004C2C62" w:rsidRPr="00A70467">
        <w:rPr>
          <w:sz w:val="22"/>
          <w:szCs w:val="22"/>
        </w:rPr>
        <w:tab/>
      </w:r>
    </w:p>
    <w:p w14:paraId="4C145624" w14:textId="0DD1329D" w:rsidR="00FE4EFB" w:rsidRDefault="00584D1B" w:rsidP="004C2C62">
      <w:pPr>
        <w:jc w:val="both"/>
        <w:rPr>
          <w:b/>
          <w:sz w:val="22"/>
          <w:szCs w:val="22"/>
        </w:rPr>
      </w:pPr>
      <w:r>
        <w:rPr>
          <w:b/>
          <w:sz w:val="22"/>
          <w:szCs w:val="22"/>
        </w:rPr>
        <w:t>III.</w:t>
      </w:r>
      <w:r>
        <w:rPr>
          <w:b/>
          <w:sz w:val="22"/>
          <w:szCs w:val="22"/>
        </w:rPr>
        <w:tab/>
        <w:t>Possible Scenarios: Opportunities and Risks</w:t>
      </w:r>
    </w:p>
    <w:p w14:paraId="44445DD9" w14:textId="77777777" w:rsidR="00584D1B" w:rsidRDefault="00584D1B" w:rsidP="004C2C62">
      <w:pPr>
        <w:jc w:val="both"/>
        <w:rPr>
          <w:b/>
          <w:sz w:val="22"/>
          <w:szCs w:val="22"/>
        </w:rPr>
      </w:pPr>
    </w:p>
    <w:p w14:paraId="4246B9FE" w14:textId="3D09CA67" w:rsidR="00584D1B" w:rsidRDefault="005F5FA6" w:rsidP="004C2C62">
      <w:pPr>
        <w:jc w:val="both"/>
        <w:rPr>
          <w:sz w:val="22"/>
          <w:szCs w:val="22"/>
        </w:rPr>
      </w:pPr>
      <w:r>
        <w:rPr>
          <w:sz w:val="22"/>
          <w:szCs w:val="22"/>
        </w:rPr>
        <w:t>2</w:t>
      </w:r>
      <w:r w:rsidR="003A2A93">
        <w:rPr>
          <w:sz w:val="22"/>
          <w:szCs w:val="22"/>
        </w:rPr>
        <w:t>6</w:t>
      </w:r>
      <w:r w:rsidR="00584D1B">
        <w:rPr>
          <w:sz w:val="22"/>
          <w:szCs w:val="22"/>
        </w:rPr>
        <w:t>.</w:t>
      </w:r>
      <w:r w:rsidR="00584D1B">
        <w:rPr>
          <w:sz w:val="22"/>
          <w:szCs w:val="22"/>
        </w:rPr>
        <w:tab/>
        <w:t xml:space="preserve">The review team assessed that </w:t>
      </w:r>
      <w:r w:rsidR="00584D1B" w:rsidRPr="009C013C">
        <w:rPr>
          <w:b/>
          <w:sz w:val="22"/>
          <w:szCs w:val="22"/>
        </w:rPr>
        <w:t>the effectiveness and relevance of recommendations on future programming would depend significantly on the prevailing political context</w:t>
      </w:r>
      <w:r w:rsidR="00584D1B">
        <w:rPr>
          <w:sz w:val="22"/>
          <w:szCs w:val="22"/>
        </w:rPr>
        <w:t xml:space="preserve"> of the peace process.  Its analysis identified four possible political scenarios and the likely opportunities and risks for programming, as follows:</w:t>
      </w:r>
    </w:p>
    <w:p w14:paraId="0D44A3E8" w14:textId="238DDDC4" w:rsidR="007D1FF9" w:rsidRDefault="007D1FF9">
      <w:pPr>
        <w:rPr>
          <w:b/>
          <w:sz w:val="22"/>
          <w:szCs w:val="22"/>
        </w:rPr>
      </w:pPr>
    </w:p>
    <w:p w14:paraId="74FE683D" w14:textId="559697A6" w:rsidR="00584D1B" w:rsidRPr="000162BB" w:rsidRDefault="00584D1B" w:rsidP="00584D1B">
      <w:pPr>
        <w:jc w:val="center"/>
        <w:rPr>
          <w:b/>
          <w:sz w:val="22"/>
          <w:szCs w:val="22"/>
        </w:rPr>
      </w:pPr>
      <w:r w:rsidRPr="000162BB">
        <w:rPr>
          <w:b/>
          <w:sz w:val="22"/>
          <w:szCs w:val="22"/>
        </w:rPr>
        <w:t>Political Scenarios for the GPH-Moro Peace Process</w:t>
      </w:r>
    </w:p>
    <w:p w14:paraId="5EF1DDAD" w14:textId="77777777" w:rsidR="00584D1B" w:rsidRDefault="00584D1B" w:rsidP="00584D1B">
      <w:pPr>
        <w:jc w:val="center"/>
        <w:rPr>
          <w:b/>
        </w:rPr>
      </w:pPr>
    </w:p>
    <w:tbl>
      <w:tblPr>
        <w:tblStyle w:val="TableGrid"/>
        <w:tblW w:w="0" w:type="auto"/>
        <w:tblLook w:val="04A0" w:firstRow="1" w:lastRow="0" w:firstColumn="1" w:lastColumn="0" w:noHBand="0" w:noVBand="1"/>
      </w:tblPr>
      <w:tblGrid>
        <w:gridCol w:w="1749"/>
        <w:gridCol w:w="2764"/>
        <w:gridCol w:w="3226"/>
        <w:gridCol w:w="891"/>
      </w:tblGrid>
      <w:tr w:rsidR="00D96A44" w14:paraId="7D94031A" w14:textId="77777777" w:rsidTr="00161BF0">
        <w:tc>
          <w:tcPr>
            <w:tcW w:w="1773" w:type="dxa"/>
            <w:tcBorders>
              <w:top w:val="single" w:sz="4" w:space="0" w:color="auto"/>
              <w:left w:val="single" w:sz="4" w:space="0" w:color="auto"/>
              <w:bottom w:val="single" w:sz="4" w:space="0" w:color="auto"/>
              <w:right w:val="single" w:sz="4" w:space="0" w:color="auto"/>
            </w:tcBorders>
            <w:hideMark/>
          </w:tcPr>
          <w:p w14:paraId="7FD216E0" w14:textId="0E7EB45B" w:rsidR="00584D1B" w:rsidRPr="00161BF0" w:rsidRDefault="00584D1B">
            <w:pPr>
              <w:jc w:val="center"/>
              <w:rPr>
                <w:b/>
                <w:color w:val="548DD4" w:themeColor="text2" w:themeTint="99"/>
                <w:sz w:val="20"/>
                <w:szCs w:val="20"/>
                <w:lang w:val="en-US"/>
              </w:rPr>
            </w:pPr>
            <w:r w:rsidRPr="00161BF0">
              <w:rPr>
                <w:b/>
                <w:color w:val="548DD4" w:themeColor="text2" w:themeTint="99"/>
                <w:sz w:val="20"/>
                <w:szCs w:val="20"/>
              </w:rPr>
              <w:t>Scenario</w:t>
            </w:r>
          </w:p>
        </w:tc>
        <w:tc>
          <w:tcPr>
            <w:tcW w:w="2866" w:type="dxa"/>
            <w:tcBorders>
              <w:top w:val="single" w:sz="4" w:space="0" w:color="auto"/>
              <w:left w:val="single" w:sz="4" w:space="0" w:color="auto"/>
              <w:bottom w:val="single" w:sz="4" w:space="0" w:color="auto"/>
              <w:right w:val="single" w:sz="4" w:space="0" w:color="auto"/>
            </w:tcBorders>
            <w:hideMark/>
          </w:tcPr>
          <w:p w14:paraId="39C49832" w14:textId="77777777" w:rsidR="00584D1B" w:rsidRPr="00161BF0" w:rsidRDefault="00584D1B">
            <w:pPr>
              <w:jc w:val="center"/>
              <w:rPr>
                <w:b/>
                <w:color w:val="548DD4" w:themeColor="text2" w:themeTint="99"/>
                <w:sz w:val="20"/>
                <w:szCs w:val="20"/>
                <w:lang w:val="en-US"/>
              </w:rPr>
            </w:pPr>
            <w:r w:rsidRPr="00161BF0">
              <w:rPr>
                <w:b/>
                <w:color w:val="548DD4" w:themeColor="text2" w:themeTint="99"/>
                <w:sz w:val="20"/>
                <w:szCs w:val="20"/>
              </w:rPr>
              <w:t>Opportunities</w:t>
            </w:r>
          </w:p>
        </w:tc>
        <w:tc>
          <w:tcPr>
            <w:tcW w:w="3308" w:type="dxa"/>
            <w:tcBorders>
              <w:top w:val="single" w:sz="4" w:space="0" w:color="auto"/>
              <w:left w:val="single" w:sz="4" w:space="0" w:color="auto"/>
              <w:bottom w:val="single" w:sz="4" w:space="0" w:color="auto"/>
              <w:right w:val="single" w:sz="4" w:space="0" w:color="auto"/>
            </w:tcBorders>
            <w:hideMark/>
          </w:tcPr>
          <w:p w14:paraId="460F8391" w14:textId="77777777" w:rsidR="00584D1B" w:rsidRPr="00161BF0" w:rsidRDefault="00584D1B">
            <w:pPr>
              <w:jc w:val="center"/>
              <w:rPr>
                <w:b/>
                <w:color w:val="548DD4" w:themeColor="text2" w:themeTint="99"/>
                <w:sz w:val="20"/>
                <w:szCs w:val="20"/>
                <w:lang w:val="en-US"/>
              </w:rPr>
            </w:pPr>
            <w:r w:rsidRPr="00161BF0">
              <w:rPr>
                <w:b/>
                <w:color w:val="548DD4" w:themeColor="text2" w:themeTint="99"/>
                <w:sz w:val="20"/>
                <w:szCs w:val="20"/>
              </w:rPr>
              <w:t>Risks</w:t>
            </w:r>
          </w:p>
        </w:tc>
        <w:tc>
          <w:tcPr>
            <w:tcW w:w="909" w:type="dxa"/>
            <w:vMerge w:val="restart"/>
            <w:tcBorders>
              <w:top w:val="single" w:sz="4" w:space="0" w:color="auto"/>
              <w:left w:val="single" w:sz="4" w:space="0" w:color="auto"/>
              <w:bottom w:val="single" w:sz="4" w:space="0" w:color="auto"/>
              <w:right w:val="single" w:sz="4" w:space="0" w:color="auto"/>
            </w:tcBorders>
          </w:tcPr>
          <w:p w14:paraId="5C371D80" w14:textId="77777777" w:rsidR="00584D1B" w:rsidRPr="00161BF0" w:rsidRDefault="00584D1B">
            <w:pPr>
              <w:jc w:val="center"/>
              <w:rPr>
                <w:b/>
                <w:sz w:val="20"/>
                <w:szCs w:val="20"/>
              </w:rPr>
            </w:pPr>
          </w:p>
          <w:p w14:paraId="624D9F42" w14:textId="3BB63218" w:rsidR="00584D1B" w:rsidRPr="00161BF0" w:rsidRDefault="008E035A">
            <w:pPr>
              <w:jc w:val="center"/>
              <w:rPr>
                <w:b/>
                <w:sz w:val="20"/>
                <w:szCs w:val="20"/>
              </w:rPr>
            </w:pPr>
            <w:r w:rsidRPr="00161BF0">
              <w:rPr>
                <w:b/>
                <w:sz w:val="20"/>
                <w:szCs w:val="20"/>
              </w:rPr>
              <w:t>LOW</w:t>
            </w:r>
          </w:p>
          <w:p w14:paraId="56E39F89" w14:textId="77777777" w:rsidR="00584D1B" w:rsidRPr="00161BF0" w:rsidRDefault="00584D1B">
            <w:pPr>
              <w:jc w:val="center"/>
              <w:rPr>
                <w:b/>
                <w:sz w:val="20"/>
                <w:szCs w:val="20"/>
              </w:rPr>
            </w:pPr>
          </w:p>
          <w:p w14:paraId="756C2E92" w14:textId="57AC924B" w:rsidR="00584D1B" w:rsidRPr="00161BF0" w:rsidRDefault="00584D1B">
            <w:pPr>
              <w:jc w:val="center"/>
              <w:rPr>
                <w:b/>
                <w:sz w:val="20"/>
                <w:szCs w:val="20"/>
              </w:rPr>
            </w:pPr>
          </w:p>
          <w:p w14:paraId="47858DCD" w14:textId="77777777" w:rsidR="00584D1B" w:rsidRPr="00161BF0" w:rsidRDefault="00584D1B">
            <w:pPr>
              <w:jc w:val="center"/>
              <w:rPr>
                <w:b/>
                <w:sz w:val="20"/>
                <w:szCs w:val="20"/>
              </w:rPr>
            </w:pPr>
          </w:p>
          <w:p w14:paraId="699DBD13" w14:textId="77777777" w:rsidR="00584D1B" w:rsidRPr="00161BF0" w:rsidRDefault="00584D1B">
            <w:pPr>
              <w:jc w:val="center"/>
              <w:rPr>
                <w:b/>
                <w:sz w:val="20"/>
                <w:szCs w:val="20"/>
              </w:rPr>
            </w:pPr>
          </w:p>
          <w:p w14:paraId="636B664E" w14:textId="77777777" w:rsidR="00584D1B" w:rsidRPr="00161BF0" w:rsidRDefault="00584D1B">
            <w:pPr>
              <w:jc w:val="center"/>
              <w:rPr>
                <w:b/>
                <w:sz w:val="20"/>
                <w:szCs w:val="20"/>
              </w:rPr>
            </w:pPr>
          </w:p>
          <w:p w14:paraId="2A40A776" w14:textId="18BB52CD" w:rsidR="00584D1B" w:rsidRPr="00161BF0" w:rsidRDefault="008E035A">
            <w:pPr>
              <w:jc w:val="center"/>
              <w:rPr>
                <w:b/>
                <w:sz w:val="20"/>
                <w:szCs w:val="20"/>
              </w:rPr>
            </w:pPr>
            <w:r w:rsidRPr="00161BF0">
              <w:rPr>
                <w:b/>
                <w:sz w:val="20"/>
                <w:szCs w:val="20"/>
              </w:rPr>
              <w:t>L</w:t>
            </w:r>
          </w:p>
          <w:p w14:paraId="31F36122" w14:textId="51F4CBC0" w:rsidR="008E035A" w:rsidRPr="00161BF0" w:rsidRDefault="008E035A">
            <w:pPr>
              <w:jc w:val="center"/>
              <w:rPr>
                <w:b/>
                <w:sz w:val="20"/>
                <w:szCs w:val="20"/>
              </w:rPr>
            </w:pPr>
            <w:r w:rsidRPr="00161BF0">
              <w:rPr>
                <w:b/>
                <w:sz w:val="20"/>
                <w:szCs w:val="20"/>
              </w:rPr>
              <w:t>I</w:t>
            </w:r>
          </w:p>
          <w:p w14:paraId="449A1B36" w14:textId="2D36CC51" w:rsidR="008E035A" w:rsidRPr="00161BF0" w:rsidRDefault="008E035A">
            <w:pPr>
              <w:jc w:val="center"/>
              <w:rPr>
                <w:b/>
                <w:sz w:val="20"/>
                <w:szCs w:val="20"/>
              </w:rPr>
            </w:pPr>
            <w:r w:rsidRPr="00161BF0">
              <w:rPr>
                <w:b/>
                <w:sz w:val="20"/>
                <w:szCs w:val="20"/>
              </w:rPr>
              <w:lastRenderedPageBreak/>
              <w:t>K</w:t>
            </w:r>
          </w:p>
          <w:p w14:paraId="6712AD0C" w14:textId="4E0B1D87" w:rsidR="008E035A" w:rsidRPr="00161BF0" w:rsidRDefault="008E035A">
            <w:pPr>
              <w:jc w:val="center"/>
              <w:rPr>
                <w:b/>
                <w:sz w:val="20"/>
                <w:szCs w:val="20"/>
              </w:rPr>
            </w:pPr>
            <w:r w:rsidRPr="00161BF0">
              <w:rPr>
                <w:b/>
                <w:sz w:val="20"/>
                <w:szCs w:val="20"/>
              </w:rPr>
              <w:t>E</w:t>
            </w:r>
          </w:p>
          <w:p w14:paraId="6AB1E80E" w14:textId="1B789185" w:rsidR="008E035A" w:rsidRPr="00161BF0" w:rsidRDefault="008E035A">
            <w:pPr>
              <w:jc w:val="center"/>
              <w:rPr>
                <w:b/>
                <w:sz w:val="20"/>
                <w:szCs w:val="20"/>
              </w:rPr>
            </w:pPr>
            <w:r w:rsidRPr="00161BF0">
              <w:rPr>
                <w:b/>
                <w:sz w:val="20"/>
                <w:szCs w:val="20"/>
              </w:rPr>
              <w:t>L</w:t>
            </w:r>
          </w:p>
          <w:p w14:paraId="7B736E1C" w14:textId="77777777" w:rsidR="008E035A" w:rsidRPr="00161BF0" w:rsidRDefault="008E035A">
            <w:pPr>
              <w:jc w:val="center"/>
              <w:rPr>
                <w:b/>
                <w:sz w:val="20"/>
                <w:szCs w:val="20"/>
              </w:rPr>
            </w:pPr>
            <w:r w:rsidRPr="00161BF0">
              <w:rPr>
                <w:b/>
                <w:sz w:val="20"/>
                <w:szCs w:val="20"/>
              </w:rPr>
              <w:t>I</w:t>
            </w:r>
          </w:p>
          <w:p w14:paraId="33F72F8F" w14:textId="77777777" w:rsidR="008E035A" w:rsidRPr="00161BF0" w:rsidRDefault="008E035A">
            <w:pPr>
              <w:jc w:val="center"/>
              <w:rPr>
                <w:b/>
                <w:sz w:val="20"/>
                <w:szCs w:val="20"/>
              </w:rPr>
            </w:pPr>
            <w:r w:rsidRPr="00161BF0">
              <w:rPr>
                <w:b/>
                <w:sz w:val="20"/>
                <w:szCs w:val="20"/>
              </w:rPr>
              <w:t>H</w:t>
            </w:r>
          </w:p>
          <w:p w14:paraId="67AAF7AB" w14:textId="77777777" w:rsidR="008E035A" w:rsidRPr="00161BF0" w:rsidRDefault="008E035A">
            <w:pPr>
              <w:jc w:val="center"/>
              <w:rPr>
                <w:b/>
                <w:sz w:val="20"/>
                <w:szCs w:val="20"/>
              </w:rPr>
            </w:pPr>
            <w:r w:rsidRPr="00161BF0">
              <w:rPr>
                <w:b/>
                <w:sz w:val="20"/>
                <w:szCs w:val="20"/>
              </w:rPr>
              <w:t>O</w:t>
            </w:r>
          </w:p>
          <w:p w14:paraId="15736AA3" w14:textId="77777777" w:rsidR="008E035A" w:rsidRPr="00161BF0" w:rsidRDefault="008E035A">
            <w:pPr>
              <w:jc w:val="center"/>
              <w:rPr>
                <w:b/>
                <w:sz w:val="20"/>
                <w:szCs w:val="20"/>
              </w:rPr>
            </w:pPr>
            <w:r w:rsidRPr="00161BF0">
              <w:rPr>
                <w:b/>
                <w:sz w:val="20"/>
                <w:szCs w:val="20"/>
              </w:rPr>
              <w:t>O</w:t>
            </w:r>
          </w:p>
          <w:p w14:paraId="5E789CA5" w14:textId="35A35797" w:rsidR="008E035A" w:rsidRPr="00161BF0" w:rsidRDefault="008E035A" w:rsidP="008E035A">
            <w:pPr>
              <w:jc w:val="center"/>
              <w:rPr>
                <w:b/>
                <w:sz w:val="20"/>
                <w:szCs w:val="20"/>
              </w:rPr>
            </w:pPr>
            <w:r w:rsidRPr="00161BF0">
              <w:rPr>
                <w:b/>
                <w:sz w:val="20"/>
                <w:szCs w:val="20"/>
              </w:rPr>
              <w:t>D</w:t>
            </w:r>
          </w:p>
          <w:p w14:paraId="2BD17BAB" w14:textId="77777777" w:rsidR="008E035A" w:rsidRPr="00161BF0" w:rsidRDefault="008E035A">
            <w:pPr>
              <w:jc w:val="center"/>
              <w:rPr>
                <w:b/>
                <w:sz w:val="20"/>
                <w:szCs w:val="20"/>
              </w:rPr>
            </w:pPr>
          </w:p>
          <w:p w14:paraId="00E9085F" w14:textId="77777777" w:rsidR="008E035A" w:rsidRPr="00161BF0" w:rsidRDefault="008E035A">
            <w:pPr>
              <w:jc w:val="center"/>
              <w:rPr>
                <w:b/>
                <w:sz w:val="20"/>
                <w:szCs w:val="20"/>
              </w:rPr>
            </w:pPr>
            <w:r w:rsidRPr="00161BF0">
              <w:rPr>
                <w:b/>
                <w:sz w:val="20"/>
                <w:szCs w:val="20"/>
              </w:rPr>
              <w:t>O</w:t>
            </w:r>
          </w:p>
          <w:p w14:paraId="06F2E6AD" w14:textId="77777777" w:rsidR="008E035A" w:rsidRDefault="008E035A">
            <w:pPr>
              <w:jc w:val="center"/>
              <w:rPr>
                <w:b/>
                <w:sz w:val="20"/>
                <w:szCs w:val="20"/>
              </w:rPr>
            </w:pPr>
            <w:r w:rsidRPr="00161BF0">
              <w:rPr>
                <w:b/>
                <w:sz w:val="20"/>
                <w:szCs w:val="20"/>
              </w:rPr>
              <w:t>F</w:t>
            </w:r>
          </w:p>
          <w:p w14:paraId="0886AE2F" w14:textId="77777777" w:rsidR="002A2A2B" w:rsidRDefault="002A2A2B">
            <w:pPr>
              <w:jc w:val="center"/>
              <w:rPr>
                <w:b/>
                <w:sz w:val="20"/>
                <w:szCs w:val="20"/>
              </w:rPr>
            </w:pPr>
          </w:p>
          <w:p w14:paraId="31D4E80A" w14:textId="77777777" w:rsidR="002A2A2B" w:rsidRDefault="002A2A2B">
            <w:pPr>
              <w:jc w:val="center"/>
              <w:rPr>
                <w:b/>
                <w:sz w:val="20"/>
                <w:szCs w:val="20"/>
              </w:rPr>
            </w:pPr>
            <w:r>
              <w:rPr>
                <w:b/>
                <w:sz w:val="20"/>
                <w:szCs w:val="20"/>
              </w:rPr>
              <w:t>I</w:t>
            </w:r>
          </w:p>
          <w:p w14:paraId="4FD68C7E" w14:textId="77777777" w:rsidR="002A2A2B" w:rsidRDefault="002A2A2B">
            <w:pPr>
              <w:jc w:val="center"/>
              <w:rPr>
                <w:b/>
                <w:sz w:val="20"/>
                <w:szCs w:val="20"/>
              </w:rPr>
            </w:pPr>
            <w:r>
              <w:rPr>
                <w:b/>
                <w:sz w:val="20"/>
                <w:szCs w:val="20"/>
              </w:rPr>
              <w:t>N</w:t>
            </w:r>
          </w:p>
          <w:p w14:paraId="33D2D87E" w14:textId="77777777" w:rsidR="002A2A2B" w:rsidRDefault="002A2A2B">
            <w:pPr>
              <w:jc w:val="center"/>
              <w:rPr>
                <w:b/>
                <w:sz w:val="20"/>
                <w:szCs w:val="20"/>
              </w:rPr>
            </w:pPr>
            <w:r>
              <w:rPr>
                <w:b/>
                <w:sz w:val="20"/>
                <w:szCs w:val="20"/>
              </w:rPr>
              <w:t>C</w:t>
            </w:r>
          </w:p>
          <w:p w14:paraId="2D3D2209" w14:textId="77777777" w:rsidR="002A2A2B" w:rsidRDefault="002A2A2B">
            <w:pPr>
              <w:jc w:val="center"/>
              <w:rPr>
                <w:b/>
                <w:sz w:val="20"/>
                <w:szCs w:val="20"/>
              </w:rPr>
            </w:pPr>
            <w:r>
              <w:rPr>
                <w:b/>
                <w:sz w:val="20"/>
                <w:szCs w:val="20"/>
              </w:rPr>
              <w:t>R</w:t>
            </w:r>
          </w:p>
          <w:p w14:paraId="0F724205" w14:textId="77777777" w:rsidR="002A2A2B" w:rsidRDefault="002A2A2B">
            <w:pPr>
              <w:jc w:val="center"/>
              <w:rPr>
                <w:b/>
                <w:sz w:val="20"/>
                <w:szCs w:val="20"/>
              </w:rPr>
            </w:pPr>
            <w:r>
              <w:rPr>
                <w:b/>
                <w:sz w:val="20"/>
                <w:szCs w:val="20"/>
              </w:rPr>
              <w:t>E</w:t>
            </w:r>
          </w:p>
          <w:p w14:paraId="2920550A" w14:textId="77777777" w:rsidR="002A2A2B" w:rsidRDefault="002A2A2B">
            <w:pPr>
              <w:jc w:val="center"/>
              <w:rPr>
                <w:b/>
                <w:sz w:val="20"/>
                <w:szCs w:val="20"/>
              </w:rPr>
            </w:pPr>
            <w:r>
              <w:rPr>
                <w:b/>
                <w:sz w:val="20"/>
                <w:szCs w:val="20"/>
              </w:rPr>
              <w:t>A</w:t>
            </w:r>
          </w:p>
          <w:p w14:paraId="20AFB3AC" w14:textId="77777777" w:rsidR="002A2A2B" w:rsidRDefault="002A2A2B">
            <w:pPr>
              <w:jc w:val="center"/>
              <w:rPr>
                <w:b/>
                <w:sz w:val="20"/>
                <w:szCs w:val="20"/>
              </w:rPr>
            </w:pPr>
            <w:r>
              <w:rPr>
                <w:b/>
                <w:sz w:val="20"/>
                <w:szCs w:val="20"/>
              </w:rPr>
              <w:t>S</w:t>
            </w:r>
          </w:p>
          <w:p w14:paraId="1D8F5FC8" w14:textId="77777777" w:rsidR="002A2A2B" w:rsidRDefault="002A2A2B">
            <w:pPr>
              <w:jc w:val="center"/>
              <w:rPr>
                <w:b/>
                <w:sz w:val="20"/>
                <w:szCs w:val="20"/>
              </w:rPr>
            </w:pPr>
            <w:r>
              <w:rPr>
                <w:b/>
                <w:sz w:val="20"/>
                <w:szCs w:val="20"/>
              </w:rPr>
              <w:t>I</w:t>
            </w:r>
          </w:p>
          <w:p w14:paraId="409AE855" w14:textId="77777777" w:rsidR="002A2A2B" w:rsidRDefault="002A2A2B">
            <w:pPr>
              <w:jc w:val="center"/>
              <w:rPr>
                <w:b/>
                <w:sz w:val="20"/>
                <w:szCs w:val="20"/>
              </w:rPr>
            </w:pPr>
            <w:r>
              <w:rPr>
                <w:b/>
                <w:sz w:val="20"/>
                <w:szCs w:val="20"/>
              </w:rPr>
              <w:t>N</w:t>
            </w:r>
          </w:p>
          <w:p w14:paraId="6D7AD7B4" w14:textId="767C6095" w:rsidR="002A2A2B" w:rsidRPr="00161BF0" w:rsidRDefault="002A2A2B">
            <w:pPr>
              <w:jc w:val="center"/>
              <w:rPr>
                <w:b/>
                <w:sz w:val="20"/>
                <w:szCs w:val="20"/>
              </w:rPr>
            </w:pPr>
            <w:r>
              <w:rPr>
                <w:b/>
                <w:sz w:val="20"/>
                <w:szCs w:val="20"/>
              </w:rPr>
              <w:t>G</w:t>
            </w:r>
          </w:p>
          <w:p w14:paraId="18A20998" w14:textId="77777777" w:rsidR="008E035A" w:rsidRPr="00161BF0" w:rsidRDefault="008E035A">
            <w:pPr>
              <w:jc w:val="center"/>
              <w:rPr>
                <w:b/>
                <w:sz w:val="20"/>
                <w:szCs w:val="20"/>
              </w:rPr>
            </w:pPr>
          </w:p>
          <w:p w14:paraId="188870E2" w14:textId="77777777" w:rsidR="005E14D3" w:rsidRPr="00161BF0" w:rsidRDefault="005E14D3">
            <w:pPr>
              <w:jc w:val="center"/>
              <w:rPr>
                <w:b/>
                <w:sz w:val="20"/>
                <w:szCs w:val="20"/>
              </w:rPr>
            </w:pPr>
            <w:r w:rsidRPr="00161BF0">
              <w:rPr>
                <w:b/>
                <w:sz w:val="20"/>
                <w:szCs w:val="20"/>
              </w:rPr>
              <w:t>V</w:t>
            </w:r>
          </w:p>
          <w:p w14:paraId="75A536EE" w14:textId="77777777" w:rsidR="005E14D3" w:rsidRPr="00161BF0" w:rsidRDefault="005E14D3">
            <w:pPr>
              <w:jc w:val="center"/>
              <w:rPr>
                <w:b/>
                <w:sz w:val="20"/>
                <w:szCs w:val="20"/>
              </w:rPr>
            </w:pPr>
            <w:r w:rsidRPr="00161BF0">
              <w:rPr>
                <w:b/>
                <w:sz w:val="20"/>
                <w:szCs w:val="20"/>
              </w:rPr>
              <w:t>I</w:t>
            </w:r>
          </w:p>
          <w:p w14:paraId="55B3FE5E" w14:textId="77777777" w:rsidR="005E14D3" w:rsidRPr="00161BF0" w:rsidRDefault="005E14D3">
            <w:pPr>
              <w:jc w:val="center"/>
              <w:rPr>
                <w:b/>
                <w:sz w:val="20"/>
                <w:szCs w:val="20"/>
              </w:rPr>
            </w:pPr>
            <w:r w:rsidRPr="00161BF0">
              <w:rPr>
                <w:b/>
                <w:sz w:val="20"/>
                <w:szCs w:val="20"/>
              </w:rPr>
              <w:t>O</w:t>
            </w:r>
          </w:p>
          <w:p w14:paraId="2E4BEC3E" w14:textId="77777777" w:rsidR="005E14D3" w:rsidRPr="00161BF0" w:rsidRDefault="005E14D3" w:rsidP="005E14D3">
            <w:pPr>
              <w:jc w:val="center"/>
              <w:rPr>
                <w:b/>
                <w:sz w:val="20"/>
                <w:szCs w:val="20"/>
              </w:rPr>
            </w:pPr>
            <w:r w:rsidRPr="00161BF0">
              <w:rPr>
                <w:b/>
                <w:sz w:val="20"/>
                <w:szCs w:val="20"/>
              </w:rPr>
              <w:t>L</w:t>
            </w:r>
          </w:p>
          <w:p w14:paraId="36F71A37" w14:textId="77777777" w:rsidR="005E14D3" w:rsidRPr="00161BF0" w:rsidRDefault="005E14D3" w:rsidP="005E14D3">
            <w:pPr>
              <w:jc w:val="center"/>
              <w:rPr>
                <w:b/>
                <w:sz w:val="20"/>
                <w:szCs w:val="20"/>
              </w:rPr>
            </w:pPr>
            <w:r w:rsidRPr="00161BF0">
              <w:rPr>
                <w:b/>
                <w:sz w:val="20"/>
                <w:szCs w:val="20"/>
              </w:rPr>
              <w:t>E</w:t>
            </w:r>
          </w:p>
          <w:p w14:paraId="0F4CD0C6" w14:textId="77777777" w:rsidR="005E14D3" w:rsidRPr="00161BF0" w:rsidRDefault="005E14D3" w:rsidP="005E14D3">
            <w:pPr>
              <w:jc w:val="center"/>
              <w:rPr>
                <w:b/>
                <w:sz w:val="20"/>
                <w:szCs w:val="20"/>
              </w:rPr>
            </w:pPr>
            <w:r w:rsidRPr="00161BF0">
              <w:rPr>
                <w:b/>
                <w:sz w:val="20"/>
                <w:szCs w:val="20"/>
              </w:rPr>
              <w:t>N</w:t>
            </w:r>
          </w:p>
          <w:p w14:paraId="2F4E99DD" w14:textId="77777777" w:rsidR="005E14D3" w:rsidRPr="00161BF0" w:rsidRDefault="005E14D3" w:rsidP="005E14D3">
            <w:pPr>
              <w:jc w:val="center"/>
              <w:rPr>
                <w:b/>
                <w:sz w:val="20"/>
                <w:szCs w:val="20"/>
              </w:rPr>
            </w:pPr>
            <w:r w:rsidRPr="00161BF0">
              <w:rPr>
                <w:b/>
                <w:sz w:val="20"/>
                <w:szCs w:val="20"/>
              </w:rPr>
              <w:t>C</w:t>
            </w:r>
          </w:p>
          <w:p w14:paraId="69FAD1C9" w14:textId="11BFF6E0" w:rsidR="008E035A" w:rsidRPr="00161BF0" w:rsidRDefault="005E14D3" w:rsidP="005E14D3">
            <w:pPr>
              <w:jc w:val="center"/>
              <w:rPr>
                <w:b/>
                <w:sz w:val="20"/>
                <w:szCs w:val="20"/>
              </w:rPr>
            </w:pPr>
            <w:r w:rsidRPr="00161BF0">
              <w:rPr>
                <w:b/>
                <w:sz w:val="20"/>
                <w:szCs w:val="20"/>
              </w:rPr>
              <w:t>E</w:t>
            </w:r>
          </w:p>
          <w:p w14:paraId="564F0703" w14:textId="0A6D6240" w:rsidR="008E035A" w:rsidRPr="00161BF0" w:rsidRDefault="008E035A" w:rsidP="00161BF0">
            <w:pPr>
              <w:rPr>
                <w:b/>
                <w:sz w:val="20"/>
                <w:szCs w:val="20"/>
              </w:rPr>
            </w:pPr>
          </w:p>
          <w:p w14:paraId="4155EB2A" w14:textId="215EF5A9" w:rsidR="008E035A" w:rsidRPr="00161BF0" w:rsidRDefault="008E035A">
            <w:pPr>
              <w:jc w:val="center"/>
              <w:rPr>
                <w:b/>
                <w:sz w:val="20"/>
                <w:szCs w:val="20"/>
              </w:rPr>
            </w:pPr>
          </w:p>
          <w:p w14:paraId="5563E830" w14:textId="53032803" w:rsidR="008E035A" w:rsidRPr="00161BF0" w:rsidRDefault="008E035A">
            <w:pPr>
              <w:jc w:val="center"/>
              <w:rPr>
                <w:b/>
                <w:sz w:val="20"/>
                <w:szCs w:val="20"/>
              </w:rPr>
            </w:pPr>
          </w:p>
          <w:p w14:paraId="53278088" w14:textId="3B22F034" w:rsidR="008E035A" w:rsidRPr="00161BF0" w:rsidRDefault="008E035A">
            <w:pPr>
              <w:jc w:val="center"/>
              <w:rPr>
                <w:b/>
                <w:sz w:val="20"/>
                <w:szCs w:val="20"/>
              </w:rPr>
            </w:pPr>
          </w:p>
          <w:p w14:paraId="5731FFC9" w14:textId="4665D10F" w:rsidR="008E035A" w:rsidRPr="00161BF0" w:rsidRDefault="008E035A">
            <w:pPr>
              <w:jc w:val="center"/>
              <w:rPr>
                <w:b/>
                <w:sz w:val="20"/>
                <w:szCs w:val="20"/>
              </w:rPr>
            </w:pPr>
          </w:p>
          <w:p w14:paraId="79FEA586" w14:textId="4B1201F1" w:rsidR="008E035A" w:rsidRPr="00161BF0" w:rsidRDefault="008E035A">
            <w:pPr>
              <w:jc w:val="center"/>
              <w:rPr>
                <w:b/>
                <w:sz w:val="20"/>
                <w:szCs w:val="20"/>
              </w:rPr>
            </w:pPr>
          </w:p>
          <w:p w14:paraId="415ED2B2" w14:textId="0CE15E0F" w:rsidR="008E035A" w:rsidRPr="00161BF0" w:rsidRDefault="008E035A">
            <w:pPr>
              <w:jc w:val="center"/>
              <w:rPr>
                <w:b/>
                <w:sz w:val="20"/>
                <w:szCs w:val="20"/>
              </w:rPr>
            </w:pPr>
          </w:p>
          <w:p w14:paraId="0D652DA4" w14:textId="77777777" w:rsidR="00584D1B" w:rsidRPr="00161BF0" w:rsidRDefault="00584D1B">
            <w:pPr>
              <w:jc w:val="center"/>
              <w:rPr>
                <w:b/>
                <w:sz w:val="20"/>
                <w:szCs w:val="20"/>
              </w:rPr>
            </w:pPr>
          </w:p>
          <w:p w14:paraId="7D94A2E6" w14:textId="77777777" w:rsidR="00584D1B" w:rsidRPr="00161BF0" w:rsidRDefault="00584D1B">
            <w:pPr>
              <w:jc w:val="center"/>
              <w:rPr>
                <w:b/>
                <w:sz w:val="20"/>
                <w:szCs w:val="20"/>
              </w:rPr>
            </w:pPr>
          </w:p>
          <w:p w14:paraId="4A3A45D8" w14:textId="77777777" w:rsidR="00584D1B" w:rsidRPr="00161BF0" w:rsidRDefault="00584D1B">
            <w:pPr>
              <w:jc w:val="center"/>
              <w:rPr>
                <w:b/>
                <w:sz w:val="20"/>
                <w:szCs w:val="20"/>
              </w:rPr>
            </w:pPr>
          </w:p>
          <w:p w14:paraId="389645B6" w14:textId="77777777" w:rsidR="00584D1B" w:rsidRPr="00161BF0" w:rsidRDefault="00584D1B">
            <w:pPr>
              <w:jc w:val="center"/>
              <w:rPr>
                <w:b/>
                <w:sz w:val="20"/>
                <w:szCs w:val="20"/>
              </w:rPr>
            </w:pPr>
          </w:p>
          <w:p w14:paraId="77FD3393" w14:textId="77777777" w:rsidR="00584D1B" w:rsidRPr="00161BF0" w:rsidRDefault="00584D1B">
            <w:pPr>
              <w:jc w:val="center"/>
              <w:rPr>
                <w:b/>
                <w:sz w:val="20"/>
                <w:szCs w:val="20"/>
              </w:rPr>
            </w:pPr>
          </w:p>
          <w:p w14:paraId="47B09426" w14:textId="77777777" w:rsidR="00584D1B" w:rsidRPr="00161BF0" w:rsidRDefault="00584D1B">
            <w:pPr>
              <w:jc w:val="center"/>
              <w:rPr>
                <w:b/>
                <w:sz w:val="20"/>
                <w:szCs w:val="20"/>
              </w:rPr>
            </w:pPr>
          </w:p>
          <w:p w14:paraId="5C30587C" w14:textId="77777777" w:rsidR="00584D1B" w:rsidRPr="00161BF0" w:rsidRDefault="00584D1B">
            <w:pPr>
              <w:jc w:val="center"/>
              <w:rPr>
                <w:b/>
                <w:sz w:val="20"/>
                <w:szCs w:val="20"/>
              </w:rPr>
            </w:pPr>
          </w:p>
          <w:p w14:paraId="45BF6F5A" w14:textId="77777777" w:rsidR="00584D1B" w:rsidRPr="00161BF0" w:rsidRDefault="00584D1B">
            <w:pPr>
              <w:jc w:val="center"/>
              <w:rPr>
                <w:b/>
                <w:sz w:val="20"/>
                <w:szCs w:val="20"/>
              </w:rPr>
            </w:pPr>
          </w:p>
          <w:p w14:paraId="5C1FB585" w14:textId="77777777" w:rsidR="00584D1B" w:rsidRPr="00161BF0" w:rsidRDefault="00584D1B">
            <w:pPr>
              <w:jc w:val="center"/>
              <w:rPr>
                <w:b/>
                <w:sz w:val="20"/>
                <w:szCs w:val="20"/>
              </w:rPr>
            </w:pPr>
          </w:p>
          <w:p w14:paraId="4783A9C0" w14:textId="77777777" w:rsidR="00584D1B" w:rsidRPr="00161BF0" w:rsidRDefault="00584D1B">
            <w:pPr>
              <w:jc w:val="center"/>
              <w:rPr>
                <w:b/>
                <w:sz w:val="20"/>
                <w:szCs w:val="20"/>
              </w:rPr>
            </w:pPr>
          </w:p>
          <w:p w14:paraId="2113FCF3" w14:textId="77777777" w:rsidR="00584D1B" w:rsidRPr="00161BF0" w:rsidRDefault="00584D1B">
            <w:pPr>
              <w:jc w:val="center"/>
              <w:rPr>
                <w:b/>
                <w:sz w:val="20"/>
                <w:szCs w:val="20"/>
              </w:rPr>
            </w:pPr>
          </w:p>
          <w:p w14:paraId="16DBB3B9" w14:textId="77777777" w:rsidR="00584D1B" w:rsidRPr="00161BF0" w:rsidRDefault="00584D1B">
            <w:pPr>
              <w:jc w:val="center"/>
              <w:rPr>
                <w:b/>
                <w:sz w:val="20"/>
                <w:szCs w:val="20"/>
              </w:rPr>
            </w:pPr>
          </w:p>
          <w:p w14:paraId="058A7197" w14:textId="77777777" w:rsidR="00584D1B" w:rsidRPr="00161BF0" w:rsidRDefault="00584D1B">
            <w:pPr>
              <w:jc w:val="center"/>
              <w:rPr>
                <w:b/>
                <w:sz w:val="20"/>
                <w:szCs w:val="20"/>
              </w:rPr>
            </w:pPr>
          </w:p>
          <w:p w14:paraId="389314DC" w14:textId="5B804190" w:rsidR="00584D1B" w:rsidRPr="00161BF0" w:rsidRDefault="008E035A" w:rsidP="008E035A">
            <w:pPr>
              <w:rPr>
                <w:b/>
                <w:sz w:val="20"/>
                <w:szCs w:val="20"/>
                <w:lang w:val="en-US"/>
              </w:rPr>
            </w:pPr>
            <w:r w:rsidRPr="00161BF0">
              <w:rPr>
                <w:b/>
                <w:sz w:val="20"/>
                <w:szCs w:val="20"/>
              </w:rPr>
              <w:t>HIGH</w:t>
            </w:r>
          </w:p>
        </w:tc>
      </w:tr>
      <w:tr w:rsidR="00D96A44" w14:paraId="0FCD3273" w14:textId="77777777" w:rsidTr="00161BF0">
        <w:tc>
          <w:tcPr>
            <w:tcW w:w="1773" w:type="dxa"/>
            <w:tcBorders>
              <w:top w:val="single" w:sz="4" w:space="0" w:color="auto"/>
              <w:left w:val="single" w:sz="4" w:space="0" w:color="auto"/>
              <w:bottom w:val="single" w:sz="4" w:space="0" w:color="auto"/>
              <w:right w:val="single" w:sz="4" w:space="0" w:color="auto"/>
            </w:tcBorders>
          </w:tcPr>
          <w:p w14:paraId="3247EBB7" w14:textId="1CB2127F" w:rsidR="00584D1B" w:rsidRPr="00161BF0" w:rsidRDefault="00584D1B">
            <w:pPr>
              <w:rPr>
                <w:sz w:val="20"/>
                <w:szCs w:val="20"/>
              </w:rPr>
            </w:pPr>
          </w:p>
          <w:p w14:paraId="0C2A9B48" w14:textId="77777777" w:rsidR="00584D1B" w:rsidRPr="00161BF0" w:rsidRDefault="00584D1B">
            <w:pPr>
              <w:rPr>
                <w:sz w:val="20"/>
                <w:szCs w:val="20"/>
              </w:rPr>
            </w:pPr>
          </w:p>
          <w:p w14:paraId="5993DDCA" w14:textId="77777777" w:rsidR="00584D1B" w:rsidRPr="00161BF0" w:rsidRDefault="00584D1B">
            <w:pPr>
              <w:rPr>
                <w:sz w:val="20"/>
                <w:szCs w:val="20"/>
              </w:rPr>
            </w:pPr>
          </w:p>
          <w:p w14:paraId="637B5E98" w14:textId="77777777" w:rsidR="00B22209" w:rsidRPr="005422CF" w:rsidRDefault="00584D1B">
            <w:pPr>
              <w:rPr>
                <w:b/>
                <w:sz w:val="20"/>
                <w:szCs w:val="20"/>
              </w:rPr>
            </w:pPr>
            <w:r w:rsidRPr="005422CF">
              <w:rPr>
                <w:b/>
                <w:sz w:val="20"/>
                <w:szCs w:val="20"/>
              </w:rPr>
              <w:t xml:space="preserve">Scenario 1:  </w:t>
            </w:r>
          </w:p>
          <w:p w14:paraId="18B076E9" w14:textId="1A1AC6F3" w:rsidR="00584D1B" w:rsidRPr="00161BF0" w:rsidRDefault="00B22209">
            <w:pPr>
              <w:rPr>
                <w:sz w:val="20"/>
                <w:szCs w:val="20"/>
              </w:rPr>
            </w:pPr>
            <w:r w:rsidRPr="005422CF">
              <w:rPr>
                <w:b/>
                <w:sz w:val="20"/>
                <w:szCs w:val="20"/>
              </w:rPr>
              <w:t xml:space="preserve">Negotiations successful &amp; </w:t>
            </w:r>
            <w:r w:rsidR="00584D1B" w:rsidRPr="005422CF">
              <w:rPr>
                <w:b/>
                <w:sz w:val="20"/>
                <w:szCs w:val="20"/>
              </w:rPr>
              <w:t xml:space="preserve">BBL/Enabling </w:t>
            </w:r>
            <w:r w:rsidR="00584D1B" w:rsidRPr="005422CF">
              <w:rPr>
                <w:b/>
                <w:sz w:val="20"/>
                <w:szCs w:val="20"/>
              </w:rPr>
              <w:lastRenderedPageBreak/>
              <w:t>Law Filed in Congress</w:t>
            </w:r>
          </w:p>
        </w:tc>
        <w:tc>
          <w:tcPr>
            <w:tcW w:w="2866" w:type="dxa"/>
            <w:tcBorders>
              <w:top w:val="single" w:sz="4" w:space="0" w:color="auto"/>
              <w:left w:val="single" w:sz="4" w:space="0" w:color="auto"/>
              <w:bottom w:val="single" w:sz="4" w:space="0" w:color="auto"/>
              <w:right w:val="single" w:sz="4" w:space="0" w:color="auto"/>
            </w:tcBorders>
            <w:hideMark/>
          </w:tcPr>
          <w:p w14:paraId="44CE8B08" w14:textId="48BE01DE" w:rsidR="00584D1B" w:rsidRPr="00161BF0" w:rsidRDefault="008E035A" w:rsidP="00584D1B">
            <w:pPr>
              <w:pStyle w:val="ListParagraph"/>
              <w:numPr>
                <w:ilvl w:val="0"/>
                <w:numId w:val="19"/>
              </w:numPr>
              <w:tabs>
                <w:tab w:val="left" w:pos="196"/>
              </w:tabs>
              <w:ind w:left="0" w:firstLine="0"/>
              <w:rPr>
                <w:sz w:val="20"/>
                <w:szCs w:val="20"/>
              </w:rPr>
            </w:pPr>
            <w:r w:rsidRPr="00161BF0">
              <w:rPr>
                <w:sz w:val="20"/>
                <w:szCs w:val="20"/>
              </w:rPr>
              <w:lastRenderedPageBreak/>
              <w:t>Donors/Moro</w:t>
            </w:r>
            <w:r w:rsidR="005422CF">
              <w:rPr>
                <w:sz w:val="20"/>
                <w:szCs w:val="20"/>
              </w:rPr>
              <w:t>s</w:t>
            </w:r>
            <w:r w:rsidRPr="00161BF0">
              <w:rPr>
                <w:sz w:val="20"/>
                <w:szCs w:val="20"/>
              </w:rPr>
              <w:t xml:space="preserve"> able to leverage additional GPH funds for conflict-affected areas (CAAs)</w:t>
            </w:r>
          </w:p>
          <w:p w14:paraId="42B88933" w14:textId="77777777" w:rsidR="00584D1B" w:rsidRPr="00161BF0" w:rsidRDefault="00584D1B" w:rsidP="00584D1B">
            <w:pPr>
              <w:pStyle w:val="ListParagraph"/>
              <w:numPr>
                <w:ilvl w:val="0"/>
                <w:numId w:val="19"/>
              </w:numPr>
              <w:tabs>
                <w:tab w:val="left" w:pos="196"/>
              </w:tabs>
              <w:ind w:left="0" w:firstLine="0"/>
              <w:rPr>
                <w:sz w:val="20"/>
                <w:szCs w:val="20"/>
              </w:rPr>
            </w:pPr>
            <w:r w:rsidRPr="00161BF0">
              <w:rPr>
                <w:sz w:val="20"/>
                <w:szCs w:val="20"/>
              </w:rPr>
              <w:t>Harmonizing Moro rebel groups agendas</w:t>
            </w:r>
          </w:p>
          <w:p w14:paraId="3C743475" w14:textId="77777777" w:rsidR="00584D1B" w:rsidRPr="00161BF0" w:rsidRDefault="00584D1B" w:rsidP="00584D1B">
            <w:pPr>
              <w:pStyle w:val="ListParagraph"/>
              <w:numPr>
                <w:ilvl w:val="0"/>
                <w:numId w:val="19"/>
              </w:numPr>
              <w:tabs>
                <w:tab w:val="left" w:pos="196"/>
              </w:tabs>
              <w:ind w:left="0" w:firstLine="0"/>
              <w:rPr>
                <w:sz w:val="20"/>
                <w:szCs w:val="20"/>
              </w:rPr>
            </w:pPr>
            <w:r w:rsidRPr="00161BF0">
              <w:rPr>
                <w:sz w:val="20"/>
                <w:szCs w:val="20"/>
              </w:rPr>
              <w:t>Establishment of Bangsamoro Trust Fund</w:t>
            </w:r>
          </w:p>
          <w:p w14:paraId="510D388E" w14:textId="5CD3D48C" w:rsidR="00584D1B" w:rsidRPr="00161BF0" w:rsidRDefault="005422CF" w:rsidP="00584D1B">
            <w:pPr>
              <w:pStyle w:val="ListParagraph"/>
              <w:numPr>
                <w:ilvl w:val="0"/>
                <w:numId w:val="19"/>
              </w:numPr>
              <w:tabs>
                <w:tab w:val="left" w:pos="196"/>
              </w:tabs>
              <w:ind w:left="0" w:firstLine="0"/>
              <w:rPr>
                <w:sz w:val="20"/>
                <w:szCs w:val="20"/>
              </w:rPr>
            </w:pPr>
            <w:r>
              <w:rPr>
                <w:sz w:val="20"/>
                <w:szCs w:val="20"/>
              </w:rPr>
              <w:lastRenderedPageBreak/>
              <w:t>Continuing TJR</w:t>
            </w:r>
            <w:r w:rsidR="00584D1B" w:rsidRPr="00161BF0">
              <w:rPr>
                <w:sz w:val="20"/>
                <w:szCs w:val="20"/>
              </w:rPr>
              <w:t>C work addressing injustice</w:t>
            </w:r>
          </w:p>
          <w:p w14:paraId="3FD99B3A" w14:textId="77777777" w:rsidR="00584D1B" w:rsidRPr="00161BF0" w:rsidRDefault="00B22209" w:rsidP="00B22209">
            <w:pPr>
              <w:pStyle w:val="ListParagraph"/>
              <w:numPr>
                <w:ilvl w:val="0"/>
                <w:numId w:val="19"/>
              </w:numPr>
              <w:tabs>
                <w:tab w:val="left" w:pos="196"/>
              </w:tabs>
              <w:ind w:left="0" w:firstLine="0"/>
              <w:rPr>
                <w:sz w:val="20"/>
                <w:szCs w:val="20"/>
                <w:lang w:val="en-US"/>
              </w:rPr>
            </w:pPr>
            <w:r w:rsidRPr="00161BF0">
              <w:rPr>
                <w:sz w:val="20"/>
                <w:szCs w:val="20"/>
              </w:rPr>
              <w:t>Continuing CDD projects</w:t>
            </w:r>
          </w:p>
          <w:p w14:paraId="033F8771" w14:textId="44F550EE" w:rsidR="00B22209" w:rsidRPr="00161BF0" w:rsidRDefault="00B22209" w:rsidP="00B22209">
            <w:pPr>
              <w:pStyle w:val="ListParagraph"/>
              <w:numPr>
                <w:ilvl w:val="0"/>
                <w:numId w:val="19"/>
              </w:numPr>
              <w:tabs>
                <w:tab w:val="left" w:pos="196"/>
              </w:tabs>
              <w:ind w:left="0" w:firstLine="0"/>
              <w:rPr>
                <w:sz w:val="20"/>
                <w:szCs w:val="20"/>
                <w:lang w:val="en-US"/>
              </w:rPr>
            </w:pPr>
            <w:r w:rsidRPr="00161BF0">
              <w:rPr>
                <w:sz w:val="20"/>
                <w:szCs w:val="20"/>
              </w:rPr>
              <w:t>Supporting CSO engagement on BBL passage</w:t>
            </w:r>
          </w:p>
        </w:tc>
        <w:tc>
          <w:tcPr>
            <w:tcW w:w="3308" w:type="dxa"/>
            <w:tcBorders>
              <w:top w:val="single" w:sz="4" w:space="0" w:color="auto"/>
              <w:left w:val="single" w:sz="4" w:space="0" w:color="auto"/>
              <w:bottom w:val="single" w:sz="4" w:space="0" w:color="auto"/>
              <w:right w:val="single" w:sz="4" w:space="0" w:color="auto"/>
            </w:tcBorders>
            <w:hideMark/>
          </w:tcPr>
          <w:p w14:paraId="347F9B98" w14:textId="72DEDDA5" w:rsidR="005E14D3" w:rsidRPr="00161BF0" w:rsidRDefault="005E14D3" w:rsidP="00584D1B">
            <w:pPr>
              <w:pStyle w:val="ListParagraph"/>
              <w:numPr>
                <w:ilvl w:val="0"/>
                <w:numId w:val="19"/>
              </w:numPr>
              <w:tabs>
                <w:tab w:val="left" w:pos="176"/>
              </w:tabs>
              <w:ind w:left="0" w:firstLine="0"/>
              <w:rPr>
                <w:sz w:val="20"/>
                <w:szCs w:val="20"/>
              </w:rPr>
            </w:pPr>
            <w:r w:rsidRPr="00161BF0">
              <w:rPr>
                <w:sz w:val="20"/>
                <w:szCs w:val="20"/>
              </w:rPr>
              <w:lastRenderedPageBreak/>
              <w:t xml:space="preserve">Fall in </w:t>
            </w:r>
            <w:r w:rsidR="000E3D17">
              <w:rPr>
                <w:sz w:val="20"/>
                <w:szCs w:val="20"/>
              </w:rPr>
              <w:t xml:space="preserve">President’s </w:t>
            </w:r>
            <w:r w:rsidRPr="00161BF0">
              <w:rPr>
                <w:sz w:val="20"/>
                <w:szCs w:val="20"/>
              </w:rPr>
              <w:t>political capital</w:t>
            </w:r>
          </w:p>
          <w:p w14:paraId="1E80D4B6" w14:textId="3A990B44" w:rsidR="005E14D3" w:rsidRDefault="00336A1F" w:rsidP="00584D1B">
            <w:pPr>
              <w:pStyle w:val="ListParagraph"/>
              <w:numPr>
                <w:ilvl w:val="0"/>
                <w:numId w:val="19"/>
              </w:numPr>
              <w:tabs>
                <w:tab w:val="left" w:pos="176"/>
              </w:tabs>
              <w:ind w:left="0" w:firstLine="0"/>
              <w:rPr>
                <w:sz w:val="20"/>
                <w:szCs w:val="20"/>
              </w:rPr>
            </w:pPr>
            <w:r>
              <w:rPr>
                <w:sz w:val="20"/>
                <w:szCs w:val="20"/>
              </w:rPr>
              <w:t>GPH foreign relations</w:t>
            </w:r>
            <w:r w:rsidR="005E14D3" w:rsidRPr="00161BF0">
              <w:rPr>
                <w:sz w:val="20"/>
                <w:szCs w:val="20"/>
              </w:rPr>
              <w:t xml:space="preserve"> complicate donor support</w:t>
            </w:r>
          </w:p>
          <w:p w14:paraId="6F00104B" w14:textId="22077773" w:rsidR="000E3D17" w:rsidRPr="00161BF0" w:rsidRDefault="000E3D17" w:rsidP="00584D1B">
            <w:pPr>
              <w:pStyle w:val="ListParagraph"/>
              <w:numPr>
                <w:ilvl w:val="0"/>
                <w:numId w:val="19"/>
              </w:numPr>
              <w:tabs>
                <w:tab w:val="left" w:pos="176"/>
              </w:tabs>
              <w:ind w:left="0" w:firstLine="0"/>
              <w:rPr>
                <w:sz w:val="20"/>
                <w:szCs w:val="20"/>
              </w:rPr>
            </w:pPr>
            <w:r>
              <w:rPr>
                <w:sz w:val="20"/>
                <w:szCs w:val="20"/>
              </w:rPr>
              <w:t>OPAPP spread too thin (e.g. NPA)</w:t>
            </w:r>
          </w:p>
          <w:p w14:paraId="26182190" w14:textId="0DBEF2B5" w:rsidR="005E14D3" w:rsidRPr="00161BF0" w:rsidRDefault="005E14D3" w:rsidP="00584D1B">
            <w:pPr>
              <w:pStyle w:val="ListParagraph"/>
              <w:numPr>
                <w:ilvl w:val="0"/>
                <w:numId w:val="19"/>
              </w:numPr>
              <w:tabs>
                <w:tab w:val="left" w:pos="176"/>
              </w:tabs>
              <w:ind w:left="0" w:firstLine="0"/>
              <w:rPr>
                <w:sz w:val="20"/>
                <w:szCs w:val="20"/>
              </w:rPr>
            </w:pPr>
            <w:r w:rsidRPr="00161BF0">
              <w:rPr>
                <w:sz w:val="20"/>
                <w:szCs w:val="20"/>
              </w:rPr>
              <w:t>Loss of GPH proponents of key donor mechanisms</w:t>
            </w:r>
          </w:p>
          <w:p w14:paraId="373BA416" w14:textId="77777777" w:rsidR="00584D1B" w:rsidRPr="00161BF0" w:rsidRDefault="00584D1B" w:rsidP="00584D1B">
            <w:pPr>
              <w:pStyle w:val="ListParagraph"/>
              <w:numPr>
                <w:ilvl w:val="0"/>
                <w:numId w:val="19"/>
              </w:numPr>
              <w:tabs>
                <w:tab w:val="left" w:pos="176"/>
              </w:tabs>
              <w:ind w:left="0" w:firstLine="0"/>
              <w:rPr>
                <w:sz w:val="20"/>
                <w:szCs w:val="20"/>
              </w:rPr>
            </w:pPr>
            <w:r w:rsidRPr="00161BF0">
              <w:rPr>
                <w:sz w:val="20"/>
                <w:szCs w:val="20"/>
              </w:rPr>
              <w:lastRenderedPageBreak/>
              <w:t>Expectations of peace dividends not met</w:t>
            </w:r>
          </w:p>
          <w:p w14:paraId="0612B604" w14:textId="5124EAD2" w:rsidR="00584D1B" w:rsidRPr="00161BF0" w:rsidRDefault="00584D1B" w:rsidP="00584D1B">
            <w:pPr>
              <w:pStyle w:val="ListParagraph"/>
              <w:numPr>
                <w:ilvl w:val="0"/>
                <w:numId w:val="19"/>
              </w:numPr>
              <w:tabs>
                <w:tab w:val="left" w:pos="176"/>
              </w:tabs>
              <w:ind w:left="0" w:firstLine="0"/>
              <w:rPr>
                <w:sz w:val="20"/>
                <w:szCs w:val="20"/>
              </w:rPr>
            </w:pPr>
            <w:r w:rsidRPr="00161BF0">
              <w:rPr>
                <w:sz w:val="20"/>
                <w:szCs w:val="20"/>
              </w:rPr>
              <w:t xml:space="preserve">Likely opposition to passage of Enabling Law </w:t>
            </w:r>
          </w:p>
          <w:p w14:paraId="16DD6FA7" w14:textId="306B6B1E" w:rsidR="00584D1B" w:rsidRPr="00161BF0" w:rsidRDefault="00584D1B" w:rsidP="00584D1B">
            <w:pPr>
              <w:pStyle w:val="ListParagraph"/>
              <w:numPr>
                <w:ilvl w:val="0"/>
                <w:numId w:val="19"/>
              </w:numPr>
              <w:tabs>
                <w:tab w:val="left" w:pos="176"/>
              </w:tabs>
              <w:ind w:left="0" w:firstLine="0"/>
              <w:rPr>
                <w:sz w:val="20"/>
                <w:szCs w:val="20"/>
              </w:rPr>
            </w:pPr>
            <w:r w:rsidRPr="00161BF0">
              <w:rPr>
                <w:sz w:val="20"/>
                <w:szCs w:val="20"/>
              </w:rPr>
              <w:t xml:space="preserve">Inadequate </w:t>
            </w:r>
            <w:r w:rsidR="008E035A" w:rsidRPr="00161BF0">
              <w:rPr>
                <w:sz w:val="20"/>
                <w:szCs w:val="20"/>
              </w:rPr>
              <w:t>BTC</w:t>
            </w:r>
            <w:r w:rsidRPr="00161BF0">
              <w:rPr>
                <w:sz w:val="20"/>
                <w:szCs w:val="20"/>
              </w:rPr>
              <w:t xml:space="preserve"> capacity </w:t>
            </w:r>
            <w:r w:rsidR="008E035A" w:rsidRPr="00161BF0">
              <w:rPr>
                <w:sz w:val="20"/>
                <w:szCs w:val="20"/>
              </w:rPr>
              <w:t xml:space="preserve">to write law and implement </w:t>
            </w:r>
          </w:p>
          <w:p w14:paraId="481115FC" w14:textId="77777777" w:rsidR="00584D1B" w:rsidRPr="00161BF0" w:rsidRDefault="00584D1B" w:rsidP="00584D1B">
            <w:pPr>
              <w:pStyle w:val="ListParagraph"/>
              <w:numPr>
                <w:ilvl w:val="0"/>
                <w:numId w:val="19"/>
              </w:numPr>
              <w:tabs>
                <w:tab w:val="left" w:pos="176"/>
              </w:tabs>
              <w:ind w:left="0" w:firstLine="0"/>
              <w:rPr>
                <w:sz w:val="20"/>
                <w:szCs w:val="20"/>
              </w:rPr>
            </w:pPr>
            <w:r w:rsidRPr="00161BF0">
              <w:rPr>
                <w:sz w:val="20"/>
                <w:szCs w:val="20"/>
              </w:rPr>
              <w:t>Internal MILF, and MILF-MNLF dynamics</w:t>
            </w:r>
          </w:p>
          <w:p w14:paraId="528546DA" w14:textId="4A24FF49" w:rsidR="00584D1B" w:rsidRPr="00161BF0" w:rsidRDefault="005E14D3" w:rsidP="00584D1B">
            <w:pPr>
              <w:pStyle w:val="ListParagraph"/>
              <w:numPr>
                <w:ilvl w:val="0"/>
                <w:numId w:val="19"/>
              </w:numPr>
              <w:tabs>
                <w:tab w:val="left" w:pos="176"/>
              </w:tabs>
              <w:ind w:left="0" w:firstLine="0"/>
              <w:rPr>
                <w:sz w:val="20"/>
                <w:szCs w:val="20"/>
              </w:rPr>
            </w:pPr>
            <w:r w:rsidRPr="00161BF0">
              <w:rPr>
                <w:sz w:val="20"/>
                <w:szCs w:val="20"/>
              </w:rPr>
              <w:t>E</w:t>
            </w:r>
            <w:r w:rsidR="00584D1B" w:rsidRPr="00161BF0">
              <w:rPr>
                <w:sz w:val="20"/>
                <w:szCs w:val="20"/>
              </w:rPr>
              <w:t>xtremists/breakaway groups from MILF</w:t>
            </w:r>
          </w:p>
          <w:p w14:paraId="5DFBFF05" w14:textId="08626BB7" w:rsidR="00584D1B" w:rsidRPr="00161BF0" w:rsidRDefault="008E035A" w:rsidP="005E14D3">
            <w:pPr>
              <w:pStyle w:val="ListParagraph"/>
              <w:numPr>
                <w:ilvl w:val="0"/>
                <w:numId w:val="19"/>
              </w:numPr>
              <w:tabs>
                <w:tab w:val="left" w:pos="176"/>
              </w:tabs>
              <w:ind w:left="0" w:firstLine="0"/>
              <w:rPr>
                <w:sz w:val="20"/>
                <w:szCs w:val="20"/>
                <w:lang w:val="en-US"/>
              </w:rPr>
            </w:pPr>
            <w:r w:rsidRPr="00161BF0">
              <w:rPr>
                <w:sz w:val="20"/>
                <w:szCs w:val="20"/>
              </w:rPr>
              <w:t>Unexpected violence</w:t>
            </w:r>
            <w:r w:rsidR="00584D1B" w:rsidRPr="00161BF0">
              <w:rPr>
                <w:sz w:val="20"/>
                <w:szCs w:val="20"/>
              </w:rPr>
              <w:t xml:space="preserve"> </w:t>
            </w: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27735D40" w14:textId="77777777" w:rsidR="00584D1B" w:rsidRDefault="00584D1B">
            <w:pPr>
              <w:rPr>
                <w:b/>
                <w:sz w:val="24"/>
                <w:szCs w:val="24"/>
                <w:lang w:val="en-US"/>
              </w:rPr>
            </w:pPr>
          </w:p>
        </w:tc>
      </w:tr>
      <w:tr w:rsidR="00D96A44" w14:paraId="76267CA4" w14:textId="77777777" w:rsidTr="00161BF0">
        <w:tc>
          <w:tcPr>
            <w:tcW w:w="1773" w:type="dxa"/>
            <w:tcBorders>
              <w:top w:val="single" w:sz="4" w:space="0" w:color="auto"/>
              <w:left w:val="single" w:sz="4" w:space="0" w:color="auto"/>
              <w:bottom w:val="single" w:sz="4" w:space="0" w:color="auto"/>
              <w:right w:val="single" w:sz="4" w:space="0" w:color="auto"/>
            </w:tcBorders>
          </w:tcPr>
          <w:p w14:paraId="4E152338" w14:textId="06CC49E3" w:rsidR="00584D1B" w:rsidRPr="00161BF0" w:rsidRDefault="00584D1B">
            <w:pPr>
              <w:rPr>
                <w:sz w:val="20"/>
                <w:szCs w:val="20"/>
              </w:rPr>
            </w:pPr>
          </w:p>
          <w:p w14:paraId="1BF4F316" w14:textId="6A04CC53" w:rsidR="00584D1B" w:rsidRPr="005422CF" w:rsidRDefault="00584D1B" w:rsidP="008E035A">
            <w:pPr>
              <w:rPr>
                <w:b/>
                <w:sz w:val="20"/>
                <w:szCs w:val="20"/>
                <w:lang w:val="en-US"/>
              </w:rPr>
            </w:pPr>
            <w:r w:rsidRPr="005422CF">
              <w:rPr>
                <w:b/>
                <w:sz w:val="20"/>
                <w:szCs w:val="20"/>
              </w:rPr>
              <w:t xml:space="preserve">Scenario 2:  BBL/Enabling Law not passed; </w:t>
            </w:r>
            <w:r w:rsidR="008E035A" w:rsidRPr="005422CF">
              <w:rPr>
                <w:b/>
                <w:sz w:val="20"/>
                <w:szCs w:val="20"/>
              </w:rPr>
              <w:t>overtaken by Federalism</w:t>
            </w:r>
          </w:p>
        </w:tc>
        <w:tc>
          <w:tcPr>
            <w:tcW w:w="2866" w:type="dxa"/>
            <w:tcBorders>
              <w:top w:val="single" w:sz="4" w:space="0" w:color="auto"/>
              <w:left w:val="single" w:sz="4" w:space="0" w:color="auto"/>
              <w:bottom w:val="single" w:sz="4" w:space="0" w:color="auto"/>
              <w:right w:val="single" w:sz="4" w:space="0" w:color="auto"/>
            </w:tcBorders>
            <w:hideMark/>
          </w:tcPr>
          <w:p w14:paraId="1F1E615F" w14:textId="7979F3D3" w:rsidR="00584D1B" w:rsidRPr="00161BF0" w:rsidRDefault="00B22209" w:rsidP="00584D1B">
            <w:pPr>
              <w:pStyle w:val="ListParagraph"/>
              <w:numPr>
                <w:ilvl w:val="0"/>
                <w:numId w:val="19"/>
              </w:numPr>
              <w:tabs>
                <w:tab w:val="left" w:pos="196"/>
              </w:tabs>
              <w:ind w:left="0" w:firstLine="0"/>
              <w:rPr>
                <w:sz w:val="20"/>
                <w:szCs w:val="20"/>
              </w:rPr>
            </w:pPr>
            <w:r w:rsidRPr="00161BF0">
              <w:rPr>
                <w:sz w:val="20"/>
                <w:szCs w:val="20"/>
              </w:rPr>
              <w:t>BBL a</w:t>
            </w:r>
            <w:r w:rsidR="00584D1B" w:rsidRPr="00161BF0">
              <w:rPr>
                <w:sz w:val="20"/>
                <w:szCs w:val="20"/>
              </w:rPr>
              <w:t xml:space="preserve"> catalyst</w:t>
            </w:r>
            <w:r w:rsidRPr="00161BF0">
              <w:rPr>
                <w:sz w:val="20"/>
                <w:szCs w:val="20"/>
              </w:rPr>
              <w:t xml:space="preserve"> and model</w:t>
            </w:r>
            <w:r w:rsidR="00584D1B" w:rsidRPr="00161BF0">
              <w:rPr>
                <w:sz w:val="20"/>
                <w:szCs w:val="20"/>
              </w:rPr>
              <w:t xml:space="preserve"> for</w:t>
            </w:r>
            <w:r w:rsidR="008E035A" w:rsidRPr="00161BF0">
              <w:rPr>
                <w:sz w:val="20"/>
                <w:szCs w:val="20"/>
              </w:rPr>
              <w:t xml:space="preserve"> discussions on</w:t>
            </w:r>
            <w:r w:rsidR="00584D1B" w:rsidRPr="00161BF0">
              <w:rPr>
                <w:sz w:val="20"/>
                <w:szCs w:val="20"/>
              </w:rPr>
              <w:t xml:space="preserve"> federalism</w:t>
            </w:r>
          </w:p>
          <w:p w14:paraId="6B8A2CD6" w14:textId="7B647775" w:rsidR="00584D1B" w:rsidRPr="00161BF0" w:rsidRDefault="00584D1B" w:rsidP="00584D1B">
            <w:pPr>
              <w:pStyle w:val="ListParagraph"/>
              <w:numPr>
                <w:ilvl w:val="0"/>
                <w:numId w:val="19"/>
              </w:numPr>
              <w:tabs>
                <w:tab w:val="left" w:pos="196"/>
              </w:tabs>
              <w:ind w:left="0" w:firstLine="0"/>
              <w:rPr>
                <w:sz w:val="20"/>
                <w:szCs w:val="20"/>
              </w:rPr>
            </w:pPr>
            <w:r w:rsidRPr="00161BF0">
              <w:rPr>
                <w:sz w:val="20"/>
                <w:szCs w:val="20"/>
              </w:rPr>
              <w:t>Federalism offers opp</w:t>
            </w:r>
            <w:r w:rsidR="008E035A" w:rsidRPr="00161BF0">
              <w:rPr>
                <w:sz w:val="20"/>
                <w:szCs w:val="20"/>
              </w:rPr>
              <w:t xml:space="preserve">ortunities for MILF and MNLF to </w:t>
            </w:r>
            <w:r w:rsidRPr="00161BF0">
              <w:rPr>
                <w:sz w:val="20"/>
                <w:szCs w:val="20"/>
              </w:rPr>
              <w:t>rule respective places where they have influence and control</w:t>
            </w:r>
          </w:p>
          <w:p w14:paraId="4968E94B" w14:textId="77777777" w:rsidR="00584D1B" w:rsidRPr="00161BF0" w:rsidRDefault="00584D1B" w:rsidP="00584D1B">
            <w:pPr>
              <w:pStyle w:val="ListParagraph"/>
              <w:numPr>
                <w:ilvl w:val="0"/>
                <w:numId w:val="19"/>
              </w:numPr>
              <w:tabs>
                <w:tab w:val="left" w:pos="196"/>
              </w:tabs>
              <w:ind w:left="0" w:firstLine="0"/>
              <w:rPr>
                <w:sz w:val="20"/>
                <w:szCs w:val="20"/>
                <w:lang w:val="en-US"/>
              </w:rPr>
            </w:pPr>
            <w:r w:rsidRPr="00161BF0">
              <w:rPr>
                <w:sz w:val="20"/>
                <w:szCs w:val="20"/>
              </w:rPr>
              <w:t>Opens door for Constitutional change to accommodate “self-determination” demand of the Bangsamoro</w:t>
            </w:r>
          </w:p>
          <w:p w14:paraId="2EE6F7D8" w14:textId="58CAC453" w:rsidR="00B22209" w:rsidRPr="00161BF0" w:rsidRDefault="00B22209" w:rsidP="00584D1B">
            <w:pPr>
              <w:pStyle w:val="ListParagraph"/>
              <w:numPr>
                <w:ilvl w:val="0"/>
                <w:numId w:val="19"/>
              </w:numPr>
              <w:tabs>
                <w:tab w:val="left" w:pos="196"/>
              </w:tabs>
              <w:ind w:left="0" w:firstLine="0"/>
              <w:rPr>
                <w:sz w:val="20"/>
                <w:szCs w:val="20"/>
                <w:lang w:val="en-US"/>
              </w:rPr>
            </w:pPr>
            <w:r w:rsidRPr="00161BF0">
              <w:rPr>
                <w:sz w:val="20"/>
                <w:szCs w:val="20"/>
              </w:rPr>
              <w:t>Engaging CSOs on broader approaches to peace-building</w:t>
            </w:r>
          </w:p>
        </w:tc>
        <w:tc>
          <w:tcPr>
            <w:tcW w:w="3308" w:type="dxa"/>
            <w:tcBorders>
              <w:top w:val="single" w:sz="4" w:space="0" w:color="auto"/>
              <w:left w:val="single" w:sz="4" w:space="0" w:color="auto"/>
              <w:bottom w:val="single" w:sz="4" w:space="0" w:color="auto"/>
              <w:right w:val="single" w:sz="4" w:space="0" w:color="auto"/>
            </w:tcBorders>
            <w:hideMark/>
          </w:tcPr>
          <w:p w14:paraId="6DBED4BC" w14:textId="3F990FC5" w:rsidR="00584D1B" w:rsidRPr="00161BF0" w:rsidRDefault="008E035A" w:rsidP="00584D1B">
            <w:pPr>
              <w:pStyle w:val="ListParagraph"/>
              <w:numPr>
                <w:ilvl w:val="0"/>
                <w:numId w:val="19"/>
              </w:numPr>
              <w:tabs>
                <w:tab w:val="left" w:pos="176"/>
              </w:tabs>
              <w:ind w:left="0" w:firstLine="0"/>
              <w:rPr>
                <w:sz w:val="20"/>
                <w:szCs w:val="20"/>
              </w:rPr>
            </w:pPr>
            <w:r w:rsidRPr="00161BF0">
              <w:rPr>
                <w:sz w:val="20"/>
                <w:szCs w:val="20"/>
              </w:rPr>
              <w:t>Undermining provisions in CAB/</w:t>
            </w:r>
            <w:r w:rsidR="00584D1B" w:rsidRPr="00161BF0">
              <w:rPr>
                <w:sz w:val="20"/>
                <w:szCs w:val="20"/>
              </w:rPr>
              <w:t>FAB that have long been fought for by the MILF</w:t>
            </w:r>
          </w:p>
          <w:p w14:paraId="4CF42423" w14:textId="4C720D37" w:rsidR="00584D1B" w:rsidRPr="00161BF0" w:rsidRDefault="008E035A" w:rsidP="00584D1B">
            <w:pPr>
              <w:pStyle w:val="ListParagraph"/>
              <w:numPr>
                <w:ilvl w:val="0"/>
                <w:numId w:val="19"/>
              </w:numPr>
              <w:tabs>
                <w:tab w:val="left" w:pos="176"/>
              </w:tabs>
              <w:ind w:left="0" w:firstLine="0"/>
              <w:rPr>
                <w:sz w:val="20"/>
                <w:szCs w:val="20"/>
              </w:rPr>
            </w:pPr>
            <w:r w:rsidRPr="00161BF0">
              <w:rPr>
                <w:sz w:val="20"/>
                <w:szCs w:val="20"/>
              </w:rPr>
              <w:t xml:space="preserve">Disaffection with </w:t>
            </w:r>
            <w:r w:rsidR="00584D1B" w:rsidRPr="00161BF0">
              <w:rPr>
                <w:sz w:val="20"/>
                <w:szCs w:val="20"/>
              </w:rPr>
              <w:t xml:space="preserve">smaller geographical area of rule </w:t>
            </w:r>
            <w:r w:rsidRPr="00161BF0">
              <w:rPr>
                <w:sz w:val="20"/>
                <w:szCs w:val="20"/>
              </w:rPr>
              <w:t>due to splitting of Bangsamoro and loss of special autonomy</w:t>
            </w:r>
          </w:p>
          <w:p w14:paraId="4D1B2583" w14:textId="257A5474" w:rsidR="00584D1B" w:rsidRPr="00161BF0" w:rsidRDefault="00584D1B" w:rsidP="00584D1B">
            <w:pPr>
              <w:pStyle w:val="ListParagraph"/>
              <w:numPr>
                <w:ilvl w:val="0"/>
                <w:numId w:val="19"/>
              </w:numPr>
              <w:tabs>
                <w:tab w:val="left" w:pos="176"/>
              </w:tabs>
              <w:ind w:left="0" w:firstLine="0"/>
              <w:rPr>
                <w:sz w:val="20"/>
                <w:szCs w:val="20"/>
                <w:lang w:val="en-US"/>
              </w:rPr>
            </w:pPr>
            <w:r w:rsidRPr="00161BF0">
              <w:rPr>
                <w:sz w:val="20"/>
                <w:szCs w:val="20"/>
              </w:rPr>
              <w:t>Prolong</w:t>
            </w:r>
            <w:r w:rsidR="008E035A" w:rsidRPr="00161BF0">
              <w:rPr>
                <w:sz w:val="20"/>
                <w:szCs w:val="20"/>
              </w:rPr>
              <w:t>ed</w:t>
            </w:r>
            <w:r w:rsidR="00B22209" w:rsidRPr="00161BF0">
              <w:rPr>
                <w:sz w:val="20"/>
                <w:szCs w:val="20"/>
              </w:rPr>
              <w:t xml:space="preserve"> debates </w:t>
            </w:r>
            <w:r w:rsidRPr="00161BF0">
              <w:rPr>
                <w:sz w:val="20"/>
                <w:szCs w:val="20"/>
              </w:rPr>
              <w:t>will result in increasing frustr</w:t>
            </w:r>
            <w:r w:rsidR="008E035A" w:rsidRPr="00161BF0">
              <w:rPr>
                <w:sz w:val="20"/>
                <w:szCs w:val="20"/>
              </w:rPr>
              <w:t>ation at the ground level (making</w:t>
            </w:r>
            <w:r w:rsidRPr="00161BF0">
              <w:rPr>
                <w:sz w:val="20"/>
                <w:szCs w:val="20"/>
              </w:rPr>
              <w:t xml:space="preserve"> violent extremist groups more attractive)</w:t>
            </w: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257AE16B" w14:textId="77777777" w:rsidR="00584D1B" w:rsidRDefault="00584D1B">
            <w:pPr>
              <w:rPr>
                <w:b/>
                <w:sz w:val="24"/>
                <w:szCs w:val="24"/>
                <w:lang w:val="en-US"/>
              </w:rPr>
            </w:pPr>
          </w:p>
        </w:tc>
      </w:tr>
      <w:tr w:rsidR="00D96A44" w14:paraId="146BCB55" w14:textId="77777777" w:rsidTr="00161BF0">
        <w:tc>
          <w:tcPr>
            <w:tcW w:w="1773" w:type="dxa"/>
            <w:tcBorders>
              <w:top w:val="single" w:sz="4" w:space="0" w:color="auto"/>
              <w:left w:val="single" w:sz="4" w:space="0" w:color="auto"/>
              <w:bottom w:val="single" w:sz="4" w:space="0" w:color="auto"/>
              <w:right w:val="single" w:sz="4" w:space="0" w:color="auto"/>
            </w:tcBorders>
          </w:tcPr>
          <w:p w14:paraId="3D889750" w14:textId="77777777" w:rsidR="00584D1B" w:rsidRPr="00161BF0" w:rsidRDefault="00584D1B">
            <w:pPr>
              <w:rPr>
                <w:sz w:val="20"/>
                <w:szCs w:val="20"/>
              </w:rPr>
            </w:pPr>
          </w:p>
          <w:p w14:paraId="3C21BBF1" w14:textId="77777777" w:rsidR="00584D1B" w:rsidRPr="00161BF0" w:rsidRDefault="00584D1B">
            <w:pPr>
              <w:rPr>
                <w:sz w:val="20"/>
                <w:szCs w:val="20"/>
              </w:rPr>
            </w:pPr>
          </w:p>
          <w:p w14:paraId="7533EB42" w14:textId="77777777" w:rsidR="00584D1B" w:rsidRPr="00161BF0" w:rsidRDefault="00584D1B">
            <w:pPr>
              <w:rPr>
                <w:sz w:val="20"/>
                <w:szCs w:val="20"/>
              </w:rPr>
            </w:pPr>
          </w:p>
          <w:p w14:paraId="63D53398" w14:textId="77777777" w:rsidR="00584D1B" w:rsidRPr="005422CF" w:rsidRDefault="00584D1B">
            <w:pPr>
              <w:rPr>
                <w:b/>
                <w:sz w:val="20"/>
                <w:szCs w:val="20"/>
                <w:lang w:val="en-US"/>
              </w:rPr>
            </w:pPr>
            <w:r w:rsidRPr="005422CF">
              <w:rPr>
                <w:b/>
                <w:sz w:val="20"/>
                <w:szCs w:val="20"/>
              </w:rPr>
              <w:t>Scenario 3:  No BBL; No Federalism</w:t>
            </w:r>
          </w:p>
        </w:tc>
        <w:tc>
          <w:tcPr>
            <w:tcW w:w="2866" w:type="dxa"/>
            <w:tcBorders>
              <w:top w:val="single" w:sz="4" w:space="0" w:color="auto"/>
              <w:left w:val="single" w:sz="4" w:space="0" w:color="auto"/>
              <w:bottom w:val="single" w:sz="4" w:space="0" w:color="auto"/>
              <w:right w:val="single" w:sz="4" w:space="0" w:color="auto"/>
            </w:tcBorders>
            <w:hideMark/>
          </w:tcPr>
          <w:p w14:paraId="0529285D" w14:textId="56038B46" w:rsidR="00584D1B" w:rsidRPr="00161BF0" w:rsidRDefault="00B22209" w:rsidP="00584D1B">
            <w:pPr>
              <w:pStyle w:val="ListParagraph"/>
              <w:numPr>
                <w:ilvl w:val="0"/>
                <w:numId w:val="19"/>
              </w:numPr>
              <w:tabs>
                <w:tab w:val="left" w:pos="196"/>
              </w:tabs>
              <w:ind w:left="0" w:firstLine="0"/>
              <w:rPr>
                <w:sz w:val="20"/>
                <w:szCs w:val="20"/>
              </w:rPr>
            </w:pPr>
            <w:r w:rsidRPr="00161BF0">
              <w:rPr>
                <w:sz w:val="20"/>
                <w:szCs w:val="20"/>
              </w:rPr>
              <w:t>Greater sense of urgency for Supreme Court</w:t>
            </w:r>
            <w:r w:rsidR="00584D1B" w:rsidRPr="00161BF0">
              <w:rPr>
                <w:sz w:val="20"/>
                <w:szCs w:val="20"/>
              </w:rPr>
              <w:t xml:space="preserve"> to render a decision on what is a Constitutionally acceptable autonomous region</w:t>
            </w:r>
          </w:p>
          <w:p w14:paraId="4BEFCDF5" w14:textId="77777777" w:rsidR="00584D1B" w:rsidRPr="009E11AD" w:rsidRDefault="00584D1B" w:rsidP="00584D1B">
            <w:pPr>
              <w:pStyle w:val="ListParagraph"/>
              <w:numPr>
                <w:ilvl w:val="0"/>
                <w:numId w:val="19"/>
              </w:numPr>
              <w:tabs>
                <w:tab w:val="left" w:pos="196"/>
              </w:tabs>
              <w:ind w:left="0" w:firstLine="0"/>
              <w:rPr>
                <w:sz w:val="20"/>
                <w:szCs w:val="20"/>
                <w:lang w:val="en-US"/>
              </w:rPr>
            </w:pPr>
            <w:r w:rsidRPr="00161BF0">
              <w:rPr>
                <w:sz w:val="20"/>
                <w:szCs w:val="20"/>
              </w:rPr>
              <w:t>Opportunity to further strengthen CSO and other conflict management mechanisms</w:t>
            </w:r>
          </w:p>
          <w:p w14:paraId="16FE189B" w14:textId="458DD63A" w:rsidR="009E11AD" w:rsidRPr="00161BF0" w:rsidRDefault="009E11AD" w:rsidP="00584D1B">
            <w:pPr>
              <w:pStyle w:val="ListParagraph"/>
              <w:numPr>
                <w:ilvl w:val="0"/>
                <w:numId w:val="19"/>
              </w:numPr>
              <w:tabs>
                <w:tab w:val="left" w:pos="196"/>
              </w:tabs>
              <w:ind w:left="0" w:firstLine="0"/>
              <w:rPr>
                <w:sz w:val="20"/>
                <w:szCs w:val="20"/>
                <w:lang w:val="en-US"/>
              </w:rPr>
            </w:pPr>
            <w:r>
              <w:rPr>
                <w:sz w:val="20"/>
                <w:szCs w:val="20"/>
              </w:rPr>
              <w:t xml:space="preserve">ARMM </w:t>
            </w:r>
            <w:r w:rsidR="005422CF">
              <w:rPr>
                <w:sz w:val="20"/>
                <w:szCs w:val="20"/>
              </w:rPr>
              <w:t xml:space="preserve">govt </w:t>
            </w:r>
            <w:r>
              <w:rPr>
                <w:sz w:val="20"/>
                <w:szCs w:val="20"/>
              </w:rPr>
              <w:t>assumes a greater role in delivering services</w:t>
            </w:r>
          </w:p>
        </w:tc>
        <w:tc>
          <w:tcPr>
            <w:tcW w:w="3308" w:type="dxa"/>
            <w:tcBorders>
              <w:top w:val="single" w:sz="4" w:space="0" w:color="auto"/>
              <w:left w:val="single" w:sz="4" w:space="0" w:color="auto"/>
              <w:bottom w:val="single" w:sz="4" w:space="0" w:color="auto"/>
              <w:right w:val="single" w:sz="4" w:space="0" w:color="auto"/>
            </w:tcBorders>
            <w:hideMark/>
          </w:tcPr>
          <w:p w14:paraId="2D02BB37" w14:textId="6AE1732D" w:rsidR="00584D1B" w:rsidRPr="00161BF0" w:rsidRDefault="00B22209" w:rsidP="00584D1B">
            <w:pPr>
              <w:pStyle w:val="ListParagraph"/>
              <w:numPr>
                <w:ilvl w:val="0"/>
                <w:numId w:val="19"/>
              </w:numPr>
              <w:tabs>
                <w:tab w:val="left" w:pos="176"/>
              </w:tabs>
              <w:ind w:left="0" w:firstLine="0"/>
              <w:rPr>
                <w:sz w:val="20"/>
                <w:szCs w:val="20"/>
              </w:rPr>
            </w:pPr>
            <w:r w:rsidRPr="00161BF0">
              <w:rPr>
                <w:sz w:val="20"/>
                <w:szCs w:val="20"/>
              </w:rPr>
              <w:t>Peace</w:t>
            </w:r>
            <w:r w:rsidR="00584D1B" w:rsidRPr="00161BF0">
              <w:rPr>
                <w:sz w:val="20"/>
                <w:szCs w:val="20"/>
              </w:rPr>
              <w:t xml:space="preserve"> panels might lose ability to effectively function</w:t>
            </w:r>
            <w:r w:rsidRPr="00161BF0">
              <w:rPr>
                <w:sz w:val="20"/>
                <w:szCs w:val="20"/>
              </w:rPr>
              <w:t xml:space="preserve"> and/or manage conflict</w:t>
            </w:r>
          </w:p>
          <w:p w14:paraId="5CD4FCB4" w14:textId="42CAF6F0" w:rsidR="00584D1B" w:rsidRPr="00161BF0" w:rsidRDefault="00B22209" w:rsidP="00584D1B">
            <w:pPr>
              <w:pStyle w:val="ListParagraph"/>
              <w:numPr>
                <w:ilvl w:val="0"/>
                <w:numId w:val="19"/>
              </w:numPr>
              <w:tabs>
                <w:tab w:val="left" w:pos="176"/>
              </w:tabs>
              <w:ind w:left="0" w:firstLine="0"/>
              <w:rPr>
                <w:sz w:val="20"/>
                <w:szCs w:val="20"/>
              </w:rPr>
            </w:pPr>
            <w:r w:rsidRPr="00161BF0">
              <w:rPr>
                <w:sz w:val="20"/>
                <w:szCs w:val="20"/>
              </w:rPr>
              <w:t xml:space="preserve">Collapse in trust in </w:t>
            </w:r>
            <w:r w:rsidR="00BE17AB" w:rsidRPr="00161BF0">
              <w:rPr>
                <w:sz w:val="20"/>
                <w:szCs w:val="20"/>
              </w:rPr>
              <w:t>GPH</w:t>
            </w:r>
          </w:p>
          <w:p w14:paraId="71EF696B" w14:textId="7C5F3C3B" w:rsidR="00584D1B" w:rsidRPr="00161BF0" w:rsidRDefault="00B22209" w:rsidP="00584D1B">
            <w:pPr>
              <w:pStyle w:val="ListParagraph"/>
              <w:numPr>
                <w:ilvl w:val="0"/>
                <w:numId w:val="19"/>
              </w:numPr>
              <w:tabs>
                <w:tab w:val="left" w:pos="176"/>
              </w:tabs>
              <w:ind w:left="0" w:firstLine="0"/>
              <w:rPr>
                <w:sz w:val="20"/>
                <w:szCs w:val="20"/>
              </w:rPr>
            </w:pPr>
            <w:r w:rsidRPr="00161BF0">
              <w:rPr>
                <w:sz w:val="20"/>
                <w:szCs w:val="20"/>
              </w:rPr>
              <w:t>D</w:t>
            </w:r>
            <w:r w:rsidR="00584D1B" w:rsidRPr="00161BF0">
              <w:rPr>
                <w:sz w:val="20"/>
                <w:szCs w:val="20"/>
              </w:rPr>
              <w:t>elivery of services more difficult</w:t>
            </w:r>
          </w:p>
          <w:p w14:paraId="08AC1A85" w14:textId="77777777" w:rsidR="00584D1B" w:rsidRPr="00161BF0" w:rsidRDefault="00584D1B" w:rsidP="00584D1B">
            <w:pPr>
              <w:pStyle w:val="ListParagraph"/>
              <w:numPr>
                <w:ilvl w:val="0"/>
                <w:numId w:val="19"/>
              </w:numPr>
              <w:tabs>
                <w:tab w:val="left" w:pos="176"/>
              </w:tabs>
              <w:ind w:left="0" w:firstLine="0"/>
              <w:rPr>
                <w:sz w:val="20"/>
                <w:szCs w:val="20"/>
                <w:lang w:val="en-US"/>
              </w:rPr>
            </w:pPr>
            <w:r w:rsidRPr="00161BF0">
              <w:rPr>
                <w:sz w:val="20"/>
                <w:szCs w:val="20"/>
              </w:rPr>
              <w:t>Violent extremist groups emerge</w:t>
            </w: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4D822254" w14:textId="77777777" w:rsidR="00584D1B" w:rsidRDefault="00584D1B">
            <w:pPr>
              <w:rPr>
                <w:b/>
                <w:sz w:val="24"/>
                <w:szCs w:val="24"/>
                <w:lang w:val="en-US"/>
              </w:rPr>
            </w:pPr>
          </w:p>
        </w:tc>
      </w:tr>
      <w:tr w:rsidR="00D96A44" w14:paraId="575EF353" w14:textId="77777777" w:rsidTr="00161BF0">
        <w:tc>
          <w:tcPr>
            <w:tcW w:w="1773" w:type="dxa"/>
            <w:tcBorders>
              <w:top w:val="single" w:sz="4" w:space="0" w:color="auto"/>
              <w:left w:val="single" w:sz="4" w:space="0" w:color="auto"/>
              <w:bottom w:val="single" w:sz="4" w:space="0" w:color="auto"/>
              <w:right w:val="single" w:sz="4" w:space="0" w:color="auto"/>
            </w:tcBorders>
          </w:tcPr>
          <w:p w14:paraId="0664350E" w14:textId="77777777" w:rsidR="00584D1B" w:rsidRPr="009E11AD" w:rsidRDefault="00584D1B">
            <w:pPr>
              <w:rPr>
                <w:sz w:val="20"/>
                <w:szCs w:val="20"/>
              </w:rPr>
            </w:pPr>
          </w:p>
          <w:p w14:paraId="4D53FDE7" w14:textId="77777777" w:rsidR="00584D1B" w:rsidRPr="005422CF" w:rsidRDefault="00584D1B">
            <w:pPr>
              <w:rPr>
                <w:b/>
                <w:sz w:val="20"/>
                <w:szCs w:val="20"/>
                <w:lang w:val="en-US"/>
              </w:rPr>
            </w:pPr>
            <w:r w:rsidRPr="005422CF">
              <w:rPr>
                <w:b/>
                <w:sz w:val="20"/>
                <w:szCs w:val="20"/>
              </w:rPr>
              <w:t>Scenario 4:  Breakdown of the Peace Process</w:t>
            </w:r>
          </w:p>
        </w:tc>
        <w:tc>
          <w:tcPr>
            <w:tcW w:w="2866" w:type="dxa"/>
            <w:tcBorders>
              <w:top w:val="single" w:sz="4" w:space="0" w:color="auto"/>
              <w:left w:val="single" w:sz="4" w:space="0" w:color="auto"/>
              <w:bottom w:val="single" w:sz="4" w:space="0" w:color="auto"/>
              <w:right w:val="single" w:sz="4" w:space="0" w:color="auto"/>
            </w:tcBorders>
            <w:hideMark/>
          </w:tcPr>
          <w:p w14:paraId="2A405A04" w14:textId="7A1D1984" w:rsidR="00584D1B" w:rsidRPr="00161BF0" w:rsidRDefault="00B22209" w:rsidP="00584D1B">
            <w:pPr>
              <w:pStyle w:val="ListParagraph"/>
              <w:numPr>
                <w:ilvl w:val="0"/>
                <w:numId w:val="19"/>
              </w:numPr>
              <w:tabs>
                <w:tab w:val="left" w:pos="196"/>
              </w:tabs>
              <w:ind w:left="0" w:firstLine="0"/>
              <w:rPr>
                <w:sz w:val="20"/>
                <w:szCs w:val="20"/>
              </w:rPr>
            </w:pPr>
            <w:r w:rsidRPr="00161BF0">
              <w:rPr>
                <w:sz w:val="20"/>
                <w:szCs w:val="20"/>
              </w:rPr>
              <w:t>Using</w:t>
            </w:r>
            <w:r w:rsidR="00584D1B" w:rsidRPr="00161BF0">
              <w:rPr>
                <w:sz w:val="20"/>
                <w:szCs w:val="20"/>
              </w:rPr>
              <w:t xml:space="preserve"> CSOs</w:t>
            </w:r>
            <w:r w:rsidRPr="00161BF0">
              <w:rPr>
                <w:sz w:val="20"/>
                <w:szCs w:val="20"/>
              </w:rPr>
              <w:t xml:space="preserve"> as a bulwark against further deterioration in efforts</w:t>
            </w:r>
            <w:r w:rsidR="00584D1B" w:rsidRPr="00161BF0">
              <w:rPr>
                <w:sz w:val="20"/>
                <w:szCs w:val="20"/>
              </w:rPr>
              <w:t xml:space="preserve"> to build support to peace process</w:t>
            </w:r>
          </w:p>
          <w:p w14:paraId="01CA0FCB" w14:textId="20A93207" w:rsidR="00584D1B" w:rsidRPr="00161BF0" w:rsidRDefault="005422CF" w:rsidP="00584D1B">
            <w:pPr>
              <w:pStyle w:val="ListParagraph"/>
              <w:numPr>
                <w:ilvl w:val="0"/>
                <w:numId w:val="19"/>
              </w:numPr>
              <w:tabs>
                <w:tab w:val="left" w:pos="196"/>
              </w:tabs>
              <w:ind w:left="0" w:firstLine="0"/>
              <w:rPr>
                <w:sz w:val="20"/>
                <w:szCs w:val="20"/>
                <w:lang w:val="en-US"/>
              </w:rPr>
            </w:pPr>
            <w:r>
              <w:rPr>
                <w:sz w:val="20"/>
                <w:szCs w:val="20"/>
              </w:rPr>
              <w:t>ARMM g</w:t>
            </w:r>
            <w:r w:rsidR="00584D1B" w:rsidRPr="00161BF0">
              <w:rPr>
                <w:sz w:val="20"/>
                <w:szCs w:val="20"/>
              </w:rPr>
              <w:t>ovt assumes a greater role in delivering services</w:t>
            </w:r>
          </w:p>
        </w:tc>
        <w:tc>
          <w:tcPr>
            <w:tcW w:w="3308" w:type="dxa"/>
            <w:tcBorders>
              <w:top w:val="single" w:sz="4" w:space="0" w:color="auto"/>
              <w:left w:val="single" w:sz="4" w:space="0" w:color="auto"/>
              <w:bottom w:val="single" w:sz="4" w:space="0" w:color="auto"/>
              <w:right w:val="single" w:sz="4" w:space="0" w:color="auto"/>
            </w:tcBorders>
            <w:hideMark/>
          </w:tcPr>
          <w:p w14:paraId="3FCC8509" w14:textId="77777777" w:rsidR="00584D1B" w:rsidRPr="00161BF0" w:rsidRDefault="00584D1B" w:rsidP="00584D1B">
            <w:pPr>
              <w:pStyle w:val="ListParagraph"/>
              <w:numPr>
                <w:ilvl w:val="0"/>
                <w:numId w:val="19"/>
              </w:numPr>
              <w:tabs>
                <w:tab w:val="left" w:pos="176"/>
              </w:tabs>
              <w:ind w:left="0" w:firstLine="0"/>
              <w:rPr>
                <w:sz w:val="20"/>
                <w:szCs w:val="20"/>
              </w:rPr>
            </w:pPr>
            <w:r w:rsidRPr="00161BF0">
              <w:rPr>
                <w:sz w:val="20"/>
                <w:szCs w:val="20"/>
              </w:rPr>
              <w:t>Splinter/breakaway groups from MILF leading to multiple armed groups with no central command</w:t>
            </w:r>
          </w:p>
          <w:p w14:paraId="24187D25" w14:textId="77777777" w:rsidR="00584D1B" w:rsidRPr="00161BF0" w:rsidRDefault="00584D1B" w:rsidP="00584D1B">
            <w:pPr>
              <w:pStyle w:val="ListParagraph"/>
              <w:numPr>
                <w:ilvl w:val="0"/>
                <w:numId w:val="19"/>
              </w:numPr>
              <w:tabs>
                <w:tab w:val="left" w:pos="163"/>
              </w:tabs>
              <w:ind w:left="0" w:firstLine="0"/>
              <w:rPr>
                <w:sz w:val="20"/>
                <w:szCs w:val="20"/>
                <w:lang w:val="en-US"/>
              </w:rPr>
            </w:pPr>
            <w:r w:rsidRPr="00161BF0">
              <w:rPr>
                <w:sz w:val="20"/>
                <w:szCs w:val="20"/>
              </w:rPr>
              <w:t>Emergence of violent extremist groups</w:t>
            </w: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5A85BADF" w14:textId="77777777" w:rsidR="00584D1B" w:rsidRDefault="00584D1B">
            <w:pPr>
              <w:rPr>
                <w:b/>
                <w:sz w:val="24"/>
                <w:szCs w:val="24"/>
                <w:lang w:val="en-US"/>
              </w:rPr>
            </w:pPr>
          </w:p>
        </w:tc>
      </w:tr>
    </w:tbl>
    <w:p w14:paraId="78FA2A73" w14:textId="77777777" w:rsidR="00BE17AB" w:rsidRDefault="00BE17AB" w:rsidP="004C2C62">
      <w:pPr>
        <w:jc w:val="both"/>
        <w:rPr>
          <w:sz w:val="22"/>
          <w:szCs w:val="22"/>
        </w:rPr>
      </w:pPr>
    </w:p>
    <w:p w14:paraId="209E35FA" w14:textId="77777777" w:rsidR="003306C6" w:rsidRDefault="003306C6" w:rsidP="004C2C62">
      <w:pPr>
        <w:jc w:val="both"/>
        <w:rPr>
          <w:sz w:val="22"/>
          <w:szCs w:val="22"/>
        </w:rPr>
      </w:pPr>
    </w:p>
    <w:p w14:paraId="56BABC1F" w14:textId="3BA6AB8F" w:rsidR="00E53350" w:rsidRDefault="005F5FA6" w:rsidP="004C2C62">
      <w:pPr>
        <w:jc w:val="both"/>
        <w:rPr>
          <w:sz w:val="22"/>
          <w:szCs w:val="22"/>
        </w:rPr>
      </w:pPr>
      <w:r>
        <w:rPr>
          <w:sz w:val="22"/>
          <w:szCs w:val="22"/>
        </w:rPr>
        <w:lastRenderedPageBreak/>
        <w:t>2</w:t>
      </w:r>
      <w:r w:rsidR="003A2A93">
        <w:rPr>
          <w:sz w:val="22"/>
          <w:szCs w:val="22"/>
        </w:rPr>
        <w:t>7</w:t>
      </w:r>
      <w:r w:rsidR="00B22209">
        <w:rPr>
          <w:sz w:val="22"/>
          <w:szCs w:val="22"/>
        </w:rPr>
        <w:t>.</w:t>
      </w:r>
      <w:r w:rsidR="00B22209">
        <w:rPr>
          <w:sz w:val="22"/>
          <w:szCs w:val="22"/>
        </w:rPr>
        <w:tab/>
        <w:t xml:space="preserve">Based on this analysis, the review team identified </w:t>
      </w:r>
      <w:r w:rsidR="00C60EDA">
        <w:rPr>
          <w:sz w:val="22"/>
          <w:szCs w:val="22"/>
        </w:rPr>
        <w:t>four</w:t>
      </w:r>
      <w:r w:rsidR="00C60EDA" w:rsidRPr="00E53350">
        <w:rPr>
          <w:b/>
          <w:sz w:val="22"/>
          <w:szCs w:val="22"/>
        </w:rPr>
        <w:t xml:space="preserve"> </w:t>
      </w:r>
      <w:r w:rsidR="00B22209" w:rsidRPr="00E53350">
        <w:rPr>
          <w:sz w:val="22"/>
          <w:szCs w:val="22"/>
        </w:rPr>
        <w:t>common</w:t>
      </w:r>
      <w:r w:rsidR="00B22209" w:rsidRPr="00E53350">
        <w:rPr>
          <w:b/>
          <w:sz w:val="22"/>
          <w:szCs w:val="22"/>
        </w:rPr>
        <w:t xml:space="preserve"> strategic opportunities </w:t>
      </w:r>
      <w:r w:rsidR="00B22209">
        <w:rPr>
          <w:sz w:val="22"/>
          <w:szCs w:val="22"/>
        </w:rPr>
        <w:t xml:space="preserve">for future programming: a) the </w:t>
      </w:r>
      <w:r w:rsidR="00851662">
        <w:rPr>
          <w:sz w:val="22"/>
          <w:szCs w:val="22"/>
        </w:rPr>
        <w:t xml:space="preserve">negotiating </w:t>
      </w:r>
      <w:r w:rsidR="00E53350">
        <w:rPr>
          <w:sz w:val="22"/>
          <w:szCs w:val="22"/>
        </w:rPr>
        <w:t>parties will require technical advice to support a successful peace process, whether through a</w:t>
      </w:r>
      <w:r w:rsidR="00784060">
        <w:rPr>
          <w:sz w:val="22"/>
          <w:szCs w:val="22"/>
        </w:rPr>
        <w:t>n “Enabling Law” route</w:t>
      </w:r>
      <w:r w:rsidR="00E53350">
        <w:rPr>
          <w:sz w:val="22"/>
          <w:szCs w:val="22"/>
        </w:rPr>
        <w:t xml:space="preserve"> or through federalism</w:t>
      </w:r>
      <w:r w:rsidR="00BF4DBE">
        <w:rPr>
          <w:sz w:val="22"/>
          <w:szCs w:val="22"/>
        </w:rPr>
        <w:t>;</w:t>
      </w:r>
      <w:r w:rsidR="00E53350">
        <w:rPr>
          <w:sz w:val="22"/>
          <w:szCs w:val="22"/>
        </w:rPr>
        <w:t xml:space="preserve"> </w:t>
      </w:r>
      <w:r w:rsidR="000E3D17">
        <w:rPr>
          <w:sz w:val="22"/>
          <w:szCs w:val="22"/>
        </w:rPr>
        <w:t xml:space="preserve">and, regardless of the political scenario, it will remain important to </w:t>
      </w:r>
      <w:r w:rsidR="00E53350">
        <w:rPr>
          <w:sz w:val="22"/>
          <w:szCs w:val="22"/>
        </w:rPr>
        <w:t>b) build a constituency for peace with CSOs</w:t>
      </w:r>
      <w:r w:rsidR="00784060">
        <w:rPr>
          <w:sz w:val="22"/>
          <w:szCs w:val="22"/>
        </w:rPr>
        <w:t xml:space="preserve"> and </w:t>
      </w:r>
      <w:r w:rsidR="005422CF">
        <w:rPr>
          <w:sz w:val="22"/>
          <w:szCs w:val="22"/>
        </w:rPr>
        <w:t xml:space="preserve">the </w:t>
      </w:r>
      <w:r w:rsidR="00784060">
        <w:rPr>
          <w:sz w:val="22"/>
          <w:szCs w:val="22"/>
        </w:rPr>
        <w:t>general public</w:t>
      </w:r>
      <w:r w:rsidR="00851662">
        <w:rPr>
          <w:sz w:val="22"/>
          <w:szCs w:val="22"/>
        </w:rPr>
        <w:t xml:space="preserve"> to ensure widespread support for the passage of any legislative measure granting greater autonomy to the Moros</w:t>
      </w:r>
      <w:r w:rsidR="009E11AD">
        <w:rPr>
          <w:sz w:val="22"/>
          <w:szCs w:val="22"/>
        </w:rPr>
        <w:t>;</w:t>
      </w:r>
      <w:r w:rsidR="00E53350">
        <w:rPr>
          <w:sz w:val="22"/>
          <w:szCs w:val="22"/>
        </w:rPr>
        <w:t xml:space="preserve"> </w:t>
      </w:r>
      <w:r w:rsidR="00C60EDA">
        <w:rPr>
          <w:sz w:val="22"/>
          <w:szCs w:val="22"/>
        </w:rPr>
        <w:t xml:space="preserve">c) strengthen inclusive and gendered peacebuilding; </w:t>
      </w:r>
      <w:r w:rsidR="000E3D17">
        <w:rPr>
          <w:sz w:val="22"/>
          <w:szCs w:val="22"/>
        </w:rPr>
        <w:t xml:space="preserve">and </w:t>
      </w:r>
      <w:r w:rsidR="00C60EDA">
        <w:rPr>
          <w:sz w:val="22"/>
          <w:szCs w:val="22"/>
        </w:rPr>
        <w:t>d</w:t>
      </w:r>
      <w:r w:rsidR="00E53350">
        <w:rPr>
          <w:sz w:val="22"/>
          <w:szCs w:val="22"/>
        </w:rPr>
        <w:t>) work to address longstanding biases</w:t>
      </w:r>
      <w:r w:rsidR="00644CF2">
        <w:rPr>
          <w:sz w:val="22"/>
          <w:szCs w:val="22"/>
        </w:rPr>
        <w:t xml:space="preserve"> and historical injustices</w:t>
      </w:r>
      <w:r w:rsidR="00851662">
        <w:rPr>
          <w:sz w:val="22"/>
          <w:szCs w:val="22"/>
        </w:rPr>
        <w:t xml:space="preserve"> against the Moros and IPs by mainstream Filipino community. </w:t>
      </w:r>
    </w:p>
    <w:p w14:paraId="52AA4E12" w14:textId="77777777" w:rsidR="00E53350" w:rsidRDefault="00E53350" w:rsidP="004C2C62">
      <w:pPr>
        <w:jc w:val="both"/>
        <w:rPr>
          <w:sz w:val="22"/>
          <w:szCs w:val="22"/>
        </w:rPr>
      </w:pPr>
    </w:p>
    <w:p w14:paraId="20FABEF3" w14:textId="01786543" w:rsidR="009C423E" w:rsidRDefault="003A2A93" w:rsidP="004C2C62">
      <w:pPr>
        <w:jc w:val="both"/>
        <w:rPr>
          <w:sz w:val="22"/>
          <w:szCs w:val="22"/>
        </w:rPr>
      </w:pPr>
      <w:r>
        <w:rPr>
          <w:sz w:val="22"/>
          <w:szCs w:val="22"/>
        </w:rPr>
        <w:t>28</w:t>
      </w:r>
      <w:r w:rsidR="00E53350">
        <w:rPr>
          <w:sz w:val="22"/>
          <w:szCs w:val="22"/>
        </w:rPr>
        <w:t>.</w:t>
      </w:r>
      <w:r w:rsidR="00E53350">
        <w:rPr>
          <w:sz w:val="22"/>
          <w:szCs w:val="22"/>
        </w:rPr>
        <w:tab/>
        <w:t xml:space="preserve">Conversely, the review identified three </w:t>
      </w:r>
      <w:r w:rsidR="00E53350" w:rsidRPr="00E53350">
        <w:rPr>
          <w:sz w:val="22"/>
          <w:szCs w:val="22"/>
        </w:rPr>
        <w:t>common</w:t>
      </w:r>
      <w:r w:rsidR="00F61649">
        <w:rPr>
          <w:b/>
          <w:sz w:val="22"/>
          <w:szCs w:val="22"/>
        </w:rPr>
        <w:t xml:space="preserve"> strategic risks </w:t>
      </w:r>
      <w:r w:rsidR="00F61649">
        <w:rPr>
          <w:sz w:val="22"/>
          <w:szCs w:val="22"/>
        </w:rPr>
        <w:t>th</w:t>
      </w:r>
      <w:r w:rsidR="00E53350">
        <w:rPr>
          <w:sz w:val="22"/>
          <w:szCs w:val="22"/>
        </w:rPr>
        <w:t xml:space="preserve">at should ground programming decisions: a) </w:t>
      </w:r>
      <w:r w:rsidR="00925A7B">
        <w:rPr>
          <w:sz w:val="22"/>
          <w:szCs w:val="22"/>
        </w:rPr>
        <w:t>the</w:t>
      </w:r>
      <w:r w:rsidR="00E53350">
        <w:rPr>
          <w:sz w:val="22"/>
          <w:szCs w:val="22"/>
        </w:rPr>
        <w:t xml:space="preserve"> possibility expectations </w:t>
      </w:r>
      <w:r w:rsidR="00851662">
        <w:rPr>
          <w:sz w:val="22"/>
          <w:szCs w:val="22"/>
        </w:rPr>
        <w:t xml:space="preserve">of early passage or the enactment of the “Enabling Law” and/or federalism </w:t>
      </w:r>
      <w:r w:rsidR="00E53350">
        <w:rPr>
          <w:sz w:val="22"/>
          <w:szCs w:val="22"/>
        </w:rPr>
        <w:t>may be dashed under</w:t>
      </w:r>
      <w:r w:rsidR="000162BB">
        <w:rPr>
          <w:sz w:val="22"/>
          <w:szCs w:val="22"/>
        </w:rPr>
        <w:t xml:space="preserve"> any scenario, </w:t>
      </w:r>
      <w:r w:rsidR="00851662">
        <w:rPr>
          <w:sz w:val="22"/>
          <w:szCs w:val="22"/>
        </w:rPr>
        <w:t xml:space="preserve">triggering rising </w:t>
      </w:r>
      <w:r w:rsidR="00E53350">
        <w:rPr>
          <w:sz w:val="22"/>
          <w:szCs w:val="22"/>
        </w:rPr>
        <w:t>frustrations</w:t>
      </w:r>
      <w:r w:rsidR="00851662">
        <w:rPr>
          <w:sz w:val="22"/>
          <w:szCs w:val="22"/>
        </w:rPr>
        <w:t xml:space="preserve"> over the peace process</w:t>
      </w:r>
      <w:r w:rsidR="00E53350">
        <w:rPr>
          <w:sz w:val="22"/>
          <w:szCs w:val="22"/>
        </w:rPr>
        <w:t xml:space="preserve">; b) </w:t>
      </w:r>
      <w:r w:rsidR="00925A7B">
        <w:rPr>
          <w:sz w:val="22"/>
          <w:szCs w:val="22"/>
        </w:rPr>
        <w:t xml:space="preserve">incidents of violence </w:t>
      </w:r>
      <w:r w:rsidR="00E53350">
        <w:rPr>
          <w:sz w:val="22"/>
          <w:szCs w:val="22"/>
        </w:rPr>
        <w:t>will continue</w:t>
      </w:r>
      <w:r w:rsidR="00851662">
        <w:rPr>
          <w:sz w:val="22"/>
          <w:szCs w:val="22"/>
        </w:rPr>
        <w:t xml:space="preserve"> and even rise</w:t>
      </w:r>
      <w:r w:rsidR="00E53350">
        <w:rPr>
          <w:sz w:val="22"/>
          <w:szCs w:val="22"/>
        </w:rPr>
        <w:t xml:space="preserve">, </w:t>
      </w:r>
      <w:r w:rsidR="00851662">
        <w:rPr>
          <w:sz w:val="22"/>
          <w:szCs w:val="22"/>
        </w:rPr>
        <w:t>particularly horizontal</w:t>
      </w:r>
      <w:r w:rsidR="003555AD">
        <w:rPr>
          <w:sz w:val="22"/>
          <w:szCs w:val="22"/>
        </w:rPr>
        <w:t xml:space="preserve"> conflict and those perpetrated by </w:t>
      </w:r>
      <w:r w:rsidR="00851662">
        <w:rPr>
          <w:sz w:val="22"/>
          <w:szCs w:val="22"/>
        </w:rPr>
        <w:t xml:space="preserve">radical groups, and in the process </w:t>
      </w:r>
      <w:r w:rsidR="00E53350">
        <w:rPr>
          <w:sz w:val="22"/>
          <w:szCs w:val="22"/>
        </w:rPr>
        <w:t>undermining peace efforts;</w:t>
      </w:r>
      <w:r w:rsidR="004E0C7C">
        <w:rPr>
          <w:sz w:val="22"/>
          <w:szCs w:val="22"/>
        </w:rPr>
        <w:t xml:space="preserve"> </w:t>
      </w:r>
      <w:r w:rsidR="00E53350">
        <w:rPr>
          <w:sz w:val="22"/>
          <w:szCs w:val="22"/>
        </w:rPr>
        <w:t xml:space="preserve">c) rebel groups may </w:t>
      </w:r>
      <w:r w:rsidR="00851662">
        <w:rPr>
          <w:sz w:val="22"/>
          <w:szCs w:val="22"/>
        </w:rPr>
        <w:t xml:space="preserve">further </w:t>
      </w:r>
      <w:r w:rsidR="00E53350">
        <w:rPr>
          <w:sz w:val="22"/>
          <w:szCs w:val="22"/>
        </w:rPr>
        <w:t>splinter</w:t>
      </w:r>
      <w:r w:rsidR="005422CF">
        <w:rPr>
          <w:sz w:val="22"/>
          <w:szCs w:val="22"/>
        </w:rPr>
        <w:t xml:space="preserve"> and</w:t>
      </w:r>
      <w:r w:rsidR="00E53350">
        <w:rPr>
          <w:sz w:val="22"/>
          <w:szCs w:val="22"/>
        </w:rPr>
        <w:t xml:space="preserve"> support violent extremist groups</w:t>
      </w:r>
      <w:r w:rsidR="000162BB">
        <w:rPr>
          <w:sz w:val="22"/>
          <w:szCs w:val="22"/>
        </w:rPr>
        <w:t>,</w:t>
      </w:r>
      <w:r w:rsidR="00E53350">
        <w:rPr>
          <w:sz w:val="22"/>
          <w:szCs w:val="22"/>
        </w:rPr>
        <w:t xml:space="preserve"> as efforts flounder</w:t>
      </w:r>
      <w:r w:rsidR="009C423E">
        <w:rPr>
          <w:sz w:val="22"/>
          <w:szCs w:val="22"/>
        </w:rPr>
        <w:t>.</w:t>
      </w:r>
    </w:p>
    <w:p w14:paraId="00068226" w14:textId="77777777" w:rsidR="009C423E" w:rsidRDefault="009C423E" w:rsidP="004C2C62">
      <w:pPr>
        <w:jc w:val="both"/>
        <w:rPr>
          <w:sz w:val="22"/>
          <w:szCs w:val="22"/>
        </w:rPr>
      </w:pPr>
    </w:p>
    <w:p w14:paraId="7DA32D06" w14:textId="36110B0F" w:rsidR="009C423E" w:rsidRDefault="003A2A93" w:rsidP="004C2C62">
      <w:pPr>
        <w:jc w:val="both"/>
        <w:rPr>
          <w:sz w:val="22"/>
          <w:szCs w:val="22"/>
        </w:rPr>
      </w:pPr>
      <w:r>
        <w:rPr>
          <w:sz w:val="22"/>
          <w:szCs w:val="22"/>
        </w:rPr>
        <w:t>29</w:t>
      </w:r>
      <w:r w:rsidR="009C423E">
        <w:rPr>
          <w:sz w:val="22"/>
          <w:szCs w:val="22"/>
        </w:rPr>
        <w:t>.</w:t>
      </w:r>
      <w:r w:rsidR="009C423E">
        <w:rPr>
          <w:sz w:val="22"/>
          <w:szCs w:val="22"/>
        </w:rPr>
        <w:tab/>
        <w:t>The review team further noted that emerging strains in the bilateral relationships of the GPH with key donors could complicate the aid delivery environment.</w:t>
      </w:r>
    </w:p>
    <w:p w14:paraId="5433831B" w14:textId="77777777" w:rsidR="00E43597" w:rsidRDefault="00E43597" w:rsidP="004C2C62">
      <w:pPr>
        <w:jc w:val="both"/>
        <w:rPr>
          <w:b/>
          <w:sz w:val="22"/>
          <w:szCs w:val="22"/>
        </w:rPr>
      </w:pPr>
    </w:p>
    <w:p w14:paraId="676CC482" w14:textId="17ACA152" w:rsidR="000162BB" w:rsidRDefault="000162BB" w:rsidP="004C2C62">
      <w:pPr>
        <w:jc w:val="both"/>
        <w:rPr>
          <w:b/>
          <w:sz w:val="22"/>
          <w:szCs w:val="22"/>
        </w:rPr>
      </w:pPr>
      <w:r>
        <w:rPr>
          <w:b/>
          <w:sz w:val="22"/>
          <w:szCs w:val="22"/>
        </w:rPr>
        <w:t xml:space="preserve">IV.  </w:t>
      </w:r>
      <w:r>
        <w:rPr>
          <w:b/>
          <w:sz w:val="22"/>
          <w:szCs w:val="22"/>
        </w:rPr>
        <w:tab/>
        <w:t>RECOMMENDATIONS</w:t>
      </w:r>
    </w:p>
    <w:p w14:paraId="5743E19D" w14:textId="77777777" w:rsidR="001F71E9" w:rsidRDefault="001F71E9" w:rsidP="00E53350">
      <w:pPr>
        <w:jc w:val="both"/>
        <w:rPr>
          <w:sz w:val="22"/>
          <w:szCs w:val="22"/>
        </w:rPr>
      </w:pPr>
    </w:p>
    <w:p w14:paraId="5FF975EE" w14:textId="465F83FA" w:rsidR="001F71E9" w:rsidRPr="00851662" w:rsidRDefault="00851662" w:rsidP="00E53350">
      <w:pPr>
        <w:jc w:val="both"/>
        <w:rPr>
          <w:b/>
          <w:i/>
          <w:sz w:val="22"/>
          <w:szCs w:val="22"/>
          <w:u w:val="single"/>
        </w:rPr>
      </w:pPr>
      <w:r>
        <w:rPr>
          <w:b/>
          <w:i/>
          <w:sz w:val="22"/>
          <w:szCs w:val="22"/>
        </w:rPr>
        <w:tab/>
      </w:r>
      <w:r w:rsidR="001F71E9" w:rsidRPr="00851662">
        <w:rPr>
          <w:b/>
          <w:i/>
          <w:sz w:val="22"/>
          <w:szCs w:val="22"/>
          <w:u w:val="single"/>
        </w:rPr>
        <w:t>Part A</w:t>
      </w:r>
      <w:r w:rsidRPr="00851662">
        <w:rPr>
          <w:b/>
          <w:i/>
          <w:sz w:val="22"/>
          <w:szCs w:val="22"/>
          <w:u w:val="single"/>
        </w:rPr>
        <w:t>:</w:t>
      </w:r>
      <w:r w:rsidR="001F71E9" w:rsidRPr="00851662">
        <w:rPr>
          <w:b/>
          <w:i/>
          <w:sz w:val="22"/>
          <w:szCs w:val="22"/>
          <w:u w:val="single"/>
        </w:rPr>
        <w:tab/>
      </w:r>
      <w:r w:rsidR="00E34C4F">
        <w:rPr>
          <w:b/>
          <w:i/>
          <w:sz w:val="22"/>
          <w:szCs w:val="22"/>
          <w:u w:val="single"/>
        </w:rPr>
        <w:t xml:space="preserve"> </w:t>
      </w:r>
      <w:r w:rsidR="001F71E9" w:rsidRPr="00851662">
        <w:rPr>
          <w:b/>
          <w:i/>
          <w:sz w:val="22"/>
          <w:szCs w:val="22"/>
          <w:u w:val="single"/>
        </w:rPr>
        <w:t>BASIC</w:t>
      </w:r>
    </w:p>
    <w:p w14:paraId="6A8F247C" w14:textId="77777777" w:rsidR="00DE6DC3" w:rsidRDefault="00DE6DC3" w:rsidP="00A429CC">
      <w:pPr>
        <w:jc w:val="both"/>
        <w:rPr>
          <w:sz w:val="22"/>
          <w:szCs w:val="22"/>
        </w:rPr>
      </w:pPr>
    </w:p>
    <w:p w14:paraId="3D0C4960" w14:textId="7C4BD678" w:rsidR="000F1592" w:rsidRDefault="005F5FA6" w:rsidP="00A429CC">
      <w:pPr>
        <w:jc w:val="both"/>
        <w:rPr>
          <w:sz w:val="22"/>
          <w:szCs w:val="22"/>
        </w:rPr>
      </w:pPr>
      <w:r>
        <w:rPr>
          <w:sz w:val="22"/>
          <w:szCs w:val="22"/>
        </w:rPr>
        <w:t>3</w:t>
      </w:r>
      <w:r w:rsidR="003A2A93">
        <w:rPr>
          <w:sz w:val="22"/>
          <w:szCs w:val="22"/>
        </w:rPr>
        <w:t>0</w:t>
      </w:r>
      <w:r w:rsidR="001F71E9">
        <w:rPr>
          <w:sz w:val="22"/>
          <w:szCs w:val="22"/>
        </w:rPr>
        <w:t>.</w:t>
      </w:r>
      <w:r w:rsidR="001F71E9">
        <w:rPr>
          <w:sz w:val="22"/>
          <w:szCs w:val="22"/>
        </w:rPr>
        <w:tab/>
      </w:r>
      <w:r w:rsidR="001F71E9">
        <w:rPr>
          <w:b/>
          <w:sz w:val="22"/>
          <w:szCs w:val="22"/>
        </w:rPr>
        <w:t xml:space="preserve">Develop a </w:t>
      </w:r>
      <w:r w:rsidR="00E25B47">
        <w:rPr>
          <w:b/>
          <w:sz w:val="22"/>
          <w:szCs w:val="22"/>
        </w:rPr>
        <w:t>coordinated advocacy</w:t>
      </w:r>
      <w:r w:rsidR="005422CF">
        <w:rPr>
          <w:b/>
          <w:sz w:val="22"/>
          <w:szCs w:val="22"/>
        </w:rPr>
        <w:t xml:space="preserve"> strategy </w:t>
      </w:r>
      <w:r w:rsidR="001F71E9">
        <w:rPr>
          <w:b/>
          <w:sz w:val="22"/>
          <w:szCs w:val="22"/>
        </w:rPr>
        <w:t>support</w:t>
      </w:r>
      <w:r w:rsidR="005422CF">
        <w:rPr>
          <w:b/>
          <w:sz w:val="22"/>
          <w:szCs w:val="22"/>
        </w:rPr>
        <w:t xml:space="preserve">ing </w:t>
      </w:r>
      <w:r w:rsidR="001F71E9">
        <w:rPr>
          <w:b/>
          <w:sz w:val="22"/>
          <w:szCs w:val="22"/>
        </w:rPr>
        <w:t xml:space="preserve">the peace process and addressing biases, stereotypes and historical injustice.  </w:t>
      </w:r>
      <w:r w:rsidR="003555AD">
        <w:rPr>
          <w:b/>
          <w:sz w:val="22"/>
          <w:szCs w:val="22"/>
        </w:rPr>
        <w:t xml:space="preserve"> </w:t>
      </w:r>
      <w:r w:rsidR="003555AD">
        <w:rPr>
          <w:sz w:val="22"/>
          <w:szCs w:val="22"/>
        </w:rPr>
        <w:t xml:space="preserve">A key factor in the </w:t>
      </w:r>
      <w:r w:rsidR="00A456AB">
        <w:rPr>
          <w:sz w:val="22"/>
          <w:szCs w:val="22"/>
        </w:rPr>
        <w:t>failur</w:t>
      </w:r>
      <w:r w:rsidR="007414B7">
        <w:rPr>
          <w:sz w:val="22"/>
          <w:szCs w:val="22"/>
        </w:rPr>
        <w:t>e of Congress to pass the BBL was</w:t>
      </w:r>
      <w:r w:rsidR="00A456AB">
        <w:rPr>
          <w:sz w:val="22"/>
          <w:szCs w:val="22"/>
        </w:rPr>
        <w:t xml:space="preserve"> the weak </w:t>
      </w:r>
      <w:r w:rsidR="007414B7">
        <w:rPr>
          <w:sz w:val="22"/>
          <w:szCs w:val="22"/>
        </w:rPr>
        <w:t xml:space="preserve">public </w:t>
      </w:r>
      <w:r w:rsidR="00A456AB">
        <w:rPr>
          <w:sz w:val="22"/>
          <w:szCs w:val="22"/>
        </w:rPr>
        <w:t xml:space="preserve">support it generated due to long held </w:t>
      </w:r>
      <w:r w:rsidR="007414B7">
        <w:rPr>
          <w:sz w:val="22"/>
          <w:szCs w:val="22"/>
        </w:rPr>
        <w:t>prejudices</w:t>
      </w:r>
      <w:r w:rsidR="00A456AB">
        <w:rPr>
          <w:sz w:val="22"/>
          <w:szCs w:val="22"/>
        </w:rPr>
        <w:t xml:space="preserve"> and ignorance of the histori</w:t>
      </w:r>
      <w:r w:rsidR="007414B7">
        <w:rPr>
          <w:sz w:val="22"/>
          <w:szCs w:val="22"/>
        </w:rPr>
        <w:t xml:space="preserve">cal injustices committed to </w:t>
      </w:r>
      <w:r w:rsidR="00A456AB">
        <w:rPr>
          <w:sz w:val="22"/>
          <w:szCs w:val="22"/>
        </w:rPr>
        <w:t>Moros.</w:t>
      </w:r>
      <w:r w:rsidR="00A456AB">
        <w:rPr>
          <w:rStyle w:val="FootnoteReference"/>
          <w:sz w:val="22"/>
          <w:szCs w:val="22"/>
        </w:rPr>
        <w:footnoteReference w:id="15"/>
      </w:r>
      <w:r w:rsidR="00C23AAC">
        <w:rPr>
          <w:sz w:val="22"/>
          <w:szCs w:val="22"/>
        </w:rPr>
        <w:t xml:space="preserve"> </w:t>
      </w:r>
      <w:r w:rsidR="001F71E9">
        <w:rPr>
          <w:sz w:val="22"/>
          <w:szCs w:val="22"/>
        </w:rPr>
        <w:t xml:space="preserve">BASIC partners should work </w:t>
      </w:r>
      <w:r w:rsidR="00B006B1">
        <w:rPr>
          <w:sz w:val="22"/>
          <w:szCs w:val="22"/>
        </w:rPr>
        <w:t xml:space="preserve">collectively </w:t>
      </w:r>
      <w:r w:rsidR="001F71E9">
        <w:rPr>
          <w:sz w:val="22"/>
          <w:szCs w:val="22"/>
        </w:rPr>
        <w:t xml:space="preserve">with </w:t>
      </w:r>
      <w:r w:rsidR="00B006B1">
        <w:rPr>
          <w:sz w:val="22"/>
          <w:szCs w:val="22"/>
        </w:rPr>
        <w:t>their partners</w:t>
      </w:r>
      <w:r w:rsidR="00BF1F8E">
        <w:rPr>
          <w:sz w:val="22"/>
          <w:szCs w:val="22"/>
        </w:rPr>
        <w:t xml:space="preserve"> (</w:t>
      </w:r>
      <w:r w:rsidR="002F1EA1">
        <w:rPr>
          <w:sz w:val="22"/>
          <w:szCs w:val="22"/>
        </w:rPr>
        <w:t xml:space="preserve">including </w:t>
      </w:r>
      <w:r w:rsidR="00BF1F8E">
        <w:rPr>
          <w:sz w:val="22"/>
          <w:szCs w:val="22"/>
        </w:rPr>
        <w:t>Mindanews)</w:t>
      </w:r>
      <w:r w:rsidR="001F71E9">
        <w:rPr>
          <w:sz w:val="22"/>
          <w:szCs w:val="22"/>
        </w:rPr>
        <w:t xml:space="preserve"> to del</w:t>
      </w:r>
      <w:r w:rsidR="00B21C58">
        <w:rPr>
          <w:sz w:val="22"/>
          <w:szCs w:val="22"/>
        </w:rPr>
        <w:t>iver consistent, clear messaging</w:t>
      </w:r>
      <w:r w:rsidR="001F71E9">
        <w:rPr>
          <w:sz w:val="22"/>
          <w:szCs w:val="22"/>
        </w:rPr>
        <w:t xml:space="preserve"> </w:t>
      </w:r>
      <w:r w:rsidR="00B21C58">
        <w:rPr>
          <w:sz w:val="22"/>
          <w:szCs w:val="22"/>
        </w:rPr>
        <w:t xml:space="preserve">to build </w:t>
      </w:r>
      <w:r w:rsidR="001F71E9">
        <w:rPr>
          <w:sz w:val="22"/>
          <w:szCs w:val="22"/>
        </w:rPr>
        <w:t xml:space="preserve">public support </w:t>
      </w:r>
      <w:r w:rsidR="007414B7">
        <w:rPr>
          <w:sz w:val="22"/>
          <w:szCs w:val="22"/>
        </w:rPr>
        <w:t>and address</w:t>
      </w:r>
      <w:r w:rsidR="001F71E9">
        <w:rPr>
          <w:sz w:val="22"/>
          <w:szCs w:val="22"/>
        </w:rPr>
        <w:t xml:space="preserve"> negative public sentiment that may undermine </w:t>
      </w:r>
      <w:r w:rsidR="00BF4DBE">
        <w:rPr>
          <w:sz w:val="22"/>
          <w:szCs w:val="22"/>
        </w:rPr>
        <w:t>peace</w:t>
      </w:r>
      <w:r w:rsidR="007414B7">
        <w:rPr>
          <w:sz w:val="22"/>
          <w:szCs w:val="22"/>
        </w:rPr>
        <w:t>-making efforts, including attempts to pass the new ‘Enabling Law’.</w:t>
      </w:r>
      <w:r w:rsidR="005422CF">
        <w:rPr>
          <w:sz w:val="22"/>
          <w:szCs w:val="22"/>
        </w:rPr>
        <w:t xml:space="preserve"> </w:t>
      </w:r>
      <w:r w:rsidR="00E07E6A">
        <w:rPr>
          <w:sz w:val="22"/>
          <w:szCs w:val="22"/>
        </w:rPr>
        <w:t xml:space="preserve">  The Presid</w:t>
      </w:r>
      <w:r w:rsidR="00C67C2C">
        <w:rPr>
          <w:sz w:val="22"/>
          <w:szCs w:val="22"/>
        </w:rPr>
        <w:t>ent’s public recognition of the</w:t>
      </w:r>
      <w:r w:rsidR="00E07E6A">
        <w:rPr>
          <w:sz w:val="22"/>
          <w:szCs w:val="22"/>
        </w:rPr>
        <w:t xml:space="preserve"> historical injustice committed </w:t>
      </w:r>
      <w:r w:rsidR="00B03E2C">
        <w:rPr>
          <w:sz w:val="22"/>
          <w:szCs w:val="22"/>
        </w:rPr>
        <w:t>to</w:t>
      </w:r>
      <w:r w:rsidR="00E07E6A">
        <w:rPr>
          <w:sz w:val="22"/>
          <w:szCs w:val="22"/>
        </w:rPr>
        <w:t xml:space="preserve"> the Moros and IPs provide</w:t>
      </w:r>
      <w:r w:rsidR="002A2A2B">
        <w:rPr>
          <w:sz w:val="22"/>
          <w:szCs w:val="22"/>
        </w:rPr>
        <w:t>s an</w:t>
      </w:r>
      <w:r w:rsidR="00E07E6A">
        <w:rPr>
          <w:sz w:val="22"/>
          <w:szCs w:val="22"/>
        </w:rPr>
        <w:t xml:space="preserve"> opportunity to increase support for this information dissemination and advocacy activity.  In addition, the recognition by the GPH Implementing Peace Panel that transitional justice and reconciliation is a key activity under the “Annex Normalization Agreement” </w:t>
      </w:r>
      <w:r w:rsidR="00C67C2C">
        <w:rPr>
          <w:sz w:val="22"/>
          <w:szCs w:val="22"/>
        </w:rPr>
        <w:t>can serve as the entry point for DFAT to support various institutions and individuals working on transitional justice and reconciliation issues.  Current BASIC partners such as TAF, IA, and IAG can be tapped to perform these activities.  Other institutions such as the Philippine Center for Islam and Democracy (PCID), Indigenous Peoples Development (IPDev) Foundation, Ateneo de Davao University, and Miriam College’s Center for Peace Education also</w:t>
      </w:r>
      <w:r w:rsidR="002A2A2B">
        <w:rPr>
          <w:sz w:val="22"/>
          <w:szCs w:val="22"/>
        </w:rPr>
        <w:t xml:space="preserve"> have</w:t>
      </w:r>
      <w:r w:rsidR="00C67C2C">
        <w:rPr>
          <w:sz w:val="22"/>
          <w:szCs w:val="22"/>
        </w:rPr>
        <w:t xml:space="preserve"> the expertise to engage in </w:t>
      </w:r>
      <w:r w:rsidR="002A2A2B">
        <w:rPr>
          <w:sz w:val="22"/>
          <w:szCs w:val="22"/>
        </w:rPr>
        <w:t>such</w:t>
      </w:r>
      <w:r w:rsidR="00C67C2C">
        <w:rPr>
          <w:sz w:val="22"/>
          <w:szCs w:val="22"/>
        </w:rPr>
        <w:t xml:space="preserve"> information dissemination and advocacy work.</w:t>
      </w:r>
    </w:p>
    <w:p w14:paraId="1417EED0" w14:textId="432FA5E4" w:rsidR="001F71E9" w:rsidRDefault="001F71E9" w:rsidP="00A429CC">
      <w:pPr>
        <w:jc w:val="both"/>
        <w:rPr>
          <w:sz w:val="22"/>
          <w:szCs w:val="22"/>
        </w:rPr>
      </w:pPr>
    </w:p>
    <w:p w14:paraId="754207D3" w14:textId="046FBC0C" w:rsidR="00342B97" w:rsidRDefault="005F5FA6" w:rsidP="00E67968">
      <w:pPr>
        <w:spacing w:after="240"/>
        <w:jc w:val="both"/>
        <w:rPr>
          <w:sz w:val="22"/>
          <w:szCs w:val="22"/>
        </w:rPr>
      </w:pPr>
      <w:r>
        <w:rPr>
          <w:sz w:val="22"/>
          <w:szCs w:val="22"/>
        </w:rPr>
        <w:t>3</w:t>
      </w:r>
      <w:r w:rsidR="003A2A93">
        <w:rPr>
          <w:sz w:val="22"/>
          <w:szCs w:val="22"/>
        </w:rPr>
        <w:t>1</w:t>
      </w:r>
      <w:r w:rsidR="001F71E9">
        <w:rPr>
          <w:sz w:val="22"/>
          <w:szCs w:val="22"/>
        </w:rPr>
        <w:t>.</w:t>
      </w:r>
      <w:r w:rsidR="001F71E9">
        <w:rPr>
          <w:sz w:val="22"/>
          <w:szCs w:val="22"/>
        </w:rPr>
        <w:tab/>
      </w:r>
      <w:r w:rsidR="00812A45">
        <w:rPr>
          <w:b/>
          <w:sz w:val="22"/>
          <w:szCs w:val="22"/>
        </w:rPr>
        <w:t xml:space="preserve">Increase </w:t>
      </w:r>
      <w:r w:rsidR="001F71E9">
        <w:rPr>
          <w:b/>
          <w:sz w:val="22"/>
          <w:szCs w:val="22"/>
        </w:rPr>
        <w:t>coordination</w:t>
      </w:r>
      <w:r w:rsidR="00B05558">
        <w:rPr>
          <w:b/>
          <w:sz w:val="22"/>
          <w:szCs w:val="22"/>
        </w:rPr>
        <w:t xml:space="preserve"> of BASIC partners</w:t>
      </w:r>
      <w:r w:rsidR="001F71E9">
        <w:rPr>
          <w:b/>
          <w:sz w:val="22"/>
          <w:szCs w:val="22"/>
        </w:rPr>
        <w:t xml:space="preserve">. </w:t>
      </w:r>
      <w:r w:rsidR="001F71E9">
        <w:rPr>
          <w:sz w:val="22"/>
          <w:szCs w:val="22"/>
        </w:rPr>
        <w:t xml:space="preserve">DFAT should more regularly convene joint meetings with BASIC partners to </w:t>
      </w:r>
      <w:r w:rsidR="00B21C58">
        <w:rPr>
          <w:sz w:val="22"/>
          <w:szCs w:val="22"/>
        </w:rPr>
        <w:t xml:space="preserve">better </w:t>
      </w:r>
      <w:r w:rsidR="00E25B47">
        <w:rPr>
          <w:sz w:val="22"/>
          <w:szCs w:val="22"/>
        </w:rPr>
        <w:t xml:space="preserve">coordinate their </w:t>
      </w:r>
      <w:r w:rsidR="00B21C58">
        <w:rPr>
          <w:sz w:val="22"/>
          <w:szCs w:val="22"/>
        </w:rPr>
        <w:t>advocacy efforts</w:t>
      </w:r>
      <w:r w:rsidR="001F71E9">
        <w:rPr>
          <w:sz w:val="22"/>
          <w:szCs w:val="22"/>
        </w:rPr>
        <w:t xml:space="preserve"> </w:t>
      </w:r>
      <w:r w:rsidR="00B21C58">
        <w:rPr>
          <w:sz w:val="22"/>
          <w:szCs w:val="22"/>
        </w:rPr>
        <w:t>and respond more effectively</w:t>
      </w:r>
      <w:r w:rsidR="001F71E9">
        <w:rPr>
          <w:sz w:val="22"/>
          <w:szCs w:val="22"/>
        </w:rPr>
        <w:t xml:space="preserve"> to changes in context.  </w:t>
      </w:r>
      <w:r w:rsidR="00692A01">
        <w:rPr>
          <w:sz w:val="22"/>
          <w:szCs w:val="22"/>
        </w:rPr>
        <w:t>To</w:t>
      </w:r>
      <w:r w:rsidR="001F71E9">
        <w:rPr>
          <w:sz w:val="22"/>
          <w:szCs w:val="22"/>
        </w:rPr>
        <w:t xml:space="preserve"> ensure efforts are locally-led, DFAT should see i</w:t>
      </w:r>
      <w:r w:rsidR="00FA1E70">
        <w:rPr>
          <w:sz w:val="22"/>
          <w:szCs w:val="22"/>
        </w:rPr>
        <w:t>tself as an engaged facilitator</w:t>
      </w:r>
      <w:r w:rsidR="00B21C58">
        <w:rPr>
          <w:sz w:val="22"/>
          <w:szCs w:val="22"/>
        </w:rPr>
        <w:t xml:space="preserve"> rather than a manager</w:t>
      </w:r>
      <w:r w:rsidR="00FA1E70">
        <w:rPr>
          <w:sz w:val="22"/>
          <w:szCs w:val="22"/>
        </w:rPr>
        <w:t xml:space="preserve">, drawing BASIC partners together </w:t>
      </w:r>
      <w:r w:rsidR="00FA1E70">
        <w:rPr>
          <w:sz w:val="22"/>
          <w:szCs w:val="22"/>
        </w:rPr>
        <w:lastRenderedPageBreak/>
        <w:t xml:space="preserve">regularly to develop </w:t>
      </w:r>
      <w:r w:rsidR="001F71E9">
        <w:rPr>
          <w:sz w:val="22"/>
          <w:szCs w:val="22"/>
        </w:rPr>
        <w:t>common positions.</w:t>
      </w:r>
      <w:r w:rsidR="00F77FC4">
        <w:rPr>
          <w:sz w:val="22"/>
          <w:szCs w:val="22"/>
        </w:rPr>
        <w:t xml:space="preserve"> </w:t>
      </w:r>
      <w:r w:rsidR="00B21C58">
        <w:rPr>
          <w:sz w:val="22"/>
          <w:szCs w:val="22"/>
        </w:rPr>
        <w:t xml:space="preserve"> Immediate priorities DFAT should encourage should include:</w:t>
      </w:r>
      <w:r w:rsidR="00F77FC4">
        <w:rPr>
          <w:sz w:val="22"/>
          <w:szCs w:val="22"/>
        </w:rPr>
        <w:t xml:space="preserve"> </w:t>
      </w:r>
      <w:r w:rsidR="00B21C58">
        <w:rPr>
          <w:sz w:val="22"/>
          <w:szCs w:val="22"/>
        </w:rPr>
        <w:t xml:space="preserve">developing </w:t>
      </w:r>
      <w:r w:rsidR="00F77FC4">
        <w:rPr>
          <w:sz w:val="22"/>
          <w:szCs w:val="22"/>
        </w:rPr>
        <w:t xml:space="preserve">a </w:t>
      </w:r>
      <w:r w:rsidR="00B21C58">
        <w:rPr>
          <w:sz w:val="22"/>
          <w:szCs w:val="22"/>
        </w:rPr>
        <w:t xml:space="preserve">shared communication strategy </w:t>
      </w:r>
      <w:r w:rsidR="00B05558">
        <w:rPr>
          <w:sz w:val="22"/>
          <w:szCs w:val="22"/>
        </w:rPr>
        <w:t>to address</w:t>
      </w:r>
      <w:r w:rsidR="00B21C58">
        <w:rPr>
          <w:sz w:val="22"/>
          <w:szCs w:val="22"/>
        </w:rPr>
        <w:t xml:space="preserve"> the new context; sharing </w:t>
      </w:r>
      <w:r w:rsidR="00F77FC4">
        <w:rPr>
          <w:sz w:val="22"/>
          <w:szCs w:val="22"/>
        </w:rPr>
        <w:t>lessons learnt on implementing programs during t</w:t>
      </w:r>
      <w:r w:rsidR="00B21C58">
        <w:rPr>
          <w:sz w:val="22"/>
          <w:szCs w:val="22"/>
        </w:rPr>
        <w:t xml:space="preserve">he adjustment period; soliciting </w:t>
      </w:r>
      <w:r w:rsidR="00B05558">
        <w:rPr>
          <w:sz w:val="22"/>
          <w:szCs w:val="22"/>
        </w:rPr>
        <w:t>suggestions on how to support</w:t>
      </w:r>
      <w:r w:rsidR="00F77FC4">
        <w:rPr>
          <w:sz w:val="22"/>
          <w:szCs w:val="22"/>
        </w:rPr>
        <w:t xml:space="preserve"> the</w:t>
      </w:r>
      <w:r w:rsidR="00B05558">
        <w:rPr>
          <w:sz w:val="22"/>
          <w:szCs w:val="22"/>
        </w:rPr>
        <w:t xml:space="preserve"> new government’s peace roadmap; and facilitating</w:t>
      </w:r>
      <w:r w:rsidR="00F77FC4">
        <w:rPr>
          <w:sz w:val="22"/>
          <w:szCs w:val="22"/>
        </w:rPr>
        <w:t xml:space="preserve"> </w:t>
      </w:r>
      <w:r w:rsidR="000F1592">
        <w:rPr>
          <w:sz w:val="22"/>
          <w:szCs w:val="22"/>
        </w:rPr>
        <w:t xml:space="preserve">DFAT </w:t>
      </w:r>
      <w:r w:rsidR="007C589E">
        <w:rPr>
          <w:sz w:val="22"/>
          <w:szCs w:val="22"/>
        </w:rPr>
        <w:t>g</w:t>
      </w:r>
      <w:r w:rsidR="000F1592">
        <w:rPr>
          <w:sz w:val="22"/>
          <w:szCs w:val="22"/>
        </w:rPr>
        <w:t xml:space="preserve">ender training to </w:t>
      </w:r>
      <w:r w:rsidR="00C1694B">
        <w:rPr>
          <w:sz w:val="22"/>
          <w:szCs w:val="22"/>
        </w:rPr>
        <w:t>move BASIC partners</w:t>
      </w:r>
      <w:r w:rsidR="000F1592">
        <w:rPr>
          <w:sz w:val="22"/>
          <w:szCs w:val="22"/>
        </w:rPr>
        <w:t xml:space="preserve"> beyond collecting sex disaggregated data to </w:t>
      </w:r>
      <w:r w:rsidR="007C589E">
        <w:rPr>
          <w:sz w:val="22"/>
          <w:szCs w:val="22"/>
        </w:rPr>
        <w:t xml:space="preserve">better </w:t>
      </w:r>
      <w:r w:rsidR="000F1592">
        <w:rPr>
          <w:sz w:val="22"/>
          <w:szCs w:val="22"/>
        </w:rPr>
        <w:t xml:space="preserve">integrating gender sensitivity into </w:t>
      </w:r>
      <w:r w:rsidR="007C589E">
        <w:rPr>
          <w:sz w:val="22"/>
          <w:szCs w:val="22"/>
        </w:rPr>
        <w:t xml:space="preserve">their </w:t>
      </w:r>
      <w:r w:rsidR="000F1592">
        <w:rPr>
          <w:sz w:val="22"/>
          <w:szCs w:val="22"/>
        </w:rPr>
        <w:t xml:space="preserve">programs and M&amp;E frameworks. </w:t>
      </w:r>
    </w:p>
    <w:p w14:paraId="45086F1A" w14:textId="45CEF05E" w:rsidR="00B05558" w:rsidRDefault="005F5FA6" w:rsidP="005E14D3">
      <w:pPr>
        <w:jc w:val="both"/>
        <w:rPr>
          <w:sz w:val="22"/>
          <w:szCs w:val="22"/>
        </w:rPr>
      </w:pPr>
      <w:r>
        <w:rPr>
          <w:sz w:val="22"/>
          <w:szCs w:val="22"/>
        </w:rPr>
        <w:t>3</w:t>
      </w:r>
      <w:r w:rsidR="003A2A93">
        <w:rPr>
          <w:sz w:val="22"/>
          <w:szCs w:val="22"/>
        </w:rPr>
        <w:t>2</w:t>
      </w:r>
      <w:r w:rsidR="00FA1E70">
        <w:rPr>
          <w:sz w:val="22"/>
          <w:szCs w:val="22"/>
        </w:rPr>
        <w:t>.</w:t>
      </w:r>
      <w:r w:rsidR="00FA1E70">
        <w:rPr>
          <w:sz w:val="22"/>
          <w:szCs w:val="22"/>
        </w:rPr>
        <w:tab/>
      </w:r>
      <w:r w:rsidR="00812A45">
        <w:rPr>
          <w:b/>
          <w:sz w:val="22"/>
          <w:szCs w:val="22"/>
        </w:rPr>
        <w:t xml:space="preserve">Focus BASIC partners on </w:t>
      </w:r>
      <w:r w:rsidR="00FA1E70">
        <w:rPr>
          <w:b/>
          <w:sz w:val="22"/>
          <w:szCs w:val="22"/>
        </w:rPr>
        <w:t xml:space="preserve">areas of </w:t>
      </w:r>
      <w:r w:rsidR="00812A45">
        <w:rPr>
          <w:b/>
          <w:sz w:val="22"/>
          <w:szCs w:val="22"/>
        </w:rPr>
        <w:t xml:space="preserve">core </w:t>
      </w:r>
      <w:r w:rsidR="00FA1E70">
        <w:rPr>
          <w:b/>
          <w:sz w:val="22"/>
          <w:szCs w:val="22"/>
        </w:rPr>
        <w:t xml:space="preserve">comparative advantage.  </w:t>
      </w:r>
      <w:r w:rsidR="00083400">
        <w:rPr>
          <w:sz w:val="22"/>
          <w:szCs w:val="22"/>
        </w:rPr>
        <w:t>To maximize t</w:t>
      </w:r>
      <w:r w:rsidR="003B0C7C">
        <w:rPr>
          <w:sz w:val="22"/>
          <w:szCs w:val="22"/>
        </w:rPr>
        <w:t>heir effectiveness, including by spending more resources on</w:t>
      </w:r>
      <w:r w:rsidR="00083400">
        <w:rPr>
          <w:sz w:val="22"/>
          <w:szCs w:val="22"/>
        </w:rPr>
        <w:t xml:space="preserve"> delivering a coordinated advocacy strategy, BASIC</w:t>
      </w:r>
      <w:r w:rsidR="00812A45">
        <w:rPr>
          <w:sz w:val="22"/>
          <w:szCs w:val="22"/>
        </w:rPr>
        <w:t xml:space="preserve"> </w:t>
      </w:r>
      <w:r w:rsidR="00FA1E70">
        <w:rPr>
          <w:sz w:val="22"/>
          <w:szCs w:val="22"/>
        </w:rPr>
        <w:t>partners should be encouraged to suspend non-core areas of programming</w:t>
      </w:r>
      <w:r w:rsidR="00160248">
        <w:rPr>
          <w:sz w:val="22"/>
          <w:szCs w:val="22"/>
        </w:rPr>
        <w:t xml:space="preserve"> (e.g. </w:t>
      </w:r>
      <w:r w:rsidR="002F1EA1">
        <w:rPr>
          <w:sz w:val="22"/>
          <w:szCs w:val="22"/>
        </w:rPr>
        <w:t xml:space="preserve">IA’s </w:t>
      </w:r>
      <w:r w:rsidR="000C38C9">
        <w:rPr>
          <w:sz w:val="22"/>
          <w:szCs w:val="22"/>
        </w:rPr>
        <w:t xml:space="preserve">cross-border trade </w:t>
      </w:r>
      <w:r w:rsidR="00160248">
        <w:rPr>
          <w:sz w:val="22"/>
          <w:szCs w:val="22"/>
        </w:rPr>
        <w:t>work</w:t>
      </w:r>
      <w:r w:rsidR="00083400">
        <w:rPr>
          <w:sz w:val="22"/>
          <w:szCs w:val="22"/>
        </w:rPr>
        <w:t xml:space="preserve"> and Oxfam’s livelihoods work</w:t>
      </w:r>
      <w:r w:rsidR="00160248">
        <w:rPr>
          <w:sz w:val="22"/>
          <w:szCs w:val="22"/>
        </w:rPr>
        <w:t>).</w:t>
      </w:r>
      <w:r w:rsidR="00FA1E70">
        <w:rPr>
          <w:sz w:val="22"/>
          <w:szCs w:val="22"/>
        </w:rPr>
        <w:t xml:space="preserve">  Their core interventions should be based on the</w:t>
      </w:r>
      <w:r w:rsidR="00083400">
        <w:rPr>
          <w:sz w:val="22"/>
          <w:szCs w:val="22"/>
        </w:rPr>
        <w:t>ir respective areas of strength.  IA should focus on further improving its conflict monitoring system and influencing government programming.  TAF should move from piloting its decade-long work on local dispute resolution mechanisms to lobbying government to institutionalise them.   TAF and IAG should draw on their access to expertise to enhance discussions on federalism.  Oxfam and WeAct1325 should maximize their efforts to promote women’s empowerment and participation in the peace process, particularly for IP women.</w:t>
      </w:r>
    </w:p>
    <w:p w14:paraId="4736FDA4" w14:textId="4D3ACC8C" w:rsidR="00E25B47" w:rsidRPr="00FA1E70" w:rsidRDefault="00E25B47">
      <w:pPr>
        <w:jc w:val="both"/>
        <w:rPr>
          <w:sz w:val="22"/>
          <w:szCs w:val="22"/>
        </w:rPr>
      </w:pPr>
    </w:p>
    <w:p w14:paraId="06602699" w14:textId="553052A3" w:rsidR="00FA1E70" w:rsidRDefault="00B3419F" w:rsidP="00A429CC">
      <w:pPr>
        <w:jc w:val="both"/>
        <w:rPr>
          <w:sz w:val="22"/>
          <w:szCs w:val="22"/>
        </w:rPr>
      </w:pPr>
      <w:r>
        <w:rPr>
          <w:sz w:val="22"/>
          <w:szCs w:val="22"/>
        </w:rPr>
        <w:t>3</w:t>
      </w:r>
      <w:r w:rsidR="003A2A93">
        <w:rPr>
          <w:sz w:val="22"/>
          <w:szCs w:val="22"/>
        </w:rPr>
        <w:t>3</w:t>
      </w:r>
      <w:r w:rsidR="005F5FA6">
        <w:rPr>
          <w:sz w:val="22"/>
          <w:szCs w:val="22"/>
        </w:rPr>
        <w:t>.</w:t>
      </w:r>
      <w:r w:rsidR="00FA1E70">
        <w:rPr>
          <w:sz w:val="22"/>
          <w:szCs w:val="22"/>
        </w:rPr>
        <w:tab/>
      </w:r>
      <w:r w:rsidR="00FA1E70">
        <w:rPr>
          <w:b/>
          <w:sz w:val="22"/>
          <w:szCs w:val="22"/>
        </w:rPr>
        <w:t xml:space="preserve">Find opportunities to raise the profile of promising conflict management tools.  </w:t>
      </w:r>
      <w:r w:rsidR="00FA1E70">
        <w:rPr>
          <w:sz w:val="22"/>
          <w:szCs w:val="22"/>
        </w:rPr>
        <w:t xml:space="preserve">To ensure conflict </w:t>
      </w:r>
      <w:r w:rsidR="00812A45">
        <w:rPr>
          <w:sz w:val="22"/>
          <w:szCs w:val="22"/>
        </w:rPr>
        <w:t xml:space="preserve">management </w:t>
      </w:r>
      <w:r w:rsidR="00FA1E70">
        <w:rPr>
          <w:sz w:val="22"/>
          <w:szCs w:val="22"/>
        </w:rPr>
        <w:t>tools explored by BASIC</w:t>
      </w:r>
      <w:r w:rsidR="00812A45">
        <w:rPr>
          <w:sz w:val="22"/>
          <w:szCs w:val="22"/>
        </w:rPr>
        <w:t xml:space="preserve"> partners, in particular on </w:t>
      </w:r>
      <w:r w:rsidR="00812A45">
        <w:rPr>
          <w:i/>
          <w:sz w:val="22"/>
          <w:szCs w:val="22"/>
        </w:rPr>
        <w:t>rido</w:t>
      </w:r>
      <w:r w:rsidR="00812A45">
        <w:rPr>
          <w:sz w:val="22"/>
          <w:szCs w:val="22"/>
        </w:rPr>
        <w:t xml:space="preserve"> (TAF) and ‘shadow economies’ (IA), </w:t>
      </w:r>
      <w:r w:rsidR="00FA1E70">
        <w:rPr>
          <w:sz w:val="22"/>
          <w:szCs w:val="22"/>
        </w:rPr>
        <w:t>can be taken to scale, DFAT and BASIC partners should look for opportunities to promote them to key policy-making audiences.</w:t>
      </w:r>
      <w:r>
        <w:rPr>
          <w:sz w:val="22"/>
          <w:szCs w:val="22"/>
        </w:rPr>
        <w:t xml:space="preserve">  </w:t>
      </w:r>
      <w:r w:rsidR="00812A45">
        <w:rPr>
          <w:sz w:val="22"/>
          <w:szCs w:val="22"/>
        </w:rPr>
        <w:t xml:space="preserve">BASIC partners should encourage government agencies to work </w:t>
      </w:r>
      <w:r w:rsidR="00C657B3">
        <w:rPr>
          <w:sz w:val="22"/>
          <w:szCs w:val="22"/>
        </w:rPr>
        <w:t>with them</w:t>
      </w:r>
      <w:r w:rsidR="00812A45">
        <w:rPr>
          <w:sz w:val="22"/>
          <w:szCs w:val="22"/>
        </w:rPr>
        <w:t xml:space="preserve"> on pilots in specific flashpoint areas (e.g. </w:t>
      </w:r>
      <w:r>
        <w:rPr>
          <w:sz w:val="22"/>
          <w:szCs w:val="22"/>
        </w:rPr>
        <w:t>Aleos</w:t>
      </w:r>
      <w:r w:rsidR="00812A45">
        <w:rPr>
          <w:sz w:val="22"/>
          <w:szCs w:val="22"/>
        </w:rPr>
        <w:t>an, Upi, Pikit, Datu Piang</w:t>
      </w:r>
      <w:r>
        <w:rPr>
          <w:sz w:val="22"/>
          <w:szCs w:val="22"/>
        </w:rPr>
        <w:t>)</w:t>
      </w:r>
      <w:r w:rsidR="00812A45">
        <w:rPr>
          <w:sz w:val="22"/>
          <w:szCs w:val="22"/>
        </w:rPr>
        <w:t xml:space="preserve"> with a view to scaling-up</w:t>
      </w:r>
      <w:r>
        <w:rPr>
          <w:sz w:val="22"/>
          <w:szCs w:val="22"/>
        </w:rPr>
        <w:t xml:space="preserve">. </w:t>
      </w:r>
      <w:r w:rsidR="00812A45">
        <w:rPr>
          <w:sz w:val="22"/>
          <w:szCs w:val="22"/>
        </w:rPr>
        <w:t xml:space="preserve">  DFAT’s recent agreement with CHD to develop horizontal conflict management tools in Sulu is a promising initiative </w:t>
      </w:r>
      <w:r w:rsidR="00CC60F0">
        <w:rPr>
          <w:sz w:val="22"/>
          <w:szCs w:val="22"/>
        </w:rPr>
        <w:t>that</w:t>
      </w:r>
      <w:r w:rsidR="00812A45">
        <w:rPr>
          <w:sz w:val="22"/>
          <w:szCs w:val="22"/>
        </w:rPr>
        <w:t xml:space="preserve"> offers a</w:t>
      </w:r>
      <w:r w:rsidR="00CC60F0">
        <w:rPr>
          <w:sz w:val="22"/>
          <w:szCs w:val="22"/>
        </w:rPr>
        <w:t>dditional</w:t>
      </w:r>
      <w:r w:rsidR="00812A45">
        <w:rPr>
          <w:sz w:val="22"/>
          <w:szCs w:val="22"/>
        </w:rPr>
        <w:t xml:space="preserve"> entr</w:t>
      </w:r>
      <w:r w:rsidR="00CC60F0">
        <w:rPr>
          <w:sz w:val="22"/>
          <w:szCs w:val="22"/>
        </w:rPr>
        <w:t>y</w:t>
      </w:r>
      <w:r w:rsidR="00812A45">
        <w:rPr>
          <w:sz w:val="22"/>
          <w:szCs w:val="22"/>
        </w:rPr>
        <w:t xml:space="preserve"> </w:t>
      </w:r>
      <w:r w:rsidR="00CC60F0">
        <w:rPr>
          <w:sz w:val="22"/>
          <w:szCs w:val="22"/>
        </w:rPr>
        <w:t>points to</w:t>
      </w:r>
      <w:r w:rsidR="00812A45">
        <w:rPr>
          <w:sz w:val="22"/>
          <w:szCs w:val="22"/>
        </w:rPr>
        <w:t xml:space="preserve"> </w:t>
      </w:r>
      <w:r w:rsidR="00CC60F0">
        <w:rPr>
          <w:sz w:val="22"/>
          <w:szCs w:val="22"/>
        </w:rPr>
        <w:t xml:space="preserve">the </w:t>
      </w:r>
      <w:r w:rsidR="00F61649">
        <w:rPr>
          <w:sz w:val="22"/>
          <w:szCs w:val="22"/>
        </w:rPr>
        <w:t xml:space="preserve">region. </w:t>
      </w:r>
      <w:r w:rsidR="00CC60F0">
        <w:rPr>
          <w:sz w:val="22"/>
          <w:szCs w:val="22"/>
        </w:rPr>
        <w:t xml:space="preserve"> </w:t>
      </w:r>
      <w:r w:rsidR="00812A45">
        <w:rPr>
          <w:sz w:val="22"/>
          <w:szCs w:val="22"/>
        </w:rPr>
        <w:t>DFAT should encourage TAF</w:t>
      </w:r>
      <w:r w:rsidR="008A14D6">
        <w:rPr>
          <w:sz w:val="22"/>
          <w:szCs w:val="22"/>
        </w:rPr>
        <w:t>, IA</w:t>
      </w:r>
      <w:r w:rsidR="00812A45">
        <w:rPr>
          <w:sz w:val="22"/>
          <w:szCs w:val="22"/>
        </w:rPr>
        <w:t xml:space="preserve"> and CHD to discuss how horizontal conflict management tools could be scaled up and institutionalized across conflict-affected areas.</w:t>
      </w:r>
      <w:r w:rsidR="008A14D6">
        <w:rPr>
          <w:sz w:val="22"/>
          <w:szCs w:val="22"/>
        </w:rPr>
        <w:t xml:space="preserve">  In supporting the expansion of local and/or customary conflict management systems, partners should be encouraged to ensure their efforts do not erode gains made in gender equality.</w:t>
      </w:r>
    </w:p>
    <w:p w14:paraId="1B9D26F8" w14:textId="77777777" w:rsidR="002A0449" w:rsidRDefault="002A0449" w:rsidP="007A0603">
      <w:pPr>
        <w:jc w:val="both"/>
        <w:rPr>
          <w:sz w:val="22"/>
          <w:szCs w:val="22"/>
        </w:rPr>
      </w:pPr>
    </w:p>
    <w:p w14:paraId="5202C839" w14:textId="1F5792EF" w:rsidR="00C657B3" w:rsidRDefault="00E34C4F" w:rsidP="007A0603">
      <w:pPr>
        <w:jc w:val="both"/>
        <w:rPr>
          <w:sz w:val="22"/>
          <w:szCs w:val="22"/>
        </w:rPr>
      </w:pPr>
      <w:r>
        <w:rPr>
          <w:sz w:val="22"/>
          <w:szCs w:val="22"/>
        </w:rPr>
        <w:t>3</w:t>
      </w:r>
      <w:r w:rsidR="003A2A93">
        <w:rPr>
          <w:sz w:val="22"/>
          <w:szCs w:val="22"/>
        </w:rPr>
        <w:t>4</w:t>
      </w:r>
      <w:r w:rsidR="005F5FA6">
        <w:rPr>
          <w:sz w:val="22"/>
          <w:szCs w:val="22"/>
        </w:rPr>
        <w:t>.</w:t>
      </w:r>
      <w:r w:rsidR="00FA1E70">
        <w:rPr>
          <w:sz w:val="22"/>
          <w:szCs w:val="22"/>
        </w:rPr>
        <w:tab/>
      </w:r>
      <w:r w:rsidR="002A0449">
        <w:rPr>
          <w:b/>
          <w:sz w:val="22"/>
          <w:szCs w:val="22"/>
        </w:rPr>
        <w:t>Embed</w:t>
      </w:r>
      <w:r w:rsidR="00FA1E70" w:rsidRPr="00145A56">
        <w:rPr>
          <w:b/>
          <w:sz w:val="22"/>
          <w:szCs w:val="22"/>
        </w:rPr>
        <w:t xml:space="preserve"> </w:t>
      </w:r>
      <w:r w:rsidR="002A0449">
        <w:rPr>
          <w:b/>
          <w:sz w:val="22"/>
          <w:szCs w:val="22"/>
        </w:rPr>
        <w:t xml:space="preserve">a stronger </w:t>
      </w:r>
      <w:r w:rsidR="00FA1E70" w:rsidRPr="00145A56">
        <w:rPr>
          <w:b/>
          <w:sz w:val="22"/>
          <w:szCs w:val="22"/>
        </w:rPr>
        <w:t>gender</w:t>
      </w:r>
      <w:r w:rsidR="002A0449">
        <w:rPr>
          <w:b/>
          <w:sz w:val="22"/>
          <w:szCs w:val="22"/>
        </w:rPr>
        <w:t>-sensitive approach across BASIC</w:t>
      </w:r>
      <w:r w:rsidR="00FA1E70" w:rsidRPr="00145A56">
        <w:rPr>
          <w:b/>
          <w:sz w:val="22"/>
          <w:szCs w:val="22"/>
        </w:rPr>
        <w:t xml:space="preserve">. </w:t>
      </w:r>
      <w:r w:rsidR="002A0449">
        <w:rPr>
          <w:sz w:val="22"/>
          <w:szCs w:val="22"/>
        </w:rPr>
        <w:t xml:space="preserve"> A g</w:t>
      </w:r>
      <w:r w:rsidR="002F1EA1" w:rsidRPr="00145A56">
        <w:rPr>
          <w:sz w:val="22"/>
          <w:szCs w:val="22"/>
        </w:rPr>
        <w:t>ender</w:t>
      </w:r>
      <w:r w:rsidR="002F1EA1">
        <w:rPr>
          <w:sz w:val="22"/>
          <w:szCs w:val="22"/>
        </w:rPr>
        <w:t xml:space="preserve">-sensitive </w:t>
      </w:r>
      <w:r w:rsidR="002A0449">
        <w:rPr>
          <w:sz w:val="22"/>
          <w:szCs w:val="22"/>
        </w:rPr>
        <w:t xml:space="preserve">approach to </w:t>
      </w:r>
      <w:r w:rsidR="002F1EA1">
        <w:rPr>
          <w:sz w:val="22"/>
          <w:szCs w:val="22"/>
        </w:rPr>
        <w:t>peace</w:t>
      </w:r>
      <w:r w:rsidR="009E11AD">
        <w:rPr>
          <w:sz w:val="22"/>
          <w:szCs w:val="22"/>
        </w:rPr>
        <w:t>-</w:t>
      </w:r>
      <w:r w:rsidR="002F1EA1">
        <w:rPr>
          <w:sz w:val="22"/>
          <w:szCs w:val="22"/>
        </w:rPr>
        <w:t xml:space="preserve">building remains </w:t>
      </w:r>
      <w:r w:rsidR="008F632E">
        <w:rPr>
          <w:sz w:val="22"/>
          <w:szCs w:val="22"/>
        </w:rPr>
        <w:t xml:space="preserve">a </w:t>
      </w:r>
      <w:r w:rsidR="002F1EA1">
        <w:rPr>
          <w:sz w:val="22"/>
          <w:szCs w:val="22"/>
        </w:rPr>
        <w:t xml:space="preserve">crucial </w:t>
      </w:r>
      <w:r w:rsidR="008F632E">
        <w:rPr>
          <w:sz w:val="22"/>
          <w:szCs w:val="22"/>
        </w:rPr>
        <w:t>determinant of</w:t>
      </w:r>
      <w:r w:rsidR="002A0449">
        <w:rPr>
          <w:sz w:val="22"/>
          <w:szCs w:val="22"/>
        </w:rPr>
        <w:t xml:space="preserve"> BASIC’s </w:t>
      </w:r>
      <w:r w:rsidR="008F632E">
        <w:rPr>
          <w:sz w:val="22"/>
          <w:szCs w:val="22"/>
        </w:rPr>
        <w:t>ability</w:t>
      </w:r>
      <w:r w:rsidR="002A0449">
        <w:rPr>
          <w:sz w:val="22"/>
          <w:szCs w:val="22"/>
        </w:rPr>
        <w:t xml:space="preserve"> to deliver inclusive and sustainable outcomes.  </w:t>
      </w:r>
      <w:r w:rsidR="002F1EA1">
        <w:rPr>
          <w:sz w:val="22"/>
          <w:szCs w:val="22"/>
        </w:rPr>
        <w:t xml:space="preserve"> </w:t>
      </w:r>
      <w:r w:rsidR="008F632E">
        <w:rPr>
          <w:sz w:val="22"/>
          <w:szCs w:val="22"/>
        </w:rPr>
        <w:t>BASIC’s current approach does not go far enough.  DFAT should encourage IA, TAF and IAG to move beyond collecting sex-disaggregated data to actively and systematically analysing opportunities for their work to change power relationships and inequalities between women, men, boys and girls.  DFAT should conduct a second round of training for BASIC partners on gender-sensitive approaches to programming, including designing and reporting on gender sensitive qualitative indicators</w:t>
      </w:r>
      <w:r w:rsidR="001A3461">
        <w:rPr>
          <w:sz w:val="22"/>
          <w:szCs w:val="22"/>
        </w:rPr>
        <w:t xml:space="preserve"> </w:t>
      </w:r>
      <w:r w:rsidR="00AF60D6">
        <w:rPr>
          <w:sz w:val="22"/>
          <w:szCs w:val="22"/>
        </w:rPr>
        <w:t xml:space="preserve">to improve understanding and integration of </w:t>
      </w:r>
      <w:r w:rsidR="00B80D89">
        <w:rPr>
          <w:sz w:val="22"/>
          <w:szCs w:val="22"/>
        </w:rPr>
        <w:t xml:space="preserve"> </w:t>
      </w:r>
      <w:r w:rsidR="00AF60D6">
        <w:rPr>
          <w:sz w:val="22"/>
          <w:szCs w:val="22"/>
        </w:rPr>
        <w:t>gender</w:t>
      </w:r>
      <w:r w:rsidR="00B80D89">
        <w:rPr>
          <w:sz w:val="22"/>
          <w:szCs w:val="22"/>
        </w:rPr>
        <w:t xml:space="preserve">. </w:t>
      </w:r>
      <w:r w:rsidR="00B80D89" w:rsidDel="00B80D89">
        <w:rPr>
          <w:sz w:val="22"/>
          <w:szCs w:val="22"/>
        </w:rPr>
        <w:t xml:space="preserve"> </w:t>
      </w:r>
    </w:p>
    <w:p w14:paraId="749782ED" w14:textId="259F2222" w:rsidR="00C657B3" w:rsidRDefault="00C657B3" w:rsidP="007A0603">
      <w:pPr>
        <w:jc w:val="both"/>
        <w:rPr>
          <w:sz w:val="22"/>
          <w:szCs w:val="22"/>
        </w:rPr>
      </w:pPr>
    </w:p>
    <w:p w14:paraId="5BC24DE0" w14:textId="77777777" w:rsidR="00AF60D6" w:rsidRDefault="005F5FA6" w:rsidP="00566759">
      <w:pPr>
        <w:tabs>
          <w:tab w:val="left" w:pos="709"/>
          <w:tab w:val="left" w:pos="2127"/>
        </w:tabs>
        <w:jc w:val="both"/>
        <w:rPr>
          <w:sz w:val="22"/>
          <w:szCs w:val="22"/>
        </w:rPr>
      </w:pPr>
      <w:r>
        <w:rPr>
          <w:sz w:val="22"/>
          <w:szCs w:val="22"/>
        </w:rPr>
        <w:t>3</w:t>
      </w:r>
      <w:r w:rsidR="003A2A93">
        <w:rPr>
          <w:sz w:val="22"/>
          <w:szCs w:val="22"/>
        </w:rPr>
        <w:t>5</w:t>
      </w:r>
      <w:r>
        <w:rPr>
          <w:sz w:val="22"/>
          <w:szCs w:val="22"/>
        </w:rPr>
        <w:t>.</w:t>
      </w:r>
      <w:r w:rsidR="00566759">
        <w:rPr>
          <w:sz w:val="22"/>
          <w:szCs w:val="22"/>
        </w:rPr>
        <w:tab/>
      </w:r>
      <w:r w:rsidR="008F632E" w:rsidRPr="00F63575">
        <w:rPr>
          <w:b/>
          <w:sz w:val="22"/>
          <w:szCs w:val="22"/>
        </w:rPr>
        <w:t>Deliver m</w:t>
      </w:r>
      <w:r w:rsidR="008F632E">
        <w:rPr>
          <w:b/>
          <w:sz w:val="22"/>
          <w:szCs w:val="22"/>
        </w:rPr>
        <w:t>ore targeted</w:t>
      </w:r>
      <w:r w:rsidR="00F61649">
        <w:rPr>
          <w:b/>
          <w:sz w:val="22"/>
          <w:szCs w:val="22"/>
        </w:rPr>
        <w:t xml:space="preserve"> gender-inclusive programming</w:t>
      </w:r>
      <w:r w:rsidR="008F632E">
        <w:rPr>
          <w:b/>
          <w:sz w:val="22"/>
          <w:szCs w:val="22"/>
        </w:rPr>
        <w:t xml:space="preserve"> gender-inclusive </w:t>
      </w:r>
      <w:r w:rsidR="00F61649">
        <w:rPr>
          <w:b/>
          <w:sz w:val="22"/>
          <w:szCs w:val="22"/>
        </w:rPr>
        <w:t>un</w:t>
      </w:r>
      <w:r w:rsidR="008F632E">
        <w:rPr>
          <w:b/>
          <w:sz w:val="22"/>
          <w:szCs w:val="22"/>
        </w:rPr>
        <w:t xml:space="preserve">der BASIC.  </w:t>
      </w:r>
      <w:r w:rsidR="008F632E">
        <w:rPr>
          <w:sz w:val="22"/>
          <w:szCs w:val="22"/>
        </w:rPr>
        <w:t>BASIC partners should draw on their existing p</w:t>
      </w:r>
      <w:r w:rsidR="00E67482">
        <w:rPr>
          <w:sz w:val="22"/>
          <w:szCs w:val="22"/>
        </w:rPr>
        <w:t xml:space="preserve">rograms and partnerships to take up opportunities to change power relationships and inequalities between women, men, boys and girls.  </w:t>
      </w:r>
      <w:r w:rsidR="0013373B">
        <w:rPr>
          <w:sz w:val="22"/>
          <w:szCs w:val="22"/>
        </w:rPr>
        <w:t xml:space="preserve">The review team identified a number of opportunities BASIC partners could take up within their existing objectives, including: </w:t>
      </w:r>
      <w:r w:rsidR="00E67482">
        <w:rPr>
          <w:sz w:val="22"/>
          <w:szCs w:val="22"/>
        </w:rPr>
        <w:t>1) TAF scaling up women’s participation in informal horizontal conflict management systems; 2)</w:t>
      </w:r>
      <w:r w:rsidR="00F61649">
        <w:rPr>
          <w:sz w:val="22"/>
          <w:szCs w:val="22"/>
        </w:rPr>
        <w:t xml:space="preserve"> TAF and IAG supporting analysis into gender-inclusive governance and decision-making for advocacy in discussions about different prospective forms of federalism; </w:t>
      </w:r>
      <w:r w:rsidR="00E67482">
        <w:rPr>
          <w:sz w:val="22"/>
          <w:szCs w:val="22"/>
        </w:rPr>
        <w:t xml:space="preserve"> </w:t>
      </w:r>
      <w:r w:rsidR="00F61649">
        <w:rPr>
          <w:sz w:val="22"/>
          <w:szCs w:val="22"/>
        </w:rPr>
        <w:t>3</w:t>
      </w:r>
      <w:r w:rsidR="0065777B">
        <w:rPr>
          <w:sz w:val="22"/>
          <w:szCs w:val="22"/>
        </w:rPr>
        <w:t xml:space="preserve">) TAF and IA conducting further advocacy at </w:t>
      </w:r>
      <w:r w:rsidR="0065777B">
        <w:rPr>
          <w:sz w:val="22"/>
          <w:szCs w:val="22"/>
        </w:rPr>
        <w:lastRenderedPageBreak/>
        <w:t>national and provincial levels on gender-inclusive governance;</w:t>
      </w:r>
      <w:r w:rsidR="00A846C2" w:rsidRPr="00A846C2">
        <w:rPr>
          <w:sz w:val="22"/>
          <w:szCs w:val="22"/>
        </w:rPr>
        <w:t xml:space="preserve"> </w:t>
      </w:r>
      <w:r w:rsidR="00A846C2">
        <w:rPr>
          <w:sz w:val="22"/>
          <w:szCs w:val="22"/>
        </w:rPr>
        <w:t>4)</w:t>
      </w:r>
      <w:r w:rsidR="00F61649">
        <w:rPr>
          <w:sz w:val="22"/>
          <w:szCs w:val="22"/>
        </w:rPr>
        <w:t xml:space="preserve"> IAG working with male LGU leaders to challenge, not entrench, gender stereotypes; 5) </w:t>
      </w:r>
      <w:r w:rsidR="00A846C2">
        <w:rPr>
          <w:sz w:val="22"/>
          <w:szCs w:val="22"/>
        </w:rPr>
        <w:t>IAG and WeAct1325 facilitating access for women’s groups, IP’s and other vulnerable groups to participate in the planning, budgeting and delivery of local-level services</w:t>
      </w:r>
      <w:r w:rsidR="00A846C2" w:rsidRPr="00B54C9D">
        <w:rPr>
          <w:sz w:val="22"/>
          <w:szCs w:val="22"/>
        </w:rPr>
        <w:t xml:space="preserve">, taking into consideration the implications for women’s security and their often disproportionate </w:t>
      </w:r>
      <w:r w:rsidR="00A846C2">
        <w:rPr>
          <w:sz w:val="22"/>
          <w:szCs w:val="22"/>
        </w:rPr>
        <w:t>care burdens;</w:t>
      </w:r>
      <w:r w:rsidR="001078FA">
        <w:rPr>
          <w:sz w:val="22"/>
          <w:szCs w:val="22"/>
        </w:rPr>
        <w:t xml:space="preserve"> and</w:t>
      </w:r>
      <w:r w:rsidR="00A846C2">
        <w:rPr>
          <w:sz w:val="22"/>
          <w:szCs w:val="22"/>
        </w:rPr>
        <w:t xml:space="preserve"> 6</w:t>
      </w:r>
      <w:r w:rsidR="0065777B">
        <w:rPr>
          <w:sz w:val="22"/>
          <w:szCs w:val="22"/>
        </w:rPr>
        <w:t xml:space="preserve">) </w:t>
      </w:r>
      <w:r w:rsidR="00EF5D21">
        <w:rPr>
          <w:sz w:val="22"/>
          <w:szCs w:val="22"/>
        </w:rPr>
        <w:t>Oxfam and WEAct1325 broadening support for implementation of the Philippines National Action Plan on Women Peace and Security by promoting a unified platform of gender interests among different women’s organisations across class and religious lines (e.g., elite, rural and IP women, women with disabilit</w:t>
      </w:r>
      <w:r w:rsidR="001078FA">
        <w:rPr>
          <w:sz w:val="22"/>
          <w:szCs w:val="22"/>
        </w:rPr>
        <w:t xml:space="preserve">y </w:t>
      </w:r>
      <w:r w:rsidR="00EF5D21">
        <w:rPr>
          <w:sz w:val="22"/>
          <w:szCs w:val="22"/>
        </w:rPr>
        <w:t>and female headed households)</w:t>
      </w:r>
      <w:r w:rsidR="0065777B">
        <w:rPr>
          <w:sz w:val="22"/>
          <w:szCs w:val="22"/>
        </w:rPr>
        <w:t xml:space="preserve">. </w:t>
      </w:r>
    </w:p>
    <w:p w14:paraId="509FFF20" w14:textId="77777777" w:rsidR="00AF60D6" w:rsidRDefault="00AF60D6" w:rsidP="00566759">
      <w:pPr>
        <w:tabs>
          <w:tab w:val="left" w:pos="709"/>
          <w:tab w:val="left" w:pos="2127"/>
        </w:tabs>
        <w:jc w:val="both"/>
        <w:rPr>
          <w:sz w:val="22"/>
          <w:szCs w:val="22"/>
        </w:rPr>
      </w:pPr>
    </w:p>
    <w:p w14:paraId="5998F84A" w14:textId="3383D22F" w:rsidR="008A2537" w:rsidRPr="00B54C9D" w:rsidRDefault="008A2537" w:rsidP="00566759">
      <w:pPr>
        <w:tabs>
          <w:tab w:val="left" w:pos="709"/>
          <w:tab w:val="left" w:pos="2127"/>
        </w:tabs>
        <w:jc w:val="both"/>
        <w:rPr>
          <w:sz w:val="22"/>
          <w:szCs w:val="22"/>
        </w:rPr>
      </w:pPr>
      <w:r>
        <w:rPr>
          <w:sz w:val="22"/>
          <w:szCs w:val="22"/>
        </w:rPr>
        <w:t>If DFAT</w:t>
      </w:r>
      <w:r w:rsidR="0065777B">
        <w:rPr>
          <w:sz w:val="22"/>
          <w:szCs w:val="22"/>
        </w:rPr>
        <w:t xml:space="preserve"> continue</w:t>
      </w:r>
      <w:r>
        <w:rPr>
          <w:sz w:val="22"/>
          <w:szCs w:val="22"/>
        </w:rPr>
        <w:t>s</w:t>
      </w:r>
      <w:r w:rsidR="0065777B">
        <w:rPr>
          <w:sz w:val="22"/>
          <w:szCs w:val="22"/>
        </w:rPr>
        <w:t xml:space="preserve"> funding BASIC partners </w:t>
      </w:r>
      <w:r>
        <w:rPr>
          <w:sz w:val="22"/>
          <w:szCs w:val="22"/>
        </w:rPr>
        <w:t xml:space="preserve">after June 2017, </w:t>
      </w:r>
      <w:r w:rsidR="0065777B">
        <w:rPr>
          <w:sz w:val="22"/>
          <w:szCs w:val="22"/>
        </w:rPr>
        <w:t xml:space="preserve">additional activities could </w:t>
      </w:r>
      <w:r>
        <w:rPr>
          <w:sz w:val="22"/>
          <w:szCs w:val="22"/>
        </w:rPr>
        <w:t xml:space="preserve">also </w:t>
      </w:r>
      <w:r w:rsidR="0065777B">
        <w:rPr>
          <w:sz w:val="22"/>
          <w:szCs w:val="22"/>
        </w:rPr>
        <w:t xml:space="preserve">include: </w:t>
      </w:r>
      <w:r w:rsidR="00D811FF">
        <w:rPr>
          <w:sz w:val="22"/>
          <w:szCs w:val="22"/>
        </w:rPr>
        <w:t>a</w:t>
      </w:r>
      <w:r w:rsidR="00E67482">
        <w:rPr>
          <w:sz w:val="22"/>
          <w:szCs w:val="22"/>
        </w:rPr>
        <w:t>) IAG</w:t>
      </w:r>
      <w:r>
        <w:rPr>
          <w:sz w:val="22"/>
          <w:szCs w:val="22"/>
        </w:rPr>
        <w:t xml:space="preserve"> and WeAct1325</w:t>
      </w:r>
      <w:r w:rsidR="00E67482">
        <w:rPr>
          <w:sz w:val="22"/>
          <w:szCs w:val="22"/>
        </w:rPr>
        <w:t xml:space="preserve"> facilitating access for local women’s groups and IP organisations to participate in the planning and delivery of services</w:t>
      </w:r>
      <w:r w:rsidR="00B54C9D" w:rsidRPr="00B54C9D">
        <w:rPr>
          <w:sz w:val="22"/>
          <w:szCs w:val="22"/>
        </w:rPr>
        <w:t xml:space="preserve">, taking into consideration the implications for women’s security and their often disproportionate </w:t>
      </w:r>
      <w:r w:rsidR="00B54C9D">
        <w:rPr>
          <w:sz w:val="22"/>
          <w:szCs w:val="22"/>
        </w:rPr>
        <w:t xml:space="preserve">care </w:t>
      </w:r>
      <w:r w:rsidR="00E67482">
        <w:rPr>
          <w:sz w:val="22"/>
          <w:szCs w:val="22"/>
        </w:rPr>
        <w:t xml:space="preserve">burdens; </w:t>
      </w:r>
      <w:r w:rsidR="00D811FF">
        <w:rPr>
          <w:sz w:val="22"/>
          <w:szCs w:val="22"/>
        </w:rPr>
        <w:t>b</w:t>
      </w:r>
      <w:r w:rsidR="00E67482">
        <w:rPr>
          <w:sz w:val="22"/>
          <w:szCs w:val="22"/>
        </w:rPr>
        <w:t xml:space="preserve">) </w:t>
      </w:r>
      <w:r w:rsidR="00411941">
        <w:rPr>
          <w:sz w:val="22"/>
          <w:szCs w:val="22"/>
        </w:rPr>
        <w:t xml:space="preserve"> </w:t>
      </w:r>
      <w:r w:rsidR="00EF5D21">
        <w:rPr>
          <w:sz w:val="22"/>
          <w:szCs w:val="22"/>
        </w:rPr>
        <w:t xml:space="preserve">TAF, IAG and </w:t>
      </w:r>
      <w:r>
        <w:rPr>
          <w:sz w:val="22"/>
          <w:szCs w:val="22"/>
        </w:rPr>
        <w:t xml:space="preserve">WEAct1325 focus on policy advocacy on gender-sensitive governance targeting provincial </w:t>
      </w:r>
      <w:r w:rsidR="00F61649">
        <w:rPr>
          <w:sz w:val="22"/>
          <w:szCs w:val="22"/>
        </w:rPr>
        <w:t xml:space="preserve">and municipal </w:t>
      </w:r>
      <w:r>
        <w:rPr>
          <w:sz w:val="22"/>
          <w:szCs w:val="22"/>
        </w:rPr>
        <w:t>government</w:t>
      </w:r>
      <w:r w:rsidR="00F61649">
        <w:rPr>
          <w:sz w:val="22"/>
          <w:szCs w:val="22"/>
        </w:rPr>
        <w:t xml:space="preserve">s, barangays </w:t>
      </w:r>
      <w:r>
        <w:rPr>
          <w:sz w:val="22"/>
          <w:szCs w:val="22"/>
        </w:rPr>
        <w:t>and local boards;</w:t>
      </w:r>
      <w:r w:rsidR="00411941">
        <w:rPr>
          <w:sz w:val="22"/>
          <w:szCs w:val="22"/>
        </w:rPr>
        <w:t xml:space="preserve"> </w:t>
      </w:r>
      <w:r w:rsidR="001078FA">
        <w:rPr>
          <w:sz w:val="22"/>
          <w:szCs w:val="22"/>
        </w:rPr>
        <w:t xml:space="preserve">and </w:t>
      </w:r>
      <w:r w:rsidR="00EF5D21">
        <w:rPr>
          <w:sz w:val="22"/>
          <w:szCs w:val="22"/>
        </w:rPr>
        <w:t>c</w:t>
      </w:r>
      <w:r w:rsidR="00411941">
        <w:rPr>
          <w:sz w:val="22"/>
          <w:szCs w:val="22"/>
        </w:rPr>
        <w:t>) WeAct1325 scaling up their support</w:t>
      </w:r>
      <w:r w:rsidR="00F61649">
        <w:rPr>
          <w:sz w:val="22"/>
          <w:szCs w:val="22"/>
        </w:rPr>
        <w:t xml:space="preserve"> to </w:t>
      </w:r>
      <w:r w:rsidR="00411941">
        <w:rPr>
          <w:sz w:val="22"/>
          <w:szCs w:val="22"/>
        </w:rPr>
        <w:t>GPMN and linking it to IA’s conflict monitoring</w:t>
      </w:r>
      <w:r w:rsidR="00F61649">
        <w:rPr>
          <w:sz w:val="22"/>
          <w:szCs w:val="22"/>
        </w:rPr>
        <w:t xml:space="preserve"> system.</w:t>
      </w:r>
    </w:p>
    <w:p w14:paraId="307A4042" w14:textId="77777777" w:rsidR="008A2537" w:rsidRDefault="008A2537" w:rsidP="00566759">
      <w:pPr>
        <w:tabs>
          <w:tab w:val="left" w:pos="2127"/>
        </w:tabs>
        <w:jc w:val="both"/>
        <w:rPr>
          <w:sz w:val="22"/>
          <w:szCs w:val="22"/>
        </w:rPr>
      </w:pPr>
    </w:p>
    <w:p w14:paraId="1DFEEA1A" w14:textId="26686C0E" w:rsidR="00083400" w:rsidRDefault="00083400" w:rsidP="0087532B">
      <w:pPr>
        <w:jc w:val="both"/>
        <w:rPr>
          <w:sz w:val="22"/>
          <w:szCs w:val="22"/>
        </w:rPr>
      </w:pPr>
    </w:p>
    <w:p w14:paraId="6CCF57BD" w14:textId="594F41A1" w:rsidR="0087532B" w:rsidRPr="00E34C4F" w:rsidRDefault="00E34C4F" w:rsidP="0087532B">
      <w:pPr>
        <w:jc w:val="both"/>
        <w:rPr>
          <w:b/>
          <w:i/>
          <w:sz w:val="22"/>
          <w:szCs w:val="22"/>
          <w:u w:val="single"/>
        </w:rPr>
      </w:pPr>
      <w:r>
        <w:rPr>
          <w:sz w:val="22"/>
          <w:szCs w:val="22"/>
        </w:rPr>
        <w:tab/>
      </w:r>
      <w:r w:rsidR="0087532B" w:rsidRPr="00E34C4F">
        <w:rPr>
          <w:b/>
          <w:i/>
          <w:sz w:val="22"/>
          <w:szCs w:val="22"/>
          <w:u w:val="single"/>
        </w:rPr>
        <w:t>Part B</w:t>
      </w:r>
      <w:r>
        <w:rPr>
          <w:b/>
          <w:i/>
          <w:sz w:val="22"/>
          <w:szCs w:val="22"/>
          <w:u w:val="single"/>
        </w:rPr>
        <w:t>:</w:t>
      </w:r>
      <w:r w:rsidR="0087532B" w:rsidRPr="00E34C4F">
        <w:rPr>
          <w:b/>
          <w:i/>
          <w:sz w:val="22"/>
          <w:szCs w:val="22"/>
          <w:u w:val="single"/>
        </w:rPr>
        <w:tab/>
      </w:r>
      <w:r>
        <w:rPr>
          <w:b/>
          <w:i/>
          <w:sz w:val="22"/>
          <w:szCs w:val="22"/>
          <w:u w:val="single"/>
        </w:rPr>
        <w:t xml:space="preserve">  </w:t>
      </w:r>
      <w:r w:rsidR="005762D5" w:rsidRPr="00E34C4F">
        <w:rPr>
          <w:b/>
          <w:i/>
          <w:sz w:val="22"/>
          <w:szCs w:val="22"/>
          <w:u w:val="single"/>
        </w:rPr>
        <w:t>Future Programming</w:t>
      </w:r>
    </w:p>
    <w:p w14:paraId="63AFAADD" w14:textId="77777777" w:rsidR="00925A7B" w:rsidRPr="00E34C4F" w:rsidRDefault="00925A7B" w:rsidP="00A429CC">
      <w:pPr>
        <w:jc w:val="both"/>
        <w:rPr>
          <w:sz w:val="22"/>
          <w:szCs w:val="22"/>
        </w:rPr>
      </w:pPr>
    </w:p>
    <w:p w14:paraId="23B72EEF" w14:textId="0F062D5B" w:rsidR="00AF398C" w:rsidRDefault="005F5FA6" w:rsidP="00F51BBF">
      <w:pPr>
        <w:jc w:val="both"/>
        <w:rPr>
          <w:sz w:val="22"/>
          <w:szCs w:val="22"/>
        </w:rPr>
      </w:pPr>
      <w:r>
        <w:rPr>
          <w:sz w:val="22"/>
          <w:szCs w:val="22"/>
        </w:rPr>
        <w:t>3</w:t>
      </w:r>
      <w:r w:rsidR="003A2A93">
        <w:rPr>
          <w:sz w:val="22"/>
          <w:szCs w:val="22"/>
        </w:rPr>
        <w:t>6</w:t>
      </w:r>
      <w:r w:rsidR="00DE6DC3">
        <w:rPr>
          <w:sz w:val="22"/>
          <w:szCs w:val="22"/>
        </w:rPr>
        <w:t>.</w:t>
      </w:r>
      <w:r w:rsidR="00DE6DC3">
        <w:rPr>
          <w:sz w:val="22"/>
          <w:szCs w:val="22"/>
        </w:rPr>
        <w:tab/>
      </w:r>
      <w:r w:rsidR="00DE6DC3" w:rsidRPr="002F1EA1">
        <w:rPr>
          <w:b/>
          <w:sz w:val="22"/>
          <w:szCs w:val="22"/>
        </w:rPr>
        <w:t xml:space="preserve">Strengthen </w:t>
      </w:r>
      <w:r w:rsidR="00E56717">
        <w:rPr>
          <w:b/>
          <w:sz w:val="22"/>
          <w:szCs w:val="22"/>
        </w:rPr>
        <w:t xml:space="preserve">Australian Government </w:t>
      </w:r>
      <w:r w:rsidR="00DE6DC3" w:rsidRPr="002F1EA1">
        <w:rPr>
          <w:b/>
          <w:sz w:val="22"/>
          <w:szCs w:val="22"/>
        </w:rPr>
        <w:t>alignment</w:t>
      </w:r>
      <w:r w:rsidR="00DE6DC3">
        <w:rPr>
          <w:sz w:val="22"/>
          <w:szCs w:val="22"/>
        </w:rPr>
        <w:t>. DFAT</w:t>
      </w:r>
      <w:r w:rsidR="00D96A44">
        <w:rPr>
          <w:sz w:val="22"/>
          <w:szCs w:val="22"/>
        </w:rPr>
        <w:t>,</w:t>
      </w:r>
      <w:r w:rsidR="00DE6DC3">
        <w:rPr>
          <w:sz w:val="22"/>
          <w:szCs w:val="22"/>
        </w:rPr>
        <w:t xml:space="preserve"> in consultation with other relevant Australian agencie</w:t>
      </w:r>
      <w:r w:rsidR="00D96A44">
        <w:rPr>
          <w:sz w:val="22"/>
          <w:szCs w:val="22"/>
        </w:rPr>
        <w:t xml:space="preserve">s, should update its </w:t>
      </w:r>
      <w:r w:rsidR="00DE6DC3" w:rsidRPr="000C498A">
        <w:rPr>
          <w:sz w:val="22"/>
          <w:szCs w:val="22"/>
        </w:rPr>
        <w:t xml:space="preserve">Mindanao </w:t>
      </w:r>
      <w:r w:rsidR="00DE6DC3" w:rsidRPr="00692A01">
        <w:rPr>
          <w:sz w:val="22"/>
          <w:szCs w:val="22"/>
        </w:rPr>
        <w:t>Delivery</w:t>
      </w:r>
      <w:r w:rsidR="00DE6DC3" w:rsidRPr="000C498A">
        <w:rPr>
          <w:sz w:val="22"/>
          <w:szCs w:val="22"/>
        </w:rPr>
        <w:t xml:space="preserve"> Strategy </w:t>
      </w:r>
      <w:r w:rsidR="00DE6DC3">
        <w:rPr>
          <w:sz w:val="22"/>
          <w:szCs w:val="22"/>
        </w:rPr>
        <w:t>to reflect new political realities and ensure that BASIC and other Australian programs</w:t>
      </w:r>
      <w:r w:rsidR="000F5409">
        <w:rPr>
          <w:sz w:val="22"/>
          <w:szCs w:val="22"/>
        </w:rPr>
        <w:t>, such as</w:t>
      </w:r>
      <w:r w:rsidR="00D90A5A">
        <w:rPr>
          <w:sz w:val="22"/>
          <w:szCs w:val="22"/>
        </w:rPr>
        <w:t xml:space="preserve"> the</w:t>
      </w:r>
      <w:r w:rsidR="000F5409">
        <w:rPr>
          <w:sz w:val="22"/>
          <w:szCs w:val="22"/>
        </w:rPr>
        <w:t xml:space="preserve"> </w:t>
      </w:r>
      <w:r w:rsidR="00D90A5A" w:rsidRPr="003D31FC">
        <w:rPr>
          <w:sz w:val="22"/>
          <w:szCs w:val="22"/>
        </w:rPr>
        <w:t>Education Pathways to Peace in Conflict-Affected Areas of Mindanao (PATHWAYS)</w:t>
      </w:r>
      <w:r w:rsidR="000F5409">
        <w:rPr>
          <w:sz w:val="22"/>
          <w:szCs w:val="22"/>
        </w:rPr>
        <w:t>,</w:t>
      </w:r>
      <w:r w:rsidR="00DE6DC3">
        <w:rPr>
          <w:sz w:val="22"/>
          <w:szCs w:val="22"/>
        </w:rPr>
        <w:t xml:space="preserve"> are aligned.</w:t>
      </w:r>
      <w:r w:rsidR="000F5409">
        <w:rPr>
          <w:sz w:val="22"/>
          <w:szCs w:val="22"/>
        </w:rPr>
        <w:t xml:space="preserve"> </w:t>
      </w:r>
      <w:r w:rsidR="000C38C9">
        <w:rPr>
          <w:sz w:val="22"/>
          <w:szCs w:val="22"/>
        </w:rPr>
        <w:t xml:space="preserve"> </w:t>
      </w:r>
    </w:p>
    <w:p w14:paraId="46DC86DA" w14:textId="77777777" w:rsidR="00AF398C" w:rsidRDefault="00AF398C" w:rsidP="00F51BBF">
      <w:pPr>
        <w:jc w:val="both"/>
        <w:rPr>
          <w:sz w:val="22"/>
          <w:szCs w:val="22"/>
        </w:rPr>
      </w:pPr>
    </w:p>
    <w:p w14:paraId="6CBCE413" w14:textId="3C66A6E2" w:rsidR="00444419" w:rsidRPr="002D1284" w:rsidRDefault="003A2A93" w:rsidP="00DE6DC3">
      <w:pPr>
        <w:jc w:val="both"/>
        <w:rPr>
          <w:sz w:val="22"/>
          <w:szCs w:val="22"/>
        </w:rPr>
      </w:pPr>
      <w:r>
        <w:rPr>
          <w:sz w:val="22"/>
          <w:szCs w:val="22"/>
        </w:rPr>
        <w:t>37</w:t>
      </w:r>
      <w:r w:rsidR="00AF398C">
        <w:rPr>
          <w:sz w:val="22"/>
          <w:szCs w:val="22"/>
        </w:rPr>
        <w:t>.</w:t>
      </w:r>
      <w:r w:rsidR="00AF398C">
        <w:rPr>
          <w:sz w:val="22"/>
          <w:szCs w:val="22"/>
        </w:rPr>
        <w:tab/>
      </w:r>
      <w:r w:rsidR="00AF398C">
        <w:rPr>
          <w:b/>
          <w:sz w:val="22"/>
          <w:szCs w:val="22"/>
        </w:rPr>
        <w:t xml:space="preserve">Strengthen inclusivity and gender-sensitivity of DFAT programming.  </w:t>
      </w:r>
      <w:r w:rsidR="00E56717">
        <w:rPr>
          <w:sz w:val="22"/>
          <w:szCs w:val="22"/>
        </w:rPr>
        <w:t xml:space="preserve">To ensure more sustainable outcomes, </w:t>
      </w:r>
      <w:r w:rsidR="00AF398C">
        <w:rPr>
          <w:sz w:val="22"/>
          <w:szCs w:val="22"/>
        </w:rPr>
        <w:t xml:space="preserve">all DFAT programming in Mindanao should be based on sound analysis, including of gender, indigeneity, ethnicity and ability.  </w:t>
      </w:r>
      <w:r w:rsidR="00D16E10" w:rsidRPr="003C3C89">
        <w:rPr>
          <w:sz w:val="22"/>
          <w:szCs w:val="22"/>
        </w:rPr>
        <w:t xml:space="preserve">Taking a gender perspective </w:t>
      </w:r>
      <w:r w:rsidR="00AF60D6">
        <w:rPr>
          <w:sz w:val="22"/>
          <w:szCs w:val="22"/>
        </w:rPr>
        <w:t xml:space="preserve">also </w:t>
      </w:r>
      <w:r w:rsidR="00D16E10" w:rsidRPr="003C3C89">
        <w:rPr>
          <w:sz w:val="22"/>
          <w:szCs w:val="22"/>
        </w:rPr>
        <w:t xml:space="preserve">requires critical examination of the roles and experiences of men and boys in peacebuilding. </w:t>
      </w:r>
      <w:r w:rsidR="003A22F2">
        <w:rPr>
          <w:sz w:val="22"/>
          <w:szCs w:val="22"/>
        </w:rPr>
        <w:t xml:space="preserve"> </w:t>
      </w:r>
      <w:r w:rsidR="00D16E10" w:rsidRPr="003C3C89">
        <w:rPr>
          <w:sz w:val="22"/>
          <w:szCs w:val="22"/>
        </w:rPr>
        <w:t>Changing the beliefs and attitudes of individuals requires the transformation of the institutions and structures that reinforce</w:t>
      </w:r>
      <w:r w:rsidR="00D16E10">
        <w:rPr>
          <w:sz w:val="22"/>
          <w:szCs w:val="22"/>
        </w:rPr>
        <w:t xml:space="preserve"> these</w:t>
      </w:r>
      <w:r w:rsidR="00D16E10" w:rsidRPr="003C3C89">
        <w:rPr>
          <w:sz w:val="22"/>
          <w:szCs w:val="22"/>
        </w:rPr>
        <w:t xml:space="preserve"> patriarchal gender norms, </w:t>
      </w:r>
      <w:r w:rsidR="00D16E10">
        <w:rPr>
          <w:sz w:val="22"/>
          <w:szCs w:val="22"/>
        </w:rPr>
        <w:t>including</w:t>
      </w:r>
      <w:r w:rsidR="00D16E10" w:rsidRPr="003C3C89">
        <w:rPr>
          <w:sz w:val="22"/>
          <w:szCs w:val="22"/>
        </w:rPr>
        <w:t xml:space="preserve"> educational, legal and cultural institutions. Australia has an opportunity to support that transformation through the </w:t>
      </w:r>
      <w:r w:rsidR="00D16E10">
        <w:rPr>
          <w:sz w:val="22"/>
          <w:szCs w:val="22"/>
        </w:rPr>
        <w:t xml:space="preserve">BASIC and </w:t>
      </w:r>
      <w:r w:rsidR="00D16E10" w:rsidRPr="003C3C89">
        <w:rPr>
          <w:sz w:val="22"/>
          <w:szCs w:val="22"/>
        </w:rPr>
        <w:t>P</w:t>
      </w:r>
      <w:r w:rsidR="00D16E10">
        <w:rPr>
          <w:sz w:val="22"/>
          <w:szCs w:val="22"/>
        </w:rPr>
        <w:t>ATHWAYS</w:t>
      </w:r>
      <w:r w:rsidR="00D16E10" w:rsidRPr="003C3C89">
        <w:rPr>
          <w:sz w:val="22"/>
          <w:szCs w:val="22"/>
        </w:rPr>
        <w:t xml:space="preserve"> program</w:t>
      </w:r>
      <w:r w:rsidR="00D16E10">
        <w:rPr>
          <w:sz w:val="22"/>
          <w:szCs w:val="22"/>
        </w:rPr>
        <w:t>s</w:t>
      </w:r>
      <w:r w:rsidR="00D16E10" w:rsidRPr="003C3C89">
        <w:rPr>
          <w:sz w:val="22"/>
          <w:szCs w:val="22"/>
        </w:rPr>
        <w:t>, where support for new c</w:t>
      </w:r>
      <w:r w:rsidR="00D16E10" w:rsidRPr="00D94A84">
        <w:rPr>
          <w:sz w:val="22"/>
          <w:szCs w:val="22"/>
        </w:rPr>
        <w:t xml:space="preserve">urriculum could also address notions of masculinity that drive conflict, and active dialogues between women and men can begin to restructure the </w:t>
      </w:r>
      <w:r w:rsidR="000975C0">
        <w:rPr>
          <w:sz w:val="22"/>
          <w:szCs w:val="22"/>
        </w:rPr>
        <w:t>drivers</w:t>
      </w:r>
      <w:r w:rsidR="00D16E10" w:rsidRPr="00D94A84">
        <w:rPr>
          <w:sz w:val="22"/>
          <w:szCs w:val="22"/>
        </w:rPr>
        <w:t xml:space="preserve"> of gender inequality.</w:t>
      </w:r>
      <w:r w:rsidR="00D16E10" w:rsidRPr="00802351">
        <w:rPr>
          <w:sz w:val="22"/>
          <w:szCs w:val="22"/>
        </w:rPr>
        <w:t xml:space="preserve"> </w:t>
      </w:r>
      <w:r w:rsidR="00D16E10">
        <w:rPr>
          <w:sz w:val="22"/>
          <w:szCs w:val="22"/>
        </w:rPr>
        <w:t xml:space="preserve">DFAT should </w:t>
      </w:r>
      <w:r w:rsidR="00D16E10" w:rsidRPr="000F5409">
        <w:rPr>
          <w:sz w:val="22"/>
          <w:szCs w:val="22"/>
        </w:rPr>
        <w:t>i</w:t>
      </w:r>
      <w:r w:rsidR="00D16E10" w:rsidRPr="00161BF0">
        <w:rPr>
          <w:sz w:val="22"/>
          <w:szCs w:val="22"/>
        </w:rPr>
        <w:t xml:space="preserve">ncorporate gender </w:t>
      </w:r>
      <w:r w:rsidR="00D16E10">
        <w:rPr>
          <w:sz w:val="22"/>
          <w:szCs w:val="22"/>
        </w:rPr>
        <w:t xml:space="preserve">responsive economic recovery </w:t>
      </w:r>
      <w:r w:rsidR="00D16E10" w:rsidRPr="00161BF0">
        <w:rPr>
          <w:sz w:val="22"/>
          <w:szCs w:val="22"/>
        </w:rPr>
        <w:t>in</w:t>
      </w:r>
      <w:r w:rsidR="00D16E10">
        <w:rPr>
          <w:sz w:val="22"/>
          <w:szCs w:val="22"/>
        </w:rPr>
        <w:t>to</w:t>
      </w:r>
      <w:r w:rsidR="00D16E10" w:rsidRPr="00161BF0">
        <w:rPr>
          <w:sz w:val="22"/>
          <w:szCs w:val="22"/>
        </w:rPr>
        <w:t xml:space="preserve"> other DFAT investments</w:t>
      </w:r>
      <w:r w:rsidR="00D16E10">
        <w:rPr>
          <w:sz w:val="22"/>
          <w:szCs w:val="22"/>
        </w:rPr>
        <w:t xml:space="preserve"> in conflict-affected areas in Mindanao (e.g. Economic and Infrastructure Facilities</w:t>
      </w:r>
      <w:r w:rsidR="00D16E10" w:rsidRPr="003A22F2">
        <w:rPr>
          <w:sz w:val="22"/>
          <w:szCs w:val="22"/>
        </w:rPr>
        <w:t>)</w:t>
      </w:r>
      <w:r w:rsidR="00D16E10" w:rsidRPr="009C013C">
        <w:rPr>
          <w:rStyle w:val="FootnoteReference"/>
          <w:sz w:val="22"/>
          <w:szCs w:val="22"/>
        </w:rPr>
        <w:footnoteReference w:id="16"/>
      </w:r>
      <w:r w:rsidR="00D16E10" w:rsidRPr="003A22F2">
        <w:rPr>
          <w:sz w:val="22"/>
          <w:szCs w:val="22"/>
        </w:rPr>
        <w:t>.</w:t>
      </w:r>
      <w:r w:rsidR="00D16E10">
        <w:rPr>
          <w:sz w:val="22"/>
          <w:szCs w:val="22"/>
        </w:rPr>
        <w:t xml:space="preserve">  DFAT should also </w:t>
      </w:r>
      <w:r w:rsidR="000975C0">
        <w:rPr>
          <w:sz w:val="22"/>
          <w:szCs w:val="22"/>
        </w:rPr>
        <w:t xml:space="preserve">consider how to better integrate </w:t>
      </w:r>
      <w:r w:rsidR="00D16E10">
        <w:rPr>
          <w:sz w:val="22"/>
          <w:szCs w:val="22"/>
        </w:rPr>
        <w:t xml:space="preserve">the </w:t>
      </w:r>
      <w:r w:rsidR="00D16E10">
        <w:rPr>
          <w:i/>
          <w:sz w:val="22"/>
          <w:szCs w:val="22"/>
        </w:rPr>
        <w:t>2015-2020 Development for All Strategy</w:t>
      </w:r>
      <w:r w:rsidR="000975C0">
        <w:rPr>
          <w:sz w:val="22"/>
          <w:szCs w:val="22"/>
        </w:rPr>
        <w:t xml:space="preserve"> into the BASIC program.</w:t>
      </w:r>
    </w:p>
    <w:p w14:paraId="18185992" w14:textId="5CACC2F6" w:rsidR="00EE57D2" w:rsidRDefault="00EE57D2" w:rsidP="00DE6DC3">
      <w:pPr>
        <w:jc w:val="both"/>
        <w:rPr>
          <w:i/>
          <w:sz w:val="22"/>
          <w:szCs w:val="22"/>
        </w:rPr>
      </w:pPr>
    </w:p>
    <w:p w14:paraId="69EB41A5" w14:textId="62304E6F" w:rsidR="00E84923" w:rsidRPr="009C013C" w:rsidRDefault="003A2A93" w:rsidP="00DE6DC3">
      <w:pPr>
        <w:jc w:val="both"/>
        <w:rPr>
          <w:sz w:val="22"/>
          <w:szCs w:val="22"/>
        </w:rPr>
      </w:pPr>
      <w:r w:rsidRPr="00D816DB">
        <w:rPr>
          <w:sz w:val="22"/>
          <w:szCs w:val="22"/>
        </w:rPr>
        <w:t>38</w:t>
      </w:r>
      <w:r w:rsidR="00EE57D2" w:rsidRPr="00D816DB">
        <w:rPr>
          <w:sz w:val="22"/>
          <w:szCs w:val="22"/>
        </w:rPr>
        <w:t>.</w:t>
      </w:r>
      <w:r w:rsidR="00EE57D2" w:rsidRPr="00D816DB">
        <w:rPr>
          <w:sz w:val="22"/>
          <w:szCs w:val="22"/>
        </w:rPr>
        <w:tab/>
      </w:r>
      <w:r w:rsidR="00FE5232" w:rsidRPr="00D816DB">
        <w:rPr>
          <w:b/>
          <w:sz w:val="22"/>
          <w:szCs w:val="22"/>
        </w:rPr>
        <w:t xml:space="preserve">Further strengthen conflict and gender-sensitivity in the PATHWAYS program.   </w:t>
      </w:r>
      <w:r w:rsidR="00FE5232" w:rsidRPr="00D816DB">
        <w:rPr>
          <w:sz w:val="22"/>
          <w:szCs w:val="22"/>
        </w:rPr>
        <w:t>The Review Team found a consistent, wide recognition of BEAM-ARMM’s positive role in supporting peace through basic education.  As its successor, PATHWAYS has</w:t>
      </w:r>
      <w:r w:rsidR="004E5408" w:rsidRPr="00D816DB">
        <w:rPr>
          <w:sz w:val="22"/>
          <w:szCs w:val="22"/>
        </w:rPr>
        <w:t xml:space="preserve"> an opportunity </w:t>
      </w:r>
      <w:r w:rsidR="004E5408" w:rsidRPr="00D816DB">
        <w:rPr>
          <w:sz w:val="22"/>
          <w:szCs w:val="22"/>
        </w:rPr>
        <w:lastRenderedPageBreak/>
        <w:t xml:space="preserve">to build on </w:t>
      </w:r>
      <w:r w:rsidR="00FE5232" w:rsidRPr="00D816DB">
        <w:rPr>
          <w:sz w:val="22"/>
          <w:szCs w:val="22"/>
        </w:rPr>
        <w:t xml:space="preserve">existing goodwill to act as a flagship for Australia’s efforts in supporting peace and as a catalyst for wider educational reform.  </w:t>
      </w:r>
      <w:r w:rsidR="004E5408" w:rsidRPr="00D816DB">
        <w:rPr>
          <w:sz w:val="22"/>
          <w:szCs w:val="22"/>
        </w:rPr>
        <w:t xml:space="preserve">There is strong evidence that inclusive education and curriculum reform can reduce disparity and positively influence peace-building (Nayler, 2015; Thompson, 2015). </w:t>
      </w:r>
      <w:r w:rsidR="00FE5232" w:rsidRPr="00D816DB">
        <w:rPr>
          <w:sz w:val="22"/>
          <w:szCs w:val="22"/>
        </w:rPr>
        <w:t xml:space="preserve">PATHWAYS should look for opportunities to implement recommendations of the TJRC Report (2016) on addressing historical injustice, grievances and land dispossession. </w:t>
      </w:r>
      <w:r w:rsidR="004E5408" w:rsidRPr="00D816DB">
        <w:rPr>
          <w:sz w:val="22"/>
          <w:szCs w:val="22"/>
        </w:rPr>
        <w:t>Australia should continue to promote disability-inclusive education, by removing physical barriers through our infrastructure investments, and work with partner governments to enhance access to services.  Implementing these recommendations may require adjusting PATHWAYS’ monitoring and evaluation framework.</w:t>
      </w:r>
    </w:p>
    <w:p w14:paraId="66F56153" w14:textId="77777777" w:rsidR="00D16E10" w:rsidRDefault="00D16E10" w:rsidP="00DE6DC3">
      <w:pPr>
        <w:jc w:val="both"/>
        <w:rPr>
          <w:sz w:val="22"/>
          <w:szCs w:val="22"/>
        </w:rPr>
      </w:pPr>
    </w:p>
    <w:p w14:paraId="7C99B912" w14:textId="4E0129E3" w:rsidR="00C93571" w:rsidRDefault="003A2A93" w:rsidP="00DE6DC3">
      <w:pPr>
        <w:jc w:val="both"/>
        <w:rPr>
          <w:sz w:val="22"/>
          <w:szCs w:val="22"/>
        </w:rPr>
      </w:pPr>
      <w:r>
        <w:rPr>
          <w:sz w:val="22"/>
          <w:szCs w:val="22"/>
        </w:rPr>
        <w:t>39</w:t>
      </w:r>
      <w:r w:rsidR="00E56717">
        <w:rPr>
          <w:sz w:val="22"/>
          <w:szCs w:val="22"/>
        </w:rPr>
        <w:t xml:space="preserve">. </w:t>
      </w:r>
      <w:r w:rsidR="00444419">
        <w:rPr>
          <w:sz w:val="22"/>
          <w:szCs w:val="22"/>
        </w:rPr>
        <w:t xml:space="preserve"> </w:t>
      </w:r>
      <w:r w:rsidR="00444419">
        <w:rPr>
          <w:sz w:val="22"/>
          <w:szCs w:val="22"/>
        </w:rPr>
        <w:tab/>
      </w:r>
      <w:r w:rsidR="00E56717">
        <w:rPr>
          <w:b/>
          <w:sz w:val="22"/>
          <w:szCs w:val="22"/>
        </w:rPr>
        <w:t>Promote continuity of existing support mechanisms while uncertainty over peace road map architecture is resolved</w:t>
      </w:r>
      <w:r w:rsidR="00444419">
        <w:rPr>
          <w:sz w:val="22"/>
          <w:szCs w:val="22"/>
        </w:rPr>
        <w:t>. Given the ongoing uncertainty of the peace processes DFAT should ensure it continues to support</w:t>
      </w:r>
      <w:r w:rsidR="008B1E6E">
        <w:rPr>
          <w:sz w:val="22"/>
          <w:szCs w:val="22"/>
        </w:rPr>
        <w:t xml:space="preserve"> sustained</w:t>
      </w:r>
      <w:r w:rsidR="00444419">
        <w:rPr>
          <w:sz w:val="22"/>
          <w:szCs w:val="22"/>
        </w:rPr>
        <w:t xml:space="preserve"> peacebuilding</w:t>
      </w:r>
      <w:r w:rsidR="008B1E6E">
        <w:rPr>
          <w:sz w:val="22"/>
          <w:szCs w:val="22"/>
        </w:rPr>
        <w:t xml:space="preserve"> efforts</w:t>
      </w:r>
      <w:r w:rsidR="00444419">
        <w:rPr>
          <w:sz w:val="22"/>
          <w:szCs w:val="22"/>
        </w:rPr>
        <w:t xml:space="preserve"> at both national and community levels</w:t>
      </w:r>
      <w:r w:rsidR="008B1E6E">
        <w:rPr>
          <w:sz w:val="22"/>
          <w:szCs w:val="22"/>
        </w:rPr>
        <w:t>. DFAT should extend</w:t>
      </w:r>
      <w:r w:rsidR="00444419">
        <w:rPr>
          <w:sz w:val="22"/>
          <w:szCs w:val="22"/>
        </w:rPr>
        <w:t xml:space="preserve"> funding </w:t>
      </w:r>
      <w:r w:rsidR="008B1E6E">
        <w:rPr>
          <w:sz w:val="22"/>
          <w:szCs w:val="22"/>
        </w:rPr>
        <w:t>for BASIC if it looks likely there will be a gap in NGO support after June 2017</w:t>
      </w:r>
      <w:r w:rsidR="00444419">
        <w:rPr>
          <w:sz w:val="22"/>
          <w:szCs w:val="22"/>
        </w:rPr>
        <w:t xml:space="preserve"> and </w:t>
      </w:r>
      <w:r w:rsidR="008B1E6E">
        <w:rPr>
          <w:sz w:val="22"/>
          <w:szCs w:val="22"/>
        </w:rPr>
        <w:t xml:space="preserve">for the MTF after December 2016 while </w:t>
      </w:r>
      <w:r w:rsidR="00444419">
        <w:rPr>
          <w:sz w:val="22"/>
          <w:szCs w:val="22"/>
        </w:rPr>
        <w:t xml:space="preserve">the GPH determines which multi-donor mechanism it would like to </w:t>
      </w:r>
      <w:r w:rsidR="00E56717">
        <w:rPr>
          <w:sz w:val="22"/>
          <w:szCs w:val="22"/>
        </w:rPr>
        <w:t xml:space="preserve">use.  </w:t>
      </w:r>
      <w:r w:rsidR="00444419">
        <w:rPr>
          <w:sz w:val="22"/>
          <w:szCs w:val="22"/>
        </w:rPr>
        <w:t>DFAT should communicate this commitment early to partners.</w:t>
      </w:r>
    </w:p>
    <w:p w14:paraId="63256712" w14:textId="0E8B35F5" w:rsidR="00857FFD" w:rsidRDefault="00857FFD" w:rsidP="00DE6DC3">
      <w:pPr>
        <w:jc w:val="both"/>
        <w:rPr>
          <w:sz w:val="22"/>
          <w:szCs w:val="22"/>
        </w:rPr>
      </w:pPr>
    </w:p>
    <w:p w14:paraId="0DA1A497" w14:textId="1DB0CE65" w:rsidR="00857FFD" w:rsidRDefault="005F5FA6" w:rsidP="00C06CA4">
      <w:pPr>
        <w:jc w:val="both"/>
        <w:rPr>
          <w:sz w:val="22"/>
          <w:szCs w:val="22"/>
        </w:rPr>
      </w:pPr>
      <w:r>
        <w:rPr>
          <w:sz w:val="22"/>
          <w:szCs w:val="22"/>
        </w:rPr>
        <w:t>4</w:t>
      </w:r>
      <w:r w:rsidR="003A2A93">
        <w:rPr>
          <w:sz w:val="22"/>
          <w:szCs w:val="22"/>
        </w:rPr>
        <w:t>0</w:t>
      </w:r>
      <w:r w:rsidR="00857FFD">
        <w:rPr>
          <w:sz w:val="22"/>
          <w:szCs w:val="22"/>
        </w:rPr>
        <w:t>.</w:t>
      </w:r>
      <w:r w:rsidR="00857FFD">
        <w:rPr>
          <w:sz w:val="22"/>
          <w:szCs w:val="22"/>
        </w:rPr>
        <w:tab/>
      </w:r>
      <w:r w:rsidR="00857FFD" w:rsidRPr="00C93571">
        <w:rPr>
          <w:b/>
          <w:sz w:val="22"/>
          <w:szCs w:val="22"/>
        </w:rPr>
        <w:t>Continue to work</w:t>
      </w:r>
      <w:r w:rsidR="00857FFD">
        <w:rPr>
          <w:b/>
          <w:sz w:val="22"/>
          <w:szCs w:val="22"/>
        </w:rPr>
        <w:t xml:space="preserve"> flexibly</w:t>
      </w:r>
      <w:r w:rsidR="00857FFD" w:rsidRPr="00C93571">
        <w:rPr>
          <w:b/>
          <w:sz w:val="22"/>
          <w:szCs w:val="22"/>
        </w:rPr>
        <w:t xml:space="preserve"> at multiple levels</w:t>
      </w:r>
      <w:r w:rsidR="00857FFD">
        <w:rPr>
          <w:sz w:val="22"/>
          <w:szCs w:val="22"/>
        </w:rPr>
        <w:t xml:space="preserve"> </w:t>
      </w:r>
      <w:r w:rsidR="00857FFD" w:rsidRPr="00C93571">
        <w:rPr>
          <w:b/>
          <w:sz w:val="22"/>
          <w:szCs w:val="22"/>
        </w:rPr>
        <w:t>of the peace process</w:t>
      </w:r>
      <w:r w:rsidR="00857FFD" w:rsidRPr="00C93571">
        <w:rPr>
          <w:sz w:val="22"/>
          <w:szCs w:val="22"/>
        </w:rPr>
        <w:t>.</w:t>
      </w:r>
      <w:r w:rsidR="00857FFD">
        <w:rPr>
          <w:sz w:val="22"/>
          <w:szCs w:val="22"/>
        </w:rPr>
        <w:t xml:space="preserve">  In the context of significant policy uncertainty on the GPH peace road map, the Review Team assessed Australia’s current strategy of working to influence a political settlement </w:t>
      </w:r>
      <w:r w:rsidR="00C06CA4">
        <w:rPr>
          <w:sz w:val="22"/>
          <w:szCs w:val="22"/>
        </w:rPr>
        <w:t>through national (</w:t>
      </w:r>
      <w:r w:rsidR="00857FFD">
        <w:rPr>
          <w:sz w:val="22"/>
          <w:szCs w:val="22"/>
        </w:rPr>
        <w:t>PAPP, FASTRAC, HRODF, CfC)</w:t>
      </w:r>
      <w:r w:rsidR="00C06CA4">
        <w:rPr>
          <w:sz w:val="22"/>
          <w:szCs w:val="22"/>
        </w:rPr>
        <w:t xml:space="preserve"> and local (BASIC partners) levels, as well as delivering a ‘peace dividend’ in communities across Mindanao (through MTR, BEAM-ARMM), remains appropriate.  There is strong evidence that the focus of other development partners on national level conflict has failed to transform major sources of violence (WB-IOM 2016, p. vii).  BASIC’s design correctly assessed</w:t>
      </w:r>
      <w:r w:rsidR="00C06CA4" w:rsidRPr="00C06CA4">
        <w:rPr>
          <w:sz w:val="22"/>
          <w:szCs w:val="22"/>
        </w:rPr>
        <w:t xml:space="preserve"> </w:t>
      </w:r>
      <w:r w:rsidR="00C06CA4" w:rsidRPr="0030001A">
        <w:rPr>
          <w:sz w:val="22"/>
          <w:szCs w:val="22"/>
        </w:rPr>
        <w:t>that there wer</w:t>
      </w:r>
      <w:r w:rsidR="00C06CA4">
        <w:rPr>
          <w:sz w:val="22"/>
          <w:szCs w:val="22"/>
        </w:rPr>
        <w:t xml:space="preserve">e potential spoilers </w:t>
      </w:r>
      <w:r w:rsidR="00C06CA4" w:rsidRPr="0030001A">
        <w:rPr>
          <w:sz w:val="22"/>
          <w:szCs w:val="22"/>
        </w:rPr>
        <w:t>that were not yet being reached or incorporated into peace processes</w:t>
      </w:r>
      <w:r w:rsidR="00C06CA4">
        <w:rPr>
          <w:sz w:val="22"/>
          <w:szCs w:val="22"/>
        </w:rPr>
        <w:t xml:space="preserve"> (e.g. LGUs)</w:t>
      </w:r>
      <w:r w:rsidR="00C06CA4" w:rsidRPr="0030001A">
        <w:rPr>
          <w:sz w:val="22"/>
          <w:szCs w:val="22"/>
        </w:rPr>
        <w:t>.</w:t>
      </w:r>
      <w:r w:rsidR="00C06CA4">
        <w:rPr>
          <w:sz w:val="22"/>
          <w:szCs w:val="22"/>
        </w:rPr>
        <w:t xml:space="preserve">  As the peace process evolves, additional actors will become important, necessitating a flexible approach able to work at multiple levels.</w:t>
      </w:r>
    </w:p>
    <w:p w14:paraId="7AE2B537" w14:textId="66C866FE" w:rsidR="00E56717" w:rsidRDefault="00E56717" w:rsidP="00DE6DC3">
      <w:pPr>
        <w:jc w:val="both"/>
        <w:rPr>
          <w:sz w:val="22"/>
          <w:szCs w:val="22"/>
        </w:rPr>
      </w:pPr>
    </w:p>
    <w:p w14:paraId="312405E7" w14:textId="22EAC5DF" w:rsidR="00E56717" w:rsidRPr="00FE5A55" w:rsidRDefault="005F5FA6" w:rsidP="00DE6DC3">
      <w:pPr>
        <w:jc w:val="both"/>
        <w:rPr>
          <w:sz w:val="22"/>
          <w:szCs w:val="22"/>
        </w:rPr>
      </w:pPr>
      <w:r>
        <w:rPr>
          <w:sz w:val="22"/>
          <w:szCs w:val="22"/>
        </w:rPr>
        <w:t>4</w:t>
      </w:r>
      <w:r w:rsidR="003A2A93">
        <w:rPr>
          <w:sz w:val="22"/>
          <w:szCs w:val="22"/>
        </w:rPr>
        <w:t>1</w:t>
      </w:r>
      <w:r w:rsidR="00C06CA4">
        <w:rPr>
          <w:sz w:val="22"/>
          <w:szCs w:val="22"/>
        </w:rPr>
        <w:t>.</w:t>
      </w:r>
      <w:r w:rsidR="00E56717">
        <w:rPr>
          <w:sz w:val="22"/>
          <w:szCs w:val="22"/>
        </w:rPr>
        <w:tab/>
      </w:r>
      <w:r w:rsidR="00F61649">
        <w:rPr>
          <w:b/>
          <w:sz w:val="22"/>
          <w:szCs w:val="22"/>
        </w:rPr>
        <w:t xml:space="preserve">Advocate for </w:t>
      </w:r>
      <w:r w:rsidR="00E56717">
        <w:rPr>
          <w:b/>
          <w:sz w:val="22"/>
          <w:szCs w:val="22"/>
        </w:rPr>
        <w:t xml:space="preserve">centralized </w:t>
      </w:r>
      <w:r w:rsidR="00FE5A55">
        <w:rPr>
          <w:b/>
          <w:sz w:val="22"/>
          <w:szCs w:val="22"/>
        </w:rPr>
        <w:t xml:space="preserve">GPH (OPAPP) </w:t>
      </w:r>
      <w:r w:rsidR="00E56717">
        <w:rPr>
          <w:b/>
          <w:sz w:val="22"/>
          <w:szCs w:val="22"/>
        </w:rPr>
        <w:t>coordination</w:t>
      </w:r>
      <w:r w:rsidR="00FE5A55">
        <w:rPr>
          <w:b/>
          <w:sz w:val="22"/>
          <w:szCs w:val="22"/>
        </w:rPr>
        <w:t xml:space="preserve"> of donors</w:t>
      </w:r>
      <w:r w:rsidR="00E56717">
        <w:rPr>
          <w:b/>
          <w:sz w:val="22"/>
          <w:szCs w:val="22"/>
        </w:rPr>
        <w:t xml:space="preserve">.  </w:t>
      </w:r>
      <w:r w:rsidR="00FE5A55">
        <w:rPr>
          <w:sz w:val="22"/>
          <w:szCs w:val="22"/>
        </w:rPr>
        <w:t xml:space="preserve">There is currently no coordination mechanism for the multiple multilateral agencies, bilateral donors and international NGOs working in Mindanao.  While DFAT should advocate to preserve its legitimate interests in </w:t>
      </w:r>
      <w:r w:rsidR="00857FFD">
        <w:rPr>
          <w:sz w:val="22"/>
          <w:szCs w:val="22"/>
        </w:rPr>
        <w:t>choosing which sectors it will</w:t>
      </w:r>
      <w:r w:rsidR="00FE5A55">
        <w:rPr>
          <w:sz w:val="22"/>
          <w:szCs w:val="22"/>
        </w:rPr>
        <w:t xml:space="preserve"> support, it should advocate for OPAPP to play a leadership role in enhancing sharing and planning among donors to minimize inefficiencies and overlap.  </w:t>
      </w:r>
    </w:p>
    <w:p w14:paraId="390CBC0C" w14:textId="7CBD59BB" w:rsidR="0003045B" w:rsidRDefault="0003045B" w:rsidP="00A429CC">
      <w:pPr>
        <w:jc w:val="both"/>
        <w:rPr>
          <w:sz w:val="22"/>
          <w:szCs w:val="22"/>
        </w:rPr>
      </w:pPr>
    </w:p>
    <w:p w14:paraId="1018D43F" w14:textId="07285BE4" w:rsidR="0003045B" w:rsidRDefault="005F5FA6" w:rsidP="00A429CC">
      <w:pPr>
        <w:jc w:val="both"/>
        <w:rPr>
          <w:sz w:val="22"/>
          <w:szCs w:val="22"/>
        </w:rPr>
      </w:pPr>
      <w:r>
        <w:rPr>
          <w:sz w:val="22"/>
          <w:szCs w:val="22"/>
        </w:rPr>
        <w:t>4</w:t>
      </w:r>
      <w:r w:rsidR="003A2A93">
        <w:rPr>
          <w:sz w:val="22"/>
          <w:szCs w:val="22"/>
        </w:rPr>
        <w:t>2</w:t>
      </w:r>
      <w:r w:rsidR="0003045B">
        <w:rPr>
          <w:sz w:val="22"/>
          <w:szCs w:val="22"/>
        </w:rPr>
        <w:t>.</w:t>
      </w:r>
      <w:r w:rsidR="0003045B">
        <w:rPr>
          <w:sz w:val="22"/>
          <w:szCs w:val="22"/>
        </w:rPr>
        <w:tab/>
      </w:r>
      <w:r w:rsidR="0003045B">
        <w:rPr>
          <w:b/>
          <w:sz w:val="22"/>
          <w:szCs w:val="22"/>
        </w:rPr>
        <w:t xml:space="preserve">Widen technical assistance to both MILF and other Moro peace-builders.  </w:t>
      </w:r>
      <w:r w:rsidR="00925A7B">
        <w:rPr>
          <w:sz w:val="22"/>
          <w:szCs w:val="22"/>
        </w:rPr>
        <w:t>FASTRAC should</w:t>
      </w:r>
      <w:r w:rsidR="0003045B">
        <w:rPr>
          <w:sz w:val="22"/>
          <w:szCs w:val="22"/>
        </w:rPr>
        <w:t xml:space="preserve"> more broadly support the more inclusive peace process envisaged</w:t>
      </w:r>
      <w:r w:rsidR="00925A7B">
        <w:rPr>
          <w:sz w:val="22"/>
          <w:szCs w:val="22"/>
        </w:rPr>
        <w:t xml:space="preserve"> by the new GPH</w:t>
      </w:r>
      <w:r w:rsidR="0003045B">
        <w:rPr>
          <w:sz w:val="22"/>
          <w:szCs w:val="22"/>
        </w:rPr>
        <w:t xml:space="preserve">.  Australia should </w:t>
      </w:r>
      <w:r w:rsidR="00925A7B">
        <w:rPr>
          <w:sz w:val="22"/>
          <w:szCs w:val="22"/>
        </w:rPr>
        <w:t>join like-mindeds in</w:t>
      </w:r>
      <w:r w:rsidR="00343655">
        <w:rPr>
          <w:sz w:val="22"/>
          <w:szCs w:val="22"/>
        </w:rPr>
        <w:t xml:space="preserve"> advocating</w:t>
      </w:r>
      <w:r w:rsidR="00925A7B">
        <w:rPr>
          <w:sz w:val="22"/>
          <w:szCs w:val="22"/>
        </w:rPr>
        <w:t xml:space="preserve"> </w:t>
      </w:r>
      <w:r w:rsidR="0003045B">
        <w:rPr>
          <w:sz w:val="22"/>
          <w:szCs w:val="22"/>
        </w:rPr>
        <w:t xml:space="preserve">to allow an expansion of focus in FASTRAC to build the technical capacity of </w:t>
      </w:r>
      <w:r w:rsidR="00343655">
        <w:rPr>
          <w:sz w:val="22"/>
          <w:szCs w:val="22"/>
        </w:rPr>
        <w:t xml:space="preserve">both the </w:t>
      </w:r>
      <w:r w:rsidR="0003045B">
        <w:rPr>
          <w:sz w:val="22"/>
          <w:szCs w:val="22"/>
        </w:rPr>
        <w:t>MILF and other groups to pa</w:t>
      </w:r>
      <w:r w:rsidR="00343655">
        <w:rPr>
          <w:sz w:val="22"/>
          <w:szCs w:val="22"/>
        </w:rPr>
        <w:t>rticipate in the peace process.  Further, DFAT should advocate for</w:t>
      </w:r>
      <w:r w:rsidR="0003045B">
        <w:rPr>
          <w:sz w:val="22"/>
          <w:szCs w:val="22"/>
        </w:rPr>
        <w:t xml:space="preserve"> FASTRAC to be sufficiently flexible to </w:t>
      </w:r>
      <w:r w:rsidR="00343655">
        <w:rPr>
          <w:sz w:val="22"/>
          <w:szCs w:val="22"/>
        </w:rPr>
        <w:t xml:space="preserve">provide technical capacity building activities to support the development of alternative models of </w:t>
      </w:r>
      <w:r w:rsidR="0003045B">
        <w:rPr>
          <w:sz w:val="22"/>
          <w:szCs w:val="22"/>
        </w:rPr>
        <w:t>autonomy (</w:t>
      </w:r>
      <w:r w:rsidR="00343655">
        <w:rPr>
          <w:sz w:val="22"/>
          <w:szCs w:val="22"/>
        </w:rPr>
        <w:t>including federalism) should</w:t>
      </w:r>
      <w:r w:rsidR="0003045B">
        <w:rPr>
          <w:sz w:val="22"/>
          <w:szCs w:val="22"/>
        </w:rPr>
        <w:t xml:space="preserve"> the BBL negotiations fail.  Australia should only deliver any such assistance under multi-donor funding arrangements approved by GPH in order to minimize risks.</w:t>
      </w:r>
      <w:r w:rsidR="0052519C">
        <w:rPr>
          <w:sz w:val="22"/>
          <w:szCs w:val="22"/>
        </w:rPr>
        <w:t xml:space="preserve">  </w:t>
      </w:r>
    </w:p>
    <w:p w14:paraId="57AB6859" w14:textId="77777777" w:rsidR="0003045B" w:rsidRDefault="0003045B" w:rsidP="00A429CC">
      <w:pPr>
        <w:jc w:val="both"/>
        <w:rPr>
          <w:sz w:val="22"/>
          <w:szCs w:val="22"/>
        </w:rPr>
      </w:pPr>
    </w:p>
    <w:p w14:paraId="5485CE71" w14:textId="7EB784F6" w:rsidR="0003045B" w:rsidRDefault="005F5FA6" w:rsidP="00A429CC">
      <w:pPr>
        <w:jc w:val="both"/>
        <w:rPr>
          <w:sz w:val="22"/>
          <w:szCs w:val="22"/>
        </w:rPr>
      </w:pPr>
      <w:r>
        <w:rPr>
          <w:sz w:val="22"/>
          <w:szCs w:val="22"/>
        </w:rPr>
        <w:t>4</w:t>
      </w:r>
      <w:r w:rsidR="003A2A93">
        <w:rPr>
          <w:sz w:val="22"/>
          <w:szCs w:val="22"/>
        </w:rPr>
        <w:t>3</w:t>
      </w:r>
      <w:r w:rsidR="0003045B">
        <w:rPr>
          <w:sz w:val="22"/>
          <w:szCs w:val="22"/>
        </w:rPr>
        <w:t>.</w:t>
      </w:r>
      <w:r w:rsidR="0003045B">
        <w:rPr>
          <w:sz w:val="22"/>
          <w:szCs w:val="22"/>
        </w:rPr>
        <w:tab/>
      </w:r>
      <w:r w:rsidR="00856F88">
        <w:rPr>
          <w:b/>
          <w:sz w:val="22"/>
          <w:szCs w:val="22"/>
        </w:rPr>
        <w:t>Start s</w:t>
      </w:r>
      <w:r w:rsidR="0003045B">
        <w:rPr>
          <w:b/>
          <w:sz w:val="22"/>
          <w:szCs w:val="22"/>
        </w:rPr>
        <w:t>hift</w:t>
      </w:r>
      <w:r w:rsidR="00856F88">
        <w:rPr>
          <w:b/>
          <w:sz w:val="22"/>
          <w:szCs w:val="22"/>
        </w:rPr>
        <w:t>ing</w:t>
      </w:r>
      <w:r w:rsidR="0003045B">
        <w:rPr>
          <w:b/>
          <w:sz w:val="22"/>
          <w:szCs w:val="22"/>
        </w:rPr>
        <w:t xml:space="preserve"> </w:t>
      </w:r>
      <w:r w:rsidR="006A0441">
        <w:rPr>
          <w:b/>
          <w:sz w:val="22"/>
          <w:szCs w:val="22"/>
        </w:rPr>
        <w:t xml:space="preserve">multi-donor funds </w:t>
      </w:r>
      <w:r w:rsidR="00856F88">
        <w:rPr>
          <w:b/>
          <w:sz w:val="22"/>
          <w:szCs w:val="22"/>
        </w:rPr>
        <w:t xml:space="preserve">engaged in community-driven development </w:t>
      </w:r>
      <w:r w:rsidR="0003045B">
        <w:rPr>
          <w:b/>
          <w:sz w:val="22"/>
          <w:szCs w:val="22"/>
        </w:rPr>
        <w:t xml:space="preserve">from confidence building measures to </w:t>
      </w:r>
      <w:r w:rsidR="00077C6B">
        <w:rPr>
          <w:b/>
          <w:sz w:val="22"/>
          <w:szCs w:val="22"/>
        </w:rPr>
        <w:t xml:space="preserve">inclusive </w:t>
      </w:r>
      <w:r w:rsidR="0003045B">
        <w:rPr>
          <w:b/>
          <w:sz w:val="22"/>
          <w:szCs w:val="22"/>
        </w:rPr>
        <w:t>socio-economic development</w:t>
      </w:r>
      <w:r w:rsidR="0052519C">
        <w:rPr>
          <w:b/>
          <w:sz w:val="22"/>
          <w:szCs w:val="22"/>
        </w:rPr>
        <w:t xml:space="preserve">. </w:t>
      </w:r>
      <w:r w:rsidR="00856F88">
        <w:rPr>
          <w:b/>
          <w:sz w:val="22"/>
          <w:szCs w:val="22"/>
        </w:rPr>
        <w:t xml:space="preserve"> </w:t>
      </w:r>
      <w:r w:rsidR="00B03E2C">
        <w:rPr>
          <w:sz w:val="22"/>
          <w:szCs w:val="22"/>
        </w:rPr>
        <w:t xml:space="preserve">While </w:t>
      </w:r>
      <w:r w:rsidR="00856F88">
        <w:rPr>
          <w:sz w:val="22"/>
          <w:szCs w:val="22"/>
        </w:rPr>
        <w:t xml:space="preserve">confidence-building </w:t>
      </w:r>
      <w:r w:rsidR="00B03E2C">
        <w:rPr>
          <w:sz w:val="22"/>
          <w:szCs w:val="22"/>
        </w:rPr>
        <w:t xml:space="preserve">measures are </w:t>
      </w:r>
      <w:r w:rsidR="00856F88">
        <w:rPr>
          <w:sz w:val="22"/>
          <w:szCs w:val="22"/>
        </w:rPr>
        <w:t xml:space="preserve">necessary in sustaining the peace process at the political </w:t>
      </w:r>
      <w:r w:rsidR="00856F88">
        <w:rPr>
          <w:sz w:val="22"/>
          <w:szCs w:val="22"/>
        </w:rPr>
        <w:lastRenderedPageBreak/>
        <w:t>level between the government and the Moro rebels, poor and conflict-affected communities have consistently identified livelihood activities and access to social services such as education and health as among their most important needs.</w:t>
      </w:r>
      <w:r w:rsidR="00856F88">
        <w:rPr>
          <w:rStyle w:val="FootnoteReference"/>
          <w:sz w:val="22"/>
          <w:szCs w:val="22"/>
        </w:rPr>
        <w:footnoteReference w:id="17"/>
      </w:r>
      <w:r w:rsidR="00856F88">
        <w:rPr>
          <w:sz w:val="22"/>
          <w:szCs w:val="22"/>
        </w:rPr>
        <w:t xml:space="preserve"> </w:t>
      </w:r>
      <w:r w:rsidR="003973DD">
        <w:rPr>
          <w:sz w:val="22"/>
          <w:szCs w:val="22"/>
        </w:rPr>
        <w:t xml:space="preserve"> </w:t>
      </w:r>
      <w:r w:rsidR="00BA3F2C">
        <w:rPr>
          <w:sz w:val="22"/>
          <w:szCs w:val="22"/>
        </w:rPr>
        <w:t>T</w:t>
      </w:r>
      <w:r w:rsidR="00343655">
        <w:rPr>
          <w:sz w:val="22"/>
          <w:szCs w:val="22"/>
        </w:rPr>
        <w:t>he Multi-Donor Trust Fund (MTF)</w:t>
      </w:r>
      <w:r w:rsidR="0052519C">
        <w:rPr>
          <w:sz w:val="22"/>
          <w:szCs w:val="22"/>
        </w:rPr>
        <w:t xml:space="preserve"> has </w:t>
      </w:r>
      <w:r w:rsidR="00343655">
        <w:rPr>
          <w:sz w:val="22"/>
          <w:szCs w:val="22"/>
        </w:rPr>
        <w:t>worked over several years to build trust of the MILF</w:t>
      </w:r>
      <w:r w:rsidR="0052519C">
        <w:rPr>
          <w:sz w:val="22"/>
          <w:szCs w:val="22"/>
        </w:rPr>
        <w:t xml:space="preserve"> to deliver community-driven development activities</w:t>
      </w:r>
      <w:r w:rsidR="009A412C">
        <w:rPr>
          <w:sz w:val="22"/>
          <w:szCs w:val="22"/>
        </w:rPr>
        <w:t xml:space="preserve"> in MILF communities</w:t>
      </w:r>
      <w:r w:rsidR="0052519C">
        <w:rPr>
          <w:sz w:val="22"/>
          <w:szCs w:val="22"/>
        </w:rPr>
        <w:t xml:space="preserve">. </w:t>
      </w:r>
      <w:r w:rsidR="00856F88">
        <w:rPr>
          <w:sz w:val="22"/>
          <w:szCs w:val="22"/>
        </w:rPr>
        <w:t xml:space="preserve">Most of these areas were also </w:t>
      </w:r>
      <w:r w:rsidR="003973DD">
        <w:rPr>
          <w:sz w:val="22"/>
          <w:szCs w:val="22"/>
        </w:rPr>
        <w:t xml:space="preserve">previous </w:t>
      </w:r>
      <w:r w:rsidR="00856F88">
        <w:rPr>
          <w:sz w:val="22"/>
          <w:szCs w:val="22"/>
        </w:rPr>
        <w:t xml:space="preserve">recipients of community cash grants to build basic social infrastructure such as school classrooms, barangay health centers, farm-to-market roads, potable </w:t>
      </w:r>
      <w:r w:rsidR="003973DD">
        <w:rPr>
          <w:sz w:val="22"/>
          <w:szCs w:val="22"/>
        </w:rPr>
        <w:t>water project, etc. under the ARMM Social Fund Project (ASFP).  Many are covered by the “Conditional Cash Transfer” project of the government.  What is lacking, as articulated in the needs assessment of conflict areas, are jobs that will provide sustainable income for community members.  Though jobs cannot ensure absence of violent conflict, they can contribute to stabilization because they enhance confidence on a better future for poor communities.</w:t>
      </w:r>
      <w:r w:rsidR="00E34C4F">
        <w:rPr>
          <w:sz w:val="22"/>
          <w:szCs w:val="22"/>
        </w:rPr>
        <w:t xml:space="preserve"> </w:t>
      </w:r>
      <w:r w:rsidR="003973DD">
        <w:rPr>
          <w:sz w:val="22"/>
          <w:szCs w:val="22"/>
        </w:rPr>
        <w:t xml:space="preserve">  </w:t>
      </w:r>
      <w:r w:rsidR="006A0441">
        <w:rPr>
          <w:sz w:val="22"/>
          <w:szCs w:val="22"/>
        </w:rPr>
        <w:t xml:space="preserve">Australia should join advocacy with like-mindeds to ensure the MTF is extended to 2017 until a new </w:t>
      </w:r>
      <w:r w:rsidR="00343655">
        <w:rPr>
          <w:sz w:val="22"/>
          <w:szCs w:val="22"/>
        </w:rPr>
        <w:t>fund</w:t>
      </w:r>
      <w:r w:rsidR="006A0441">
        <w:rPr>
          <w:sz w:val="22"/>
          <w:szCs w:val="22"/>
        </w:rPr>
        <w:t xml:space="preserve"> is operationalized.  </w:t>
      </w:r>
      <w:r w:rsidR="00E34C4F">
        <w:rPr>
          <w:sz w:val="22"/>
          <w:szCs w:val="22"/>
        </w:rPr>
        <w:t xml:space="preserve"> </w:t>
      </w:r>
      <w:r w:rsidR="006A0441">
        <w:rPr>
          <w:sz w:val="22"/>
          <w:szCs w:val="22"/>
        </w:rPr>
        <w:t xml:space="preserve">Our advocacy should ensure that, as far as possible, current implementing partners and engagement be maintained under </w:t>
      </w:r>
      <w:r w:rsidR="00DE6DC3">
        <w:rPr>
          <w:sz w:val="22"/>
          <w:szCs w:val="22"/>
        </w:rPr>
        <w:t>a new</w:t>
      </w:r>
      <w:r w:rsidR="00CC5D61">
        <w:rPr>
          <w:sz w:val="22"/>
          <w:szCs w:val="22"/>
        </w:rPr>
        <w:t xml:space="preserve"> </w:t>
      </w:r>
      <w:r w:rsidR="006A0441">
        <w:rPr>
          <w:sz w:val="22"/>
          <w:szCs w:val="22"/>
        </w:rPr>
        <w:t>fund.  The review team d</w:t>
      </w:r>
      <w:r w:rsidR="00CC5D61">
        <w:rPr>
          <w:sz w:val="22"/>
          <w:szCs w:val="22"/>
        </w:rPr>
        <w:t>o</w:t>
      </w:r>
      <w:r w:rsidR="00BE1615">
        <w:rPr>
          <w:sz w:val="22"/>
          <w:szCs w:val="22"/>
        </w:rPr>
        <w:t>es</w:t>
      </w:r>
      <w:r w:rsidR="006A0441">
        <w:rPr>
          <w:sz w:val="22"/>
          <w:szCs w:val="22"/>
        </w:rPr>
        <w:t xml:space="preserve"> not recommend funding the </w:t>
      </w:r>
      <w:r w:rsidR="00C06499">
        <w:rPr>
          <w:sz w:val="22"/>
          <w:szCs w:val="22"/>
        </w:rPr>
        <w:t>Bangsamoro Development Assistance Fund (</w:t>
      </w:r>
      <w:r w:rsidR="006A0441">
        <w:rPr>
          <w:sz w:val="22"/>
          <w:szCs w:val="22"/>
        </w:rPr>
        <w:t>BDAF</w:t>
      </w:r>
      <w:r w:rsidR="00C06499">
        <w:rPr>
          <w:sz w:val="22"/>
          <w:szCs w:val="22"/>
        </w:rPr>
        <w:t>)</w:t>
      </w:r>
      <w:r w:rsidR="006A0441">
        <w:rPr>
          <w:sz w:val="22"/>
          <w:szCs w:val="22"/>
        </w:rPr>
        <w:t xml:space="preserve"> until MN</w:t>
      </w:r>
      <w:r w:rsidR="00925A7B">
        <w:rPr>
          <w:sz w:val="22"/>
          <w:szCs w:val="22"/>
        </w:rPr>
        <w:t>LF expresse</w:t>
      </w:r>
      <w:r w:rsidR="009A412C">
        <w:rPr>
          <w:sz w:val="22"/>
          <w:szCs w:val="22"/>
        </w:rPr>
        <w:t>s</w:t>
      </w:r>
      <w:r w:rsidR="00925A7B">
        <w:rPr>
          <w:sz w:val="22"/>
          <w:szCs w:val="22"/>
        </w:rPr>
        <w:t xml:space="preserve"> clearer priorities.</w:t>
      </w:r>
    </w:p>
    <w:p w14:paraId="0AF0CD35" w14:textId="6ED681F3" w:rsidR="00B81563" w:rsidRDefault="00B81563" w:rsidP="00A429CC">
      <w:pPr>
        <w:jc w:val="both"/>
        <w:rPr>
          <w:sz w:val="22"/>
          <w:szCs w:val="22"/>
        </w:rPr>
      </w:pPr>
    </w:p>
    <w:p w14:paraId="2CD818CD" w14:textId="0B2528AF" w:rsidR="00821089" w:rsidRDefault="005F5FA6" w:rsidP="00E84923">
      <w:pPr>
        <w:jc w:val="both"/>
        <w:rPr>
          <w:sz w:val="22"/>
          <w:szCs w:val="22"/>
        </w:rPr>
      </w:pPr>
      <w:r>
        <w:rPr>
          <w:sz w:val="22"/>
          <w:szCs w:val="22"/>
        </w:rPr>
        <w:t>4</w:t>
      </w:r>
      <w:r w:rsidR="003A2A93">
        <w:rPr>
          <w:sz w:val="22"/>
          <w:szCs w:val="22"/>
        </w:rPr>
        <w:t>4</w:t>
      </w:r>
      <w:r w:rsidR="006A0441">
        <w:rPr>
          <w:sz w:val="22"/>
          <w:szCs w:val="22"/>
        </w:rPr>
        <w:t xml:space="preserve">.  </w:t>
      </w:r>
      <w:r w:rsidR="006A0441">
        <w:rPr>
          <w:sz w:val="22"/>
          <w:szCs w:val="22"/>
        </w:rPr>
        <w:tab/>
      </w:r>
      <w:r w:rsidR="006A0441" w:rsidRPr="00CA10C5">
        <w:rPr>
          <w:b/>
          <w:sz w:val="22"/>
          <w:szCs w:val="22"/>
        </w:rPr>
        <w:t>Continue to provide bilateral funding to strengthen civil society</w:t>
      </w:r>
      <w:r w:rsidR="006A0441">
        <w:rPr>
          <w:b/>
          <w:sz w:val="22"/>
          <w:szCs w:val="22"/>
        </w:rPr>
        <w:t>.</w:t>
      </w:r>
      <w:r w:rsidR="006A0441" w:rsidRPr="00CA10C5">
        <w:rPr>
          <w:sz w:val="22"/>
          <w:szCs w:val="22"/>
        </w:rPr>
        <w:t xml:space="preserve"> </w:t>
      </w:r>
      <w:r w:rsidR="00D16E10">
        <w:rPr>
          <w:sz w:val="22"/>
          <w:szCs w:val="22"/>
        </w:rPr>
        <w:t xml:space="preserve"> </w:t>
      </w:r>
      <w:r w:rsidR="004E5408">
        <w:rPr>
          <w:sz w:val="22"/>
          <w:szCs w:val="22"/>
        </w:rPr>
        <w:t>The efforts of BASIC partners to mitigate violence and maintain support for the process in the face of t</w:t>
      </w:r>
      <w:r w:rsidR="00D16E10">
        <w:rPr>
          <w:sz w:val="22"/>
          <w:szCs w:val="22"/>
        </w:rPr>
        <w:t>he public backlash</w:t>
      </w:r>
      <w:r w:rsidR="004E5408">
        <w:rPr>
          <w:sz w:val="22"/>
          <w:szCs w:val="22"/>
        </w:rPr>
        <w:t xml:space="preserve"> over the Mamasapano incident and </w:t>
      </w:r>
      <w:r w:rsidR="00D16E10">
        <w:rPr>
          <w:sz w:val="22"/>
          <w:szCs w:val="22"/>
        </w:rPr>
        <w:t>subsequent failure of the Aquino administration to pass the BBL highlighted the important role a strong civil society could play in</w:t>
      </w:r>
      <w:r w:rsidR="00E84923">
        <w:rPr>
          <w:sz w:val="22"/>
          <w:szCs w:val="22"/>
        </w:rPr>
        <w:t xml:space="preserve"> supporting peace.  In the context of significant uncertainty regarding the formal peace-building architecture under the new Duterte Administration, civil society can play an adaptive role.  Should the peace process deteriorate, its efforts could act as a bulwark against further violence.  Should the peace process progress, it can advocate for a more inclusive national framework that takes account of local concerns. </w:t>
      </w:r>
      <w:r w:rsidR="00444419">
        <w:rPr>
          <w:sz w:val="22"/>
          <w:szCs w:val="22"/>
        </w:rPr>
        <w:t xml:space="preserve"> </w:t>
      </w:r>
    </w:p>
    <w:p w14:paraId="0107CF8B" w14:textId="0BB3EE12" w:rsidR="004E5408" w:rsidRDefault="004E5408" w:rsidP="00E84923">
      <w:pPr>
        <w:jc w:val="both"/>
        <w:rPr>
          <w:sz w:val="22"/>
          <w:szCs w:val="22"/>
        </w:rPr>
      </w:pPr>
    </w:p>
    <w:p w14:paraId="0D303026" w14:textId="2B96871C" w:rsidR="004E5408" w:rsidRDefault="005F5FA6" w:rsidP="004E5408">
      <w:pPr>
        <w:jc w:val="both"/>
        <w:rPr>
          <w:sz w:val="22"/>
          <w:szCs w:val="22"/>
        </w:rPr>
      </w:pPr>
      <w:r>
        <w:rPr>
          <w:sz w:val="22"/>
          <w:szCs w:val="22"/>
        </w:rPr>
        <w:t>4</w:t>
      </w:r>
      <w:r w:rsidR="003A2A93">
        <w:rPr>
          <w:sz w:val="22"/>
          <w:szCs w:val="22"/>
        </w:rPr>
        <w:t>5</w:t>
      </w:r>
      <w:r w:rsidR="004E5408">
        <w:rPr>
          <w:sz w:val="22"/>
          <w:szCs w:val="22"/>
        </w:rPr>
        <w:t>.</w:t>
      </w:r>
      <w:r w:rsidR="004E5408">
        <w:rPr>
          <w:sz w:val="22"/>
          <w:szCs w:val="22"/>
        </w:rPr>
        <w:tab/>
      </w:r>
      <w:r w:rsidR="004E5408" w:rsidRPr="001D03B1">
        <w:rPr>
          <w:b/>
          <w:sz w:val="22"/>
          <w:szCs w:val="22"/>
        </w:rPr>
        <w:t>Scale up local conflict management tools and seek to implement them systematically.</w:t>
      </w:r>
      <w:r w:rsidR="004E5408">
        <w:rPr>
          <w:b/>
          <w:sz w:val="22"/>
          <w:szCs w:val="22"/>
        </w:rPr>
        <w:t xml:space="preserve">  </w:t>
      </w:r>
      <w:r w:rsidR="004E5408">
        <w:rPr>
          <w:sz w:val="22"/>
          <w:szCs w:val="22"/>
        </w:rPr>
        <w:t>Horizontal conflict will continue to be a feature of the Bangsamoro, even in the event of a negotiated peace.  It will be essential to take tools for managing local conflict and work to integrate them into formal systems for a lasting reduction in violence. BASIC partners IA and TAF (and CHD) are well placed, and should be encouraged to work collaboratively, on this effort.</w:t>
      </w:r>
    </w:p>
    <w:p w14:paraId="5BCAE166" w14:textId="01BA2BF3" w:rsidR="004930E7" w:rsidRDefault="004930E7" w:rsidP="00A429CC">
      <w:pPr>
        <w:jc w:val="both"/>
        <w:rPr>
          <w:sz w:val="22"/>
          <w:szCs w:val="22"/>
        </w:rPr>
      </w:pPr>
    </w:p>
    <w:p w14:paraId="564F73DD" w14:textId="5B893AD1" w:rsidR="00336A1F" w:rsidRPr="00336A1F" w:rsidRDefault="003A2A93" w:rsidP="00A429CC">
      <w:pPr>
        <w:jc w:val="both"/>
        <w:rPr>
          <w:sz w:val="22"/>
          <w:szCs w:val="22"/>
        </w:rPr>
      </w:pPr>
      <w:r>
        <w:rPr>
          <w:sz w:val="22"/>
          <w:szCs w:val="22"/>
        </w:rPr>
        <w:t>46.</w:t>
      </w:r>
      <w:r w:rsidR="00336A1F">
        <w:rPr>
          <w:sz w:val="22"/>
          <w:szCs w:val="22"/>
        </w:rPr>
        <w:tab/>
      </w:r>
      <w:r w:rsidR="00336A1F">
        <w:rPr>
          <w:b/>
          <w:sz w:val="22"/>
          <w:szCs w:val="22"/>
        </w:rPr>
        <w:t xml:space="preserve">Conduct ongoing analysis of conflict dynamics.  </w:t>
      </w:r>
      <w:r w:rsidR="00336A1F">
        <w:rPr>
          <w:sz w:val="22"/>
          <w:szCs w:val="22"/>
        </w:rPr>
        <w:t>Even in the event of a successful ‘convergence’ of peace agreements in Mindanao into the implementation stage, significant challenges will continue to emerge, including: managing trauma, normalization (disarmament, demobilization and reintegration), security sector reform, addressing historical grievances and injustices</w:t>
      </w:r>
      <w:r w:rsidR="00336A1F">
        <w:rPr>
          <w:rStyle w:val="FootnoteReference"/>
          <w:sz w:val="22"/>
          <w:szCs w:val="22"/>
        </w:rPr>
        <w:footnoteReference w:id="18"/>
      </w:r>
      <w:r w:rsidR="00336A1F">
        <w:rPr>
          <w:sz w:val="22"/>
          <w:szCs w:val="22"/>
        </w:rPr>
        <w:t>, promoting national reconciliation, shifting gender roles, supporting displaced communities and providing a visible peace dividend.  Horizontal conflicts and transnational crime, including violent extremism, are likely to continue.  Ongoing analysis will ensure DFAT is poised to respond appropriately to changing dynamics.</w:t>
      </w:r>
    </w:p>
    <w:p w14:paraId="61C0C817" w14:textId="77777777" w:rsidR="004469A1" w:rsidRDefault="004469A1" w:rsidP="00A429CC">
      <w:pPr>
        <w:jc w:val="both"/>
        <w:rPr>
          <w:sz w:val="22"/>
          <w:szCs w:val="22"/>
        </w:rPr>
      </w:pPr>
    </w:p>
    <w:p w14:paraId="7F6C772B" w14:textId="7E928994" w:rsidR="003555AD" w:rsidRDefault="003A2A93" w:rsidP="004C0208">
      <w:pPr>
        <w:jc w:val="both"/>
        <w:rPr>
          <w:b/>
        </w:rPr>
      </w:pPr>
      <w:r>
        <w:rPr>
          <w:sz w:val="22"/>
          <w:szCs w:val="22"/>
        </w:rPr>
        <w:lastRenderedPageBreak/>
        <w:t>47</w:t>
      </w:r>
      <w:r w:rsidR="004E5408">
        <w:rPr>
          <w:sz w:val="22"/>
          <w:szCs w:val="22"/>
        </w:rPr>
        <w:t>.</w:t>
      </w:r>
      <w:r w:rsidR="004E5408">
        <w:rPr>
          <w:sz w:val="22"/>
          <w:szCs w:val="22"/>
        </w:rPr>
        <w:tab/>
        <w:t xml:space="preserve">These </w:t>
      </w:r>
      <w:r w:rsidR="001071CA">
        <w:rPr>
          <w:sz w:val="22"/>
          <w:szCs w:val="22"/>
        </w:rPr>
        <w:t>options</w:t>
      </w:r>
      <w:r w:rsidR="004249EF">
        <w:rPr>
          <w:sz w:val="22"/>
          <w:szCs w:val="22"/>
        </w:rPr>
        <w:t xml:space="preserve"> could be pursued by adjusting the balance of activities within</w:t>
      </w:r>
      <w:r w:rsidR="004E5408">
        <w:rPr>
          <w:sz w:val="22"/>
          <w:szCs w:val="22"/>
        </w:rPr>
        <w:t xml:space="preserve"> DFAT’s</w:t>
      </w:r>
      <w:r w:rsidR="004249EF">
        <w:rPr>
          <w:sz w:val="22"/>
          <w:szCs w:val="22"/>
        </w:rPr>
        <w:t xml:space="preserve"> </w:t>
      </w:r>
      <w:r w:rsidR="004E5408">
        <w:rPr>
          <w:sz w:val="22"/>
          <w:szCs w:val="22"/>
        </w:rPr>
        <w:t>forecast</w:t>
      </w:r>
      <w:r w:rsidR="004249EF">
        <w:rPr>
          <w:sz w:val="22"/>
          <w:szCs w:val="22"/>
        </w:rPr>
        <w:t xml:space="preserve"> </w:t>
      </w:r>
      <w:r w:rsidR="004E5408">
        <w:rPr>
          <w:sz w:val="22"/>
          <w:szCs w:val="22"/>
        </w:rPr>
        <w:t xml:space="preserve">budget </w:t>
      </w:r>
      <w:r w:rsidR="001071CA">
        <w:rPr>
          <w:sz w:val="22"/>
          <w:szCs w:val="22"/>
        </w:rPr>
        <w:t>allocations</w:t>
      </w:r>
      <w:r w:rsidR="00D96A44">
        <w:rPr>
          <w:sz w:val="22"/>
          <w:szCs w:val="22"/>
        </w:rPr>
        <w:t>, though</w:t>
      </w:r>
      <w:r w:rsidR="001071CA">
        <w:rPr>
          <w:sz w:val="22"/>
          <w:szCs w:val="22"/>
        </w:rPr>
        <w:t xml:space="preserve"> more</w:t>
      </w:r>
      <w:r w:rsidR="001B4273">
        <w:rPr>
          <w:sz w:val="22"/>
          <w:szCs w:val="22"/>
        </w:rPr>
        <w:t xml:space="preserve"> funding could widen their </w:t>
      </w:r>
      <w:r w:rsidR="001B4273" w:rsidRPr="0065146C">
        <w:rPr>
          <w:sz w:val="22"/>
          <w:szCs w:val="22"/>
        </w:rPr>
        <w:t>impac</w:t>
      </w:r>
      <w:r w:rsidR="00313E3D" w:rsidRPr="0065146C">
        <w:rPr>
          <w:sz w:val="22"/>
          <w:szCs w:val="22"/>
        </w:rPr>
        <w:t>t.</w:t>
      </w:r>
    </w:p>
    <w:p w14:paraId="3BF01905" w14:textId="0C774D0B" w:rsidR="003555AD" w:rsidRDefault="0078692F" w:rsidP="00DC6BC2">
      <w:pPr>
        <w:rPr>
          <w:b/>
        </w:rPr>
      </w:pPr>
      <w:r>
        <w:rPr>
          <w:b/>
        </w:rPr>
        <w:br w:type="page"/>
      </w:r>
      <w:r w:rsidR="00C06499">
        <w:rPr>
          <w:b/>
        </w:rPr>
        <w:lastRenderedPageBreak/>
        <w:t xml:space="preserve">Literature Cited </w:t>
      </w:r>
    </w:p>
    <w:p w14:paraId="24232BC0" w14:textId="56817E74" w:rsidR="007B43C2" w:rsidRDefault="007B43C2" w:rsidP="007B43C2">
      <w:pPr>
        <w:jc w:val="center"/>
        <w:rPr>
          <w:b/>
        </w:rPr>
      </w:pPr>
    </w:p>
    <w:p w14:paraId="74521B4C" w14:textId="77777777" w:rsidR="007B43C2" w:rsidRDefault="007B43C2" w:rsidP="007B43C2">
      <w:pPr>
        <w:jc w:val="center"/>
        <w:rPr>
          <w:b/>
        </w:rPr>
      </w:pPr>
    </w:p>
    <w:p w14:paraId="5CE74A71" w14:textId="3C87102D" w:rsidR="00B03E2C" w:rsidRDefault="00B03E2C" w:rsidP="007B43C2">
      <w:pPr>
        <w:rPr>
          <w:sz w:val="22"/>
          <w:szCs w:val="22"/>
        </w:rPr>
      </w:pPr>
      <w:r>
        <w:rPr>
          <w:sz w:val="22"/>
          <w:szCs w:val="22"/>
        </w:rPr>
        <w:t xml:space="preserve">Bangsamoro Development Agency. 2014.  Bangsamoro Development Plan. Cotabato City. </w:t>
      </w:r>
    </w:p>
    <w:p w14:paraId="301FB708" w14:textId="77777777" w:rsidR="00B03E2C" w:rsidRDefault="00B03E2C" w:rsidP="007B43C2">
      <w:pPr>
        <w:rPr>
          <w:sz w:val="22"/>
          <w:szCs w:val="22"/>
        </w:rPr>
      </w:pPr>
    </w:p>
    <w:p w14:paraId="405318A1" w14:textId="30792826" w:rsidR="007B43C2" w:rsidRDefault="007B43C2" w:rsidP="007B43C2">
      <w:pPr>
        <w:rPr>
          <w:sz w:val="22"/>
          <w:szCs w:val="22"/>
        </w:rPr>
      </w:pPr>
      <w:r w:rsidRPr="00257969">
        <w:rPr>
          <w:sz w:val="22"/>
          <w:szCs w:val="22"/>
        </w:rPr>
        <w:t>Barron,  Patrick, Erman Rahma</w:t>
      </w:r>
      <w:r w:rsidR="004C0208">
        <w:rPr>
          <w:sz w:val="22"/>
          <w:szCs w:val="22"/>
        </w:rPr>
        <w:t>nt and Kharisma Nugroho, 2013,</w:t>
      </w:r>
      <w:r w:rsidRPr="00257969">
        <w:rPr>
          <w:sz w:val="22"/>
          <w:szCs w:val="22"/>
        </w:rPr>
        <w:t xml:space="preserve"> </w:t>
      </w:r>
      <w:r w:rsidRPr="004C0208">
        <w:rPr>
          <w:i/>
          <w:sz w:val="22"/>
          <w:szCs w:val="22"/>
        </w:rPr>
        <w:t>The Contested Corners of Asia:  The Case of Aceh, Indonesia</w:t>
      </w:r>
      <w:r w:rsidR="004C0208">
        <w:rPr>
          <w:sz w:val="22"/>
          <w:szCs w:val="22"/>
        </w:rPr>
        <w:t>,</w:t>
      </w:r>
      <w:r w:rsidRPr="00257969">
        <w:rPr>
          <w:sz w:val="22"/>
          <w:szCs w:val="22"/>
        </w:rPr>
        <w:t xml:space="preserve"> Bangkok: The Asia Foundation.  </w:t>
      </w:r>
    </w:p>
    <w:p w14:paraId="3865FD7F" w14:textId="77777777" w:rsidR="007B43C2" w:rsidRDefault="007B43C2" w:rsidP="007B43C2">
      <w:pPr>
        <w:rPr>
          <w:sz w:val="22"/>
          <w:szCs w:val="22"/>
        </w:rPr>
      </w:pPr>
    </w:p>
    <w:p w14:paraId="0CEE1571" w14:textId="0950FA91" w:rsidR="007B43C2" w:rsidRPr="00257969" w:rsidRDefault="007B43C2" w:rsidP="00DC6BC2">
      <w:pPr>
        <w:widowControl w:val="0"/>
        <w:tabs>
          <w:tab w:val="left" w:pos="220"/>
          <w:tab w:val="left" w:pos="720"/>
        </w:tabs>
        <w:autoSpaceDE w:val="0"/>
        <w:autoSpaceDN w:val="0"/>
        <w:adjustRightInd w:val="0"/>
        <w:spacing w:after="240" w:line="300" w:lineRule="atLeast"/>
        <w:rPr>
          <w:sz w:val="22"/>
          <w:szCs w:val="22"/>
        </w:rPr>
      </w:pPr>
      <w:r w:rsidRPr="00C60EDA">
        <w:rPr>
          <w:sz w:val="22"/>
          <w:szCs w:val="22"/>
        </w:rPr>
        <w:t>Douglas, S</w:t>
      </w:r>
      <w:r>
        <w:rPr>
          <w:sz w:val="22"/>
          <w:szCs w:val="22"/>
        </w:rPr>
        <w:t>.</w:t>
      </w:r>
      <w:r w:rsidRPr="00C60EDA">
        <w:rPr>
          <w:sz w:val="22"/>
          <w:szCs w:val="22"/>
        </w:rPr>
        <w:t xml:space="preserve">, 2015, “What gets measured gets done: translating accountability frameworks into better responses for women and girls in peacebuilding contexts”, </w:t>
      </w:r>
      <w:r w:rsidRPr="004C0208">
        <w:rPr>
          <w:i/>
          <w:sz w:val="22"/>
          <w:szCs w:val="22"/>
        </w:rPr>
        <w:t>Journal of Peacebuilding and Development</w:t>
      </w:r>
      <w:r w:rsidRPr="00C60EDA">
        <w:rPr>
          <w:sz w:val="22"/>
          <w:szCs w:val="22"/>
        </w:rPr>
        <w:t>, vol. 10, No. 1.</w:t>
      </w:r>
      <w:r w:rsidRPr="00257969">
        <w:rPr>
          <w:sz w:val="22"/>
          <w:szCs w:val="22"/>
        </w:rPr>
        <w:t xml:space="preserve"> </w:t>
      </w:r>
    </w:p>
    <w:p w14:paraId="75BEBCEA" w14:textId="25745DA4" w:rsidR="007B43C2" w:rsidRDefault="007B43C2" w:rsidP="007B43C2">
      <w:pPr>
        <w:rPr>
          <w:sz w:val="22"/>
          <w:szCs w:val="22"/>
        </w:rPr>
      </w:pPr>
      <w:r w:rsidRPr="00257969">
        <w:rPr>
          <w:sz w:val="22"/>
          <w:szCs w:val="22"/>
        </w:rPr>
        <w:t>Dwyer, Lesl</w:t>
      </w:r>
      <w:r w:rsidR="004C0208">
        <w:rPr>
          <w:sz w:val="22"/>
          <w:szCs w:val="22"/>
        </w:rPr>
        <w:t>ie and Ruffa Cagoco-Guiam, 2011,</w:t>
      </w:r>
      <w:r w:rsidRPr="00257969">
        <w:rPr>
          <w:sz w:val="22"/>
          <w:szCs w:val="22"/>
        </w:rPr>
        <w:t xml:space="preserve"> </w:t>
      </w:r>
      <w:r w:rsidRPr="004C0208">
        <w:rPr>
          <w:i/>
          <w:sz w:val="22"/>
          <w:szCs w:val="22"/>
        </w:rPr>
        <w:t>Gender and Conflict in Mindanao</w:t>
      </w:r>
      <w:r w:rsidR="004C0208">
        <w:rPr>
          <w:sz w:val="22"/>
          <w:szCs w:val="22"/>
        </w:rPr>
        <w:t>,</w:t>
      </w:r>
      <w:r w:rsidRPr="00257969">
        <w:rPr>
          <w:sz w:val="22"/>
          <w:szCs w:val="22"/>
        </w:rPr>
        <w:t xml:space="preserve"> Manila: </w:t>
      </w:r>
      <w:r>
        <w:rPr>
          <w:sz w:val="22"/>
          <w:szCs w:val="22"/>
        </w:rPr>
        <w:t xml:space="preserve">The Asia </w:t>
      </w:r>
      <w:r w:rsidRPr="00257969">
        <w:rPr>
          <w:sz w:val="22"/>
          <w:szCs w:val="22"/>
        </w:rPr>
        <w:t>Foundation</w:t>
      </w:r>
      <w:r>
        <w:rPr>
          <w:sz w:val="22"/>
          <w:szCs w:val="22"/>
        </w:rPr>
        <w:t>.</w:t>
      </w:r>
      <w:r w:rsidRPr="00257969">
        <w:rPr>
          <w:sz w:val="22"/>
          <w:szCs w:val="22"/>
        </w:rPr>
        <w:t xml:space="preserve"> </w:t>
      </w:r>
    </w:p>
    <w:p w14:paraId="4D3A990C" w14:textId="77777777" w:rsidR="007B43C2" w:rsidRDefault="007B43C2" w:rsidP="007B43C2">
      <w:pPr>
        <w:rPr>
          <w:sz w:val="22"/>
          <w:szCs w:val="22"/>
        </w:rPr>
      </w:pPr>
    </w:p>
    <w:p w14:paraId="5C0E41F1" w14:textId="7C392255" w:rsidR="007B43C2" w:rsidRPr="00257969" w:rsidRDefault="007B43C2" w:rsidP="00DC6BC2">
      <w:pPr>
        <w:widowControl w:val="0"/>
        <w:autoSpaceDE w:val="0"/>
        <w:autoSpaceDN w:val="0"/>
        <w:adjustRightInd w:val="0"/>
        <w:spacing w:after="240" w:line="280" w:lineRule="atLeast"/>
        <w:rPr>
          <w:sz w:val="22"/>
          <w:szCs w:val="22"/>
        </w:rPr>
      </w:pPr>
      <w:r w:rsidRPr="00C60EDA">
        <w:rPr>
          <w:sz w:val="22"/>
          <w:szCs w:val="22"/>
        </w:rPr>
        <w:t>Hall</w:t>
      </w:r>
      <w:r>
        <w:rPr>
          <w:sz w:val="22"/>
          <w:szCs w:val="22"/>
        </w:rPr>
        <w:t>,</w:t>
      </w:r>
      <w:r w:rsidRPr="00C60EDA">
        <w:rPr>
          <w:sz w:val="22"/>
          <w:szCs w:val="22"/>
        </w:rPr>
        <w:t xml:space="preserve"> R</w:t>
      </w:r>
      <w:r>
        <w:rPr>
          <w:sz w:val="22"/>
          <w:szCs w:val="22"/>
        </w:rPr>
        <w:t xml:space="preserve">. A. </w:t>
      </w:r>
      <w:r w:rsidRPr="00C60EDA">
        <w:rPr>
          <w:sz w:val="22"/>
          <w:szCs w:val="22"/>
        </w:rPr>
        <w:t xml:space="preserve">and Hoare, </w:t>
      </w:r>
      <w:r>
        <w:rPr>
          <w:sz w:val="22"/>
          <w:szCs w:val="22"/>
        </w:rPr>
        <w:t xml:space="preserve">J.P., </w:t>
      </w:r>
      <w:r w:rsidRPr="00C60EDA">
        <w:rPr>
          <w:sz w:val="22"/>
          <w:szCs w:val="22"/>
        </w:rPr>
        <w:t xml:space="preserve">2015, </w:t>
      </w:r>
      <w:r w:rsidRPr="004C0208">
        <w:rPr>
          <w:i/>
          <w:sz w:val="22"/>
          <w:szCs w:val="22"/>
        </w:rPr>
        <w:t>Women in Conflict and Peace: Philippines</w:t>
      </w:r>
      <w:r w:rsidRPr="00C60EDA">
        <w:rPr>
          <w:sz w:val="22"/>
          <w:szCs w:val="22"/>
        </w:rPr>
        <w:t xml:space="preserve">, Stockholm, International IDEA. </w:t>
      </w:r>
    </w:p>
    <w:p w14:paraId="24400225" w14:textId="2883CCA0" w:rsidR="007B43C2" w:rsidRPr="00257969" w:rsidRDefault="004C0208" w:rsidP="007B43C2">
      <w:pPr>
        <w:pStyle w:val="FootnoteText"/>
        <w:jc w:val="both"/>
        <w:rPr>
          <w:sz w:val="22"/>
          <w:szCs w:val="22"/>
        </w:rPr>
      </w:pPr>
      <w:r>
        <w:rPr>
          <w:sz w:val="22"/>
          <w:szCs w:val="22"/>
        </w:rPr>
        <w:t xml:space="preserve">IOM-World Bank, 2016, Report to </w:t>
      </w:r>
      <w:r w:rsidR="007B43C2" w:rsidRPr="00257969">
        <w:rPr>
          <w:sz w:val="22"/>
          <w:szCs w:val="22"/>
        </w:rPr>
        <w:t>Transitional Justice and Reconciliation Commission (TJRC),</w:t>
      </w:r>
      <w:r>
        <w:rPr>
          <w:sz w:val="22"/>
          <w:szCs w:val="22"/>
        </w:rPr>
        <w:t xml:space="preserve"> 2016,</w:t>
      </w:r>
      <w:r w:rsidR="007B43C2" w:rsidRPr="00257969">
        <w:rPr>
          <w:sz w:val="22"/>
          <w:szCs w:val="22"/>
        </w:rPr>
        <w:t xml:space="preserve"> “Land: </w:t>
      </w:r>
      <w:r>
        <w:rPr>
          <w:sz w:val="22"/>
          <w:szCs w:val="22"/>
        </w:rPr>
        <w:t>Territory, Domain and Identity”, unpublished.</w:t>
      </w:r>
    </w:p>
    <w:p w14:paraId="12235536" w14:textId="647D5D4F" w:rsidR="007B43C2" w:rsidRDefault="007B43C2" w:rsidP="007B43C2">
      <w:pPr>
        <w:widowControl w:val="0"/>
        <w:autoSpaceDE w:val="0"/>
        <w:autoSpaceDN w:val="0"/>
        <w:adjustRightInd w:val="0"/>
        <w:rPr>
          <w:rFonts w:cs="Arial"/>
          <w:color w:val="535353"/>
          <w:sz w:val="22"/>
          <w:szCs w:val="22"/>
        </w:rPr>
      </w:pPr>
    </w:p>
    <w:p w14:paraId="45505120" w14:textId="36E71B34" w:rsidR="007B43C2" w:rsidRPr="00C60EDA" w:rsidRDefault="004C0208" w:rsidP="007B43C2">
      <w:pPr>
        <w:widowControl w:val="0"/>
        <w:autoSpaceDE w:val="0"/>
        <w:autoSpaceDN w:val="0"/>
        <w:adjustRightInd w:val="0"/>
        <w:spacing w:after="240" w:line="280" w:lineRule="atLeast"/>
        <w:rPr>
          <w:sz w:val="22"/>
          <w:szCs w:val="22"/>
        </w:rPr>
      </w:pPr>
      <w:r>
        <w:rPr>
          <w:sz w:val="22"/>
          <w:szCs w:val="22"/>
        </w:rPr>
        <w:t>Jones, Sidney, 2016,</w:t>
      </w:r>
      <w:r w:rsidR="007B43C2">
        <w:rPr>
          <w:sz w:val="22"/>
          <w:szCs w:val="22"/>
        </w:rPr>
        <w:t xml:space="preserve"> “Pro-</w:t>
      </w:r>
      <w:r w:rsidR="00E51999">
        <w:rPr>
          <w:sz w:val="22"/>
          <w:szCs w:val="22"/>
        </w:rPr>
        <w:t xml:space="preserve">ISIS </w:t>
      </w:r>
      <w:r w:rsidR="007B43C2">
        <w:rPr>
          <w:sz w:val="22"/>
          <w:szCs w:val="22"/>
        </w:rPr>
        <w:t xml:space="preserve">Groups in Mindanao and their </w:t>
      </w:r>
      <w:r>
        <w:rPr>
          <w:sz w:val="22"/>
          <w:szCs w:val="22"/>
        </w:rPr>
        <w:t>Links to Indonesia and Malaysia”,</w:t>
      </w:r>
      <w:r w:rsidR="007B43C2">
        <w:rPr>
          <w:sz w:val="22"/>
          <w:szCs w:val="22"/>
        </w:rPr>
        <w:t xml:space="preserve"> Institute fo</w:t>
      </w:r>
      <w:r>
        <w:rPr>
          <w:sz w:val="22"/>
          <w:szCs w:val="22"/>
        </w:rPr>
        <w:t>r Policy Analysis of Conflict,</w:t>
      </w:r>
      <w:r w:rsidR="007B43C2">
        <w:rPr>
          <w:sz w:val="22"/>
          <w:szCs w:val="22"/>
        </w:rPr>
        <w:t xml:space="preserve"> IPAC Report No. 33. October 25.</w:t>
      </w:r>
    </w:p>
    <w:p w14:paraId="3861D45F" w14:textId="5B0B6B56" w:rsidR="007B43C2" w:rsidRPr="00257969" w:rsidRDefault="004C0208" w:rsidP="007B43C2">
      <w:pPr>
        <w:pStyle w:val="FootnoteText"/>
        <w:jc w:val="both"/>
        <w:rPr>
          <w:sz w:val="22"/>
          <w:szCs w:val="22"/>
        </w:rPr>
      </w:pPr>
      <w:r>
        <w:rPr>
          <w:sz w:val="22"/>
          <w:szCs w:val="22"/>
        </w:rPr>
        <w:t>The Asia Foundati</w:t>
      </w:r>
      <w:r w:rsidR="007B43C2" w:rsidRPr="00257969">
        <w:rPr>
          <w:sz w:val="22"/>
          <w:szCs w:val="22"/>
        </w:rPr>
        <w:t xml:space="preserve">on. “Filipino Public Opinion on the Bangsamoro Basic Law and the </w:t>
      </w:r>
      <w:r>
        <w:rPr>
          <w:sz w:val="22"/>
          <w:szCs w:val="22"/>
        </w:rPr>
        <w:t xml:space="preserve">Mamasapano </w:t>
      </w:r>
      <w:r w:rsidR="008648D6">
        <w:rPr>
          <w:sz w:val="22"/>
          <w:szCs w:val="22"/>
        </w:rPr>
        <w:t>Incident</w:t>
      </w:r>
      <w:r>
        <w:rPr>
          <w:sz w:val="22"/>
          <w:szCs w:val="22"/>
        </w:rPr>
        <w:t xml:space="preserve">”, </w:t>
      </w:r>
      <w:r w:rsidR="007B43C2" w:rsidRPr="00257969">
        <w:rPr>
          <w:sz w:val="22"/>
          <w:szCs w:val="22"/>
        </w:rPr>
        <w:t>SWS Februa</w:t>
      </w:r>
      <w:r>
        <w:rPr>
          <w:sz w:val="22"/>
          <w:szCs w:val="22"/>
        </w:rPr>
        <w:t>ry, March and June 2015 Surveys</w:t>
      </w:r>
      <w:r w:rsidR="007B43C2" w:rsidRPr="00257969">
        <w:rPr>
          <w:sz w:val="22"/>
          <w:szCs w:val="22"/>
        </w:rPr>
        <w:t xml:space="preserve">.    </w:t>
      </w:r>
    </w:p>
    <w:p w14:paraId="1C1D1D0D" w14:textId="13D82FB3" w:rsidR="007B43C2" w:rsidRDefault="007B43C2" w:rsidP="007B43C2">
      <w:pPr>
        <w:pStyle w:val="FootnoteText"/>
        <w:jc w:val="both"/>
        <w:rPr>
          <w:sz w:val="22"/>
          <w:szCs w:val="22"/>
        </w:rPr>
      </w:pPr>
    </w:p>
    <w:p w14:paraId="181B9D5D" w14:textId="55F955A9" w:rsidR="004C0208" w:rsidRPr="004C0208" w:rsidRDefault="004C0208" w:rsidP="004C0208">
      <w:pPr>
        <w:rPr>
          <w:sz w:val="22"/>
          <w:szCs w:val="22"/>
        </w:rPr>
      </w:pPr>
      <w:r>
        <w:rPr>
          <w:sz w:val="22"/>
          <w:szCs w:val="22"/>
        </w:rPr>
        <w:t xml:space="preserve">Rappler Philippines, 2016, ‘Defense Chief: 3 Davao suspects arrested’, Oct 7, </w:t>
      </w:r>
      <w:r>
        <w:rPr>
          <w:rFonts w:cs="Arial"/>
          <w:color w:val="535353"/>
          <w:sz w:val="22"/>
          <w:szCs w:val="22"/>
        </w:rPr>
        <w:t>http://</w:t>
      </w:r>
      <w:r w:rsidRPr="00257969">
        <w:rPr>
          <w:rFonts w:cs="Arial"/>
          <w:color w:val="535353"/>
          <w:sz w:val="22"/>
          <w:szCs w:val="22"/>
        </w:rPr>
        <w:t>news.abs-cbn.com/.../exclusive-mga-terorista-nag</w:t>
      </w:r>
      <w:r>
        <w:rPr>
          <w:rFonts w:cs="Arial"/>
          <w:color w:val="535353"/>
          <w:sz w:val="22"/>
          <w:szCs w:val="22"/>
        </w:rPr>
        <w:t>sanib-pwersa-umano-sa- Mindanao, Viewed: 30 Oct 2016.</w:t>
      </w:r>
    </w:p>
    <w:p w14:paraId="72F6331A" w14:textId="1A31D310" w:rsidR="004C0208" w:rsidRPr="00257969" w:rsidRDefault="004C0208" w:rsidP="007B43C2">
      <w:pPr>
        <w:pStyle w:val="FootnoteText"/>
        <w:jc w:val="both"/>
        <w:rPr>
          <w:sz w:val="22"/>
          <w:szCs w:val="22"/>
        </w:rPr>
      </w:pPr>
    </w:p>
    <w:p w14:paraId="23F03BB7" w14:textId="2F28EA28" w:rsidR="007B43C2" w:rsidRPr="00257969" w:rsidRDefault="004C0208" w:rsidP="007B43C2">
      <w:pPr>
        <w:pStyle w:val="FootnoteText"/>
        <w:jc w:val="both"/>
        <w:rPr>
          <w:sz w:val="22"/>
          <w:szCs w:val="22"/>
        </w:rPr>
      </w:pPr>
      <w:r>
        <w:rPr>
          <w:sz w:val="22"/>
          <w:szCs w:val="22"/>
        </w:rPr>
        <w:t xml:space="preserve">TJRC, 2016, </w:t>
      </w:r>
      <w:r w:rsidR="007B43C2" w:rsidRPr="004C0208">
        <w:rPr>
          <w:i/>
          <w:sz w:val="22"/>
          <w:szCs w:val="22"/>
        </w:rPr>
        <w:t>Report of the Transitional Justice and Reco</w:t>
      </w:r>
      <w:r w:rsidRPr="004C0208">
        <w:rPr>
          <w:i/>
          <w:sz w:val="22"/>
          <w:szCs w:val="22"/>
        </w:rPr>
        <w:t>nciliation Commission,</w:t>
      </w:r>
      <w:r>
        <w:rPr>
          <w:sz w:val="22"/>
          <w:szCs w:val="22"/>
        </w:rPr>
        <w:t xml:space="preserve"> Manila, </w:t>
      </w:r>
      <w:r w:rsidR="007B43C2" w:rsidRPr="00257969">
        <w:rPr>
          <w:sz w:val="22"/>
          <w:szCs w:val="22"/>
        </w:rPr>
        <w:t xml:space="preserve">Philippines.  </w:t>
      </w:r>
    </w:p>
    <w:p w14:paraId="522F939A" w14:textId="77777777" w:rsidR="007B43C2" w:rsidRPr="00257969" w:rsidRDefault="007B43C2" w:rsidP="007B43C2">
      <w:pPr>
        <w:pStyle w:val="FootnoteText"/>
        <w:jc w:val="both"/>
        <w:rPr>
          <w:sz w:val="22"/>
          <w:szCs w:val="22"/>
        </w:rPr>
      </w:pPr>
    </w:p>
    <w:p w14:paraId="063E56A9" w14:textId="0258230D" w:rsidR="007B43C2" w:rsidRPr="00257969" w:rsidRDefault="007B43C2" w:rsidP="007B43C2">
      <w:pPr>
        <w:pStyle w:val="FootnoteText"/>
        <w:jc w:val="both"/>
        <w:rPr>
          <w:sz w:val="22"/>
          <w:szCs w:val="22"/>
        </w:rPr>
      </w:pPr>
      <w:r w:rsidRPr="00257969">
        <w:rPr>
          <w:sz w:val="22"/>
          <w:szCs w:val="22"/>
        </w:rPr>
        <w:t xml:space="preserve">Various progress and accomplishment reports of IAG, IA, Oxfam/WEAct 1325 and TAF for the period July 2014 to June 2016.  </w:t>
      </w:r>
    </w:p>
    <w:p w14:paraId="208F5176" w14:textId="77777777" w:rsidR="007B43C2" w:rsidRDefault="007B43C2" w:rsidP="007B43C2">
      <w:pPr>
        <w:rPr>
          <w:sz w:val="22"/>
          <w:szCs w:val="22"/>
        </w:rPr>
      </w:pPr>
    </w:p>
    <w:p w14:paraId="3534DAF5" w14:textId="0BF1CBBA" w:rsidR="007B43C2" w:rsidRDefault="005022C1" w:rsidP="007B43C2">
      <w:pPr>
        <w:rPr>
          <w:sz w:val="22"/>
          <w:szCs w:val="22"/>
        </w:rPr>
      </w:pPr>
      <w:r>
        <w:rPr>
          <w:sz w:val="22"/>
          <w:szCs w:val="22"/>
        </w:rPr>
        <w:t>World Bank, 2016,</w:t>
      </w:r>
      <w:r w:rsidR="007B43C2" w:rsidRPr="00414478">
        <w:rPr>
          <w:sz w:val="22"/>
          <w:szCs w:val="22"/>
        </w:rPr>
        <w:t xml:space="preserve"> Mindanao Jobs Report volume on “Confl</w:t>
      </w:r>
      <w:r>
        <w:rPr>
          <w:sz w:val="22"/>
          <w:szCs w:val="22"/>
        </w:rPr>
        <w:t>ict-Affected Areas of Mindanao”.</w:t>
      </w:r>
      <w:r w:rsidR="00091E1A">
        <w:rPr>
          <w:sz w:val="22"/>
          <w:szCs w:val="22"/>
        </w:rPr>
        <w:t xml:space="preserve"> To be published. </w:t>
      </w:r>
    </w:p>
    <w:p w14:paraId="5C21EE56" w14:textId="77777777" w:rsidR="00B03E2C" w:rsidRDefault="00B03E2C" w:rsidP="007B43C2">
      <w:pPr>
        <w:rPr>
          <w:sz w:val="22"/>
          <w:szCs w:val="22"/>
        </w:rPr>
      </w:pPr>
    </w:p>
    <w:p w14:paraId="1CC1407F" w14:textId="56B4DDFD" w:rsidR="00B03E2C" w:rsidRPr="00414478" w:rsidRDefault="00B03E2C" w:rsidP="007B43C2">
      <w:pPr>
        <w:rPr>
          <w:sz w:val="22"/>
          <w:szCs w:val="22"/>
        </w:rPr>
      </w:pPr>
      <w:r>
        <w:rPr>
          <w:sz w:val="22"/>
          <w:szCs w:val="22"/>
        </w:rPr>
        <w:t>World Bank. 2005.  Joint Needs Assessment of the Conflict Affected Areas in Mindanao.  Manila:  WB.</w:t>
      </w:r>
    </w:p>
    <w:p w14:paraId="47C0C098" w14:textId="77777777" w:rsidR="007B43C2" w:rsidRDefault="007B43C2" w:rsidP="007B43C2">
      <w:pPr>
        <w:jc w:val="both"/>
        <w:rPr>
          <w:b/>
        </w:rPr>
      </w:pPr>
    </w:p>
    <w:p w14:paraId="633690A9" w14:textId="77777777" w:rsidR="003306C6" w:rsidRDefault="003306C6" w:rsidP="007F615A">
      <w:pPr>
        <w:jc w:val="center"/>
        <w:rPr>
          <w:b/>
        </w:rPr>
      </w:pPr>
    </w:p>
    <w:p w14:paraId="4E5C5CFA" w14:textId="77777777" w:rsidR="00A068E4" w:rsidRDefault="00A068E4">
      <w:pPr>
        <w:rPr>
          <w:b/>
        </w:rPr>
      </w:pPr>
      <w:r>
        <w:rPr>
          <w:b/>
        </w:rPr>
        <w:br w:type="page"/>
      </w:r>
    </w:p>
    <w:p w14:paraId="41A1D8C3" w14:textId="21C31F6C" w:rsidR="007F615A" w:rsidRDefault="004C0208" w:rsidP="007F615A">
      <w:pPr>
        <w:jc w:val="center"/>
        <w:rPr>
          <w:b/>
        </w:rPr>
      </w:pPr>
      <w:r>
        <w:rPr>
          <w:b/>
        </w:rPr>
        <w:lastRenderedPageBreak/>
        <w:t xml:space="preserve">Annex </w:t>
      </w:r>
      <w:r w:rsidR="00FD132D">
        <w:rPr>
          <w:b/>
        </w:rPr>
        <w:t>A</w:t>
      </w:r>
    </w:p>
    <w:p w14:paraId="79059551" w14:textId="77777777" w:rsidR="007F615A" w:rsidRDefault="007F615A" w:rsidP="007F615A">
      <w:pPr>
        <w:rPr>
          <w:b/>
        </w:rPr>
      </w:pPr>
    </w:p>
    <w:p w14:paraId="663E3484" w14:textId="77777777" w:rsidR="007F615A" w:rsidRDefault="007F615A" w:rsidP="007F615A">
      <w:pPr>
        <w:jc w:val="center"/>
        <w:rPr>
          <w:b/>
        </w:rPr>
      </w:pPr>
      <w:r>
        <w:rPr>
          <w:b/>
        </w:rPr>
        <w:t>Strategic Review of Australia’s Support for Peace in Mindanao</w:t>
      </w:r>
    </w:p>
    <w:p w14:paraId="7B71A1F6" w14:textId="77777777" w:rsidR="007F615A" w:rsidRDefault="007F615A" w:rsidP="007F615A">
      <w:pPr>
        <w:jc w:val="center"/>
        <w:rPr>
          <w:b/>
        </w:rPr>
      </w:pPr>
    </w:p>
    <w:p w14:paraId="515F5DCA" w14:textId="3A57B514" w:rsidR="007F615A" w:rsidRDefault="007F615A" w:rsidP="007F615A">
      <w:pPr>
        <w:jc w:val="center"/>
        <w:rPr>
          <w:b/>
        </w:rPr>
      </w:pPr>
      <w:r>
        <w:rPr>
          <w:b/>
        </w:rPr>
        <w:t>Review Mission Interviews</w:t>
      </w:r>
    </w:p>
    <w:p w14:paraId="2A0FC726" w14:textId="77777777" w:rsidR="007F615A" w:rsidRDefault="007F615A" w:rsidP="007F615A">
      <w:pPr>
        <w:jc w:val="center"/>
        <w:rPr>
          <w:b/>
        </w:rPr>
      </w:pPr>
    </w:p>
    <w:p w14:paraId="45ECB019" w14:textId="77777777" w:rsidR="007F615A" w:rsidRPr="00566759" w:rsidRDefault="007F615A" w:rsidP="007F615A">
      <w:pPr>
        <w:rPr>
          <w:rFonts w:ascii="Calibri" w:hAnsi="Calibri" w:cs="Calibri"/>
          <w:i/>
          <w:sz w:val="22"/>
          <w:szCs w:val="22"/>
          <w:lang w:val="en-AU"/>
        </w:rPr>
      </w:pPr>
      <w:r w:rsidRPr="00566759">
        <w:rPr>
          <w:rFonts w:ascii="Calibri" w:hAnsi="Calibri" w:cs="Calibri"/>
          <w:i/>
          <w:sz w:val="22"/>
          <w:szCs w:val="22"/>
          <w:lang w:val="en-AU"/>
        </w:rPr>
        <w:t>Australian Embassy</w:t>
      </w:r>
    </w:p>
    <w:p w14:paraId="242C83D4" w14:textId="77777777" w:rsidR="007F615A" w:rsidRPr="00566759" w:rsidRDefault="007F615A" w:rsidP="007F615A">
      <w:pPr>
        <w:rPr>
          <w:rFonts w:ascii="Calibri" w:hAnsi="Calibri" w:cs="Calibri"/>
          <w:sz w:val="22"/>
          <w:szCs w:val="22"/>
          <w:lang w:val="en-AU"/>
        </w:rPr>
      </w:pPr>
      <w:r w:rsidRPr="00566759">
        <w:rPr>
          <w:rFonts w:ascii="Calibri" w:hAnsi="Calibri" w:cs="Calibri"/>
          <w:sz w:val="22"/>
          <w:szCs w:val="22"/>
          <w:lang w:val="en-AU"/>
        </w:rPr>
        <w:t>Mat Kimberley, Deputy Head of Mission</w:t>
      </w:r>
    </w:p>
    <w:p w14:paraId="5ACA2033" w14:textId="77777777" w:rsidR="007F615A" w:rsidRPr="00566759" w:rsidRDefault="007F615A" w:rsidP="007F615A">
      <w:pPr>
        <w:rPr>
          <w:rFonts w:ascii="Calibri" w:hAnsi="Calibri" w:cs="Calibri"/>
          <w:sz w:val="22"/>
          <w:szCs w:val="22"/>
          <w:lang w:val="en-AU"/>
        </w:rPr>
      </w:pPr>
      <w:r w:rsidRPr="00566759">
        <w:rPr>
          <w:rFonts w:ascii="Calibri" w:hAnsi="Calibri" w:cs="Calibri"/>
          <w:sz w:val="22"/>
          <w:szCs w:val="22"/>
          <w:lang w:val="en-AU"/>
        </w:rPr>
        <w:t>Tim Smith, First Secretary</w:t>
      </w:r>
    </w:p>
    <w:p w14:paraId="1742299C" w14:textId="77777777" w:rsidR="007F615A" w:rsidRPr="00566759" w:rsidRDefault="007F615A" w:rsidP="007F615A">
      <w:pPr>
        <w:rPr>
          <w:rFonts w:ascii="Calibri" w:hAnsi="Calibri" w:cs="Calibri"/>
          <w:sz w:val="22"/>
          <w:szCs w:val="22"/>
          <w:lang w:val="en-AU"/>
        </w:rPr>
      </w:pPr>
      <w:r w:rsidRPr="00566759">
        <w:rPr>
          <w:rFonts w:ascii="Calibri" w:hAnsi="Calibri" w:cs="Calibri"/>
          <w:sz w:val="22"/>
          <w:szCs w:val="22"/>
          <w:lang w:val="en-AU"/>
        </w:rPr>
        <w:t>Dwan Mei Dumas, Senior Program Manager</w:t>
      </w:r>
    </w:p>
    <w:p w14:paraId="6042FA6B" w14:textId="77777777" w:rsidR="007F615A" w:rsidRPr="00566759" w:rsidRDefault="007F615A" w:rsidP="007F615A">
      <w:pPr>
        <w:rPr>
          <w:rFonts w:ascii="Calibri" w:hAnsi="Calibri" w:cs="Calibri"/>
          <w:sz w:val="22"/>
          <w:szCs w:val="22"/>
          <w:lang w:val="en-AU"/>
        </w:rPr>
      </w:pPr>
      <w:r w:rsidRPr="00566759">
        <w:rPr>
          <w:rFonts w:ascii="Calibri" w:hAnsi="Calibri" w:cs="Calibri"/>
          <w:sz w:val="22"/>
          <w:szCs w:val="22"/>
          <w:lang w:val="en-AU"/>
        </w:rPr>
        <w:t>Shannen Ann Enriquez, Program Manager</w:t>
      </w:r>
    </w:p>
    <w:p w14:paraId="048DD648" w14:textId="77777777" w:rsidR="007F615A" w:rsidRPr="00566759" w:rsidRDefault="007F615A" w:rsidP="007F615A">
      <w:pPr>
        <w:rPr>
          <w:rFonts w:ascii="Calibri" w:hAnsi="Calibri" w:cs="Calibri"/>
          <w:sz w:val="22"/>
          <w:szCs w:val="22"/>
          <w:lang w:val="en-AU"/>
        </w:rPr>
      </w:pPr>
      <w:r w:rsidRPr="00566759">
        <w:rPr>
          <w:rFonts w:ascii="Calibri" w:hAnsi="Calibri" w:cs="Calibri"/>
          <w:sz w:val="22"/>
          <w:szCs w:val="22"/>
          <w:lang w:val="en-AU"/>
        </w:rPr>
        <w:t>Tom Parks, Governance and Fragility Specialist (Bangkok)</w:t>
      </w:r>
    </w:p>
    <w:p w14:paraId="506241DA" w14:textId="77777777" w:rsidR="007F615A" w:rsidRPr="00566759" w:rsidRDefault="007F615A" w:rsidP="00D266F7">
      <w:pPr>
        <w:rPr>
          <w:rFonts w:ascii="Calibri" w:hAnsi="Calibri" w:cs="Calibri"/>
          <w:sz w:val="22"/>
          <w:szCs w:val="22"/>
        </w:rPr>
      </w:pPr>
      <w:r w:rsidRPr="00566759">
        <w:rPr>
          <w:rFonts w:ascii="Calibri" w:hAnsi="Calibri" w:cs="Calibri"/>
          <w:sz w:val="22"/>
          <w:szCs w:val="22"/>
          <w:lang w:val="en-AU"/>
        </w:rPr>
        <w:t xml:space="preserve">Lt Col </w:t>
      </w:r>
      <w:r w:rsidRPr="00566759">
        <w:rPr>
          <w:rFonts w:ascii="Calibri" w:hAnsi="Calibri" w:cs="Calibri"/>
          <w:sz w:val="22"/>
          <w:szCs w:val="22"/>
        </w:rPr>
        <w:t>Tim Lopsik, Assistance Defence Attaché</w:t>
      </w:r>
    </w:p>
    <w:p w14:paraId="64851CCA" w14:textId="3C3FCF96" w:rsidR="007F615A" w:rsidRPr="00566759" w:rsidRDefault="007F615A" w:rsidP="00D266F7">
      <w:pPr>
        <w:rPr>
          <w:rFonts w:ascii="Calibri" w:hAnsi="Calibri" w:cs="Calibri"/>
          <w:sz w:val="22"/>
          <w:szCs w:val="22"/>
        </w:rPr>
      </w:pPr>
      <w:r w:rsidRPr="00566759">
        <w:rPr>
          <w:rFonts w:ascii="Calibri" w:hAnsi="Calibri" w:cs="Calibri"/>
          <w:sz w:val="22"/>
          <w:szCs w:val="22"/>
        </w:rPr>
        <w:t>Mr Anthony Maguire, Team Leader, Australian Federal Police</w:t>
      </w:r>
    </w:p>
    <w:p w14:paraId="3C447692" w14:textId="77777777" w:rsidR="00D266F7" w:rsidRPr="00566759" w:rsidRDefault="00D266F7" w:rsidP="00D266F7">
      <w:pPr>
        <w:rPr>
          <w:rFonts w:ascii="Calibri" w:hAnsi="Calibri" w:cs="Calibri"/>
          <w:sz w:val="22"/>
          <w:szCs w:val="22"/>
        </w:rPr>
      </w:pPr>
      <w:r w:rsidRPr="00566759">
        <w:rPr>
          <w:rFonts w:ascii="Calibri" w:hAnsi="Calibri" w:cs="Calibri"/>
          <w:sz w:val="22"/>
          <w:szCs w:val="22"/>
        </w:rPr>
        <w:t>Daniel Featherston, Economic Councillor</w:t>
      </w:r>
    </w:p>
    <w:p w14:paraId="1B2576FD" w14:textId="77777777" w:rsidR="00D266F7" w:rsidRPr="00566759" w:rsidRDefault="00D266F7" w:rsidP="00D266F7">
      <w:pPr>
        <w:rPr>
          <w:rFonts w:ascii="Calibri" w:hAnsi="Calibri" w:cs="Calibri"/>
          <w:sz w:val="22"/>
          <w:szCs w:val="22"/>
        </w:rPr>
      </w:pPr>
      <w:r w:rsidRPr="00566759">
        <w:rPr>
          <w:rFonts w:ascii="Calibri" w:hAnsi="Calibri" w:cs="Calibri"/>
          <w:sz w:val="22"/>
          <w:szCs w:val="22"/>
        </w:rPr>
        <w:t xml:space="preserve">Richard Rodgers, Political Counsellor </w:t>
      </w:r>
    </w:p>
    <w:p w14:paraId="4C5E848B" w14:textId="218E8E5D" w:rsidR="00D266F7" w:rsidRPr="00566759" w:rsidRDefault="00D266F7" w:rsidP="00D266F7">
      <w:pPr>
        <w:rPr>
          <w:rFonts w:ascii="Calibri" w:hAnsi="Calibri" w:cs="Calibri"/>
          <w:sz w:val="22"/>
          <w:szCs w:val="22"/>
        </w:rPr>
      </w:pPr>
      <w:r w:rsidRPr="00566759">
        <w:rPr>
          <w:rFonts w:ascii="Calibri" w:hAnsi="Calibri" w:cs="Calibri"/>
          <w:sz w:val="22"/>
          <w:szCs w:val="22"/>
        </w:rPr>
        <w:t>Dr Paul Hutchcroft, Lead Governance Specialist</w:t>
      </w:r>
    </w:p>
    <w:p w14:paraId="44BB4E62" w14:textId="7999C08F" w:rsidR="00D266F7" w:rsidRPr="00566759" w:rsidRDefault="00D266F7" w:rsidP="00D266F7">
      <w:pPr>
        <w:rPr>
          <w:rFonts w:ascii="Calibri" w:hAnsi="Calibri" w:cs="Calibri"/>
          <w:sz w:val="22"/>
          <w:szCs w:val="22"/>
        </w:rPr>
      </w:pPr>
      <w:r w:rsidRPr="00566759">
        <w:rPr>
          <w:rFonts w:ascii="Calibri" w:hAnsi="Calibri" w:cs="Calibri"/>
          <w:sz w:val="22"/>
          <w:szCs w:val="22"/>
        </w:rPr>
        <w:t>Nigel Bruce, First Secretary, Education</w:t>
      </w:r>
    </w:p>
    <w:p w14:paraId="12B9D6AB" w14:textId="25421265" w:rsidR="00D266F7" w:rsidRPr="00566759" w:rsidRDefault="00D266F7" w:rsidP="00D266F7">
      <w:pPr>
        <w:rPr>
          <w:rFonts w:ascii="Calibri" w:hAnsi="Calibri" w:cs="Calibri"/>
          <w:sz w:val="22"/>
          <w:szCs w:val="22"/>
        </w:rPr>
      </w:pPr>
      <w:r w:rsidRPr="00566759">
        <w:rPr>
          <w:rFonts w:ascii="Calibri" w:hAnsi="Calibri" w:cs="Calibri"/>
          <w:sz w:val="22"/>
          <w:szCs w:val="22"/>
        </w:rPr>
        <w:t>Peter Carreon, Senior Program Officer, Education</w:t>
      </w:r>
    </w:p>
    <w:p w14:paraId="76F2F697" w14:textId="77777777" w:rsidR="007F615A" w:rsidRPr="00566759" w:rsidRDefault="007F615A" w:rsidP="00D266F7">
      <w:pPr>
        <w:rPr>
          <w:rFonts w:ascii="Calibri" w:hAnsi="Calibri" w:cs="Calibri"/>
          <w:sz w:val="22"/>
          <w:szCs w:val="22"/>
        </w:rPr>
      </w:pPr>
    </w:p>
    <w:p w14:paraId="61EAFF95" w14:textId="77777777" w:rsidR="007F615A" w:rsidRPr="00566759" w:rsidRDefault="007F615A" w:rsidP="00D266F7">
      <w:pPr>
        <w:rPr>
          <w:rFonts w:ascii="Calibri" w:hAnsi="Calibri" w:cs="Calibri"/>
          <w:i/>
          <w:sz w:val="22"/>
          <w:szCs w:val="22"/>
        </w:rPr>
      </w:pPr>
      <w:r w:rsidRPr="00566759">
        <w:rPr>
          <w:rFonts w:ascii="Calibri" w:hAnsi="Calibri" w:cs="Calibri"/>
          <w:i/>
          <w:sz w:val="22"/>
          <w:szCs w:val="22"/>
        </w:rPr>
        <w:t>Philippine Centre for Islam and Democracy</w:t>
      </w:r>
    </w:p>
    <w:p w14:paraId="0F5BD338" w14:textId="77777777" w:rsidR="007F615A" w:rsidRPr="00566759" w:rsidRDefault="007F615A" w:rsidP="00D266F7">
      <w:pPr>
        <w:rPr>
          <w:rFonts w:ascii="Calibri" w:hAnsi="Calibri" w:cs="Calibri"/>
          <w:sz w:val="22"/>
          <w:szCs w:val="22"/>
        </w:rPr>
      </w:pPr>
      <w:r w:rsidRPr="00566759">
        <w:rPr>
          <w:rFonts w:ascii="Calibri" w:hAnsi="Calibri" w:cs="Calibri"/>
          <w:sz w:val="22"/>
          <w:szCs w:val="22"/>
        </w:rPr>
        <w:t>Amina Rasul-Bernardo</w:t>
      </w:r>
    </w:p>
    <w:p w14:paraId="50C2C7E3" w14:textId="77777777" w:rsidR="007F615A" w:rsidRPr="00566759" w:rsidRDefault="007F615A" w:rsidP="00D266F7">
      <w:pPr>
        <w:rPr>
          <w:rFonts w:ascii="Calibri" w:hAnsi="Calibri" w:cs="Calibri"/>
          <w:sz w:val="22"/>
          <w:szCs w:val="22"/>
        </w:rPr>
      </w:pPr>
    </w:p>
    <w:p w14:paraId="5B7B2050" w14:textId="77777777" w:rsidR="007F615A" w:rsidRPr="00566759" w:rsidRDefault="007F615A" w:rsidP="00D266F7">
      <w:pPr>
        <w:rPr>
          <w:rFonts w:ascii="Calibri" w:hAnsi="Calibri" w:cs="Calibri"/>
          <w:i/>
          <w:sz w:val="22"/>
          <w:szCs w:val="22"/>
        </w:rPr>
      </w:pPr>
      <w:r w:rsidRPr="00566759">
        <w:rPr>
          <w:rFonts w:ascii="Calibri" w:hAnsi="Calibri" w:cs="Calibri"/>
          <w:i/>
          <w:sz w:val="22"/>
          <w:szCs w:val="22"/>
        </w:rPr>
        <w:t>Magbassa Kita Foundation Inc.</w:t>
      </w:r>
    </w:p>
    <w:p w14:paraId="1D937688" w14:textId="77777777" w:rsidR="007F615A" w:rsidRPr="00566759" w:rsidRDefault="007F615A" w:rsidP="00D266F7">
      <w:pPr>
        <w:rPr>
          <w:rFonts w:ascii="Calibri" w:hAnsi="Calibri" w:cs="Calibri"/>
          <w:sz w:val="22"/>
          <w:szCs w:val="22"/>
        </w:rPr>
      </w:pPr>
      <w:r w:rsidRPr="00566759">
        <w:rPr>
          <w:rFonts w:ascii="Calibri" w:hAnsi="Calibri" w:cs="Calibri"/>
          <w:sz w:val="22"/>
          <w:szCs w:val="22"/>
        </w:rPr>
        <w:t>Parisya H. Taradji, Executive Director</w:t>
      </w:r>
    </w:p>
    <w:p w14:paraId="3D36EE3D" w14:textId="77777777" w:rsidR="007F615A" w:rsidRPr="00566759" w:rsidRDefault="007F615A" w:rsidP="00D266F7">
      <w:pPr>
        <w:rPr>
          <w:rFonts w:ascii="Calibri" w:hAnsi="Calibri" w:cs="Calibri"/>
          <w:sz w:val="22"/>
          <w:szCs w:val="22"/>
        </w:rPr>
      </w:pPr>
    </w:p>
    <w:p w14:paraId="7F5E61CA" w14:textId="77777777" w:rsidR="007F615A" w:rsidRPr="00566759" w:rsidRDefault="007F615A" w:rsidP="00D266F7">
      <w:pPr>
        <w:rPr>
          <w:rFonts w:ascii="Calibri" w:hAnsi="Calibri" w:cs="Calibri"/>
          <w:i/>
          <w:sz w:val="22"/>
          <w:szCs w:val="22"/>
        </w:rPr>
      </w:pPr>
      <w:r w:rsidRPr="00566759">
        <w:rPr>
          <w:rFonts w:ascii="Calibri" w:hAnsi="Calibri" w:cs="Calibri"/>
          <w:i/>
          <w:sz w:val="22"/>
          <w:szCs w:val="22"/>
        </w:rPr>
        <w:t>The World Bank</w:t>
      </w:r>
    </w:p>
    <w:p w14:paraId="62DA7519" w14:textId="77777777" w:rsidR="007F615A" w:rsidRPr="00566759" w:rsidRDefault="007F615A" w:rsidP="00D266F7">
      <w:pPr>
        <w:rPr>
          <w:rFonts w:ascii="Calibri" w:hAnsi="Calibri" w:cs="Calibri"/>
          <w:sz w:val="22"/>
          <w:szCs w:val="22"/>
        </w:rPr>
      </w:pPr>
      <w:r w:rsidRPr="00566759">
        <w:rPr>
          <w:rFonts w:ascii="Calibri" w:hAnsi="Calibri" w:cs="Calibri"/>
          <w:sz w:val="22"/>
          <w:szCs w:val="22"/>
        </w:rPr>
        <w:t>Matt Stephens, Senior Social Development Specialist</w:t>
      </w:r>
    </w:p>
    <w:p w14:paraId="45532FC3" w14:textId="1FE2241C" w:rsidR="00283B40" w:rsidRPr="00566759" w:rsidRDefault="00283B40" w:rsidP="00283B40">
      <w:pPr>
        <w:rPr>
          <w:rFonts w:ascii="Calibri" w:hAnsi="Calibri" w:cs="Calibri"/>
          <w:sz w:val="22"/>
          <w:szCs w:val="22"/>
        </w:rPr>
      </w:pPr>
      <w:r w:rsidRPr="00566759">
        <w:rPr>
          <w:rFonts w:ascii="Calibri" w:hAnsi="Calibri" w:cs="Calibri"/>
          <w:sz w:val="22"/>
          <w:szCs w:val="22"/>
        </w:rPr>
        <w:t xml:space="preserve">Bane Agbon, Consultant </w:t>
      </w:r>
    </w:p>
    <w:p w14:paraId="71CB1D84" w14:textId="77777777" w:rsidR="007F615A" w:rsidRPr="00566759" w:rsidRDefault="007F615A" w:rsidP="00D266F7">
      <w:pPr>
        <w:rPr>
          <w:rFonts w:ascii="Calibri" w:hAnsi="Calibri" w:cs="Calibri"/>
          <w:sz w:val="22"/>
          <w:szCs w:val="22"/>
        </w:rPr>
      </w:pPr>
    </w:p>
    <w:p w14:paraId="18383E34" w14:textId="77777777" w:rsidR="007F615A" w:rsidRPr="00566759" w:rsidRDefault="007F615A" w:rsidP="00D266F7">
      <w:pPr>
        <w:rPr>
          <w:rFonts w:ascii="Calibri" w:hAnsi="Calibri" w:cs="Calibri"/>
          <w:i/>
          <w:sz w:val="22"/>
          <w:szCs w:val="22"/>
        </w:rPr>
      </w:pPr>
      <w:r w:rsidRPr="00566759">
        <w:rPr>
          <w:rFonts w:ascii="Calibri" w:hAnsi="Calibri" w:cs="Calibri"/>
          <w:i/>
          <w:sz w:val="22"/>
          <w:szCs w:val="22"/>
        </w:rPr>
        <w:t>Delegation of the European Union to the Philippines</w:t>
      </w:r>
    </w:p>
    <w:p w14:paraId="40B6FDEC" w14:textId="77777777" w:rsidR="007F615A" w:rsidRPr="00566759" w:rsidRDefault="007F615A" w:rsidP="00D266F7">
      <w:pPr>
        <w:rPr>
          <w:rFonts w:ascii="Calibri" w:hAnsi="Calibri" w:cs="Calibri"/>
          <w:sz w:val="22"/>
          <w:szCs w:val="22"/>
        </w:rPr>
      </w:pPr>
      <w:r w:rsidRPr="00566759">
        <w:rPr>
          <w:rFonts w:ascii="Calibri" w:hAnsi="Calibri" w:cs="Calibri"/>
          <w:sz w:val="22"/>
          <w:szCs w:val="22"/>
        </w:rPr>
        <w:t>Edoardo Manfredini, Program Manager</w:t>
      </w:r>
    </w:p>
    <w:p w14:paraId="473826F1" w14:textId="77777777" w:rsidR="007F615A" w:rsidRPr="00566759" w:rsidRDefault="007F615A" w:rsidP="00D266F7">
      <w:pPr>
        <w:rPr>
          <w:rFonts w:ascii="Calibri" w:hAnsi="Calibri" w:cs="Calibri"/>
          <w:sz w:val="22"/>
          <w:szCs w:val="22"/>
        </w:rPr>
      </w:pPr>
      <w:r w:rsidRPr="00566759">
        <w:rPr>
          <w:rFonts w:ascii="Calibri" w:hAnsi="Calibri" w:cs="Calibri"/>
          <w:sz w:val="22"/>
          <w:szCs w:val="22"/>
        </w:rPr>
        <w:t>Emily M. Mercado, Programme Officer, Operations Section</w:t>
      </w:r>
    </w:p>
    <w:p w14:paraId="503ACE15" w14:textId="77777777" w:rsidR="007F615A" w:rsidRPr="00566759" w:rsidRDefault="007F615A" w:rsidP="00D266F7">
      <w:pPr>
        <w:rPr>
          <w:rFonts w:ascii="Calibri" w:hAnsi="Calibri" w:cs="Calibri"/>
          <w:sz w:val="22"/>
          <w:szCs w:val="22"/>
        </w:rPr>
      </w:pPr>
    </w:p>
    <w:p w14:paraId="7B00CFFF" w14:textId="77777777" w:rsidR="007F615A" w:rsidRPr="00566759" w:rsidRDefault="007F615A" w:rsidP="00D266F7">
      <w:pPr>
        <w:rPr>
          <w:rFonts w:ascii="Calibri" w:hAnsi="Calibri" w:cs="Calibri"/>
          <w:i/>
          <w:sz w:val="22"/>
          <w:szCs w:val="22"/>
        </w:rPr>
      </w:pPr>
      <w:r w:rsidRPr="00566759">
        <w:rPr>
          <w:rFonts w:ascii="Calibri" w:hAnsi="Calibri" w:cs="Calibri"/>
          <w:i/>
          <w:sz w:val="22"/>
          <w:szCs w:val="22"/>
        </w:rPr>
        <w:t>GZO Peace Institute</w:t>
      </w:r>
    </w:p>
    <w:p w14:paraId="693857B4" w14:textId="77777777" w:rsidR="007F615A" w:rsidRPr="00566759" w:rsidRDefault="007F615A" w:rsidP="00D266F7">
      <w:pPr>
        <w:rPr>
          <w:rFonts w:ascii="Calibri" w:hAnsi="Calibri" w:cs="Calibri"/>
          <w:sz w:val="22"/>
          <w:szCs w:val="22"/>
        </w:rPr>
      </w:pPr>
      <w:r w:rsidRPr="00566759">
        <w:rPr>
          <w:rFonts w:ascii="Calibri" w:hAnsi="Calibri" w:cs="Calibri"/>
          <w:sz w:val="22"/>
          <w:szCs w:val="22"/>
        </w:rPr>
        <w:t>Karen N. Tanada</w:t>
      </w:r>
    </w:p>
    <w:p w14:paraId="31898E26" w14:textId="77777777" w:rsidR="007F615A" w:rsidRPr="00566759" w:rsidRDefault="007F615A" w:rsidP="00D266F7">
      <w:pPr>
        <w:rPr>
          <w:rFonts w:ascii="Calibri" w:hAnsi="Calibri" w:cs="Calibri"/>
          <w:sz w:val="22"/>
          <w:szCs w:val="22"/>
        </w:rPr>
      </w:pPr>
    </w:p>
    <w:p w14:paraId="051F2804" w14:textId="77777777" w:rsidR="007F615A" w:rsidRPr="00566759" w:rsidRDefault="007F615A" w:rsidP="00D266F7">
      <w:pPr>
        <w:rPr>
          <w:rFonts w:ascii="Calibri" w:hAnsi="Calibri" w:cs="Calibri"/>
          <w:i/>
          <w:sz w:val="22"/>
          <w:szCs w:val="22"/>
        </w:rPr>
      </w:pPr>
      <w:r w:rsidRPr="00566759">
        <w:rPr>
          <w:rFonts w:ascii="Calibri" w:hAnsi="Calibri" w:cs="Calibri"/>
          <w:i/>
          <w:sz w:val="22"/>
          <w:szCs w:val="22"/>
        </w:rPr>
        <w:t>Centre for Peace Education</w:t>
      </w:r>
    </w:p>
    <w:p w14:paraId="174EDDA0" w14:textId="77777777" w:rsidR="007F615A" w:rsidRPr="00566759" w:rsidRDefault="007F615A" w:rsidP="00D266F7">
      <w:pPr>
        <w:rPr>
          <w:rFonts w:ascii="Calibri" w:hAnsi="Calibri" w:cs="Calibri"/>
          <w:sz w:val="22"/>
          <w:szCs w:val="22"/>
        </w:rPr>
      </w:pPr>
      <w:r w:rsidRPr="00566759">
        <w:rPr>
          <w:rFonts w:ascii="Calibri" w:hAnsi="Calibri" w:cs="Calibri"/>
          <w:sz w:val="22"/>
          <w:szCs w:val="22"/>
        </w:rPr>
        <w:t>Jasmin Nario-Galace, Executive Director</w:t>
      </w:r>
    </w:p>
    <w:p w14:paraId="4798F121" w14:textId="77777777" w:rsidR="007F615A" w:rsidRPr="00566759" w:rsidRDefault="007F615A" w:rsidP="00D266F7">
      <w:pPr>
        <w:rPr>
          <w:rFonts w:ascii="Calibri" w:hAnsi="Calibri" w:cs="Calibri"/>
          <w:sz w:val="22"/>
          <w:szCs w:val="22"/>
        </w:rPr>
      </w:pPr>
    </w:p>
    <w:p w14:paraId="51676D0F" w14:textId="77777777" w:rsidR="007F615A" w:rsidRPr="00566759" w:rsidRDefault="007F615A" w:rsidP="00D266F7">
      <w:pPr>
        <w:rPr>
          <w:rFonts w:ascii="Calibri" w:hAnsi="Calibri" w:cs="Calibri"/>
          <w:i/>
          <w:sz w:val="22"/>
          <w:szCs w:val="22"/>
        </w:rPr>
      </w:pPr>
      <w:r w:rsidRPr="00566759">
        <w:rPr>
          <w:rFonts w:ascii="Calibri" w:hAnsi="Calibri" w:cs="Calibri"/>
          <w:i/>
          <w:sz w:val="22"/>
          <w:szCs w:val="22"/>
        </w:rPr>
        <w:t>Oxfam</w:t>
      </w:r>
    </w:p>
    <w:p w14:paraId="07CFABC6" w14:textId="77777777" w:rsidR="007F615A" w:rsidRPr="00566759" w:rsidRDefault="007F615A" w:rsidP="00D266F7">
      <w:pPr>
        <w:rPr>
          <w:rFonts w:ascii="Calibri" w:hAnsi="Calibri" w:cs="Calibri"/>
          <w:sz w:val="22"/>
          <w:szCs w:val="22"/>
        </w:rPr>
      </w:pPr>
      <w:r w:rsidRPr="00566759">
        <w:rPr>
          <w:rFonts w:ascii="Calibri" w:hAnsi="Calibri" w:cs="Calibri"/>
          <w:sz w:val="22"/>
          <w:szCs w:val="22"/>
        </w:rPr>
        <w:t>Justin Morgan, Country Director</w:t>
      </w:r>
    </w:p>
    <w:p w14:paraId="44FD7DCE" w14:textId="77777777" w:rsidR="007F615A" w:rsidRPr="00566759" w:rsidRDefault="007F615A" w:rsidP="00D266F7">
      <w:pPr>
        <w:rPr>
          <w:rFonts w:ascii="Calibri" w:hAnsi="Calibri" w:cs="Calibri"/>
          <w:sz w:val="22"/>
          <w:szCs w:val="22"/>
        </w:rPr>
      </w:pPr>
    </w:p>
    <w:p w14:paraId="4BD02E7D" w14:textId="77777777" w:rsidR="007F615A" w:rsidRPr="00566759" w:rsidRDefault="007F615A" w:rsidP="00D266F7">
      <w:pPr>
        <w:rPr>
          <w:rFonts w:ascii="Calibri" w:hAnsi="Calibri" w:cs="Calibri"/>
          <w:i/>
          <w:sz w:val="22"/>
          <w:szCs w:val="22"/>
        </w:rPr>
      </w:pPr>
      <w:r w:rsidRPr="00566759">
        <w:rPr>
          <w:rFonts w:ascii="Calibri" w:hAnsi="Calibri" w:cs="Calibri"/>
          <w:i/>
          <w:sz w:val="22"/>
          <w:szCs w:val="22"/>
        </w:rPr>
        <w:t>UNDP</w:t>
      </w:r>
    </w:p>
    <w:p w14:paraId="0C944569" w14:textId="77777777" w:rsidR="007F615A" w:rsidRPr="00566759" w:rsidRDefault="007F615A" w:rsidP="00D266F7">
      <w:pPr>
        <w:rPr>
          <w:rFonts w:ascii="Calibri" w:hAnsi="Calibri" w:cs="Calibri"/>
          <w:sz w:val="22"/>
          <w:szCs w:val="22"/>
        </w:rPr>
      </w:pPr>
      <w:r w:rsidRPr="00566759">
        <w:rPr>
          <w:rFonts w:ascii="Calibri" w:hAnsi="Calibri" w:cs="Calibri"/>
          <w:sz w:val="22"/>
          <w:szCs w:val="22"/>
        </w:rPr>
        <w:t>Titon Mitra, Country Director</w:t>
      </w:r>
    </w:p>
    <w:p w14:paraId="2F377203" w14:textId="77777777" w:rsidR="007F615A" w:rsidRPr="00566759" w:rsidRDefault="007F615A" w:rsidP="00D266F7">
      <w:pPr>
        <w:rPr>
          <w:rFonts w:ascii="Calibri" w:hAnsi="Calibri" w:cs="Calibri"/>
          <w:sz w:val="22"/>
          <w:szCs w:val="22"/>
        </w:rPr>
      </w:pPr>
      <w:r w:rsidRPr="00566759">
        <w:rPr>
          <w:rFonts w:ascii="Calibri" w:hAnsi="Calibri" w:cs="Calibri"/>
          <w:sz w:val="22"/>
          <w:szCs w:val="22"/>
        </w:rPr>
        <w:t>Alma Evangelista, Team Leader, Resiliance and Peacebuilding Unit</w:t>
      </w:r>
    </w:p>
    <w:p w14:paraId="7D1D9EA6" w14:textId="77777777" w:rsidR="007F615A" w:rsidRPr="00566759" w:rsidRDefault="007F615A" w:rsidP="00D266F7">
      <w:pPr>
        <w:rPr>
          <w:rFonts w:ascii="Calibri" w:hAnsi="Calibri" w:cs="Calibri"/>
          <w:sz w:val="22"/>
          <w:szCs w:val="22"/>
        </w:rPr>
      </w:pPr>
      <w:r w:rsidRPr="00566759">
        <w:rPr>
          <w:rFonts w:ascii="Calibri" w:hAnsi="Calibri" w:cs="Calibri"/>
          <w:sz w:val="22"/>
          <w:szCs w:val="22"/>
        </w:rPr>
        <w:t>Chetan Kumar, Senior Policy Advisor, Conflict Prevention</w:t>
      </w:r>
    </w:p>
    <w:p w14:paraId="745C4408" w14:textId="77777777" w:rsidR="007F615A" w:rsidRPr="00566759" w:rsidRDefault="007F615A" w:rsidP="00D266F7">
      <w:pPr>
        <w:rPr>
          <w:rFonts w:ascii="Calibri" w:hAnsi="Calibri" w:cs="Calibri"/>
          <w:sz w:val="22"/>
          <w:szCs w:val="22"/>
        </w:rPr>
      </w:pPr>
    </w:p>
    <w:p w14:paraId="12AADF2B" w14:textId="77777777" w:rsidR="007F615A" w:rsidRPr="00566759" w:rsidRDefault="007F615A" w:rsidP="00D266F7">
      <w:pPr>
        <w:rPr>
          <w:rFonts w:ascii="Calibri" w:hAnsi="Calibri" w:cs="Calibri"/>
          <w:i/>
          <w:sz w:val="22"/>
          <w:szCs w:val="22"/>
        </w:rPr>
      </w:pPr>
      <w:r w:rsidRPr="00566759">
        <w:rPr>
          <w:rFonts w:ascii="Calibri" w:hAnsi="Calibri" w:cs="Calibri"/>
          <w:i/>
          <w:sz w:val="22"/>
          <w:szCs w:val="22"/>
        </w:rPr>
        <w:t>Japan International Cooperation Agency</w:t>
      </w:r>
    </w:p>
    <w:p w14:paraId="40403CA1" w14:textId="77777777" w:rsidR="007F615A" w:rsidRPr="00566759" w:rsidRDefault="007F615A" w:rsidP="00D266F7">
      <w:pPr>
        <w:rPr>
          <w:rFonts w:ascii="Calibri" w:hAnsi="Calibri" w:cs="Calibri"/>
          <w:sz w:val="22"/>
          <w:szCs w:val="22"/>
        </w:rPr>
      </w:pPr>
      <w:r w:rsidRPr="00566759">
        <w:rPr>
          <w:rFonts w:ascii="Calibri" w:hAnsi="Calibri" w:cs="Calibri"/>
          <w:sz w:val="22"/>
          <w:szCs w:val="22"/>
        </w:rPr>
        <w:t>Yuko Tanaka, Senior Representative, Human Security Group</w:t>
      </w:r>
    </w:p>
    <w:p w14:paraId="7B62B551" w14:textId="77777777" w:rsidR="007F615A" w:rsidRPr="00566759" w:rsidRDefault="007F615A" w:rsidP="00D266F7">
      <w:pPr>
        <w:rPr>
          <w:rFonts w:ascii="Calibri" w:hAnsi="Calibri" w:cs="Calibri"/>
          <w:sz w:val="22"/>
          <w:szCs w:val="22"/>
        </w:rPr>
      </w:pPr>
      <w:r w:rsidRPr="00566759">
        <w:rPr>
          <w:rFonts w:ascii="Calibri" w:hAnsi="Calibri" w:cs="Calibri"/>
          <w:sz w:val="22"/>
          <w:szCs w:val="22"/>
        </w:rPr>
        <w:t>Maiko Morizane, Representative, Human Security Group</w:t>
      </w:r>
    </w:p>
    <w:p w14:paraId="770A63B8" w14:textId="77777777" w:rsidR="007F615A" w:rsidRPr="00566759" w:rsidRDefault="007F615A" w:rsidP="00D266F7">
      <w:pPr>
        <w:rPr>
          <w:rFonts w:ascii="Calibri" w:hAnsi="Calibri" w:cs="Calibri"/>
          <w:sz w:val="22"/>
          <w:szCs w:val="22"/>
        </w:rPr>
      </w:pPr>
    </w:p>
    <w:p w14:paraId="64A07D15" w14:textId="77777777" w:rsidR="007F615A" w:rsidRPr="00566759" w:rsidRDefault="007F615A" w:rsidP="00D266F7">
      <w:pPr>
        <w:rPr>
          <w:rFonts w:ascii="Calibri" w:hAnsi="Calibri" w:cs="Calibri"/>
          <w:i/>
          <w:sz w:val="22"/>
          <w:szCs w:val="22"/>
        </w:rPr>
      </w:pPr>
      <w:r w:rsidRPr="00566759">
        <w:rPr>
          <w:rFonts w:ascii="Calibri" w:hAnsi="Calibri" w:cs="Calibri"/>
          <w:i/>
          <w:sz w:val="22"/>
          <w:szCs w:val="22"/>
        </w:rPr>
        <w:t>Embassy of Canada</w:t>
      </w:r>
    </w:p>
    <w:p w14:paraId="7BEB7667" w14:textId="77777777" w:rsidR="007F615A" w:rsidRPr="00566759" w:rsidRDefault="007F615A" w:rsidP="00D266F7">
      <w:pPr>
        <w:rPr>
          <w:rFonts w:ascii="Calibri" w:hAnsi="Calibri" w:cs="Calibri"/>
          <w:sz w:val="22"/>
          <w:szCs w:val="22"/>
        </w:rPr>
      </w:pPr>
      <w:r w:rsidRPr="00566759">
        <w:rPr>
          <w:rFonts w:ascii="Calibri" w:hAnsi="Calibri" w:cs="Calibri"/>
          <w:sz w:val="22"/>
          <w:szCs w:val="22"/>
        </w:rPr>
        <w:t>Stephen Weaver, Counsellor (Development) and Head of Cooperation</w:t>
      </w:r>
    </w:p>
    <w:p w14:paraId="132A3D37" w14:textId="77777777" w:rsidR="007F615A" w:rsidRPr="00566759" w:rsidRDefault="007F615A" w:rsidP="00D266F7">
      <w:pPr>
        <w:rPr>
          <w:rFonts w:ascii="Calibri" w:hAnsi="Calibri" w:cs="Calibri"/>
          <w:sz w:val="22"/>
          <w:szCs w:val="22"/>
        </w:rPr>
      </w:pPr>
      <w:r w:rsidRPr="00566759">
        <w:rPr>
          <w:rFonts w:ascii="Calibri" w:hAnsi="Calibri" w:cs="Calibri"/>
          <w:sz w:val="22"/>
          <w:szCs w:val="22"/>
        </w:rPr>
        <w:t>Elizabeth Baldwin-Jones, Counsellor, Political and Public Affairs</w:t>
      </w:r>
    </w:p>
    <w:p w14:paraId="567B1AC1" w14:textId="77777777" w:rsidR="007F615A" w:rsidRPr="00566759" w:rsidRDefault="007F615A" w:rsidP="00D266F7">
      <w:pPr>
        <w:rPr>
          <w:rFonts w:ascii="Calibri" w:hAnsi="Calibri" w:cs="Calibri"/>
          <w:sz w:val="22"/>
          <w:szCs w:val="22"/>
        </w:rPr>
      </w:pPr>
      <w:r w:rsidRPr="00566759">
        <w:rPr>
          <w:rFonts w:ascii="Calibri" w:hAnsi="Calibri" w:cs="Calibri"/>
          <w:sz w:val="22"/>
          <w:szCs w:val="22"/>
        </w:rPr>
        <w:t>Brian Post, First Secretary (Development)</w:t>
      </w:r>
    </w:p>
    <w:p w14:paraId="4BBE4BA8" w14:textId="77777777" w:rsidR="007F615A" w:rsidRPr="00566759" w:rsidRDefault="007F615A" w:rsidP="00D266F7">
      <w:pPr>
        <w:rPr>
          <w:rFonts w:ascii="Calibri" w:hAnsi="Calibri" w:cs="Calibri"/>
          <w:i/>
          <w:sz w:val="22"/>
          <w:szCs w:val="22"/>
        </w:rPr>
      </w:pPr>
    </w:p>
    <w:p w14:paraId="5E695B4C" w14:textId="77777777" w:rsidR="007F615A" w:rsidRPr="00566759" w:rsidRDefault="007F615A" w:rsidP="00D266F7">
      <w:pPr>
        <w:rPr>
          <w:rFonts w:ascii="Calibri" w:hAnsi="Calibri" w:cs="Calibri"/>
          <w:i/>
          <w:sz w:val="22"/>
          <w:szCs w:val="22"/>
        </w:rPr>
      </w:pPr>
      <w:r w:rsidRPr="00566759">
        <w:rPr>
          <w:rFonts w:ascii="Calibri" w:hAnsi="Calibri" w:cs="Calibri"/>
          <w:i/>
          <w:sz w:val="22"/>
          <w:szCs w:val="22"/>
        </w:rPr>
        <w:t>Transitional Justice and Reconciliation Commission (TJRC)</w:t>
      </w:r>
    </w:p>
    <w:p w14:paraId="0AE068B3" w14:textId="4A3D3560" w:rsidR="007F615A" w:rsidRPr="00566759" w:rsidRDefault="007F615A" w:rsidP="00D266F7">
      <w:pPr>
        <w:rPr>
          <w:rFonts w:ascii="Calibri" w:hAnsi="Calibri" w:cs="Calibri"/>
          <w:sz w:val="22"/>
          <w:szCs w:val="22"/>
        </w:rPr>
      </w:pPr>
      <w:r w:rsidRPr="00566759">
        <w:rPr>
          <w:rFonts w:ascii="Calibri" w:hAnsi="Calibri" w:cs="Calibri"/>
          <w:sz w:val="22"/>
          <w:szCs w:val="22"/>
        </w:rPr>
        <w:t>Atty Ce</w:t>
      </w:r>
      <w:r w:rsidR="00CB2B9F" w:rsidRPr="00566759">
        <w:rPr>
          <w:rFonts w:ascii="Calibri" w:hAnsi="Calibri" w:cs="Calibri"/>
          <w:sz w:val="22"/>
          <w:szCs w:val="22"/>
        </w:rPr>
        <w:t>cil</w:t>
      </w:r>
      <w:r w:rsidRPr="00566759">
        <w:rPr>
          <w:rFonts w:ascii="Calibri" w:hAnsi="Calibri" w:cs="Calibri"/>
          <w:sz w:val="22"/>
          <w:szCs w:val="22"/>
        </w:rPr>
        <w:t xml:space="preserve"> Jimenez</w:t>
      </w:r>
    </w:p>
    <w:p w14:paraId="5E1D58B1" w14:textId="77777777" w:rsidR="007F615A" w:rsidRPr="00566759" w:rsidRDefault="007F615A" w:rsidP="00D266F7">
      <w:pPr>
        <w:rPr>
          <w:rFonts w:ascii="Calibri" w:hAnsi="Calibri" w:cs="Calibri"/>
          <w:sz w:val="22"/>
          <w:szCs w:val="22"/>
        </w:rPr>
      </w:pPr>
    </w:p>
    <w:p w14:paraId="26E06AF3" w14:textId="77777777" w:rsidR="007F615A" w:rsidRPr="00566759" w:rsidRDefault="007F615A" w:rsidP="00D266F7">
      <w:pPr>
        <w:rPr>
          <w:rFonts w:ascii="Calibri" w:hAnsi="Calibri" w:cs="Calibri"/>
          <w:i/>
          <w:sz w:val="22"/>
          <w:szCs w:val="22"/>
        </w:rPr>
      </w:pPr>
      <w:r w:rsidRPr="00566759">
        <w:rPr>
          <w:rFonts w:ascii="Calibri" w:hAnsi="Calibri" w:cs="Calibri"/>
          <w:i/>
          <w:sz w:val="22"/>
          <w:szCs w:val="22"/>
        </w:rPr>
        <w:t>International Alert</w:t>
      </w:r>
    </w:p>
    <w:p w14:paraId="0A73AE4B" w14:textId="77777777" w:rsidR="007F615A" w:rsidRPr="00566759" w:rsidRDefault="007F615A" w:rsidP="00D266F7">
      <w:pPr>
        <w:rPr>
          <w:rFonts w:ascii="Calibri" w:hAnsi="Calibri" w:cs="Calibri"/>
          <w:sz w:val="22"/>
          <w:szCs w:val="22"/>
        </w:rPr>
      </w:pPr>
      <w:r w:rsidRPr="00566759">
        <w:rPr>
          <w:rFonts w:ascii="Calibri" w:hAnsi="Calibri" w:cs="Calibri"/>
          <w:sz w:val="22"/>
          <w:szCs w:val="22"/>
        </w:rPr>
        <w:t>Francesco ‘Pancho’ Lara, Country Director</w:t>
      </w:r>
    </w:p>
    <w:p w14:paraId="12F227B3" w14:textId="77777777" w:rsidR="007F615A" w:rsidRPr="00566759" w:rsidRDefault="007F615A" w:rsidP="00D266F7">
      <w:pPr>
        <w:rPr>
          <w:rFonts w:ascii="Calibri" w:hAnsi="Calibri" w:cs="Calibri"/>
          <w:sz w:val="22"/>
          <w:szCs w:val="22"/>
        </w:rPr>
      </w:pPr>
      <w:r w:rsidRPr="00566759">
        <w:rPr>
          <w:rFonts w:ascii="Calibri" w:hAnsi="Calibri" w:cs="Calibri"/>
          <w:sz w:val="22"/>
          <w:szCs w:val="22"/>
        </w:rPr>
        <w:t>Nikki de la Rosa, Deputy Country Director</w:t>
      </w:r>
    </w:p>
    <w:p w14:paraId="6EE9B732" w14:textId="77777777" w:rsidR="007F615A" w:rsidRPr="00566759" w:rsidRDefault="007F615A" w:rsidP="00D266F7">
      <w:pPr>
        <w:rPr>
          <w:rFonts w:ascii="Calibri" w:hAnsi="Calibri" w:cs="Calibri"/>
          <w:sz w:val="22"/>
          <w:szCs w:val="22"/>
        </w:rPr>
      </w:pPr>
      <w:r w:rsidRPr="00566759">
        <w:rPr>
          <w:rFonts w:ascii="Calibri" w:hAnsi="Calibri" w:cs="Calibri"/>
          <w:sz w:val="22"/>
          <w:szCs w:val="22"/>
        </w:rPr>
        <w:t>Ruel Punongbayan, Program Manager,</w:t>
      </w:r>
    </w:p>
    <w:p w14:paraId="1725E9B6" w14:textId="77777777" w:rsidR="007F615A" w:rsidRPr="00566759" w:rsidRDefault="007F615A" w:rsidP="00D266F7">
      <w:pPr>
        <w:rPr>
          <w:rFonts w:ascii="Calibri" w:hAnsi="Calibri" w:cs="Calibri"/>
          <w:sz w:val="22"/>
          <w:szCs w:val="22"/>
        </w:rPr>
      </w:pPr>
      <w:r w:rsidRPr="00566759">
        <w:rPr>
          <w:rFonts w:ascii="Calibri" w:hAnsi="Calibri" w:cs="Calibri"/>
          <w:sz w:val="22"/>
          <w:szCs w:val="22"/>
        </w:rPr>
        <w:t>Kloe Carvajal, Program Manager</w:t>
      </w:r>
    </w:p>
    <w:p w14:paraId="67654A87" w14:textId="77777777" w:rsidR="007F615A" w:rsidRPr="00566759" w:rsidRDefault="007F615A" w:rsidP="00D266F7">
      <w:pPr>
        <w:rPr>
          <w:rFonts w:ascii="Calibri" w:hAnsi="Calibri" w:cs="Calibri"/>
          <w:sz w:val="22"/>
          <w:szCs w:val="22"/>
        </w:rPr>
      </w:pPr>
      <w:r w:rsidRPr="00566759">
        <w:rPr>
          <w:rFonts w:ascii="Calibri" w:hAnsi="Calibri" w:cs="Calibri"/>
          <w:sz w:val="22"/>
          <w:szCs w:val="22"/>
        </w:rPr>
        <w:t>Markus Meyer, Programme Manager South- &amp; Southeast Asia</w:t>
      </w:r>
    </w:p>
    <w:p w14:paraId="33E9100F" w14:textId="77777777" w:rsidR="007F615A" w:rsidRPr="00566759" w:rsidRDefault="007F615A" w:rsidP="00D266F7">
      <w:pPr>
        <w:rPr>
          <w:rFonts w:ascii="Calibri" w:hAnsi="Calibri" w:cs="Calibri"/>
          <w:sz w:val="22"/>
          <w:szCs w:val="22"/>
        </w:rPr>
      </w:pPr>
    </w:p>
    <w:p w14:paraId="0F19E253" w14:textId="77777777" w:rsidR="007F615A" w:rsidRPr="00566759" w:rsidRDefault="007F615A" w:rsidP="00D266F7">
      <w:pPr>
        <w:rPr>
          <w:rFonts w:ascii="Calibri" w:hAnsi="Calibri" w:cs="Calibri"/>
          <w:i/>
          <w:sz w:val="22"/>
          <w:szCs w:val="22"/>
        </w:rPr>
      </w:pPr>
      <w:r w:rsidRPr="00566759">
        <w:rPr>
          <w:rFonts w:ascii="Calibri" w:hAnsi="Calibri" w:cs="Calibri"/>
          <w:i/>
          <w:sz w:val="22"/>
          <w:szCs w:val="22"/>
        </w:rPr>
        <w:t>Government of the Philippines</w:t>
      </w:r>
    </w:p>
    <w:p w14:paraId="6F0C3994" w14:textId="77777777" w:rsidR="007F615A" w:rsidRPr="00566759" w:rsidRDefault="007F615A" w:rsidP="00D266F7">
      <w:pPr>
        <w:rPr>
          <w:rFonts w:ascii="Calibri" w:hAnsi="Calibri" w:cs="Calibri"/>
          <w:sz w:val="22"/>
          <w:szCs w:val="22"/>
        </w:rPr>
      </w:pPr>
      <w:r w:rsidRPr="00566759">
        <w:rPr>
          <w:rFonts w:ascii="Calibri" w:hAnsi="Calibri" w:cs="Calibri"/>
          <w:sz w:val="22"/>
          <w:szCs w:val="22"/>
        </w:rPr>
        <w:t>Bai Sandra Sema, Deputy Speaker for Mindanao</w:t>
      </w:r>
    </w:p>
    <w:p w14:paraId="4309E225" w14:textId="77777777" w:rsidR="007F615A" w:rsidRPr="00566759" w:rsidRDefault="007F615A" w:rsidP="00D266F7">
      <w:pPr>
        <w:rPr>
          <w:rFonts w:ascii="Calibri" w:hAnsi="Calibri" w:cs="Calibri"/>
          <w:sz w:val="22"/>
          <w:szCs w:val="22"/>
        </w:rPr>
      </w:pPr>
    </w:p>
    <w:p w14:paraId="6D357730" w14:textId="77777777" w:rsidR="007F615A" w:rsidRPr="00566759" w:rsidRDefault="007F615A" w:rsidP="00D266F7">
      <w:pPr>
        <w:rPr>
          <w:rFonts w:ascii="Calibri" w:hAnsi="Calibri" w:cs="Calibri"/>
          <w:i/>
          <w:sz w:val="22"/>
          <w:szCs w:val="22"/>
        </w:rPr>
      </w:pPr>
      <w:r w:rsidRPr="00566759">
        <w:rPr>
          <w:rFonts w:ascii="Calibri" w:hAnsi="Calibri" w:cs="Calibri"/>
          <w:i/>
          <w:sz w:val="22"/>
          <w:szCs w:val="22"/>
        </w:rPr>
        <w:t>Institute for Autonomy and Governance</w:t>
      </w:r>
    </w:p>
    <w:p w14:paraId="372A4CCC" w14:textId="77777777" w:rsidR="007F615A" w:rsidRPr="00566759" w:rsidRDefault="007F615A" w:rsidP="00D266F7">
      <w:pPr>
        <w:rPr>
          <w:rFonts w:ascii="Calibri" w:hAnsi="Calibri" w:cs="Calibri"/>
          <w:sz w:val="22"/>
          <w:szCs w:val="22"/>
        </w:rPr>
      </w:pPr>
      <w:r w:rsidRPr="00566759">
        <w:rPr>
          <w:rFonts w:ascii="Calibri" w:hAnsi="Calibri" w:cs="Calibri"/>
          <w:sz w:val="22"/>
          <w:szCs w:val="22"/>
        </w:rPr>
        <w:t>Atty Benny Bacani, Executive Director</w:t>
      </w:r>
    </w:p>
    <w:p w14:paraId="6CD0F836" w14:textId="77777777" w:rsidR="007F615A" w:rsidRPr="00566759" w:rsidRDefault="007F615A" w:rsidP="00D266F7">
      <w:pPr>
        <w:rPr>
          <w:rFonts w:ascii="Calibri" w:hAnsi="Calibri" w:cs="Calibri"/>
          <w:sz w:val="22"/>
          <w:szCs w:val="22"/>
        </w:rPr>
      </w:pPr>
      <w:r w:rsidRPr="00566759">
        <w:rPr>
          <w:rFonts w:ascii="Calibri" w:hAnsi="Calibri" w:cs="Calibri"/>
          <w:sz w:val="22"/>
          <w:szCs w:val="22"/>
        </w:rPr>
        <w:t>Jacque Fernandez, Deputy Executive Director</w:t>
      </w:r>
    </w:p>
    <w:p w14:paraId="4C667DE9" w14:textId="77777777" w:rsidR="00283B40" w:rsidRPr="00566759" w:rsidRDefault="00283B40" w:rsidP="00283B40">
      <w:pPr>
        <w:rPr>
          <w:rFonts w:ascii="Calibri" w:hAnsi="Calibri" w:cs="Calibri"/>
          <w:sz w:val="22"/>
          <w:szCs w:val="22"/>
        </w:rPr>
      </w:pPr>
      <w:r w:rsidRPr="00566759">
        <w:rPr>
          <w:rFonts w:ascii="Calibri" w:hAnsi="Calibri" w:cs="Calibri"/>
          <w:sz w:val="22"/>
          <w:szCs w:val="22"/>
        </w:rPr>
        <w:t>ReyDan Lacson, PRO Politics Project Manager</w:t>
      </w:r>
    </w:p>
    <w:p w14:paraId="505C54A0" w14:textId="77777777" w:rsidR="007F615A" w:rsidRPr="00566759" w:rsidRDefault="007F615A" w:rsidP="00D266F7">
      <w:pPr>
        <w:rPr>
          <w:rFonts w:ascii="Calibri" w:hAnsi="Calibri" w:cs="Calibri"/>
          <w:sz w:val="22"/>
          <w:szCs w:val="22"/>
        </w:rPr>
      </w:pPr>
    </w:p>
    <w:p w14:paraId="012770C5" w14:textId="77777777" w:rsidR="007F615A" w:rsidRPr="00566759" w:rsidRDefault="007F615A" w:rsidP="00D266F7">
      <w:pPr>
        <w:rPr>
          <w:rFonts w:ascii="Calibri" w:hAnsi="Calibri" w:cs="Calibri"/>
          <w:i/>
          <w:sz w:val="22"/>
          <w:szCs w:val="22"/>
        </w:rPr>
      </w:pPr>
      <w:r w:rsidRPr="00566759">
        <w:rPr>
          <w:rFonts w:ascii="Calibri" w:hAnsi="Calibri" w:cs="Calibri"/>
          <w:i/>
          <w:sz w:val="22"/>
          <w:szCs w:val="22"/>
        </w:rPr>
        <w:t>The Asia Foundation</w:t>
      </w:r>
    </w:p>
    <w:p w14:paraId="611DE598" w14:textId="77777777" w:rsidR="007F615A" w:rsidRPr="00566759" w:rsidRDefault="007F615A" w:rsidP="00D266F7">
      <w:pPr>
        <w:rPr>
          <w:rFonts w:ascii="Calibri" w:hAnsi="Calibri" w:cs="Calibri"/>
          <w:sz w:val="22"/>
          <w:szCs w:val="22"/>
        </w:rPr>
      </w:pPr>
      <w:r w:rsidRPr="00566759">
        <w:rPr>
          <w:rFonts w:ascii="Calibri" w:hAnsi="Calibri" w:cs="Calibri"/>
          <w:sz w:val="22"/>
          <w:szCs w:val="22"/>
        </w:rPr>
        <w:t>Steven Rood, Country Director</w:t>
      </w:r>
    </w:p>
    <w:p w14:paraId="63E99162" w14:textId="77777777" w:rsidR="007F615A" w:rsidRPr="00566759" w:rsidRDefault="007F615A" w:rsidP="00D266F7">
      <w:pPr>
        <w:rPr>
          <w:rFonts w:ascii="Calibri" w:hAnsi="Calibri" w:cs="Calibri"/>
          <w:sz w:val="22"/>
          <w:szCs w:val="22"/>
        </w:rPr>
      </w:pPr>
    </w:p>
    <w:p w14:paraId="127B5491" w14:textId="77777777" w:rsidR="007F615A" w:rsidRPr="00566759" w:rsidRDefault="007F615A" w:rsidP="00D266F7">
      <w:pPr>
        <w:rPr>
          <w:rFonts w:ascii="Calibri" w:hAnsi="Calibri" w:cs="Calibri"/>
          <w:i/>
          <w:sz w:val="22"/>
          <w:szCs w:val="22"/>
        </w:rPr>
      </w:pPr>
      <w:r w:rsidRPr="00566759">
        <w:rPr>
          <w:rFonts w:ascii="Calibri" w:hAnsi="Calibri" w:cs="Calibri"/>
          <w:i/>
          <w:sz w:val="22"/>
          <w:szCs w:val="22"/>
        </w:rPr>
        <w:t>Centre for Humanitarian Dialogue</w:t>
      </w:r>
    </w:p>
    <w:p w14:paraId="2067EABC" w14:textId="77777777" w:rsidR="007F615A" w:rsidRPr="00566759" w:rsidRDefault="007F615A" w:rsidP="00D266F7">
      <w:pPr>
        <w:rPr>
          <w:rFonts w:ascii="Calibri" w:hAnsi="Calibri" w:cs="Calibri"/>
          <w:sz w:val="22"/>
          <w:szCs w:val="22"/>
        </w:rPr>
      </w:pPr>
      <w:r w:rsidRPr="00566759">
        <w:rPr>
          <w:rFonts w:ascii="Calibri" w:hAnsi="Calibri" w:cs="Calibri"/>
          <w:sz w:val="22"/>
          <w:szCs w:val="22"/>
        </w:rPr>
        <w:t>Bong Montessa, Country Director</w:t>
      </w:r>
    </w:p>
    <w:p w14:paraId="4DA500A4" w14:textId="77777777" w:rsidR="007F615A" w:rsidRPr="00566759" w:rsidRDefault="007F615A" w:rsidP="00D266F7">
      <w:pPr>
        <w:rPr>
          <w:rFonts w:ascii="Calibri" w:hAnsi="Calibri" w:cs="Calibri"/>
          <w:sz w:val="22"/>
          <w:szCs w:val="22"/>
        </w:rPr>
      </w:pPr>
      <w:r w:rsidRPr="00566759">
        <w:rPr>
          <w:rFonts w:ascii="Calibri" w:hAnsi="Calibri" w:cs="Calibri"/>
          <w:sz w:val="22"/>
          <w:szCs w:val="22"/>
        </w:rPr>
        <w:t>Suzanne Damman, Project Manager</w:t>
      </w:r>
    </w:p>
    <w:p w14:paraId="4E168552" w14:textId="77777777" w:rsidR="007F615A" w:rsidRPr="00566759" w:rsidRDefault="007F615A" w:rsidP="00D266F7">
      <w:pPr>
        <w:rPr>
          <w:rFonts w:ascii="Calibri" w:hAnsi="Calibri" w:cs="Calibri"/>
          <w:sz w:val="22"/>
          <w:szCs w:val="22"/>
        </w:rPr>
      </w:pPr>
      <w:r w:rsidRPr="00566759">
        <w:rPr>
          <w:rFonts w:ascii="Calibri" w:hAnsi="Calibri" w:cs="Calibri"/>
          <w:sz w:val="22"/>
          <w:szCs w:val="22"/>
        </w:rPr>
        <w:t>Ibrahim Badiee, Project Officer</w:t>
      </w:r>
    </w:p>
    <w:p w14:paraId="51056A4A" w14:textId="77777777" w:rsidR="007F615A" w:rsidRPr="00566759" w:rsidRDefault="007F615A" w:rsidP="00D266F7">
      <w:pPr>
        <w:rPr>
          <w:rFonts w:ascii="Calibri" w:hAnsi="Calibri" w:cs="Calibri"/>
          <w:sz w:val="22"/>
          <w:szCs w:val="22"/>
        </w:rPr>
      </w:pPr>
      <w:r w:rsidRPr="00566759">
        <w:rPr>
          <w:rFonts w:ascii="Calibri" w:hAnsi="Calibri" w:cs="Calibri"/>
          <w:sz w:val="22"/>
          <w:szCs w:val="22"/>
        </w:rPr>
        <w:t>Michael Vatikiotis, Regional Director, Asia</w:t>
      </w:r>
    </w:p>
    <w:p w14:paraId="57CB6802" w14:textId="77777777" w:rsidR="007F615A" w:rsidRPr="00566759" w:rsidRDefault="007F615A" w:rsidP="00D266F7">
      <w:pPr>
        <w:rPr>
          <w:rFonts w:ascii="Calibri" w:hAnsi="Calibri" w:cs="Calibri"/>
          <w:sz w:val="22"/>
          <w:szCs w:val="22"/>
        </w:rPr>
      </w:pPr>
    </w:p>
    <w:p w14:paraId="3161E760" w14:textId="77777777" w:rsidR="007F615A" w:rsidRPr="00566759" w:rsidRDefault="007F615A" w:rsidP="00D266F7">
      <w:pPr>
        <w:rPr>
          <w:rFonts w:ascii="Calibri" w:hAnsi="Calibri" w:cs="Calibri"/>
          <w:i/>
          <w:sz w:val="22"/>
          <w:szCs w:val="22"/>
        </w:rPr>
      </w:pPr>
      <w:r w:rsidRPr="00566759">
        <w:rPr>
          <w:rFonts w:ascii="Calibri" w:hAnsi="Calibri" w:cs="Calibri"/>
          <w:i/>
          <w:sz w:val="22"/>
          <w:szCs w:val="22"/>
        </w:rPr>
        <w:t>Embassy of Japan</w:t>
      </w:r>
    </w:p>
    <w:p w14:paraId="13F60EC4" w14:textId="77777777" w:rsidR="007F615A" w:rsidRPr="00566759" w:rsidRDefault="007F615A" w:rsidP="00D266F7">
      <w:pPr>
        <w:rPr>
          <w:rFonts w:ascii="Calibri" w:hAnsi="Calibri" w:cs="Calibri"/>
          <w:sz w:val="22"/>
          <w:szCs w:val="22"/>
        </w:rPr>
      </w:pPr>
      <w:r w:rsidRPr="00566759">
        <w:rPr>
          <w:rFonts w:ascii="Calibri" w:hAnsi="Calibri" w:cs="Calibri"/>
          <w:sz w:val="22"/>
          <w:szCs w:val="22"/>
        </w:rPr>
        <w:t>Yudai Ueno, First Secretary; Member of the International Contract Group</w:t>
      </w:r>
    </w:p>
    <w:p w14:paraId="61A13437" w14:textId="77777777" w:rsidR="007F615A" w:rsidRPr="00566759" w:rsidRDefault="007F615A" w:rsidP="00D266F7">
      <w:pPr>
        <w:rPr>
          <w:rFonts w:ascii="Calibri" w:hAnsi="Calibri" w:cs="Calibri"/>
          <w:sz w:val="22"/>
          <w:szCs w:val="22"/>
        </w:rPr>
      </w:pPr>
      <w:r w:rsidRPr="00566759">
        <w:rPr>
          <w:rFonts w:ascii="Calibri" w:hAnsi="Calibri" w:cs="Calibri"/>
          <w:sz w:val="22"/>
          <w:szCs w:val="22"/>
        </w:rPr>
        <w:t>Bumpei Sugano, Second Secretary, Economics Section</w:t>
      </w:r>
    </w:p>
    <w:p w14:paraId="005D18F9" w14:textId="77777777" w:rsidR="007F615A" w:rsidRPr="00566759" w:rsidRDefault="007F615A" w:rsidP="00D266F7">
      <w:pPr>
        <w:rPr>
          <w:rFonts w:ascii="Calibri" w:hAnsi="Calibri" w:cs="Calibri"/>
          <w:sz w:val="22"/>
          <w:szCs w:val="22"/>
        </w:rPr>
      </w:pPr>
    </w:p>
    <w:p w14:paraId="0E93A6A8" w14:textId="77777777" w:rsidR="007F615A" w:rsidRPr="00566759" w:rsidRDefault="007F615A" w:rsidP="00D266F7">
      <w:pPr>
        <w:rPr>
          <w:rFonts w:ascii="Calibri" w:hAnsi="Calibri" w:cs="Calibri"/>
          <w:i/>
          <w:sz w:val="22"/>
          <w:szCs w:val="22"/>
        </w:rPr>
      </w:pPr>
      <w:r w:rsidRPr="00566759">
        <w:rPr>
          <w:rFonts w:ascii="Calibri" w:hAnsi="Calibri" w:cs="Calibri"/>
          <w:i/>
          <w:sz w:val="22"/>
          <w:szCs w:val="22"/>
        </w:rPr>
        <w:t>Office of the Presidential Advisor on the Peace Process (OPAPP)</w:t>
      </w:r>
    </w:p>
    <w:p w14:paraId="516D363A" w14:textId="77777777" w:rsidR="007F615A" w:rsidRPr="00566759" w:rsidRDefault="007F615A" w:rsidP="00D266F7">
      <w:pPr>
        <w:rPr>
          <w:rFonts w:ascii="Calibri" w:hAnsi="Calibri" w:cs="Calibri"/>
          <w:sz w:val="22"/>
          <w:szCs w:val="22"/>
        </w:rPr>
      </w:pPr>
      <w:r w:rsidRPr="00566759">
        <w:rPr>
          <w:rFonts w:ascii="Calibri" w:hAnsi="Calibri" w:cs="Calibri"/>
          <w:sz w:val="22"/>
          <w:szCs w:val="22"/>
        </w:rPr>
        <w:t>Atty. Nabil A. Tan, Undersecretary</w:t>
      </w:r>
    </w:p>
    <w:p w14:paraId="65C623F1" w14:textId="77777777" w:rsidR="007F615A" w:rsidRPr="00566759" w:rsidRDefault="007F615A" w:rsidP="00D266F7">
      <w:pPr>
        <w:rPr>
          <w:rFonts w:ascii="Calibri" w:hAnsi="Calibri" w:cs="Calibri"/>
          <w:sz w:val="22"/>
          <w:szCs w:val="22"/>
        </w:rPr>
      </w:pPr>
      <w:r w:rsidRPr="00566759">
        <w:rPr>
          <w:rFonts w:ascii="Calibri" w:hAnsi="Calibri" w:cs="Calibri"/>
          <w:sz w:val="22"/>
          <w:szCs w:val="22"/>
        </w:rPr>
        <w:t>Rolly B. Asuncion, Assistant Secretary for Policy and Programs</w:t>
      </w:r>
    </w:p>
    <w:p w14:paraId="7D5DD4E6" w14:textId="77777777" w:rsidR="007F615A" w:rsidRPr="00566759" w:rsidRDefault="007F615A" w:rsidP="00D266F7">
      <w:pPr>
        <w:rPr>
          <w:rFonts w:ascii="Calibri" w:hAnsi="Calibri" w:cs="Calibri"/>
          <w:sz w:val="22"/>
          <w:szCs w:val="22"/>
        </w:rPr>
      </w:pPr>
      <w:r w:rsidRPr="00566759">
        <w:rPr>
          <w:rFonts w:ascii="Calibri" w:hAnsi="Calibri" w:cs="Calibri"/>
          <w:sz w:val="22"/>
          <w:szCs w:val="22"/>
        </w:rPr>
        <w:t>Arvin Chua, Director</w:t>
      </w:r>
    </w:p>
    <w:p w14:paraId="7B41DDA2" w14:textId="77777777" w:rsidR="00D266F7" w:rsidRPr="00566759" w:rsidRDefault="00D266F7" w:rsidP="00D266F7">
      <w:pPr>
        <w:rPr>
          <w:rFonts w:ascii="Calibri" w:hAnsi="Calibri" w:cs="Calibri"/>
          <w:sz w:val="22"/>
          <w:szCs w:val="22"/>
        </w:rPr>
      </w:pPr>
    </w:p>
    <w:p w14:paraId="18B87E02" w14:textId="78C6D33D" w:rsidR="00D266F7" w:rsidRPr="00566759" w:rsidRDefault="00D266F7" w:rsidP="00D266F7">
      <w:pPr>
        <w:rPr>
          <w:rFonts w:ascii="Calibri" w:hAnsi="Calibri" w:cs="Calibri"/>
          <w:i/>
          <w:sz w:val="22"/>
          <w:szCs w:val="22"/>
        </w:rPr>
      </w:pPr>
      <w:r w:rsidRPr="00566759">
        <w:rPr>
          <w:rFonts w:ascii="Calibri" w:hAnsi="Calibri" w:cs="Calibri"/>
          <w:i/>
          <w:sz w:val="22"/>
          <w:szCs w:val="22"/>
        </w:rPr>
        <w:t>IAG Beneficiaries</w:t>
      </w:r>
    </w:p>
    <w:p w14:paraId="5B3C889F" w14:textId="77777777" w:rsidR="00D266F7" w:rsidRPr="00566759" w:rsidRDefault="00D266F7" w:rsidP="00D266F7">
      <w:pPr>
        <w:rPr>
          <w:rFonts w:ascii="Calibri" w:hAnsi="Calibri" w:cs="Calibri"/>
          <w:sz w:val="22"/>
          <w:szCs w:val="22"/>
        </w:rPr>
      </w:pPr>
      <w:r w:rsidRPr="00566759">
        <w:rPr>
          <w:rFonts w:ascii="Calibri" w:hAnsi="Calibri" w:cs="Calibri"/>
          <w:sz w:val="22"/>
          <w:szCs w:val="22"/>
        </w:rPr>
        <w:t>Amina Dalandag, Maguindanao DILG Provincial Director</w:t>
      </w:r>
    </w:p>
    <w:p w14:paraId="41A79AAB" w14:textId="77777777" w:rsidR="00283B40" w:rsidRPr="00566759" w:rsidRDefault="00283B40" w:rsidP="00D266F7">
      <w:pPr>
        <w:rPr>
          <w:rFonts w:ascii="Calibri" w:hAnsi="Calibri" w:cs="Calibri"/>
          <w:sz w:val="22"/>
          <w:szCs w:val="22"/>
        </w:rPr>
      </w:pPr>
    </w:p>
    <w:p w14:paraId="724C3A78" w14:textId="77777777" w:rsidR="00D266F7" w:rsidRPr="00566759" w:rsidRDefault="00D266F7" w:rsidP="00D266F7">
      <w:pPr>
        <w:rPr>
          <w:rFonts w:ascii="Calibri" w:hAnsi="Calibri" w:cs="Calibri"/>
          <w:i/>
          <w:sz w:val="22"/>
          <w:szCs w:val="22"/>
        </w:rPr>
      </w:pPr>
      <w:r w:rsidRPr="00566759">
        <w:rPr>
          <w:rFonts w:ascii="Calibri" w:hAnsi="Calibri" w:cs="Calibri"/>
          <w:i/>
          <w:sz w:val="22"/>
          <w:szCs w:val="22"/>
        </w:rPr>
        <w:t xml:space="preserve">MILF Central Committee </w:t>
      </w:r>
    </w:p>
    <w:p w14:paraId="00F41B34" w14:textId="716C10F1" w:rsidR="00D266F7" w:rsidRPr="00566759" w:rsidRDefault="00D266F7" w:rsidP="00D266F7">
      <w:pPr>
        <w:rPr>
          <w:rFonts w:ascii="Calibri" w:hAnsi="Calibri" w:cs="Calibri"/>
          <w:sz w:val="22"/>
          <w:szCs w:val="22"/>
        </w:rPr>
      </w:pPr>
      <w:r w:rsidRPr="00566759">
        <w:rPr>
          <w:rFonts w:ascii="Calibri" w:hAnsi="Calibri" w:cs="Calibri"/>
          <w:sz w:val="22"/>
          <w:szCs w:val="22"/>
        </w:rPr>
        <w:t xml:space="preserve">Sammy Almansur, MILF Military Vice-Chairman and Head of the Bangsamoro Islamic Armed Forces </w:t>
      </w:r>
    </w:p>
    <w:p w14:paraId="600352DC" w14:textId="77777777" w:rsidR="00D266F7" w:rsidRPr="00566759" w:rsidRDefault="00D266F7" w:rsidP="00D266F7">
      <w:pPr>
        <w:rPr>
          <w:rFonts w:ascii="Calibri" w:hAnsi="Calibri" w:cs="Calibri"/>
          <w:sz w:val="22"/>
          <w:szCs w:val="22"/>
        </w:rPr>
      </w:pPr>
    </w:p>
    <w:p w14:paraId="6B9AF137" w14:textId="29357027" w:rsidR="00D266F7" w:rsidRPr="00566759" w:rsidRDefault="00D266F7" w:rsidP="00D266F7">
      <w:pPr>
        <w:rPr>
          <w:rFonts w:ascii="Calibri" w:hAnsi="Calibri" w:cs="Calibri"/>
          <w:i/>
          <w:sz w:val="22"/>
          <w:szCs w:val="22"/>
        </w:rPr>
      </w:pPr>
      <w:r w:rsidRPr="00566759">
        <w:rPr>
          <w:rFonts w:ascii="Calibri" w:hAnsi="Calibri" w:cs="Calibri"/>
          <w:i/>
          <w:sz w:val="22"/>
          <w:szCs w:val="22"/>
        </w:rPr>
        <w:t>MILF Implementation</w:t>
      </w:r>
      <w:r w:rsidR="00CB2B9F" w:rsidRPr="00566759">
        <w:rPr>
          <w:rFonts w:ascii="Calibri" w:hAnsi="Calibri" w:cs="Calibri"/>
          <w:i/>
          <w:sz w:val="22"/>
          <w:szCs w:val="22"/>
        </w:rPr>
        <w:t xml:space="preserve"> Peace Panel</w:t>
      </w:r>
      <w:r w:rsidRPr="00566759">
        <w:rPr>
          <w:rFonts w:ascii="Calibri" w:hAnsi="Calibri" w:cs="Calibri"/>
          <w:i/>
          <w:sz w:val="22"/>
          <w:szCs w:val="22"/>
        </w:rPr>
        <w:t xml:space="preserve"> </w:t>
      </w:r>
    </w:p>
    <w:p w14:paraId="656DCEB9" w14:textId="1B718DAA" w:rsidR="00D266F7" w:rsidRPr="00566759" w:rsidRDefault="00D266F7" w:rsidP="00D266F7">
      <w:pPr>
        <w:rPr>
          <w:rFonts w:ascii="Calibri" w:hAnsi="Calibri" w:cs="Calibri"/>
          <w:sz w:val="22"/>
          <w:szCs w:val="22"/>
        </w:rPr>
      </w:pPr>
      <w:r w:rsidRPr="00566759">
        <w:rPr>
          <w:rFonts w:ascii="Calibri" w:hAnsi="Calibri" w:cs="Calibri"/>
          <w:sz w:val="22"/>
          <w:szCs w:val="22"/>
        </w:rPr>
        <w:t>Mohagher Iqbal, MILF Implementation Team Head/former MILF Peace Panel Chair</w:t>
      </w:r>
    </w:p>
    <w:p w14:paraId="40A08811" w14:textId="7EEB142A" w:rsidR="00D266F7" w:rsidRPr="00566759" w:rsidRDefault="00D266F7" w:rsidP="00D266F7">
      <w:pPr>
        <w:rPr>
          <w:rFonts w:ascii="Calibri" w:hAnsi="Calibri" w:cs="Calibri"/>
          <w:sz w:val="22"/>
          <w:szCs w:val="22"/>
        </w:rPr>
      </w:pPr>
      <w:r w:rsidRPr="00566759">
        <w:rPr>
          <w:rFonts w:ascii="Calibri" w:hAnsi="Calibri" w:cs="Calibri"/>
          <w:sz w:val="22"/>
          <w:szCs w:val="22"/>
        </w:rPr>
        <w:t>Melanio Ulama, MILF Implementation Team representative of IPs</w:t>
      </w:r>
    </w:p>
    <w:p w14:paraId="6990CD7D" w14:textId="759F64CD" w:rsidR="00D266F7" w:rsidRPr="00566759" w:rsidRDefault="00D266F7" w:rsidP="00D266F7">
      <w:pPr>
        <w:rPr>
          <w:rFonts w:ascii="Calibri" w:hAnsi="Calibri" w:cs="Calibri"/>
          <w:sz w:val="22"/>
          <w:szCs w:val="22"/>
        </w:rPr>
      </w:pPr>
      <w:r w:rsidRPr="00566759">
        <w:rPr>
          <w:rFonts w:ascii="Calibri" w:hAnsi="Calibri" w:cs="Calibri"/>
          <w:sz w:val="22"/>
          <w:szCs w:val="22"/>
        </w:rPr>
        <w:t>Said Sheik, MILF Implementation Team Member</w:t>
      </w:r>
    </w:p>
    <w:p w14:paraId="73282207" w14:textId="1D8AEC7E" w:rsidR="00D266F7" w:rsidRPr="00566759" w:rsidRDefault="00D266F7" w:rsidP="00D266F7">
      <w:pPr>
        <w:rPr>
          <w:rFonts w:ascii="Calibri" w:hAnsi="Calibri" w:cs="Calibri"/>
          <w:sz w:val="22"/>
          <w:szCs w:val="22"/>
        </w:rPr>
      </w:pPr>
      <w:r w:rsidRPr="00566759">
        <w:rPr>
          <w:rFonts w:ascii="Calibri" w:hAnsi="Calibri" w:cs="Calibri"/>
          <w:sz w:val="22"/>
          <w:szCs w:val="22"/>
        </w:rPr>
        <w:t>Jun Mantawil, Panel Member</w:t>
      </w:r>
    </w:p>
    <w:p w14:paraId="65AE5CC7" w14:textId="52DA58BB" w:rsidR="00D266F7" w:rsidRPr="00566759" w:rsidRDefault="00D266F7" w:rsidP="00D266F7">
      <w:pPr>
        <w:rPr>
          <w:rFonts w:ascii="Calibri" w:hAnsi="Calibri" w:cs="Calibri"/>
          <w:sz w:val="22"/>
          <w:szCs w:val="22"/>
        </w:rPr>
      </w:pPr>
      <w:r w:rsidRPr="00566759">
        <w:rPr>
          <w:rFonts w:ascii="Calibri" w:hAnsi="Calibri" w:cs="Calibri"/>
          <w:sz w:val="22"/>
          <w:szCs w:val="22"/>
        </w:rPr>
        <w:t>Muhajirin Ali, Panel Member</w:t>
      </w:r>
    </w:p>
    <w:p w14:paraId="6D2A3068" w14:textId="77777777" w:rsidR="00D266F7" w:rsidRPr="00566759" w:rsidRDefault="00D266F7" w:rsidP="00D266F7">
      <w:pPr>
        <w:rPr>
          <w:rFonts w:ascii="Calibri" w:hAnsi="Calibri" w:cs="Calibri"/>
          <w:sz w:val="22"/>
          <w:szCs w:val="22"/>
        </w:rPr>
      </w:pPr>
      <w:r w:rsidRPr="00566759">
        <w:rPr>
          <w:rFonts w:ascii="Calibri" w:hAnsi="Calibri" w:cs="Calibri"/>
          <w:sz w:val="22"/>
          <w:szCs w:val="22"/>
        </w:rPr>
        <w:t>Atty. Lai Dumama</w:t>
      </w:r>
    </w:p>
    <w:p w14:paraId="068FF820" w14:textId="34419412" w:rsidR="00D266F7" w:rsidRPr="00566759" w:rsidRDefault="00D266F7" w:rsidP="00D266F7">
      <w:pPr>
        <w:rPr>
          <w:rFonts w:ascii="Calibri" w:hAnsi="Calibri" w:cs="Calibri"/>
          <w:sz w:val="22"/>
          <w:szCs w:val="22"/>
        </w:rPr>
      </w:pPr>
      <w:r w:rsidRPr="00566759">
        <w:rPr>
          <w:rFonts w:ascii="Calibri" w:hAnsi="Calibri" w:cs="Calibri"/>
          <w:sz w:val="22"/>
          <w:szCs w:val="22"/>
        </w:rPr>
        <w:t>Abdullah Cusain</w:t>
      </w:r>
    </w:p>
    <w:p w14:paraId="5C2E9E4B" w14:textId="77777777" w:rsidR="00D266F7" w:rsidRPr="00566759" w:rsidRDefault="00D266F7" w:rsidP="00D266F7">
      <w:pPr>
        <w:rPr>
          <w:rFonts w:ascii="Calibri" w:hAnsi="Calibri" w:cs="Calibri"/>
          <w:sz w:val="22"/>
          <w:szCs w:val="22"/>
        </w:rPr>
      </w:pPr>
      <w:r w:rsidRPr="00566759">
        <w:rPr>
          <w:rFonts w:ascii="Calibri" w:hAnsi="Calibri" w:cs="Calibri"/>
          <w:sz w:val="22"/>
          <w:szCs w:val="22"/>
        </w:rPr>
        <w:t>Atty Lanang Ali</w:t>
      </w:r>
    </w:p>
    <w:p w14:paraId="037B85B5" w14:textId="27103803" w:rsidR="00D266F7" w:rsidRPr="00566759" w:rsidRDefault="00D266F7" w:rsidP="00D266F7">
      <w:pPr>
        <w:rPr>
          <w:rFonts w:ascii="Calibri" w:hAnsi="Calibri" w:cs="Calibri"/>
          <w:sz w:val="22"/>
          <w:szCs w:val="22"/>
        </w:rPr>
      </w:pPr>
      <w:r w:rsidRPr="00566759">
        <w:rPr>
          <w:rFonts w:ascii="Calibri" w:hAnsi="Calibri" w:cs="Calibri"/>
          <w:sz w:val="22"/>
          <w:szCs w:val="22"/>
        </w:rPr>
        <w:t>Haron Meling</w:t>
      </w:r>
    </w:p>
    <w:p w14:paraId="34C517CB" w14:textId="012FEFD4" w:rsidR="00D266F7" w:rsidRPr="00566759" w:rsidRDefault="00D266F7" w:rsidP="00D266F7">
      <w:pPr>
        <w:rPr>
          <w:rFonts w:ascii="Calibri" w:hAnsi="Calibri" w:cs="Calibri"/>
          <w:sz w:val="22"/>
          <w:szCs w:val="22"/>
        </w:rPr>
      </w:pPr>
      <w:r w:rsidRPr="00566759">
        <w:rPr>
          <w:rFonts w:ascii="Calibri" w:hAnsi="Calibri" w:cs="Calibri"/>
          <w:sz w:val="22"/>
          <w:szCs w:val="22"/>
        </w:rPr>
        <w:t>Abu Khaled</w:t>
      </w:r>
    </w:p>
    <w:p w14:paraId="28E076E1" w14:textId="77777777" w:rsidR="00D266F7" w:rsidRPr="00566759" w:rsidRDefault="00D266F7" w:rsidP="00D266F7">
      <w:pPr>
        <w:rPr>
          <w:rFonts w:ascii="Calibri" w:hAnsi="Calibri" w:cs="Calibri"/>
          <w:sz w:val="22"/>
          <w:szCs w:val="22"/>
        </w:rPr>
      </w:pPr>
    </w:p>
    <w:p w14:paraId="44E4AB4F" w14:textId="1F32F17B" w:rsidR="00AB7B66" w:rsidRPr="00566759" w:rsidRDefault="00D266F7" w:rsidP="00D266F7">
      <w:pPr>
        <w:rPr>
          <w:rFonts w:ascii="Calibri" w:hAnsi="Calibri" w:cs="Calibri"/>
          <w:i/>
          <w:sz w:val="22"/>
          <w:szCs w:val="22"/>
        </w:rPr>
      </w:pPr>
      <w:r w:rsidRPr="00566759">
        <w:rPr>
          <w:rFonts w:ascii="Calibri" w:hAnsi="Calibri" w:cs="Calibri"/>
          <w:i/>
          <w:sz w:val="22"/>
          <w:szCs w:val="22"/>
        </w:rPr>
        <w:t>The Asia Foundation (Cotabato Office) and partner organisations</w:t>
      </w:r>
    </w:p>
    <w:p w14:paraId="4C4E5A08" w14:textId="2E42C35C" w:rsidR="00D266F7" w:rsidRPr="00566759" w:rsidRDefault="00D266F7" w:rsidP="00D266F7">
      <w:pPr>
        <w:rPr>
          <w:rFonts w:ascii="Calibri" w:hAnsi="Calibri" w:cs="Calibri"/>
          <w:sz w:val="22"/>
          <w:szCs w:val="22"/>
        </w:rPr>
      </w:pPr>
      <w:r w:rsidRPr="00566759">
        <w:rPr>
          <w:rFonts w:ascii="Calibri" w:hAnsi="Calibri" w:cs="Calibri"/>
          <w:sz w:val="22"/>
          <w:szCs w:val="22"/>
        </w:rPr>
        <w:t>Noraida Chio, Senior Program Officer</w:t>
      </w:r>
    </w:p>
    <w:p w14:paraId="74E0B4DA" w14:textId="524D7936" w:rsidR="00D266F7" w:rsidRPr="00566759" w:rsidRDefault="00D266F7" w:rsidP="00D266F7">
      <w:pPr>
        <w:rPr>
          <w:rFonts w:ascii="Calibri" w:hAnsi="Calibri" w:cs="Calibri"/>
          <w:sz w:val="22"/>
          <w:szCs w:val="22"/>
        </w:rPr>
      </w:pPr>
      <w:r w:rsidRPr="00566759">
        <w:rPr>
          <w:rFonts w:ascii="Calibri" w:hAnsi="Calibri" w:cs="Calibri"/>
          <w:sz w:val="22"/>
          <w:szCs w:val="22"/>
        </w:rPr>
        <w:t>Aisha Midtanggal, Assistant Program Officer</w:t>
      </w:r>
    </w:p>
    <w:p w14:paraId="6B870821" w14:textId="77777777" w:rsidR="00D266F7" w:rsidRPr="00566759" w:rsidRDefault="00D266F7" w:rsidP="00D266F7">
      <w:pPr>
        <w:rPr>
          <w:rFonts w:ascii="Calibri" w:hAnsi="Calibri" w:cs="Calibri"/>
          <w:sz w:val="22"/>
          <w:szCs w:val="22"/>
        </w:rPr>
      </w:pPr>
      <w:r w:rsidRPr="00566759">
        <w:rPr>
          <w:rFonts w:ascii="Calibri" w:hAnsi="Calibri" w:cs="Calibri"/>
          <w:sz w:val="22"/>
          <w:szCs w:val="22"/>
        </w:rPr>
        <w:t>Anwar Saluwang – United Youth for Peace and Development (UNYPAD)</w:t>
      </w:r>
    </w:p>
    <w:p w14:paraId="364FBA6C" w14:textId="77777777" w:rsidR="00D266F7" w:rsidRPr="00566759" w:rsidRDefault="00D266F7" w:rsidP="00D266F7">
      <w:pPr>
        <w:rPr>
          <w:rFonts w:ascii="Calibri" w:hAnsi="Calibri" w:cs="Calibri"/>
          <w:sz w:val="22"/>
          <w:szCs w:val="22"/>
        </w:rPr>
      </w:pPr>
      <w:r w:rsidRPr="00566759">
        <w:rPr>
          <w:rFonts w:ascii="Calibri" w:hAnsi="Calibri" w:cs="Calibri"/>
          <w:sz w:val="22"/>
          <w:szCs w:val="22"/>
        </w:rPr>
        <w:t>Froilyn Mendoza and Romeo Saliga – Teduray Lambangian Women’s Organisation (TLWOI)</w:t>
      </w:r>
    </w:p>
    <w:p w14:paraId="2BAF9262" w14:textId="77777777" w:rsidR="00D266F7" w:rsidRPr="00566759" w:rsidRDefault="00D266F7" w:rsidP="00D266F7">
      <w:pPr>
        <w:rPr>
          <w:rFonts w:ascii="Calibri" w:hAnsi="Calibri" w:cs="Calibri"/>
          <w:sz w:val="22"/>
          <w:szCs w:val="22"/>
        </w:rPr>
      </w:pPr>
      <w:r w:rsidRPr="00566759">
        <w:rPr>
          <w:rFonts w:ascii="Calibri" w:hAnsi="Calibri" w:cs="Calibri"/>
          <w:sz w:val="22"/>
          <w:szCs w:val="22"/>
        </w:rPr>
        <w:t>Baina Samayatin – Moro Women Development and Cultural Centre (MWDECC)</w:t>
      </w:r>
    </w:p>
    <w:p w14:paraId="098F8894" w14:textId="77777777" w:rsidR="00D266F7" w:rsidRPr="00566759" w:rsidRDefault="00D266F7" w:rsidP="00D266F7">
      <w:pPr>
        <w:rPr>
          <w:rFonts w:ascii="Calibri" w:hAnsi="Calibri" w:cs="Calibri"/>
          <w:sz w:val="22"/>
          <w:szCs w:val="22"/>
        </w:rPr>
      </w:pPr>
      <w:r w:rsidRPr="00566759">
        <w:rPr>
          <w:rFonts w:ascii="Calibri" w:hAnsi="Calibri" w:cs="Calibri"/>
          <w:sz w:val="22"/>
          <w:szCs w:val="22"/>
        </w:rPr>
        <w:t>Samsodin Amella – Mindanao Action for Peace and Development Initiatives (MAPAD)</w:t>
      </w:r>
    </w:p>
    <w:p w14:paraId="62775A79" w14:textId="77777777" w:rsidR="00D266F7" w:rsidRPr="00566759" w:rsidRDefault="00D266F7" w:rsidP="00D266F7">
      <w:pPr>
        <w:rPr>
          <w:rFonts w:ascii="Calibri" w:hAnsi="Calibri" w:cs="Calibri"/>
          <w:sz w:val="22"/>
          <w:szCs w:val="22"/>
        </w:rPr>
      </w:pPr>
      <w:r w:rsidRPr="00566759">
        <w:rPr>
          <w:rFonts w:ascii="Calibri" w:hAnsi="Calibri" w:cs="Calibri"/>
          <w:sz w:val="22"/>
          <w:szCs w:val="22"/>
        </w:rPr>
        <w:t>Kusain Amino – Kadtabanga Foundation for Peace and Development Advocates, Inc (KFPDAI)</w:t>
      </w:r>
    </w:p>
    <w:p w14:paraId="17D6C374" w14:textId="77777777" w:rsidR="00D266F7" w:rsidRPr="00566759" w:rsidRDefault="00D266F7" w:rsidP="00D266F7">
      <w:pPr>
        <w:rPr>
          <w:rFonts w:ascii="Calibri" w:hAnsi="Calibri" w:cs="Calibri"/>
          <w:sz w:val="22"/>
          <w:szCs w:val="22"/>
        </w:rPr>
      </w:pPr>
      <w:r w:rsidRPr="00566759">
        <w:rPr>
          <w:rFonts w:ascii="Calibri" w:hAnsi="Calibri" w:cs="Calibri"/>
          <w:sz w:val="22"/>
          <w:szCs w:val="22"/>
        </w:rPr>
        <w:t>Hamsa Landayan – Local Initiatives for Peace and Development (LIPAD)</w:t>
      </w:r>
    </w:p>
    <w:p w14:paraId="2514F768" w14:textId="77777777" w:rsidR="00D266F7" w:rsidRPr="00566759" w:rsidRDefault="00D266F7" w:rsidP="00D266F7">
      <w:pPr>
        <w:rPr>
          <w:rFonts w:ascii="Calibri" w:hAnsi="Calibri" w:cs="Calibri"/>
          <w:sz w:val="22"/>
          <w:szCs w:val="22"/>
        </w:rPr>
      </w:pPr>
      <w:r w:rsidRPr="00566759">
        <w:rPr>
          <w:rFonts w:ascii="Calibri" w:hAnsi="Calibri" w:cs="Calibri"/>
          <w:sz w:val="22"/>
          <w:szCs w:val="22"/>
        </w:rPr>
        <w:t>Tungko B. Tadtagan – Bangsamoro Centre for Just Peace in the Philippines (BCJP)</w:t>
      </w:r>
    </w:p>
    <w:p w14:paraId="30642873" w14:textId="77777777" w:rsidR="00D266F7" w:rsidRPr="00566759" w:rsidRDefault="00D266F7" w:rsidP="00D266F7">
      <w:pPr>
        <w:rPr>
          <w:rFonts w:ascii="Calibri" w:hAnsi="Calibri" w:cs="Calibri"/>
          <w:sz w:val="22"/>
          <w:szCs w:val="22"/>
        </w:rPr>
      </w:pPr>
      <w:r w:rsidRPr="00566759">
        <w:rPr>
          <w:rFonts w:ascii="Calibri" w:hAnsi="Calibri" w:cs="Calibri"/>
          <w:sz w:val="22"/>
          <w:szCs w:val="22"/>
        </w:rPr>
        <w:t>Datuali U. Ibrahim – Action for Advancement and Development of Mindanao (AFADMin)</w:t>
      </w:r>
    </w:p>
    <w:p w14:paraId="138CC5F3" w14:textId="77777777" w:rsidR="00AB7B66" w:rsidRPr="00566759" w:rsidRDefault="00AB7B66" w:rsidP="00D266F7">
      <w:pPr>
        <w:rPr>
          <w:rFonts w:ascii="Calibri" w:hAnsi="Calibri" w:cs="Calibri"/>
          <w:sz w:val="22"/>
          <w:szCs w:val="22"/>
        </w:rPr>
      </w:pPr>
    </w:p>
    <w:p w14:paraId="05E978C1" w14:textId="201D4010" w:rsidR="00F86A23" w:rsidRPr="00566759" w:rsidRDefault="00D266F7" w:rsidP="00D266F7">
      <w:pPr>
        <w:rPr>
          <w:rFonts w:ascii="Calibri" w:hAnsi="Calibri" w:cs="Calibri"/>
          <w:i/>
          <w:sz w:val="22"/>
          <w:szCs w:val="22"/>
        </w:rPr>
      </w:pPr>
      <w:r w:rsidRPr="00566759">
        <w:rPr>
          <w:rFonts w:ascii="Calibri" w:hAnsi="Calibri" w:cs="Calibri"/>
          <w:i/>
          <w:sz w:val="22"/>
          <w:szCs w:val="22"/>
        </w:rPr>
        <w:t>Community and Family Services, International</w:t>
      </w:r>
    </w:p>
    <w:p w14:paraId="29A73B6B" w14:textId="500971B2" w:rsidR="00D266F7" w:rsidRPr="00566759" w:rsidRDefault="00D266F7" w:rsidP="00D266F7">
      <w:pPr>
        <w:rPr>
          <w:rFonts w:ascii="Calibri" w:hAnsi="Calibri" w:cs="Calibri"/>
          <w:sz w:val="22"/>
          <w:szCs w:val="22"/>
        </w:rPr>
      </w:pPr>
      <w:r w:rsidRPr="00566759">
        <w:rPr>
          <w:rFonts w:ascii="Calibri" w:hAnsi="Calibri" w:cs="Calibri"/>
          <w:sz w:val="22"/>
          <w:szCs w:val="22"/>
        </w:rPr>
        <w:t>Steven Muncy, Executive Director, CFSI</w:t>
      </w:r>
    </w:p>
    <w:p w14:paraId="0F9F4D98" w14:textId="41901885" w:rsidR="00D266F7" w:rsidRPr="00566759" w:rsidRDefault="00D266F7" w:rsidP="00D266F7">
      <w:pPr>
        <w:rPr>
          <w:rFonts w:ascii="Calibri" w:hAnsi="Calibri" w:cs="Calibri"/>
          <w:sz w:val="22"/>
          <w:szCs w:val="22"/>
        </w:rPr>
      </w:pPr>
      <w:r w:rsidRPr="00566759">
        <w:rPr>
          <w:rFonts w:ascii="Calibri" w:hAnsi="Calibri" w:cs="Calibri"/>
          <w:sz w:val="22"/>
          <w:szCs w:val="22"/>
        </w:rPr>
        <w:t>Noraida Abdullah Karim, Director for Mindanao Programme</w:t>
      </w:r>
    </w:p>
    <w:p w14:paraId="68CA490C" w14:textId="77777777" w:rsidR="00F86A23" w:rsidRPr="00566759" w:rsidRDefault="00F86A23" w:rsidP="00D266F7">
      <w:pPr>
        <w:rPr>
          <w:rFonts w:ascii="Calibri" w:hAnsi="Calibri" w:cs="Calibri"/>
          <w:sz w:val="22"/>
          <w:szCs w:val="22"/>
        </w:rPr>
      </w:pPr>
    </w:p>
    <w:p w14:paraId="525828E1" w14:textId="6F9B3AD8" w:rsidR="00D266F7" w:rsidRPr="00566759" w:rsidRDefault="00D266F7" w:rsidP="00D266F7">
      <w:pPr>
        <w:rPr>
          <w:rFonts w:ascii="Calibri" w:hAnsi="Calibri" w:cs="Calibri"/>
          <w:i/>
          <w:sz w:val="22"/>
          <w:szCs w:val="22"/>
        </w:rPr>
      </w:pPr>
      <w:r w:rsidRPr="00566759">
        <w:rPr>
          <w:rFonts w:ascii="Calibri" w:hAnsi="Calibri" w:cs="Calibri"/>
          <w:i/>
          <w:sz w:val="22"/>
          <w:szCs w:val="22"/>
        </w:rPr>
        <w:t>OXFAM and partner organisations and beneficiaries</w:t>
      </w:r>
    </w:p>
    <w:p w14:paraId="7E5D6729" w14:textId="77777777" w:rsidR="00D266F7" w:rsidRPr="00566759" w:rsidRDefault="00D266F7" w:rsidP="00D266F7">
      <w:pPr>
        <w:rPr>
          <w:rFonts w:ascii="Calibri" w:hAnsi="Calibri" w:cs="Calibri"/>
          <w:sz w:val="22"/>
          <w:szCs w:val="22"/>
        </w:rPr>
      </w:pPr>
      <w:r w:rsidRPr="00566759">
        <w:rPr>
          <w:rFonts w:ascii="Calibri" w:hAnsi="Calibri" w:cs="Calibri"/>
          <w:sz w:val="22"/>
          <w:szCs w:val="22"/>
        </w:rPr>
        <w:t xml:space="preserve">Noel Pedrola, Programme Officer, OXFAM </w:t>
      </w:r>
    </w:p>
    <w:p w14:paraId="604B9664" w14:textId="77777777" w:rsidR="00D266F7" w:rsidRPr="00566759" w:rsidRDefault="00D266F7" w:rsidP="00D266F7">
      <w:pPr>
        <w:rPr>
          <w:rFonts w:ascii="Calibri" w:hAnsi="Calibri" w:cs="Calibri"/>
          <w:sz w:val="22"/>
          <w:szCs w:val="22"/>
        </w:rPr>
      </w:pPr>
      <w:r w:rsidRPr="00566759">
        <w:rPr>
          <w:rFonts w:ascii="Calibri" w:hAnsi="Calibri" w:cs="Calibri"/>
          <w:sz w:val="22"/>
          <w:szCs w:val="22"/>
        </w:rPr>
        <w:t>Rena Ong, Business Support Manager, OXFAM</w:t>
      </w:r>
    </w:p>
    <w:p w14:paraId="4ED555F7" w14:textId="77777777" w:rsidR="00D266F7" w:rsidRPr="00566759" w:rsidRDefault="00D266F7" w:rsidP="00D266F7">
      <w:pPr>
        <w:rPr>
          <w:rFonts w:ascii="Calibri" w:hAnsi="Calibri" w:cs="Calibri"/>
          <w:sz w:val="22"/>
          <w:szCs w:val="22"/>
        </w:rPr>
      </w:pPr>
      <w:r w:rsidRPr="00566759">
        <w:rPr>
          <w:rFonts w:ascii="Calibri" w:hAnsi="Calibri" w:cs="Calibri"/>
          <w:sz w:val="22"/>
          <w:szCs w:val="22"/>
        </w:rPr>
        <w:t>Noraisa Sani, Project Officer Al Mujadilah Development Foundation</w:t>
      </w:r>
    </w:p>
    <w:p w14:paraId="5736DDE4" w14:textId="77777777" w:rsidR="00D266F7" w:rsidRPr="00566759" w:rsidRDefault="00D266F7" w:rsidP="00D266F7">
      <w:pPr>
        <w:rPr>
          <w:rFonts w:ascii="Calibri" w:hAnsi="Calibri" w:cs="Calibri"/>
          <w:sz w:val="22"/>
          <w:szCs w:val="22"/>
        </w:rPr>
      </w:pPr>
      <w:r w:rsidRPr="00566759">
        <w:rPr>
          <w:rFonts w:ascii="Calibri" w:hAnsi="Calibri" w:cs="Calibri"/>
          <w:sz w:val="22"/>
          <w:szCs w:val="22"/>
        </w:rPr>
        <w:t>Dayang Karna Bahidjan, Project Officer WEACT 1325</w:t>
      </w:r>
    </w:p>
    <w:p w14:paraId="34264F03" w14:textId="6EEB626B" w:rsidR="00D266F7" w:rsidRPr="00566759" w:rsidRDefault="00D266F7" w:rsidP="00D266F7">
      <w:pPr>
        <w:rPr>
          <w:rFonts w:ascii="Calibri" w:hAnsi="Calibri" w:cs="Calibri"/>
          <w:sz w:val="22"/>
          <w:szCs w:val="22"/>
        </w:rPr>
      </w:pPr>
      <w:r w:rsidRPr="00566759">
        <w:rPr>
          <w:rFonts w:ascii="Calibri" w:hAnsi="Calibri" w:cs="Calibri"/>
          <w:sz w:val="22"/>
          <w:szCs w:val="22"/>
        </w:rPr>
        <w:t>Noraida Abo, Executive Director, United Youth of the Philippines Women (Unyphil Women)</w:t>
      </w:r>
    </w:p>
    <w:p w14:paraId="3CB1FD4F" w14:textId="77777777" w:rsidR="00D266F7" w:rsidRPr="00566759" w:rsidRDefault="00D266F7" w:rsidP="00D266F7">
      <w:pPr>
        <w:rPr>
          <w:rFonts w:ascii="Calibri" w:hAnsi="Calibri" w:cs="Calibri"/>
          <w:sz w:val="22"/>
          <w:szCs w:val="22"/>
        </w:rPr>
      </w:pPr>
      <w:r w:rsidRPr="00566759">
        <w:rPr>
          <w:rFonts w:ascii="Calibri" w:hAnsi="Calibri" w:cs="Calibri"/>
          <w:sz w:val="22"/>
          <w:szCs w:val="22"/>
        </w:rPr>
        <w:t>Jurma Tikmasan, Executive Director, Tarbilang Foundation Inc</w:t>
      </w:r>
    </w:p>
    <w:p w14:paraId="134F83AA" w14:textId="77777777" w:rsidR="00D266F7" w:rsidRPr="00566759" w:rsidRDefault="00D266F7" w:rsidP="00D266F7">
      <w:pPr>
        <w:rPr>
          <w:rFonts w:ascii="Calibri" w:hAnsi="Calibri" w:cs="Calibri"/>
          <w:sz w:val="22"/>
          <w:szCs w:val="22"/>
        </w:rPr>
      </w:pPr>
      <w:r w:rsidRPr="00566759">
        <w:rPr>
          <w:rFonts w:ascii="Calibri" w:hAnsi="Calibri" w:cs="Calibri"/>
          <w:sz w:val="22"/>
          <w:szCs w:val="22"/>
        </w:rPr>
        <w:t>Marcial Jontong, Finance Officer OXFAM</w:t>
      </w:r>
    </w:p>
    <w:p w14:paraId="26CD080C" w14:textId="77777777" w:rsidR="00D266F7" w:rsidRPr="00566759" w:rsidRDefault="00D266F7" w:rsidP="00D266F7">
      <w:pPr>
        <w:rPr>
          <w:rFonts w:ascii="Calibri" w:hAnsi="Calibri" w:cs="Calibri"/>
          <w:sz w:val="22"/>
          <w:szCs w:val="22"/>
        </w:rPr>
      </w:pPr>
    </w:p>
    <w:p w14:paraId="797EE44F" w14:textId="77777777" w:rsidR="00D266F7" w:rsidRPr="00566759" w:rsidRDefault="00D266F7" w:rsidP="00D266F7">
      <w:pPr>
        <w:rPr>
          <w:rFonts w:ascii="Calibri" w:hAnsi="Calibri" w:cs="Calibri"/>
          <w:i/>
          <w:sz w:val="22"/>
          <w:szCs w:val="22"/>
        </w:rPr>
      </w:pPr>
      <w:r w:rsidRPr="00566759">
        <w:rPr>
          <w:rFonts w:ascii="Calibri" w:hAnsi="Calibri" w:cs="Calibri"/>
          <w:i/>
          <w:sz w:val="22"/>
          <w:szCs w:val="22"/>
        </w:rPr>
        <w:t xml:space="preserve">ARMM Board of Investments and Bangsamoro Study Group </w:t>
      </w:r>
    </w:p>
    <w:p w14:paraId="13BD8188" w14:textId="41D47BC5" w:rsidR="007F615A" w:rsidRPr="00566759" w:rsidRDefault="00D266F7" w:rsidP="00D266F7">
      <w:pPr>
        <w:rPr>
          <w:rFonts w:ascii="Calibri" w:hAnsi="Calibri" w:cs="Calibri"/>
          <w:sz w:val="22"/>
          <w:szCs w:val="22"/>
        </w:rPr>
      </w:pPr>
      <w:r w:rsidRPr="00566759">
        <w:rPr>
          <w:rFonts w:ascii="Calibri" w:hAnsi="Calibri" w:cs="Calibri"/>
          <w:sz w:val="22"/>
          <w:szCs w:val="22"/>
        </w:rPr>
        <w:t>Atty. Ishak Mastura</w:t>
      </w:r>
    </w:p>
    <w:p w14:paraId="51CA838D" w14:textId="77777777" w:rsidR="007F615A" w:rsidRPr="00566759" w:rsidRDefault="007F615A" w:rsidP="00D266F7">
      <w:pPr>
        <w:rPr>
          <w:rFonts w:ascii="Calibri" w:hAnsi="Calibri" w:cs="Calibri"/>
          <w:sz w:val="22"/>
          <w:szCs w:val="22"/>
        </w:rPr>
      </w:pPr>
    </w:p>
    <w:p w14:paraId="2092D38B" w14:textId="77777777" w:rsidR="00D266F7" w:rsidRPr="00566759" w:rsidRDefault="00D266F7" w:rsidP="00D266F7">
      <w:pPr>
        <w:rPr>
          <w:rFonts w:ascii="Calibri" w:hAnsi="Calibri" w:cs="Calibri"/>
          <w:i/>
          <w:sz w:val="22"/>
          <w:szCs w:val="22"/>
        </w:rPr>
      </w:pPr>
      <w:r w:rsidRPr="00566759">
        <w:rPr>
          <w:rFonts w:ascii="Calibri" w:hAnsi="Calibri" w:cs="Calibri"/>
          <w:i/>
          <w:sz w:val="22"/>
          <w:szCs w:val="22"/>
        </w:rPr>
        <w:t>US Embassy</w:t>
      </w:r>
    </w:p>
    <w:p w14:paraId="54DD0DC8" w14:textId="73A9DF61" w:rsidR="00D266F7" w:rsidRPr="00566759" w:rsidRDefault="00D266F7" w:rsidP="00D266F7">
      <w:pPr>
        <w:rPr>
          <w:rFonts w:ascii="Calibri" w:hAnsi="Calibri" w:cs="Calibri"/>
          <w:sz w:val="22"/>
          <w:szCs w:val="22"/>
        </w:rPr>
      </w:pPr>
      <w:r w:rsidRPr="00566759">
        <w:rPr>
          <w:rFonts w:ascii="Calibri" w:hAnsi="Calibri" w:cs="Calibri"/>
          <w:sz w:val="22"/>
          <w:szCs w:val="22"/>
        </w:rPr>
        <w:t>Teresa Grantham, Mindanao Officer, First Secretary (Political)</w:t>
      </w:r>
    </w:p>
    <w:p w14:paraId="3F6692FD" w14:textId="56EB853F" w:rsidR="00D266F7" w:rsidRPr="00566759" w:rsidRDefault="00D266F7" w:rsidP="00D266F7">
      <w:pPr>
        <w:rPr>
          <w:rFonts w:ascii="Calibri" w:hAnsi="Calibri" w:cs="Calibri"/>
          <w:sz w:val="22"/>
          <w:szCs w:val="22"/>
        </w:rPr>
      </w:pPr>
      <w:r w:rsidRPr="00566759">
        <w:rPr>
          <w:rFonts w:ascii="Calibri" w:hAnsi="Calibri" w:cs="Calibri"/>
          <w:sz w:val="22"/>
          <w:szCs w:val="22"/>
        </w:rPr>
        <w:t>Christopher Foley, Deputy Chief, Office of Program Resources Management</w:t>
      </w:r>
    </w:p>
    <w:p w14:paraId="5D21CBE0" w14:textId="2463A937" w:rsidR="00D266F7" w:rsidRPr="00566759" w:rsidRDefault="00D266F7" w:rsidP="00D266F7">
      <w:pPr>
        <w:rPr>
          <w:rFonts w:ascii="Calibri" w:hAnsi="Calibri" w:cs="Calibri"/>
          <w:sz w:val="22"/>
          <w:szCs w:val="22"/>
        </w:rPr>
      </w:pPr>
      <w:r w:rsidRPr="00566759">
        <w:rPr>
          <w:rFonts w:ascii="Calibri" w:hAnsi="Calibri" w:cs="Calibri"/>
          <w:sz w:val="22"/>
          <w:szCs w:val="22"/>
        </w:rPr>
        <w:lastRenderedPageBreak/>
        <w:t>Gil Dy-Liacco, Head, Portfolio Management Unit, Office of Program Resources Management</w:t>
      </w:r>
    </w:p>
    <w:p w14:paraId="749733A7" w14:textId="1E5F68F7" w:rsidR="00D266F7" w:rsidRPr="00566759" w:rsidRDefault="00D266F7" w:rsidP="00D266F7">
      <w:pPr>
        <w:rPr>
          <w:rFonts w:ascii="Calibri" w:hAnsi="Calibri" w:cs="Calibri"/>
          <w:sz w:val="22"/>
          <w:szCs w:val="22"/>
        </w:rPr>
      </w:pPr>
      <w:r w:rsidRPr="00566759">
        <w:rPr>
          <w:rFonts w:ascii="Calibri" w:hAnsi="Calibri" w:cs="Calibri"/>
          <w:sz w:val="22"/>
          <w:szCs w:val="22"/>
        </w:rPr>
        <w:t>Bernadette Cariaga, Development Assistance Specialist for Evaluation and Gender, Office of Program Resources Management</w:t>
      </w:r>
    </w:p>
    <w:p w14:paraId="67A5815B" w14:textId="4D4A983B" w:rsidR="00D266F7" w:rsidRPr="00566759" w:rsidRDefault="00D266F7" w:rsidP="00D266F7">
      <w:pPr>
        <w:rPr>
          <w:rFonts w:ascii="Calibri" w:hAnsi="Calibri" w:cs="Calibri"/>
          <w:sz w:val="22"/>
          <w:szCs w:val="22"/>
        </w:rPr>
      </w:pPr>
      <w:r w:rsidRPr="00566759">
        <w:rPr>
          <w:rFonts w:ascii="Calibri" w:hAnsi="Calibri" w:cs="Calibri"/>
          <w:sz w:val="22"/>
          <w:szCs w:val="22"/>
        </w:rPr>
        <w:t>Gerardo Porta, Project Management Specialist for Democracy and Governance, Office of Economic Development and Governance</w:t>
      </w:r>
    </w:p>
    <w:p w14:paraId="48A8474C" w14:textId="56A5B5F8" w:rsidR="00D266F7" w:rsidRPr="00566759" w:rsidRDefault="00D266F7" w:rsidP="00D266F7">
      <w:pPr>
        <w:rPr>
          <w:rFonts w:ascii="Calibri" w:hAnsi="Calibri" w:cs="Calibri"/>
          <w:sz w:val="22"/>
          <w:szCs w:val="22"/>
        </w:rPr>
      </w:pPr>
      <w:r w:rsidRPr="00566759">
        <w:rPr>
          <w:rFonts w:ascii="Calibri" w:hAnsi="Calibri" w:cs="Calibri"/>
          <w:sz w:val="22"/>
          <w:szCs w:val="22"/>
        </w:rPr>
        <w:t>Consuelo Anonuevo, Project Development Specialist for Family Planning and Maternal and Child Health, Office of Health</w:t>
      </w:r>
    </w:p>
    <w:p w14:paraId="1F953C5D" w14:textId="77777777" w:rsidR="00D266F7" w:rsidRPr="00566759" w:rsidRDefault="00D266F7" w:rsidP="00D266F7">
      <w:pPr>
        <w:rPr>
          <w:rFonts w:ascii="Calibri" w:hAnsi="Calibri" w:cs="Calibri"/>
          <w:sz w:val="22"/>
          <w:szCs w:val="22"/>
        </w:rPr>
      </w:pPr>
    </w:p>
    <w:p w14:paraId="43BEC4C4" w14:textId="3D86144C" w:rsidR="00D266F7" w:rsidRPr="00566759" w:rsidRDefault="00D266F7" w:rsidP="00D266F7">
      <w:pPr>
        <w:rPr>
          <w:rFonts w:ascii="Calibri" w:hAnsi="Calibri" w:cs="Calibri"/>
          <w:i/>
          <w:sz w:val="22"/>
          <w:szCs w:val="22"/>
        </w:rPr>
      </w:pPr>
      <w:r w:rsidRPr="00566759">
        <w:rPr>
          <w:rFonts w:ascii="Calibri" w:hAnsi="Calibri" w:cs="Calibri"/>
          <w:i/>
          <w:sz w:val="22"/>
          <w:szCs w:val="22"/>
        </w:rPr>
        <w:t>Centre for Peace and Conflict Studies</w:t>
      </w:r>
    </w:p>
    <w:p w14:paraId="31FA370B" w14:textId="77777777" w:rsidR="00D266F7" w:rsidRPr="00566759" w:rsidRDefault="00D266F7" w:rsidP="00D266F7">
      <w:pPr>
        <w:rPr>
          <w:rFonts w:ascii="Calibri" w:hAnsi="Calibri" w:cs="Calibri"/>
          <w:sz w:val="22"/>
          <w:szCs w:val="22"/>
        </w:rPr>
      </w:pPr>
      <w:r w:rsidRPr="00566759">
        <w:rPr>
          <w:rFonts w:ascii="Calibri" w:hAnsi="Calibri" w:cs="Calibri"/>
          <w:sz w:val="22"/>
          <w:szCs w:val="22"/>
        </w:rPr>
        <w:t>Emma Leslie, Executive Director</w:t>
      </w:r>
    </w:p>
    <w:p w14:paraId="16DF9AFA" w14:textId="77777777" w:rsidR="00D266F7" w:rsidRPr="00566759" w:rsidRDefault="00D266F7" w:rsidP="00D266F7">
      <w:pPr>
        <w:rPr>
          <w:rFonts w:ascii="Calibri" w:hAnsi="Calibri" w:cs="Calibri"/>
          <w:sz w:val="22"/>
          <w:szCs w:val="22"/>
        </w:rPr>
      </w:pPr>
    </w:p>
    <w:p w14:paraId="504BC2B4" w14:textId="4F8BA21F" w:rsidR="00D266F7" w:rsidRPr="00566759" w:rsidRDefault="00D266F7" w:rsidP="00D266F7">
      <w:pPr>
        <w:rPr>
          <w:rFonts w:ascii="Calibri" w:hAnsi="Calibri" w:cs="Calibri"/>
          <w:sz w:val="22"/>
          <w:szCs w:val="22"/>
        </w:rPr>
      </w:pPr>
      <w:r w:rsidRPr="00566759">
        <w:rPr>
          <w:rFonts w:ascii="Calibri" w:hAnsi="Calibri" w:cs="Calibri"/>
          <w:i/>
          <w:sz w:val="22"/>
          <w:szCs w:val="22"/>
        </w:rPr>
        <w:t>International Alert partner organisations and beneficiaries</w:t>
      </w:r>
      <w:r w:rsidRPr="00566759">
        <w:rPr>
          <w:rFonts w:ascii="Calibri" w:hAnsi="Calibri" w:cs="Calibri"/>
          <w:sz w:val="22"/>
          <w:szCs w:val="22"/>
        </w:rPr>
        <w:br/>
        <w:t>Ruel Punongbayan, Programme Manager</w:t>
      </w:r>
    </w:p>
    <w:p w14:paraId="0579582C" w14:textId="77777777" w:rsidR="00D266F7" w:rsidRPr="00566759" w:rsidRDefault="00D266F7" w:rsidP="00D266F7">
      <w:pPr>
        <w:rPr>
          <w:rFonts w:ascii="Calibri" w:hAnsi="Calibri" w:cs="Calibri"/>
          <w:sz w:val="22"/>
          <w:szCs w:val="22"/>
        </w:rPr>
      </w:pPr>
      <w:r w:rsidRPr="00566759">
        <w:rPr>
          <w:rFonts w:ascii="Calibri" w:hAnsi="Calibri" w:cs="Calibri"/>
          <w:sz w:val="22"/>
          <w:szCs w:val="22"/>
        </w:rPr>
        <w:t>Delfin Borrero, Advocacy Manager</w:t>
      </w:r>
    </w:p>
    <w:p w14:paraId="1B384F3A" w14:textId="77777777" w:rsidR="00D266F7" w:rsidRPr="00566759" w:rsidRDefault="00D266F7" w:rsidP="00D266F7">
      <w:pPr>
        <w:rPr>
          <w:rFonts w:ascii="Calibri" w:hAnsi="Calibri" w:cs="Calibri"/>
          <w:sz w:val="22"/>
          <w:szCs w:val="22"/>
        </w:rPr>
      </w:pPr>
      <w:r w:rsidRPr="00566759">
        <w:rPr>
          <w:rFonts w:ascii="Calibri" w:hAnsi="Calibri" w:cs="Calibri"/>
          <w:sz w:val="22"/>
          <w:szCs w:val="22"/>
        </w:rPr>
        <w:t>Mohammad Abas</w:t>
      </w:r>
    </w:p>
    <w:p w14:paraId="5A44233C" w14:textId="77777777" w:rsidR="00D266F7" w:rsidRPr="00566759" w:rsidRDefault="00D266F7" w:rsidP="00D266F7">
      <w:pPr>
        <w:rPr>
          <w:rFonts w:ascii="Calibri" w:hAnsi="Calibri" w:cs="Calibri"/>
          <w:sz w:val="22"/>
          <w:szCs w:val="22"/>
        </w:rPr>
      </w:pPr>
      <w:r w:rsidRPr="00566759">
        <w:rPr>
          <w:rFonts w:ascii="Calibri" w:hAnsi="Calibri" w:cs="Calibri"/>
          <w:sz w:val="22"/>
          <w:szCs w:val="22"/>
        </w:rPr>
        <w:t>Aldahas Kanakan</w:t>
      </w:r>
    </w:p>
    <w:p w14:paraId="0308935C" w14:textId="77777777" w:rsidR="00D266F7" w:rsidRPr="00566759" w:rsidRDefault="00D266F7" w:rsidP="00D266F7">
      <w:pPr>
        <w:rPr>
          <w:rFonts w:ascii="Calibri" w:hAnsi="Calibri" w:cs="Calibri"/>
          <w:sz w:val="22"/>
          <w:szCs w:val="22"/>
        </w:rPr>
      </w:pPr>
      <w:r w:rsidRPr="00566759">
        <w:rPr>
          <w:rFonts w:ascii="Calibri" w:hAnsi="Calibri" w:cs="Calibri"/>
          <w:sz w:val="22"/>
          <w:szCs w:val="22"/>
        </w:rPr>
        <w:t>Sahara Mama</w:t>
      </w:r>
    </w:p>
    <w:p w14:paraId="7B09ECBC" w14:textId="77777777" w:rsidR="00D266F7" w:rsidRPr="00566759" w:rsidRDefault="00D266F7" w:rsidP="00D266F7">
      <w:pPr>
        <w:rPr>
          <w:rFonts w:ascii="Calibri" w:hAnsi="Calibri" w:cs="Calibri"/>
          <w:sz w:val="22"/>
          <w:szCs w:val="22"/>
        </w:rPr>
      </w:pPr>
      <w:r w:rsidRPr="00566759">
        <w:rPr>
          <w:rFonts w:ascii="Calibri" w:hAnsi="Calibri" w:cs="Calibri"/>
          <w:sz w:val="22"/>
          <w:szCs w:val="22"/>
        </w:rPr>
        <w:t xml:space="preserve">Yusoph Palawan </w:t>
      </w:r>
    </w:p>
    <w:p w14:paraId="46CBF0F8" w14:textId="77777777" w:rsidR="00D266F7" w:rsidRPr="00566759" w:rsidRDefault="00D266F7" w:rsidP="00D266F7">
      <w:pPr>
        <w:rPr>
          <w:rFonts w:ascii="Calibri" w:hAnsi="Calibri" w:cs="Calibri"/>
          <w:sz w:val="22"/>
          <w:szCs w:val="22"/>
        </w:rPr>
      </w:pPr>
      <w:r w:rsidRPr="00566759">
        <w:rPr>
          <w:rFonts w:ascii="Calibri" w:hAnsi="Calibri" w:cs="Calibri"/>
          <w:sz w:val="22"/>
          <w:szCs w:val="22"/>
        </w:rPr>
        <w:t xml:space="preserve">Lininding Alim </w:t>
      </w:r>
    </w:p>
    <w:p w14:paraId="3C303FAB" w14:textId="77777777" w:rsidR="00D266F7" w:rsidRPr="00566759" w:rsidRDefault="00D266F7" w:rsidP="00D266F7">
      <w:pPr>
        <w:rPr>
          <w:rFonts w:ascii="Calibri" w:hAnsi="Calibri" w:cs="Calibri"/>
          <w:sz w:val="22"/>
          <w:szCs w:val="22"/>
        </w:rPr>
      </w:pPr>
    </w:p>
    <w:p w14:paraId="0ECB4373" w14:textId="77777777" w:rsidR="00D266F7" w:rsidRPr="00566759" w:rsidRDefault="00D266F7" w:rsidP="00D266F7">
      <w:pPr>
        <w:rPr>
          <w:rFonts w:ascii="Calibri" w:hAnsi="Calibri" w:cs="Calibri"/>
          <w:i/>
          <w:sz w:val="22"/>
          <w:szCs w:val="22"/>
        </w:rPr>
      </w:pPr>
      <w:r w:rsidRPr="00566759">
        <w:rPr>
          <w:rFonts w:ascii="Calibri" w:hAnsi="Calibri" w:cs="Calibri"/>
          <w:i/>
          <w:sz w:val="22"/>
          <w:szCs w:val="22"/>
        </w:rPr>
        <w:t>UK Embassy</w:t>
      </w:r>
    </w:p>
    <w:p w14:paraId="31397A0F" w14:textId="155B892A" w:rsidR="007F615A" w:rsidRPr="00566759" w:rsidRDefault="00D266F7" w:rsidP="00D266F7">
      <w:pPr>
        <w:rPr>
          <w:rFonts w:ascii="Calibri" w:hAnsi="Calibri" w:cs="Calibri"/>
          <w:sz w:val="22"/>
          <w:szCs w:val="22"/>
        </w:rPr>
      </w:pPr>
      <w:r w:rsidRPr="00566759">
        <w:rPr>
          <w:rFonts w:ascii="Calibri" w:hAnsi="Calibri" w:cs="Calibri"/>
          <w:sz w:val="22"/>
          <w:szCs w:val="22"/>
        </w:rPr>
        <w:t>Rupert Compston, First Secretary (Political and Security)</w:t>
      </w:r>
      <w:r w:rsidRPr="00566759">
        <w:rPr>
          <w:rFonts w:ascii="Calibri" w:hAnsi="Calibri" w:cs="Calibri"/>
          <w:sz w:val="22"/>
          <w:szCs w:val="22"/>
        </w:rPr>
        <w:br/>
      </w:r>
      <w:r w:rsidR="007F615A" w:rsidRPr="00566759">
        <w:rPr>
          <w:rFonts w:ascii="Calibri" w:hAnsi="Calibri" w:cs="Calibri"/>
          <w:sz w:val="22"/>
          <w:szCs w:val="22"/>
        </w:rPr>
        <w:br w:type="page"/>
      </w:r>
    </w:p>
    <w:p w14:paraId="6C552821" w14:textId="55992F56" w:rsidR="007F615A" w:rsidRPr="00566759" w:rsidRDefault="004C0208" w:rsidP="007F615A">
      <w:pPr>
        <w:jc w:val="center"/>
        <w:rPr>
          <w:rFonts w:ascii="Calibri" w:hAnsi="Calibri" w:cs="Calibri"/>
          <w:b/>
          <w:sz w:val="22"/>
          <w:szCs w:val="22"/>
        </w:rPr>
      </w:pPr>
      <w:r w:rsidRPr="00566759">
        <w:rPr>
          <w:rFonts w:ascii="Calibri" w:hAnsi="Calibri" w:cs="Calibri"/>
          <w:b/>
          <w:sz w:val="22"/>
          <w:szCs w:val="22"/>
        </w:rPr>
        <w:lastRenderedPageBreak/>
        <w:t xml:space="preserve">Annex </w:t>
      </w:r>
      <w:r w:rsidR="00FD132D" w:rsidRPr="00566759">
        <w:rPr>
          <w:rFonts w:ascii="Calibri" w:hAnsi="Calibri" w:cs="Calibri"/>
          <w:b/>
          <w:sz w:val="22"/>
          <w:szCs w:val="22"/>
        </w:rPr>
        <w:t>B</w:t>
      </w:r>
    </w:p>
    <w:p w14:paraId="19F170AD" w14:textId="77777777" w:rsidR="007F615A" w:rsidRPr="00566759" w:rsidRDefault="007F615A" w:rsidP="007F615A">
      <w:pPr>
        <w:rPr>
          <w:rFonts w:ascii="Calibri" w:hAnsi="Calibri" w:cs="Calibri"/>
          <w:b/>
          <w:sz w:val="22"/>
          <w:szCs w:val="22"/>
        </w:rPr>
      </w:pPr>
    </w:p>
    <w:p w14:paraId="5E7C6BE5" w14:textId="77777777" w:rsidR="007F615A" w:rsidRPr="00566759" w:rsidRDefault="007F615A" w:rsidP="007F615A">
      <w:pPr>
        <w:jc w:val="center"/>
        <w:rPr>
          <w:rFonts w:ascii="Calibri" w:hAnsi="Calibri" w:cs="Calibri"/>
          <w:b/>
          <w:sz w:val="22"/>
          <w:szCs w:val="22"/>
        </w:rPr>
      </w:pPr>
      <w:r w:rsidRPr="00566759">
        <w:rPr>
          <w:rFonts w:ascii="Calibri" w:hAnsi="Calibri" w:cs="Calibri"/>
          <w:b/>
          <w:sz w:val="22"/>
          <w:szCs w:val="22"/>
        </w:rPr>
        <w:t>Strategic Review of Australia’s Support for Peace in Mindanao</w:t>
      </w:r>
    </w:p>
    <w:p w14:paraId="6644223B" w14:textId="77777777" w:rsidR="007F615A" w:rsidRPr="00566759" w:rsidRDefault="007F615A" w:rsidP="007F615A">
      <w:pPr>
        <w:jc w:val="center"/>
        <w:rPr>
          <w:rFonts w:ascii="Calibri" w:hAnsi="Calibri" w:cs="Calibri"/>
          <w:b/>
          <w:sz w:val="22"/>
          <w:szCs w:val="22"/>
        </w:rPr>
      </w:pPr>
    </w:p>
    <w:p w14:paraId="5EE21CCE" w14:textId="51F4F4EA" w:rsidR="007F615A" w:rsidRPr="00566759" w:rsidRDefault="007F615A" w:rsidP="007F615A">
      <w:pPr>
        <w:jc w:val="center"/>
        <w:rPr>
          <w:rFonts w:ascii="Calibri" w:hAnsi="Calibri" w:cs="Calibri"/>
          <w:b/>
          <w:sz w:val="22"/>
          <w:szCs w:val="22"/>
        </w:rPr>
      </w:pPr>
      <w:r w:rsidRPr="00566759">
        <w:rPr>
          <w:rFonts w:ascii="Calibri" w:hAnsi="Calibri" w:cs="Calibri"/>
          <w:b/>
          <w:sz w:val="22"/>
          <w:szCs w:val="22"/>
        </w:rPr>
        <w:t>Terms of Reference</w:t>
      </w:r>
    </w:p>
    <w:p w14:paraId="7009CB30" w14:textId="77777777" w:rsidR="00F16D58" w:rsidRPr="00566759" w:rsidRDefault="00F16D58" w:rsidP="007F615A">
      <w:pPr>
        <w:jc w:val="both"/>
        <w:rPr>
          <w:rFonts w:ascii="Calibri" w:hAnsi="Calibri" w:cs="Calibri"/>
          <w:b/>
          <w:sz w:val="22"/>
          <w:szCs w:val="22"/>
        </w:rPr>
      </w:pPr>
    </w:p>
    <w:p w14:paraId="42C4E420" w14:textId="77777777" w:rsidR="007F615A" w:rsidRPr="00566759" w:rsidRDefault="007F615A" w:rsidP="007F615A">
      <w:pPr>
        <w:jc w:val="both"/>
        <w:rPr>
          <w:rFonts w:ascii="Calibri" w:hAnsi="Calibri" w:cs="Calibri"/>
          <w:b/>
          <w:sz w:val="22"/>
          <w:szCs w:val="22"/>
        </w:rPr>
      </w:pPr>
    </w:p>
    <w:p w14:paraId="768B7DE5" w14:textId="77777777" w:rsidR="007F615A" w:rsidRPr="00566759" w:rsidRDefault="007F615A" w:rsidP="007F615A">
      <w:pPr>
        <w:jc w:val="center"/>
        <w:rPr>
          <w:rFonts w:ascii="Calibri" w:hAnsi="Calibri" w:cs="Calibri"/>
          <w:b/>
          <w:sz w:val="22"/>
          <w:szCs w:val="22"/>
        </w:rPr>
      </w:pPr>
      <w:r w:rsidRPr="00566759">
        <w:rPr>
          <w:rFonts w:ascii="Calibri" w:hAnsi="Calibri" w:cs="Calibri"/>
          <w:b/>
          <w:sz w:val="22"/>
          <w:szCs w:val="22"/>
        </w:rPr>
        <w:t>Terms of Reference for Strategic Review of</w:t>
      </w:r>
    </w:p>
    <w:p w14:paraId="6069BCF1" w14:textId="77777777" w:rsidR="007F615A" w:rsidRPr="00566759" w:rsidRDefault="007F615A" w:rsidP="007F615A">
      <w:pPr>
        <w:jc w:val="center"/>
        <w:rPr>
          <w:rFonts w:ascii="Calibri" w:eastAsia="Times New Roman" w:hAnsi="Calibri" w:cs="Calibri"/>
          <w:b/>
          <w:sz w:val="22"/>
          <w:szCs w:val="22"/>
        </w:rPr>
      </w:pPr>
      <w:r w:rsidRPr="00566759">
        <w:rPr>
          <w:rFonts w:ascii="Calibri" w:eastAsia="Times New Roman" w:hAnsi="Calibri" w:cs="Calibri"/>
          <w:b/>
          <w:sz w:val="22"/>
          <w:szCs w:val="22"/>
        </w:rPr>
        <w:t xml:space="preserve">Australia’s Support for Peace in Muslim Mindanao </w:t>
      </w:r>
    </w:p>
    <w:p w14:paraId="5382420A" w14:textId="77777777" w:rsidR="007F615A" w:rsidRPr="00566759" w:rsidRDefault="007F615A" w:rsidP="007F615A">
      <w:pPr>
        <w:tabs>
          <w:tab w:val="center" w:pos="4513"/>
          <w:tab w:val="left" w:pos="7108"/>
        </w:tabs>
        <w:rPr>
          <w:rFonts w:ascii="Calibri" w:hAnsi="Calibri" w:cs="Calibri"/>
          <w:b/>
          <w:sz w:val="22"/>
          <w:szCs w:val="22"/>
        </w:rPr>
      </w:pPr>
      <w:r w:rsidRPr="00566759">
        <w:rPr>
          <w:rFonts w:ascii="Calibri" w:eastAsia="Times New Roman" w:hAnsi="Calibri" w:cs="Calibri"/>
          <w:b/>
          <w:sz w:val="22"/>
          <w:szCs w:val="22"/>
        </w:rPr>
        <w:tab/>
        <w:t>Version: 16 August 2016</w:t>
      </w:r>
      <w:r w:rsidRPr="00566759">
        <w:rPr>
          <w:rFonts w:ascii="Calibri" w:hAnsi="Calibri" w:cs="Calibri"/>
          <w:b/>
          <w:i/>
          <w:sz w:val="22"/>
          <w:szCs w:val="22"/>
        </w:rPr>
        <w:tab/>
      </w:r>
    </w:p>
    <w:p w14:paraId="472C6754" w14:textId="77777777" w:rsidR="007F615A" w:rsidRPr="00566759" w:rsidRDefault="007F615A" w:rsidP="007F615A">
      <w:pPr>
        <w:jc w:val="both"/>
        <w:rPr>
          <w:rFonts w:cs="Calibri"/>
          <w:b/>
          <w:sz w:val="22"/>
          <w:szCs w:val="22"/>
        </w:rPr>
      </w:pPr>
      <w:r w:rsidRPr="00566759">
        <w:rPr>
          <w:rFonts w:cs="Calibri"/>
          <w:b/>
          <w:sz w:val="22"/>
          <w:szCs w:val="22"/>
        </w:rPr>
        <w:t>Background</w:t>
      </w:r>
    </w:p>
    <w:p w14:paraId="0D84D85C" w14:textId="77777777" w:rsidR="007F615A" w:rsidRPr="00566759" w:rsidRDefault="007F615A" w:rsidP="007F615A">
      <w:pPr>
        <w:autoSpaceDE w:val="0"/>
        <w:autoSpaceDN w:val="0"/>
        <w:adjustRightInd w:val="0"/>
        <w:rPr>
          <w:rFonts w:cs="Calibri"/>
          <w:sz w:val="22"/>
          <w:szCs w:val="22"/>
          <w:lang w:val="en"/>
        </w:rPr>
      </w:pPr>
      <w:r w:rsidRPr="00566759">
        <w:rPr>
          <w:rFonts w:cs="Calibri"/>
          <w:sz w:val="22"/>
          <w:szCs w:val="22"/>
          <w:lang w:val="en"/>
        </w:rPr>
        <w:t>The Philippines is home to two of the longest-running insurgencies in the world: Muslim rebel groups fighting for autonomy in central and western Mindanao and a communist insurgency found throughout many parts of the country. A milestone was reached in the peace process between the Government of the Philippines (GPH) and the Moro Islamic Liberation Front (MILF) in March 2014 with the signing of a peace agreement, the Comprehensive Agreement on the Bangsamoro (CAB).</w:t>
      </w:r>
    </w:p>
    <w:p w14:paraId="3C6D08E7" w14:textId="77777777" w:rsidR="007F615A" w:rsidRPr="00566759" w:rsidRDefault="007F615A" w:rsidP="007F615A">
      <w:pPr>
        <w:autoSpaceDE w:val="0"/>
        <w:autoSpaceDN w:val="0"/>
        <w:adjustRightInd w:val="0"/>
        <w:rPr>
          <w:rFonts w:cs="Calibri"/>
          <w:sz w:val="22"/>
          <w:szCs w:val="22"/>
          <w:lang w:val="en"/>
        </w:rPr>
      </w:pPr>
    </w:p>
    <w:p w14:paraId="3DFB6AB2" w14:textId="77777777" w:rsidR="007F615A" w:rsidRPr="00566759" w:rsidRDefault="007F615A" w:rsidP="007F615A">
      <w:pPr>
        <w:autoSpaceDE w:val="0"/>
        <w:autoSpaceDN w:val="0"/>
        <w:adjustRightInd w:val="0"/>
        <w:rPr>
          <w:rFonts w:cs="Calibri"/>
          <w:sz w:val="22"/>
          <w:szCs w:val="22"/>
          <w:lang w:val="en"/>
        </w:rPr>
      </w:pPr>
      <w:r w:rsidRPr="00566759">
        <w:rPr>
          <w:rFonts w:cs="Calibri"/>
          <w:sz w:val="22"/>
          <w:szCs w:val="22"/>
          <w:lang w:val="en"/>
        </w:rPr>
        <w:t>A proposed Bangsamoro Basic Law (BBL) was drafted to give effect to this peace agreement and was considered amongst the most important pieces of legislation that the Aquino administration sought to pass in its remaining time in government. The bill ultimately failed to pass in the final session of Congress before the May 2016 elections. This was due in no small part to the political fallout following the killing of 44 Philippine National Police officers in early 2015 in Mamasapano by a force that reportedly included MILF fighters.</w:t>
      </w:r>
    </w:p>
    <w:p w14:paraId="71391444" w14:textId="77777777" w:rsidR="007F615A" w:rsidRPr="00566759" w:rsidRDefault="007F615A" w:rsidP="007F615A">
      <w:pPr>
        <w:autoSpaceDE w:val="0"/>
        <w:autoSpaceDN w:val="0"/>
        <w:adjustRightInd w:val="0"/>
        <w:rPr>
          <w:rFonts w:cs="Calibri"/>
          <w:sz w:val="22"/>
          <w:szCs w:val="22"/>
          <w:lang w:val="en"/>
        </w:rPr>
      </w:pPr>
    </w:p>
    <w:p w14:paraId="35CB5A3B" w14:textId="77777777" w:rsidR="007F615A" w:rsidRPr="00566759" w:rsidRDefault="007F615A" w:rsidP="007F615A">
      <w:pPr>
        <w:autoSpaceDE w:val="0"/>
        <w:autoSpaceDN w:val="0"/>
        <w:adjustRightInd w:val="0"/>
        <w:rPr>
          <w:rFonts w:cs="Calibri"/>
          <w:sz w:val="22"/>
          <w:szCs w:val="22"/>
          <w:lang w:val="en"/>
        </w:rPr>
      </w:pPr>
      <w:r w:rsidRPr="00566759">
        <w:rPr>
          <w:rFonts w:cs="Calibri"/>
          <w:sz w:val="22"/>
          <w:szCs w:val="22"/>
          <w:lang w:val="en"/>
        </w:rPr>
        <w:t>Fears that the failure to pass the BBL would result in a return to large-scale conflict have not yet been realised. The MILF leadership has restated its commitment to the peace process and is preparing to engage with a new administration. The starting point for its negotiations with the new administration will be the CAB, which the MILF considers akin to ‘treaty status’, and – in an ideal scenario – the BBL.</w:t>
      </w:r>
      <w:r w:rsidRPr="00566759">
        <w:rPr>
          <w:rFonts w:cs="Calibri"/>
          <w:sz w:val="22"/>
          <w:szCs w:val="22"/>
          <w:lang w:val="en"/>
        </w:rPr>
        <w:br/>
      </w:r>
    </w:p>
    <w:p w14:paraId="55516811" w14:textId="77777777" w:rsidR="007F615A" w:rsidRPr="00566759" w:rsidRDefault="007F615A" w:rsidP="007F615A">
      <w:pPr>
        <w:autoSpaceDE w:val="0"/>
        <w:autoSpaceDN w:val="0"/>
        <w:adjustRightInd w:val="0"/>
        <w:spacing w:after="120"/>
        <w:rPr>
          <w:rFonts w:cs="Calibri"/>
          <w:sz w:val="22"/>
          <w:szCs w:val="22"/>
          <w:lang w:val="en"/>
        </w:rPr>
      </w:pPr>
      <w:r w:rsidRPr="00566759">
        <w:rPr>
          <w:rFonts w:cs="Calibri"/>
          <w:sz w:val="22"/>
          <w:szCs w:val="22"/>
          <w:lang w:val="en"/>
        </w:rPr>
        <w:t>In late July 2016 the Duterte administration released its ‘Bangsamoro Peace and Development Roadmap’, which outlines in broad terms the government’s next steps. These are:</w:t>
      </w:r>
    </w:p>
    <w:p w14:paraId="2F123DD3" w14:textId="77777777" w:rsidR="007F615A" w:rsidRPr="00566759" w:rsidRDefault="007F615A" w:rsidP="007F615A">
      <w:pPr>
        <w:pStyle w:val="ListParagraph"/>
        <w:numPr>
          <w:ilvl w:val="0"/>
          <w:numId w:val="17"/>
        </w:numPr>
        <w:autoSpaceDE w:val="0"/>
        <w:autoSpaceDN w:val="0"/>
        <w:adjustRightInd w:val="0"/>
        <w:spacing w:after="120"/>
        <w:ind w:left="714" w:hanging="357"/>
        <w:contextualSpacing w:val="0"/>
        <w:rPr>
          <w:rFonts w:cs="Calibri"/>
          <w:sz w:val="22"/>
          <w:szCs w:val="22"/>
          <w:lang w:val="en"/>
        </w:rPr>
      </w:pPr>
      <w:r w:rsidRPr="00566759">
        <w:rPr>
          <w:rFonts w:cs="Calibri"/>
          <w:sz w:val="22"/>
          <w:szCs w:val="22"/>
          <w:lang w:val="en"/>
        </w:rPr>
        <w:t>convergence of the disparate stakeholders in the Bangsamoro (MILF, Moro National Liberation Front, Indigenous Peoples, Local Government Units etc.);</w:t>
      </w:r>
    </w:p>
    <w:p w14:paraId="69DAA5D6" w14:textId="77777777" w:rsidR="007F615A" w:rsidRPr="00566759" w:rsidRDefault="007F615A" w:rsidP="007F615A">
      <w:pPr>
        <w:pStyle w:val="ListParagraph"/>
        <w:numPr>
          <w:ilvl w:val="0"/>
          <w:numId w:val="17"/>
        </w:numPr>
        <w:autoSpaceDE w:val="0"/>
        <w:autoSpaceDN w:val="0"/>
        <w:adjustRightInd w:val="0"/>
        <w:spacing w:after="120"/>
        <w:ind w:left="714" w:hanging="357"/>
        <w:contextualSpacing w:val="0"/>
        <w:rPr>
          <w:rFonts w:cs="Calibri"/>
          <w:sz w:val="22"/>
          <w:szCs w:val="22"/>
          <w:lang w:val="en"/>
        </w:rPr>
      </w:pPr>
      <w:r w:rsidRPr="00566759">
        <w:rPr>
          <w:rFonts w:cs="Calibri"/>
          <w:sz w:val="22"/>
          <w:szCs w:val="22"/>
          <w:lang w:val="en"/>
        </w:rPr>
        <w:t>consolidation of all existing agreements on the Bangsamoro and implementation through a new enabling law (in lieu of the BBL);</w:t>
      </w:r>
    </w:p>
    <w:p w14:paraId="0418E8F3" w14:textId="77777777" w:rsidR="007F615A" w:rsidRPr="00566759" w:rsidRDefault="007F615A" w:rsidP="007F615A">
      <w:pPr>
        <w:pStyle w:val="ListParagraph"/>
        <w:numPr>
          <w:ilvl w:val="0"/>
          <w:numId w:val="17"/>
        </w:numPr>
        <w:autoSpaceDE w:val="0"/>
        <w:autoSpaceDN w:val="0"/>
        <w:adjustRightInd w:val="0"/>
        <w:spacing w:after="120"/>
        <w:ind w:left="714" w:hanging="357"/>
        <w:contextualSpacing w:val="0"/>
        <w:rPr>
          <w:rFonts w:cs="Calibri"/>
          <w:sz w:val="22"/>
          <w:szCs w:val="22"/>
          <w:lang w:val="en"/>
        </w:rPr>
      </w:pPr>
      <w:r w:rsidRPr="00566759">
        <w:rPr>
          <w:rFonts w:cs="Calibri"/>
          <w:sz w:val="22"/>
          <w:szCs w:val="22"/>
          <w:lang w:val="en"/>
        </w:rPr>
        <w:t>putting aside any constitutional issues until a Constitutional Convention;</w:t>
      </w:r>
    </w:p>
    <w:p w14:paraId="4AAD5C76" w14:textId="77777777" w:rsidR="007F615A" w:rsidRPr="00566759" w:rsidRDefault="007F615A" w:rsidP="007F615A">
      <w:pPr>
        <w:pStyle w:val="ListParagraph"/>
        <w:numPr>
          <w:ilvl w:val="0"/>
          <w:numId w:val="17"/>
        </w:numPr>
        <w:autoSpaceDE w:val="0"/>
        <w:autoSpaceDN w:val="0"/>
        <w:adjustRightInd w:val="0"/>
        <w:spacing w:after="120"/>
        <w:ind w:left="714" w:hanging="357"/>
        <w:contextualSpacing w:val="0"/>
        <w:rPr>
          <w:rFonts w:cs="Calibri"/>
          <w:sz w:val="22"/>
          <w:szCs w:val="22"/>
          <w:lang w:val="en"/>
        </w:rPr>
      </w:pPr>
      <w:r w:rsidRPr="00566759">
        <w:rPr>
          <w:rFonts w:cs="Calibri"/>
          <w:sz w:val="22"/>
          <w:szCs w:val="22"/>
          <w:lang w:val="en"/>
        </w:rPr>
        <w:t>approval by Congress of the new law and establishment of a new ‘Bangsamoro Governance structure’.</w:t>
      </w:r>
    </w:p>
    <w:p w14:paraId="77C0FED2" w14:textId="77777777" w:rsidR="007F615A" w:rsidRPr="00566759" w:rsidRDefault="007F615A" w:rsidP="007F615A">
      <w:pPr>
        <w:autoSpaceDE w:val="0"/>
        <w:autoSpaceDN w:val="0"/>
        <w:adjustRightInd w:val="0"/>
        <w:spacing w:after="120"/>
        <w:rPr>
          <w:rFonts w:cs="Calibri"/>
          <w:sz w:val="22"/>
          <w:szCs w:val="22"/>
          <w:lang w:val="en"/>
        </w:rPr>
      </w:pPr>
      <w:r w:rsidRPr="00566759">
        <w:rPr>
          <w:rFonts w:cs="Calibri"/>
          <w:sz w:val="22"/>
          <w:szCs w:val="22"/>
          <w:lang w:val="en"/>
        </w:rPr>
        <w:t>The Government has highlighted the following themes that underpin the roadmap:</w:t>
      </w:r>
    </w:p>
    <w:p w14:paraId="41FCA3F8" w14:textId="77777777" w:rsidR="007F615A" w:rsidRPr="00566759" w:rsidRDefault="007F615A" w:rsidP="007F615A">
      <w:pPr>
        <w:pStyle w:val="ListParagraph"/>
        <w:numPr>
          <w:ilvl w:val="0"/>
          <w:numId w:val="18"/>
        </w:numPr>
        <w:autoSpaceDE w:val="0"/>
        <w:autoSpaceDN w:val="0"/>
        <w:adjustRightInd w:val="0"/>
        <w:spacing w:after="120"/>
        <w:contextualSpacing w:val="0"/>
        <w:rPr>
          <w:rFonts w:cs="Calibri"/>
          <w:sz w:val="22"/>
          <w:szCs w:val="22"/>
          <w:lang w:val="en"/>
        </w:rPr>
      </w:pPr>
      <w:r w:rsidRPr="00566759">
        <w:rPr>
          <w:rFonts w:cs="Calibri"/>
          <w:sz w:val="22"/>
          <w:szCs w:val="22"/>
          <w:lang w:val="en"/>
        </w:rPr>
        <w:t>inclusivity, ongoing dialogue and confidence building;</w:t>
      </w:r>
    </w:p>
    <w:p w14:paraId="142B274E" w14:textId="77777777" w:rsidR="007F615A" w:rsidRPr="00566759" w:rsidRDefault="007F615A" w:rsidP="007F615A">
      <w:pPr>
        <w:pStyle w:val="ListParagraph"/>
        <w:numPr>
          <w:ilvl w:val="0"/>
          <w:numId w:val="18"/>
        </w:numPr>
        <w:autoSpaceDE w:val="0"/>
        <w:autoSpaceDN w:val="0"/>
        <w:adjustRightInd w:val="0"/>
        <w:spacing w:after="120"/>
        <w:contextualSpacing w:val="0"/>
        <w:rPr>
          <w:rFonts w:cs="Calibri"/>
          <w:sz w:val="22"/>
          <w:szCs w:val="22"/>
          <w:lang w:val="en"/>
        </w:rPr>
      </w:pPr>
      <w:r w:rsidRPr="00566759">
        <w:rPr>
          <w:rFonts w:cs="Calibri"/>
          <w:sz w:val="22"/>
          <w:szCs w:val="22"/>
          <w:lang w:val="en"/>
        </w:rPr>
        <w:t>accelerated delivery of socio-economic programs in conflict-affected communities;</w:t>
      </w:r>
    </w:p>
    <w:p w14:paraId="568F9661" w14:textId="77777777" w:rsidR="007F615A" w:rsidRPr="00566759" w:rsidRDefault="007F615A" w:rsidP="007F615A">
      <w:pPr>
        <w:pStyle w:val="ListParagraph"/>
        <w:numPr>
          <w:ilvl w:val="0"/>
          <w:numId w:val="18"/>
        </w:numPr>
        <w:autoSpaceDE w:val="0"/>
        <w:autoSpaceDN w:val="0"/>
        <w:adjustRightInd w:val="0"/>
        <w:spacing w:after="120"/>
        <w:contextualSpacing w:val="0"/>
        <w:rPr>
          <w:rFonts w:cs="Calibri"/>
          <w:sz w:val="22"/>
          <w:szCs w:val="22"/>
          <w:lang w:val="en"/>
        </w:rPr>
      </w:pPr>
      <w:r w:rsidRPr="00566759">
        <w:rPr>
          <w:rFonts w:cs="Calibri"/>
          <w:sz w:val="22"/>
          <w:szCs w:val="22"/>
          <w:lang w:val="en"/>
        </w:rPr>
        <w:lastRenderedPageBreak/>
        <w:t>constituency building and advocacy for the peace process, particularly outside Mindanao and among non-Moro; and</w:t>
      </w:r>
    </w:p>
    <w:p w14:paraId="5D88E62C" w14:textId="77777777" w:rsidR="007F615A" w:rsidRPr="00566759" w:rsidRDefault="007F615A" w:rsidP="007F615A">
      <w:pPr>
        <w:pStyle w:val="ListParagraph"/>
        <w:numPr>
          <w:ilvl w:val="0"/>
          <w:numId w:val="18"/>
        </w:numPr>
        <w:autoSpaceDE w:val="0"/>
        <w:autoSpaceDN w:val="0"/>
        <w:adjustRightInd w:val="0"/>
        <w:spacing w:after="120"/>
        <w:contextualSpacing w:val="0"/>
        <w:rPr>
          <w:rFonts w:cs="Calibri"/>
          <w:sz w:val="22"/>
          <w:szCs w:val="22"/>
          <w:lang w:val="en"/>
        </w:rPr>
      </w:pPr>
      <w:r w:rsidRPr="00566759">
        <w:rPr>
          <w:rFonts w:cs="Calibri"/>
          <w:sz w:val="22"/>
          <w:szCs w:val="22"/>
          <w:lang w:val="en"/>
        </w:rPr>
        <w:t>marketing of the roadmap to all stakeholders.</w:t>
      </w:r>
    </w:p>
    <w:p w14:paraId="67F30524" w14:textId="77777777" w:rsidR="007F615A" w:rsidRPr="00566759" w:rsidRDefault="007F615A" w:rsidP="007F615A">
      <w:pPr>
        <w:autoSpaceDE w:val="0"/>
        <w:autoSpaceDN w:val="0"/>
        <w:adjustRightInd w:val="0"/>
        <w:rPr>
          <w:rFonts w:cs="Calibri"/>
          <w:sz w:val="22"/>
          <w:szCs w:val="22"/>
          <w:lang w:val="en"/>
        </w:rPr>
      </w:pPr>
      <w:r w:rsidRPr="00566759">
        <w:rPr>
          <w:rFonts w:cs="Calibri"/>
          <w:sz w:val="22"/>
          <w:szCs w:val="22"/>
          <w:lang w:val="en"/>
        </w:rPr>
        <w:t>Much of the peace ‘architecture’, such as international bodies, is yet to be defined. As well as the above peace process, the government is reinvigorating peace negotiations with Communist groups and pursuing constitutional reforms that would create an as yet undefined ‘federal’ Philippine state.</w:t>
      </w:r>
    </w:p>
    <w:p w14:paraId="71192A24" w14:textId="77777777" w:rsidR="007F615A" w:rsidRPr="00566759" w:rsidRDefault="007F615A" w:rsidP="007F615A">
      <w:pPr>
        <w:autoSpaceDE w:val="0"/>
        <w:autoSpaceDN w:val="0"/>
        <w:adjustRightInd w:val="0"/>
        <w:rPr>
          <w:rFonts w:cs="Calibri"/>
          <w:sz w:val="22"/>
          <w:szCs w:val="22"/>
          <w:lang w:val="en"/>
        </w:rPr>
      </w:pPr>
      <w:r w:rsidRPr="00566759">
        <w:rPr>
          <w:rFonts w:cs="Calibri"/>
          <w:sz w:val="22"/>
          <w:szCs w:val="22"/>
          <w:lang w:val="en"/>
        </w:rPr>
        <w:t xml:space="preserve"> </w:t>
      </w:r>
    </w:p>
    <w:p w14:paraId="6D728EC7" w14:textId="77777777" w:rsidR="007F615A" w:rsidRPr="00566759" w:rsidRDefault="007F615A" w:rsidP="007F615A">
      <w:pPr>
        <w:jc w:val="both"/>
        <w:rPr>
          <w:rFonts w:cs="Calibri"/>
          <w:b/>
          <w:sz w:val="22"/>
          <w:szCs w:val="22"/>
        </w:rPr>
      </w:pPr>
      <w:r w:rsidRPr="00566759">
        <w:rPr>
          <w:rFonts w:cs="Calibri"/>
          <w:b/>
          <w:sz w:val="22"/>
          <w:szCs w:val="22"/>
        </w:rPr>
        <w:t>Australia’s Support for Peace in Muslim Mindanao</w:t>
      </w:r>
    </w:p>
    <w:p w14:paraId="5EDC511E" w14:textId="77777777" w:rsidR="007F615A" w:rsidRPr="00566759" w:rsidRDefault="007F615A" w:rsidP="007F615A">
      <w:pPr>
        <w:autoSpaceDE w:val="0"/>
        <w:autoSpaceDN w:val="0"/>
        <w:adjustRightInd w:val="0"/>
        <w:rPr>
          <w:rFonts w:cs="Calibri"/>
          <w:sz w:val="22"/>
          <w:szCs w:val="22"/>
          <w:lang w:val="en"/>
        </w:rPr>
      </w:pPr>
      <w:r w:rsidRPr="00566759">
        <w:rPr>
          <w:rFonts w:cs="Calibri"/>
          <w:sz w:val="22"/>
          <w:szCs w:val="22"/>
          <w:lang w:val="en"/>
        </w:rPr>
        <w:t>Australia’s support for peace in Muslim Mindanao is currently delivered through the following partners and activities:</w:t>
      </w:r>
    </w:p>
    <w:p w14:paraId="4520CA3C" w14:textId="77777777" w:rsidR="007F615A" w:rsidRPr="00566759" w:rsidRDefault="007F615A" w:rsidP="007F615A">
      <w:pPr>
        <w:autoSpaceDE w:val="0"/>
        <w:autoSpaceDN w:val="0"/>
        <w:adjustRightInd w:val="0"/>
        <w:rPr>
          <w:rFonts w:cs="Calibri"/>
          <w:sz w:val="22"/>
          <w:szCs w:val="22"/>
          <w:lang w:val="en"/>
        </w:rPr>
      </w:pPr>
    </w:p>
    <w:p w14:paraId="15FB2D93" w14:textId="77777777" w:rsidR="007F615A" w:rsidRPr="00566759" w:rsidRDefault="007F615A" w:rsidP="007F615A">
      <w:pPr>
        <w:autoSpaceDE w:val="0"/>
        <w:autoSpaceDN w:val="0"/>
        <w:adjustRightInd w:val="0"/>
        <w:rPr>
          <w:rFonts w:cs="Calibri"/>
          <w:i/>
          <w:sz w:val="22"/>
          <w:szCs w:val="22"/>
          <w:u w:val="single"/>
          <w:lang w:val="en"/>
        </w:rPr>
      </w:pPr>
      <w:r w:rsidRPr="00566759">
        <w:rPr>
          <w:rFonts w:cs="Calibri"/>
          <w:i/>
          <w:sz w:val="22"/>
          <w:szCs w:val="22"/>
          <w:u w:val="single"/>
          <w:lang w:val="en"/>
        </w:rPr>
        <w:t>Building Autonomous and Stable Institutions and Communities in the Bangsamoro (BASIC Bangsamoro) activities ($5.5 million, 2014-2017)</w:t>
      </w:r>
    </w:p>
    <w:p w14:paraId="601028B5" w14:textId="77777777" w:rsidR="007F615A" w:rsidRPr="00566759" w:rsidRDefault="007F615A" w:rsidP="007F615A">
      <w:pPr>
        <w:autoSpaceDE w:val="0"/>
        <w:autoSpaceDN w:val="0"/>
        <w:adjustRightInd w:val="0"/>
        <w:rPr>
          <w:rFonts w:cs="Calibri"/>
          <w:sz w:val="22"/>
          <w:szCs w:val="22"/>
          <w:lang w:val="en"/>
        </w:rPr>
      </w:pPr>
    </w:p>
    <w:p w14:paraId="66F68C75" w14:textId="77777777" w:rsidR="007F615A" w:rsidRPr="00566759" w:rsidRDefault="007F615A" w:rsidP="007F615A">
      <w:pPr>
        <w:pStyle w:val="ListParagraph"/>
        <w:numPr>
          <w:ilvl w:val="0"/>
          <w:numId w:val="15"/>
        </w:numPr>
        <w:autoSpaceDE w:val="0"/>
        <w:autoSpaceDN w:val="0"/>
        <w:adjustRightInd w:val="0"/>
        <w:spacing w:after="120"/>
        <w:contextualSpacing w:val="0"/>
        <w:rPr>
          <w:rFonts w:cs="Calibri"/>
          <w:sz w:val="22"/>
          <w:szCs w:val="22"/>
          <w:lang w:val="en"/>
        </w:rPr>
      </w:pPr>
      <w:r w:rsidRPr="00566759">
        <w:rPr>
          <w:rFonts w:cs="Calibri"/>
          <w:i/>
          <w:sz w:val="22"/>
          <w:szCs w:val="22"/>
          <w:lang w:val="en"/>
        </w:rPr>
        <w:t>International Alert</w:t>
      </w:r>
      <w:r w:rsidRPr="00566759">
        <w:rPr>
          <w:rFonts w:cs="Calibri"/>
          <w:sz w:val="22"/>
          <w:szCs w:val="22"/>
          <w:lang w:val="en"/>
        </w:rPr>
        <w:t>: Building Legitimate Institutions for a Durable Peace: Minimizing Conflict Risks and Maximizing Peace Dividends in the Bangsamoro ($2 million, October 2014 – June 2017)</w:t>
      </w:r>
    </w:p>
    <w:p w14:paraId="1B774324" w14:textId="77777777" w:rsidR="007F615A" w:rsidRPr="00566759" w:rsidRDefault="007F615A" w:rsidP="007F615A">
      <w:pPr>
        <w:pStyle w:val="ListParagraph"/>
        <w:numPr>
          <w:ilvl w:val="1"/>
          <w:numId w:val="15"/>
        </w:numPr>
        <w:autoSpaceDE w:val="0"/>
        <w:autoSpaceDN w:val="0"/>
        <w:adjustRightInd w:val="0"/>
        <w:spacing w:after="120"/>
        <w:contextualSpacing w:val="0"/>
        <w:rPr>
          <w:rFonts w:cs="Calibri"/>
          <w:sz w:val="22"/>
          <w:szCs w:val="22"/>
          <w:lang w:val="en"/>
        </w:rPr>
      </w:pPr>
      <w:r w:rsidRPr="00566759">
        <w:rPr>
          <w:rFonts w:cs="Calibri"/>
          <w:sz w:val="22"/>
          <w:szCs w:val="22"/>
          <w:lang w:val="en"/>
        </w:rPr>
        <w:t xml:space="preserve">working with three grassroots organisations: PAILIG Development Foundation, LUPAH Sug Bangsamoro Women's Association and TASBIKKA Inc. </w:t>
      </w:r>
    </w:p>
    <w:p w14:paraId="49577F5D" w14:textId="77777777" w:rsidR="007F615A" w:rsidRPr="00566759" w:rsidRDefault="007F615A" w:rsidP="007F615A">
      <w:pPr>
        <w:pStyle w:val="ListParagraph"/>
        <w:numPr>
          <w:ilvl w:val="1"/>
          <w:numId w:val="15"/>
        </w:numPr>
        <w:autoSpaceDE w:val="0"/>
        <w:autoSpaceDN w:val="0"/>
        <w:adjustRightInd w:val="0"/>
        <w:spacing w:after="120"/>
        <w:contextualSpacing w:val="0"/>
        <w:rPr>
          <w:rFonts w:cs="Calibri"/>
          <w:sz w:val="22"/>
          <w:szCs w:val="22"/>
          <w:lang w:val="en"/>
        </w:rPr>
      </w:pPr>
      <w:r w:rsidRPr="00566759">
        <w:rPr>
          <w:rFonts w:cs="Calibri"/>
          <w:sz w:val="22"/>
          <w:szCs w:val="22"/>
          <w:lang w:val="en"/>
        </w:rPr>
        <w:t>activities include neutralising the spread of firearms, harnessing development potential of cross-border trade in Sulu Sea, sustaining support to the peace process, providing real time conflict data from Alert's Bangsamoro Conflict Monitoring System, strengthening peace advocacy networks, working with Ulamas, land and clan mapping to address issues of violent conflict and clan feuding.</w:t>
      </w:r>
    </w:p>
    <w:p w14:paraId="3CBDF0F8" w14:textId="77777777" w:rsidR="007F615A" w:rsidRPr="00566759" w:rsidRDefault="007F615A" w:rsidP="007F615A">
      <w:pPr>
        <w:autoSpaceDE w:val="0"/>
        <w:autoSpaceDN w:val="0"/>
        <w:adjustRightInd w:val="0"/>
        <w:spacing w:after="120"/>
        <w:ind w:left="360"/>
        <w:rPr>
          <w:rFonts w:cs="Calibri"/>
          <w:sz w:val="22"/>
          <w:szCs w:val="22"/>
          <w:lang w:val="en"/>
        </w:rPr>
      </w:pPr>
      <w:r w:rsidRPr="00566759">
        <w:rPr>
          <w:rFonts w:cs="Calibri"/>
          <w:i/>
          <w:sz w:val="22"/>
          <w:szCs w:val="22"/>
          <w:lang w:val="en"/>
        </w:rPr>
        <w:t>NOTE</w:t>
      </w:r>
      <w:r w:rsidRPr="00566759">
        <w:rPr>
          <w:rFonts w:cs="Calibri"/>
          <w:sz w:val="22"/>
          <w:szCs w:val="22"/>
          <w:lang w:val="en"/>
        </w:rPr>
        <w:t>: International Alert is, under the same agreement, delivering additional support to the peace process worth $1.5 million.</w:t>
      </w:r>
    </w:p>
    <w:p w14:paraId="5DD2404B" w14:textId="77777777" w:rsidR="007F615A" w:rsidRPr="00566759" w:rsidRDefault="007F615A" w:rsidP="007F615A">
      <w:pPr>
        <w:pStyle w:val="ListParagraph"/>
        <w:numPr>
          <w:ilvl w:val="0"/>
          <w:numId w:val="15"/>
        </w:numPr>
        <w:autoSpaceDE w:val="0"/>
        <w:autoSpaceDN w:val="0"/>
        <w:adjustRightInd w:val="0"/>
        <w:spacing w:after="120"/>
        <w:contextualSpacing w:val="0"/>
        <w:rPr>
          <w:rFonts w:cs="Calibri"/>
          <w:sz w:val="22"/>
          <w:szCs w:val="22"/>
          <w:lang w:val="en"/>
        </w:rPr>
      </w:pPr>
      <w:r w:rsidRPr="00566759">
        <w:rPr>
          <w:rFonts w:cs="Calibri"/>
          <w:i/>
          <w:sz w:val="22"/>
          <w:szCs w:val="22"/>
          <w:lang w:val="en"/>
        </w:rPr>
        <w:t>The Asia Foundation</w:t>
      </w:r>
      <w:r w:rsidRPr="00566759">
        <w:rPr>
          <w:rFonts w:cs="Calibri"/>
          <w:sz w:val="22"/>
          <w:szCs w:val="22"/>
          <w:lang w:val="en"/>
        </w:rPr>
        <w:t>: Building Autonomous and Stable Institutions and Communities for Bangsamoro Advancement through National-level and Grassroots Organisation and Networks (B-BANGON) ($1.4 million, November 2014 – June 2017)</w:t>
      </w:r>
    </w:p>
    <w:p w14:paraId="65F97428" w14:textId="77777777" w:rsidR="007F615A" w:rsidRPr="00566759" w:rsidRDefault="007F615A" w:rsidP="007F615A">
      <w:pPr>
        <w:pStyle w:val="ListParagraph"/>
        <w:numPr>
          <w:ilvl w:val="1"/>
          <w:numId w:val="15"/>
        </w:numPr>
        <w:autoSpaceDE w:val="0"/>
        <w:autoSpaceDN w:val="0"/>
        <w:adjustRightInd w:val="0"/>
        <w:spacing w:after="120"/>
        <w:contextualSpacing w:val="0"/>
        <w:rPr>
          <w:rFonts w:cs="Calibri"/>
          <w:sz w:val="22"/>
          <w:szCs w:val="22"/>
          <w:lang w:val="en"/>
        </w:rPr>
      </w:pPr>
      <w:r w:rsidRPr="00566759">
        <w:rPr>
          <w:rFonts w:cs="Calibri"/>
          <w:sz w:val="22"/>
          <w:szCs w:val="22"/>
          <w:lang w:val="en"/>
        </w:rPr>
        <w:t>working with 28 organisations with strong networks in Mindanao, the project aims to strengthen local mechanisms to avert escalation of local conflict and ensure that the peace process is widely supported</w:t>
      </w:r>
    </w:p>
    <w:p w14:paraId="2DEA067D" w14:textId="77777777" w:rsidR="007F615A" w:rsidRPr="00566759" w:rsidRDefault="007F615A" w:rsidP="007F615A">
      <w:pPr>
        <w:pStyle w:val="ListParagraph"/>
        <w:numPr>
          <w:ilvl w:val="1"/>
          <w:numId w:val="15"/>
        </w:numPr>
        <w:autoSpaceDE w:val="0"/>
        <w:autoSpaceDN w:val="0"/>
        <w:adjustRightInd w:val="0"/>
        <w:spacing w:after="120"/>
        <w:contextualSpacing w:val="0"/>
        <w:rPr>
          <w:rFonts w:cs="Calibri"/>
          <w:sz w:val="22"/>
          <w:szCs w:val="22"/>
          <w:lang w:val="en"/>
        </w:rPr>
      </w:pPr>
      <w:r w:rsidRPr="00566759">
        <w:rPr>
          <w:rFonts w:cs="Calibri"/>
          <w:sz w:val="22"/>
          <w:szCs w:val="22"/>
          <w:lang w:val="en"/>
        </w:rPr>
        <w:t>components include research and analysis, media engagement for responsible and inclusive reporting, advocacy and outreach, inventory and scoping of conflict and ensure formal-informal coordination on local conflict management.</w:t>
      </w:r>
    </w:p>
    <w:p w14:paraId="0607A8BA" w14:textId="77777777" w:rsidR="007F615A" w:rsidRPr="00566759" w:rsidRDefault="007F615A" w:rsidP="007F615A">
      <w:pPr>
        <w:pStyle w:val="ListParagraph"/>
        <w:numPr>
          <w:ilvl w:val="0"/>
          <w:numId w:val="15"/>
        </w:numPr>
        <w:autoSpaceDE w:val="0"/>
        <w:autoSpaceDN w:val="0"/>
        <w:adjustRightInd w:val="0"/>
        <w:spacing w:after="120"/>
        <w:contextualSpacing w:val="0"/>
        <w:rPr>
          <w:rFonts w:cs="Calibri"/>
          <w:sz w:val="22"/>
          <w:szCs w:val="22"/>
          <w:lang w:val="en"/>
        </w:rPr>
      </w:pPr>
      <w:r w:rsidRPr="00566759">
        <w:rPr>
          <w:rFonts w:cs="Calibri"/>
          <w:i/>
          <w:sz w:val="22"/>
          <w:szCs w:val="22"/>
          <w:lang w:val="en"/>
        </w:rPr>
        <w:t>Oxfam</w:t>
      </w:r>
      <w:r w:rsidRPr="00566759">
        <w:rPr>
          <w:rFonts w:cs="Calibri"/>
          <w:sz w:val="22"/>
          <w:szCs w:val="22"/>
          <w:lang w:val="en"/>
        </w:rPr>
        <w:t>: Building Autonomous and Stable Institutions and Communities Through Socially Cohesive, Transparent, Accountable and Responsive Transition in the Bangsamoro ($0.9 million, November 2014 – June 2017)</w:t>
      </w:r>
    </w:p>
    <w:p w14:paraId="6EE0ADB3" w14:textId="77777777" w:rsidR="007F615A" w:rsidRPr="00566759" w:rsidRDefault="007F615A" w:rsidP="007F615A">
      <w:pPr>
        <w:pStyle w:val="ListParagraph"/>
        <w:numPr>
          <w:ilvl w:val="1"/>
          <w:numId w:val="15"/>
        </w:numPr>
        <w:autoSpaceDE w:val="0"/>
        <w:autoSpaceDN w:val="0"/>
        <w:adjustRightInd w:val="0"/>
        <w:spacing w:after="120"/>
        <w:contextualSpacing w:val="0"/>
        <w:rPr>
          <w:rFonts w:cs="Calibri"/>
          <w:sz w:val="22"/>
          <w:szCs w:val="22"/>
          <w:lang w:val="en"/>
        </w:rPr>
      </w:pPr>
      <w:r w:rsidRPr="00566759">
        <w:rPr>
          <w:rFonts w:cs="Calibri"/>
          <w:sz w:val="22"/>
          <w:szCs w:val="22"/>
          <w:lang w:val="en"/>
        </w:rPr>
        <w:t>working with six women’s organisations (We Act 1325 and partner members) to advance women's participation and leadership in conflict resolution and peacebuilding</w:t>
      </w:r>
    </w:p>
    <w:p w14:paraId="3C74ACD4" w14:textId="77777777" w:rsidR="007F615A" w:rsidRPr="00566759" w:rsidRDefault="007F615A" w:rsidP="007F615A">
      <w:pPr>
        <w:pStyle w:val="ListParagraph"/>
        <w:numPr>
          <w:ilvl w:val="1"/>
          <w:numId w:val="15"/>
        </w:numPr>
        <w:autoSpaceDE w:val="0"/>
        <w:autoSpaceDN w:val="0"/>
        <w:adjustRightInd w:val="0"/>
        <w:spacing w:after="120"/>
        <w:contextualSpacing w:val="0"/>
        <w:rPr>
          <w:rFonts w:cs="Calibri"/>
          <w:sz w:val="22"/>
          <w:szCs w:val="22"/>
          <w:lang w:val="en"/>
        </w:rPr>
      </w:pPr>
      <w:r w:rsidRPr="00566759">
        <w:rPr>
          <w:rFonts w:cs="Calibri"/>
          <w:sz w:val="22"/>
          <w:szCs w:val="22"/>
          <w:lang w:val="en"/>
        </w:rPr>
        <w:lastRenderedPageBreak/>
        <w:t>activities include building capacity of women in conflict resolution and peacebuilding, completion of an action research on women's security; on-going review and assessment of the Local National Action Plan on women, peace and security and implementation of peace and development projects by women.</w:t>
      </w:r>
    </w:p>
    <w:p w14:paraId="63172425" w14:textId="77777777" w:rsidR="007F615A" w:rsidRPr="00566759" w:rsidRDefault="007F615A" w:rsidP="007F615A">
      <w:pPr>
        <w:pStyle w:val="ListParagraph"/>
        <w:numPr>
          <w:ilvl w:val="0"/>
          <w:numId w:val="15"/>
        </w:numPr>
        <w:autoSpaceDE w:val="0"/>
        <w:autoSpaceDN w:val="0"/>
        <w:adjustRightInd w:val="0"/>
        <w:spacing w:after="120"/>
        <w:contextualSpacing w:val="0"/>
        <w:rPr>
          <w:rFonts w:cs="Calibri"/>
          <w:sz w:val="22"/>
          <w:szCs w:val="22"/>
          <w:lang w:val="en"/>
        </w:rPr>
      </w:pPr>
      <w:r w:rsidRPr="00566759">
        <w:rPr>
          <w:rFonts w:cs="Calibri"/>
          <w:i/>
          <w:sz w:val="22"/>
          <w:szCs w:val="22"/>
          <w:lang w:val="en"/>
        </w:rPr>
        <w:t>The Institute for Autonomy and Governance</w:t>
      </w:r>
      <w:r w:rsidRPr="00566759">
        <w:rPr>
          <w:rFonts w:cs="Calibri"/>
          <w:sz w:val="22"/>
          <w:szCs w:val="22"/>
          <w:lang w:val="en"/>
        </w:rPr>
        <w:t>: Promoting Political Climate and Stability for Peace in the Bangsamoro ($1.2 million, December 2014 – June 2017)</w:t>
      </w:r>
    </w:p>
    <w:p w14:paraId="09D28533" w14:textId="77777777" w:rsidR="007F615A" w:rsidRPr="00566759" w:rsidRDefault="007F615A" w:rsidP="007F615A">
      <w:pPr>
        <w:pStyle w:val="ListParagraph"/>
        <w:numPr>
          <w:ilvl w:val="1"/>
          <w:numId w:val="15"/>
        </w:numPr>
        <w:autoSpaceDE w:val="0"/>
        <w:autoSpaceDN w:val="0"/>
        <w:adjustRightInd w:val="0"/>
        <w:spacing w:after="120"/>
        <w:contextualSpacing w:val="0"/>
        <w:rPr>
          <w:rFonts w:cs="Calibri"/>
          <w:sz w:val="22"/>
          <w:szCs w:val="22"/>
          <w:lang w:val="en"/>
        </w:rPr>
      </w:pPr>
      <w:r w:rsidRPr="00566759">
        <w:rPr>
          <w:rFonts w:cs="Calibri"/>
          <w:sz w:val="22"/>
          <w:szCs w:val="22"/>
          <w:lang w:val="en"/>
        </w:rPr>
        <w:t>the project aims to build support among local political leaders for the peace process, technical assistance in the development of the local governance and security framework, supporting the peace and order councils and linking local government units and normalisation bodies</w:t>
      </w:r>
    </w:p>
    <w:p w14:paraId="6C4C9C43" w14:textId="77777777" w:rsidR="007F615A" w:rsidRPr="00566759" w:rsidRDefault="007F615A" w:rsidP="007F615A">
      <w:pPr>
        <w:pStyle w:val="ListParagraph"/>
        <w:numPr>
          <w:ilvl w:val="1"/>
          <w:numId w:val="15"/>
        </w:numPr>
        <w:autoSpaceDE w:val="0"/>
        <w:autoSpaceDN w:val="0"/>
        <w:adjustRightInd w:val="0"/>
        <w:spacing w:after="120"/>
        <w:contextualSpacing w:val="0"/>
        <w:rPr>
          <w:rFonts w:cs="Calibri"/>
          <w:sz w:val="22"/>
          <w:szCs w:val="22"/>
          <w:lang w:val="en"/>
        </w:rPr>
      </w:pPr>
      <w:r w:rsidRPr="00566759">
        <w:rPr>
          <w:rFonts w:cs="Calibri"/>
          <w:sz w:val="22"/>
          <w:szCs w:val="22"/>
          <w:lang w:val="en"/>
        </w:rPr>
        <w:t>working with three organisations – Philippine Center for Islam and Democracy (PCID), Local Government Development Foundation (LOGODEF), and Zamboanga Basilan Integrated Development Alliance (ZABIDA).</w:t>
      </w:r>
    </w:p>
    <w:p w14:paraId="5213B305" w14:textId="77777777" w:rsidR="007F615A" w:rsidRPr="00566759" w:rsidRDefault="007F615A" w:rsidP="007F615A">
      <w:pPr>
        <w:autoSpaceDE w:val="0"/>
        <w:autoSpaceDN w:val="0"/>
        <w:adjustRightInd w:val="0"/>
        <w:spacing w:after="120"/>
        <w:rPr>
          <w:rFonts w:cs="Calibri"/>
          <w:i/>
          <w:sz w:val="22"/>
          <w:szCs w:val="22"/>
          <w:u w:val="single"/>
          <w:lang w:val="en"/>
        </w:rPr>
      </w:pPr>
      <w:r w:rsidRPr="00566759">
        <w:rPr>
          <w:rFonts w:cs="Calibri"/>
          <w:i/>
          <w:sz w:val="22"/>
          <w:szCs w:val="22"/>
          <w:u w:val="single"/>
          <w:lang w:val="en"/>
        </w:rPr>
        <w:t>Multilateral activities</w:t>
      </w:r>
    </w:p>
    <w:p w14:paraId="58C7AA3F" w14:textId="77777777" w:rsidR="007F615A" w:rsidRPr="00566759" w:rsidRDefault="007F615A" w:rsidP="007F615A">
      <w:pPr>
        <w:pStyle w:val="ListParagraph"/>
        <w:numPr>
          <w:ilvl w:val="0"/>
          <w:numId w:val="15"/>
        </w:numPr>
        <w:autoSpaceDE w:val="0"/>
        <w:autoSpaceDN w:val="0"/>
        <w:adjustRightInd w:val="0"/>
        <w:spacing w:after="120"/>
        <w:contextualSpacing w:val="0"/>
        <w:rPr>
          <w:rFonts w:cs="Calibri"/>
          <w:sz w:val="22"/>
          <w:szCs w:val="22"/>
          <w:lang w:val="en"/>
        </w:rPr>
      </w:pPr>
      <w:r w:rsidRPr="00566759">
        <w:rPr>
          <w:rFonts w:cs="Calibri"/>
          <w:i/>
          <w:sz w:val="22"/>
          <w:szCs w:val="22"/>
          <w:lang w:val="en"/>
        </w:rPr>
        <w:t>Facility for Advisory Support for Transition Capacities (FASTRAC)</w:t>
      </w:r>
      <w:r w:rsidRPr="00566759">
        <w:rPr>
          <w:rFonts w:cs="Calibri"/>
          <w:sz w:val="22"/>
          <w:szCs w:val="22"/>
          <w:lang w:val="en"/>
        </w:rPr>
        <w:t>: joint UNDP and World Bank initiative ($2.3 million, April 2013 – June 2017)</w:t>
      </w:r>
    </w:p>
    <w:p w14:paraId="7EDB0E25" w14:textId="77777777" w:rsidR="007F615A" w:rsidRPr="00566759" w:rsidRDefault="007F615A" w:rsidP="007F615A">
      <w:pPr>
        <w:pStyle w:val="ListParagraph"/>
        <w:numPr>
          <w:ilvl w:val="1"/>
          <w:numId w:val="15"/>
        </w:numPr>
        <w:autoSpaceDE w:val="0"/>
        <w:autoSpaceDN w:val="0"/>
        <w:adjustRightInd w:val="0"/>
        <w:spacing w:after="120"/>
        <w:contextualSpacing w:val="0"/>
        <w:rPr>
          <w:rFonts w:cs="Calibri"/>
          <w:sz w:val="22"/>
          <w:szCs w:val="22"/>
          <w:lang w:val="en"/>
        </w:rPr>
      </w:pPr>
      <w:r w:rsidRPr="00566759">
        <w:rPr>
          <w:rFonts w:cs="Calibri"/>
          <w:sz w:val="22"/>
          <w:szCs w:val="22"/>
          <w:lang w:val="en"/>
        </w:rPr>
        <w:t>in support of peace negotiations and a subsequent peace agreement, provides technical assistance and advice on key issues in the transition to the Bangsamoro as determined by the GPH and MILF Peace Negotiating Panels and the Bangsamoro Transition Commission (BTC)</w:t>
      </w:r>
    </w:p>
    <w:p w14:paraId="34BAAAC9" w14:textId="77777777" w:rsidR="007F615A" w:rsidRPr="00566759" w:rsidRDefault="007F615A" w:rsidP="007F615A">
      <w:pPr>
        <w:pStyle w:val="ListParagraph"/>
        <w:numPr>
          <w:ilvl w:val="1"/>
          <w:numId w:val="15"/>
        </w:numPr>
        <w:autoSpaceDE w:val="0"/>
        <w:autoSpaceDN w:val="0"/>
        <w:adjustRightInd w:val="0"/>
        <w:spacing w:after="120"/>
        <w:contextualSpacing w:val="0"/>
        <w:rPr>
          <w:rFonts w:cs="Calibri"/>
          <w:sz w:val="22"/>
          <w:szCs w:val="22"/>
          <w:lang w:val="en"/>
        </w:rPr>
      </w:pPr>
      <w:r w:rsidRPr="00566759">
        <w:rPr>
          <w:rFonts w:cs="Calibri"/>
          <w:sz w:val="22"/>
          <w:szCs w:val="22"/>
          <w:lang w:val="en"/>
        </w:rPr>
        <w:t xml:space="preserve">provides national and international expertise and advice to the BTC, Joint Normalisation Commission (JNC), The Transitional Justice and Reconciliation Commission (TJRC) and other associated bodies on key issues in the Bangsamoro such as governance, economic development, public administration, justice, combatant transition and security </w:t>
      </w:r>
    </w:p>
    <w:p w14:paraId="7836B8E8" w14:textId="77777777" w:rsidR="007F615A" w:rsidRPr="00566759" w:rsidRDefault="007F615A" w:rsidP="007F615A">
      <w:pPr>
        <w:pStyle w:val="ListParagraph"/>
        <w:numPr>
          <w:ilvl w:val="1"/>
          <w:numId w:val="15"/>
        </w:numPr>
        <w:autoSpaceDE w:val="0"/>
        <w:autoSpaceDN w:val="0"/>
        <w:adjustRightInd w:val="0"/>
        <w:spacing w:after="120"/>
        <w:contextualSpacing w:val="0"/>
        <w:rPr>
          <w:rFonts w:cs="Calibri"/>
          <w:sz w:val="22"/>
          <w:szCs w:val="22"/>
          <w:lang w:val="en"/>
        </w:rPr>
      </w:pPr>
      <w:r w:rsidRPr="00566759">
        <w:rPr>
          <w:rFonts w:cs="Calibri"/>
          <w:sz w:val="22"/>
          <w:szCs w:val="22"/>
          <w:lang w:val="en"/>
        </w:rPr>
        <w:t>funds public consultations and roundtable discussions on key policy changes for the Bangsamoro Basic Law (BBL).</w:t>
      </w:r>
    </w:p>
    <w:p w14:paraId="66609EF4" w14:textId="77777777" w:rsidR="007F615A" w:rsidRPr="00566759" w:rsidRDefault="007F615A" w:rsidP="007F615A">
      <w:pPr>
        <w:pStyle w:val="ListParagraph"/>
        <w:numPr>
          <w:ilvl w:val="0"/>
          <w:numId w:val="15"/>
        </w:numPr>
        <w:autoSpaceDE w:val="0"/>
        <w:autoSpaceDN w:val="0"/>
        <w:adjustRightInd w:val="0"/>
        <w:spacing w:after="120"/>
        <w:contextualSpacing w:val="0"/>
        <w:rPr>
          <w:rFonts w:cs="Calibri"/>
          <w:sz w:val="22"/>
          <w:szCs w:val="22"/>
          <w:lang w:val="en"/>
        </w:rPr>
      </w:pPr>
      <w:r w:rsidRPr="00566759">
        <w:rPr>
          <w:rFonts w:cs="Calibri"/>
          <w:i/>
          <w:sz w:val="22"/>
          <w:szCs w:val="22"/>
          <w:lang w:val="en"/>
        </w:rPr>
        <w:t>Mindanao Trust Fund (World Bank)</w:t>
      </w:r>
      <w:r w:rsidRPr="00566759">
        <w:rPr>
          <w:rFonts w:cs="Calibri"/>
          <w:sz w:val="22"/>
          <w:szCs w:val="22"/>
          <w:lang w:val="en"/>
        </w:rPr>
        <w:t>: World Bank administered trust fund ($3.36 million, June 2005 – December 2016)</w:t>
      </w:r>
    </w:p>
    <w:p w14:paraId="23BEEE74" w14:textId="77777777" w:rsidR="007F615A" w:rsidRPr="00566759" w:rsidRDefault="007F615A" w:rsidP="007F615A">
      <w:pPr>
        <w:pStyle w:val="ListParagraph"/>
        <w:numPr>
          <w:ilvl w:val="1"/>
          <w:numId w:val="15"/>
        </w:numPr>
        <w:autoSpaceDE w:val="0"/>
        <w:autoSpaceDN w:val="0"/>
        <w:adjustRightInd w:val="0"/>
        <w:spacing w:after="120"/>
        <w:contextualSpacing w:val="0"/>
        <w:rPr>
          <w:rFonts w:cs="Calibri"/>
          <w:sz w:val="22"/>
          <w:szCs w:val="22"/>
          <w:lang w:val="en"/>
        </w:rPr>
      </w:pPr>
      <w:r w:rsidRPr="00566759">
        <w:rPr>
          <w:rFonts w:cs="Calibri"/>
          <w:sz w:val="22"/>
          <w:szCs w:val="22"/>
          <w:lang w:val="en"/>
        </w:rPr>
        <w:t>supported the drafting of the Bangsamoro Development Plan (BDP), agreed by the GPH and the MILF</w:t>
      </w:r>
    </w:p>
    <w:p w14:paraId="6ECE9C9F" w14:textId="77777777" w:rsidR="007F615A" w:rsidRPr="00566759" w:rsidRDefault="007F615A" w:rsidP="007F615A">
      <w:pPr>
        <w:pStyle w:val="ListParagraph"/>
        <w:numPr>
          <w:ilvl w:val="1"/>
          <w:numId w:val="15"/>
        </w:numPr>
        <w:autoSpaceDE w:val="0"/>
        <w:autoSpaceDN w:val="0"/>
        <w:adjustRightInd w:val="0"/>
        <w:spacing w:after="120"/>
        <w:contextualSpacing w:val="0"/>
        <w:rPr>
          <w:rFonts w:cs="Calibri"/>
          <w:sz w:val="22"/>
          <w:szCs w:val="22"/>
          <w:lang w:val="en"/>
        </w:rPr>
      </w:pPr>
      <w:r w:rsidRPr="00566759">
        <w:rPr>
          <w:rFonts w:cs="Calibri"/>
          <w:sz w:val="22"/>
          <w:szCs w:val="22"/>
          <w:lang w:val="en"/>
        </w:rPr>
        <w:t>the Reconstruction and Development Program supports four activities: Community Driven Development (CDD)/Community Driven Reconstruction (CDR); a livelihoods component, the Program for Local Economic Development through Enhanced Governance and Grassroots Empowerment (PLEDGE); operational costs for the MILF Project Management Team for the Sajahatra Bangsamoro program, a joint GPF-MILF activity aimed at improving</w:t>
      </w:r>
      <w:r w:rsidRPr="00566759">
        <w:rPr>
          <w:rFonts w:cs="Calibri"/>
          <w:sz w:val="22"/>
          <w:szCs w:val="22"/>
        </w:rPr>
        <w:t xml:space="preserve"> </w:t>
      </w:r>
      <w:r w:rsidRPr="00566759">
        <w:rPr>
          <w:rFonts w:cs="Calibri"/>
          <w:sz w:val="22"/>
          <w:szCs w:val="22"/>
          <w:lang w:val="en"/>
        </w:rPr>
        <w:t>health, education, and livelihood conditions of MILF communities</w:t>
      </w:r>
    </w:p>
    <w:p w14:paraId="075B80B8" w14:textId="77777777" w:rsidR="007F615A" w:rsidRPr="00566759" w:rsidRDefault="007F615A" w:rsidP="007F615A">
      <w:pPr>
        <w:pStyle w:val="ListParagraph"/>
        <w:numPr>
          <w:ilvl w:val="1"/>
          <w:numId w:val="15"/>
        </w:numPr>
        <w:autoSpaceDE w:val="0"/>
        <w:autoSpaceDN w:val="0"/>
        <w:adjustRightInd w:val="0"/>
        <w:spacing w:after="120"/>
        <w:contextualSpacing w:val="0"/>
        <w:rPr>
          <w:rFonts w:cs="Calibri"/>
          <w:sz w:val="22"/>
          <w:szCs w:val="22"/>
          <w:lang w:val="en"/>
        </w:rPr>
      </w:pPr>
      <w:r w:rsidRPr="00566759">
        <w:rPr>
          <w:rFonts w:cs="Calibri"/>
          <w:sz w:val="22"/>
          <w:szCs w:val="22"/>
          <w:lang w:val="en"/>
        </w:rPr>
        <w:t xml:space="preserve">in December 2015, new programs were approved such as community development and livelihood assistance from December 2015 to December 2016 through the Bangsamoro ADVANCE program to provide: (i) assistance communities in the area of the six acknowledged camps and 25 Base Commands of the MILF; (ii) additional support for vulnerable groups in the area of the six </w:t>
      </w:r>
      <w:r w:rsidRPr="00566759">
        <w:rPr>
          <w:rFonts w:cs="Calibri"/>
          <w:sz w:val="22"/>
          <w:szCs w:val="22"/>
          <w:lang w:val="en"/>
        </w:rPr>
        <w:lastRenderedPageBreak/>
        <w:t>Camps; and (iii) technical assistance to the parties to design a Program Management Office/Executive Secretariat for Normalization.</w:t>
      </w:r>
    </w:p>
    <w:p w14:paraId="5C65B72F" w14:textId="77777777" w:rsidR="007F615A" w:rsidRPr="00566759" w:rsidRDefault="007F615A" w:rsidP="007F615A">
      <w:pPr>
        <w:autoSpaceDE w:val="0"/>
        <w:autoSpaceDN w:val="0"/>
        <w:adjustRightInd w:val="0"/>
        <w:spacing w:after="120"/>
        <w:rPr>
          <w:rFonts w:cs="Calibri"/>
          <w:i/>
          <w:sz w:val="22"/>
          <w:szCs w:val="22"/>
          <w:u w:val="single"/>
          <w:lang w:val="en"/>
        </w:rPr>
      </w:pPr>
      <w:r w:rsidRPr="00566759">
        <w:rPr>
          <w:rFonts w:cs="Calibri"/>
          <w:i/>
          <w:sz w:val="22"/>
          <w:szCs w:val="22"/>
          <w:u w:val="single"/>
          <w:lang w:val="en"/>
        </w:rPr>
        <w:t>Bilateral activities</w:t>
      </w:r>
    </w:p>
    <w:p w14:paraId="45316396" w14:textId="77777777" w:rsidR="007F615A" w:rsidRPr="00566759" w:rsidRDefault="007F615A" w:rsidP="007F615A">
      <w:pPr>
        <w:pStyle w:val="ListParagraph"/>
        <w:numPr>
          <w:ilvl w:val="0"/>
          <w:numId w:val="15"/>
        </w:numPr>
        <w:autoSpaceDE w:val="0"/>
        <w:autoSpaceDN w:val="0"/>
        <w:adjustRightInd w:val="0"/>
        <w:spacing w:after="120"/>
        <w:rPr>
          <w:rFonts w:cs="Calibri"/>
          <w:sz w:val="22"/>
          <w:szCs w:val="22"/>
          <w:lang w:val="en"/>
        </w:rPr>
      </w:pPr>
      <w:r w:rsidRPr="00566759">
        <w:rPr>
          <w:rFonts w:cs="Calibri"/>
          <w:i/>
          <w:sz w:val="22"/>
          <w:szCs w:val="22"/>
          <w:lang w:val="en"/>
        </w:rPr>
        <w:t xml:space="preserve">Office of the Presidential Advisor on the Peace Process (OPAPP): </w:t>
      </w:r>
      <w:r w:rsidRPr="00566759">
        <w:rPr>
          <w:rFonts w:cs="Calibri"/>
          <w:sz w:val="22"/>
          <w:szCs w:val="22"/>
          <w:lang w:val="en"/>
        </w:rPr>
        <w:t>($0.5 million, June 2014 – June 2016)</w:t>
      </w:r>
    </w:p>
    <w:p w14:paraId="12C63F59" w14:textId="77777777" w:rsidR="007F615A" w:rsidRPr="00566759" w:rsidRDefault="007F615A" w:rsidP="007F615A">
      <w:pPr>
        <w:pStyle w:val="ListParagraph"/>
        <w:numPr>
          <w:ilvl w:val="1"/>
          <w:numId w:val="15"/>
        </w:numPr>
        <w:autoSpaceDE w:val="0"/>
        <w:autoSpaceDN w:val="0"/>
        <w:adjustRightInd w:val="0"/>
        <w:spacing w:after="120"/>
        <w:rPr>
          <w:rFonts w:cs="Calibri"/>
          <w:sz w:val="22"/>
          <w:szCs w:val="22"/>
          <w:lang w:val="en"/>
        </w:rPr>
      </w:pPr>
      <w:r w:rsidRPr="00566759">
        <w:rPr>
          <w:rFonts w:cs="Calibri"/>
          <w:sz w:val="22"/>
          <w:szCs w:val="22"/>
          <w:lang w:val="en"/>
        </w:rPr>
        <w:t>direct funding to enable OPAPP to deliver on the peace process, including through public awareness campaigns.</w:t>
      </w:r>
    </w:p>
    <w:p w14:paraId="5A78E23E" w14:textId="77777777" w:rsidR="007F615A" w:rsidRPr="00566759" w:rsidRDefault="007F615A" w:rsidP="007F615A">
      <w:pPr>
        <w:rPr>
          <w:rFonts w:cs="Calibri"/>
          <w:i/>
          <w:sz w:val="22"/>
          <w:szCs w:val="22"/>
          <w:u w:val="single"/>
        </w:rPr>
      </w:pPr>
      <w:r w:rsidRPr="00566759">
        <w:rPr>
          <w:rFonts w:cs="Calibri"/>
          <w:i/>
          <w:sz w:val="22"/>
          <w:szCs w:val="22"/>
          <w:u w:val="single"/>
        </w:rPr>
        <w:t>Activities delivered through other programs</w:t>
      </w:r>
    </w:p>
    <w:p w14:paraId="797B8F27" w14:textId="77777777" w:rsidR="007F615A" w:rsidRPr="00566759" w:rsidRDefault="007F615A" w:rsidP="007F615A">
      <w:pPr>
        <w:rPr>
          <w:rFonts w:cs="Calibri"/>
          <w:i/>
          <w:sz w:val="22"/>
          <w:szCs w:val="22"/>
        </w:rPr>
      </w:pPr>
    </w:p>
    <w:p w14:paraId="6A8C451B" w14:textId="77777777" w:rsidR="007F615A" w:rsidRPr="00566759" w:rsidRDefault="007F615A" w:rsidP="007F615A">
      <w:pPr>
        <w:rPr>
          <w:rFonts w:cs="Calibri"/>
          <w:sz w:val="22"/>
          <w:szCs w:val="22"/>
        </w:rPr>
      </w:pPr>
      <w:r w:rsidRPr="00566759">
        <w:rPr>
          <w:rFonts w:cs="Calibri"/>
          <w:i/>
          <w:sz w:val="22"/>
          <w:szCs w:val="22"/>
        </w:rPr>
        <w:t>Human Resource and Organisational Development Facility (HRODF)</w:t>
      </w:r>
      <w:r w:rsidRPr="00566759">
        <w:rPr>
          <w:rFonts w:cs="Calibri"/>
          <w:sz w:val="22"/>
          <w:szCs w:val="22"/>
        </w:rPr>
        <w:t>:</w:t>
      </w:r>
    </w:p>
    <w:p w14:paraId="2243FBD2" w14:textId="77777777" w:rsidR="007F615A" w:rsidRPr="00566759" w:rsidRDefault="007F615A" w:rsidP="007F615A">
      <w:pPr>
        <w:rPr>
          <w:rFonts w:cs="Calibri"/>
          <w:sz w:val="22"/>
          <w:szCs w:val="22"/>
        </w:rPr>
      </w:pPr>
      <w:r w:rsidRPr="00566759">
        <w:rPr>
          <w:rFonts w:cs="Calibri"/>
          <w:sz w:val="22"/>
          <w:szCs w:val="22"/>
        </w:rPr>
        <w:t xml:space="preserve">HRODF provides a suite of human resource and organisational development training.  It helps the Bangsamoro Development Agency (BDA), the Bangsamoro Leadership and Management Institute (BLMI) and the Department of Education ARMM improve their processes, structures, skills set, and behaviours to enable positive change and continuous improvement thereby enabling better services delivery.  </w:t>
      </w:r>
    </w:p>
    <w:p w14:paraId="2520670E" w14:textId="77777777" w:rsidR="007F615A" w:rsidRPr="00566759" w:rsidRDefault="007F615A" w:rsidP="007F615A">
      <w:pPr>
        <w:rPr>
          <w:rFonts w:cs="Calibri"/>
          <w:sz w:val="22"/>
          <w:szCs w:val="22"/>
        </w:rPr>
      </w:pPr>
      <w:r w:rsidRPr="00566759">
        <w:rPr>
          <w:rFonts w:cs="Calibri"/>
          <w:sz w:val="22"/>
          <w:szCs w:val="22"/>
        </w:rPr>
        <w:t>HRODF also delivers an in-country scholarship program. The pilot cohort was focused in conflict-affected areas in Mindanao with the view to build up a body of officials who can provide the services expected from and delivered by a new Bangsamoro government.</w:t>
      </w:r>
    </w:p>
    <w:p w14:paraId="5949C427" w14:textId="77777777" w:rsidR="007F615A" w:rsidRPr="00566759" w:rsidRDefault="007F615A" w:rsidP="007F615A">
      <w:pPr>
        <w:rPr>
          <w:rFonts w:cs="Calibri"/>
          <w:i/>
          <w:sz w:val="22"/>
          <w:szCs w:val="22"/>
        </w:rPr>
      </w:pPr>
    </w:p>
    <w:p w14:paraId="671E4DAA" w14:textId="77777777" w:rsidR="007F615A" w:rsidRPr="00566759" w:rsidRDefault="007F615A" w:rsidP="007F615A">
      <w:pPr>
        <w:rPr>
          <w:rFonts w:cs="Calibri"/>
          <w:sz w:val="22"/>
          <w:szCs w:val="22"/>
        </w:rPr>
      </w:pPr>
      <w:r w:rsidRPr="00566759">
        <w:rPr>
          <w:rFonts w:cs="Calibri"/>
          <w:i/>
          <w:sz w:val="22"/>
          <w:szCs w:val="22"/>
        </w:rPr>
        <w:t>Coalitions for Change (CfC)</w:t>
      </w:r>
      <w:r w:rsidRPr="00566759">
        <w:rPr>
          <w:rFonts w:cs="Calibri"/>
          <w:sz w:val="22"/>
          <w:szCs w:val="22"/>
        </w:rPr>
        <w:t xml:space="preserve">: </w:t>
      </w:r>
    </w:p>
    <w:p w14:paraId="10965AD6" w14:textId="77777777" w:rsidR="007F615A" w:rsidRPr="00566759" w:rsidRDefault="007F615A" w:rsidP="007F615A">
      <w:pPr>
        <w:rPr>
          <w:rFonts w:cs="Calibri"/>
          <w:sz w:val="22"/>
          <w:szCs w:val="22"/>
        </w:rPr>
      </w:pPr>
      <w:r w:rsidRPr="00566759">
        <w:rPr>
          <w:rFonts w:cs="Calibri"/>
          <w:sz w:val="22"/>
          <w:szCs w:val="22"/>
        </w:rPr>
        <w:t xml:space="preserve">The CfC program seeks to foster collaboration between civil society stakeholders and government to pursue policy development and implementation for economic growth and poverty reduction.  </w:t>
      </w:r>
    </w:p>
    <w:p w14:paraId="732782AE" w14:textId="77777777" w:rsidR="007F615A" w:rsidRPr="00566759" w:rsidRDefault="007F615A" w:rsidP="007F615A">
      <w:pPr>
        <w:rPr>
          <w:rFonts w:cs="Calibri"/>
          <w:sz w:val="22"/>
          <w:szCs w:val="22"/>
        </w:rPr>
      </w:pPr>
      <w:r w:rsidRPr="00566759">
        <w:rPr>
          <w:rFonts w:cs="Calibri"/>
          <w:sz w:val="22"/>
          <w:szCs w:val="22"/>
        </w:rPr>
        <w:t>For Bangsamoro, CfC works to broaden the peace constituency by building coalitions among business community and civil society stakeholders to encourage wider consultation and support for the peace process. It also aims to facilitate the normalisation process during and after the transition by consolidating the rule of law in partnership with security sector institutions.</w:t>
      </w:r>
    </w:p>
    <w:p w14:paraId="3D64A63A" w14:textId="77777777" w:rsidR="007F615A" w:rsidRPr="00566759" w:rsidRDefault="007F615A" w:rsidP="007F615A">
      <w:pPr>
        <w:rPr>
          <w:rFonts w:cs="Calibri"/>
          <w:b/>
          <w:sz w:val="22"/>
          <w:szCs w:val="22"/>
        </w:rPr>
      </w:pPr>
    </w:p>
    <w:p w14:paraId="4DCD3D3A" w14:textId="77777777" w:rsidR="007F615A" w:rsidRPr="00566759" w:rsidRDefault="007F615A" w:rsidP="007F615A">
      <w:pPr>
        <w:rPr>
          <w:rFonts w:cs="Calibri"/>
          <w:b/>
          <w:sz w:val="22"/>
          <w:szCs w:val="22"/>
        </w:rPr>
      </w:pPr>
      <w:r w:rsidRPr="00566759">
        <w:rPr>
          <w:rFonts w:cs="Calibri"/>
          <w:b/>
          <w:sz w:val="22"/>
          <w:szCs w:val="22"/>
        </w:rPr>
        <w:t>Objective</w:t>
      </w:r>
    </w:p>
    <w:p w14:paraId="4CE1475D" w14:textId="77777777" w:rsidR="007F615A" w:rsidRPr="00566759" w:rsidRDefault="007F615A" w:rsidP="007F615A">
      <w:pPr>
        <w:rPr>
          <w:rFonts w:cs="Calibri"/>
          <w:sz w:val="22"/>
          <w:szCs w:val="22"/>
        </w:rPr>
      </w:pPr>
    </w:p>
    <w:p w14:paraId="55B2C930" w14:textId="77777777" w:rsidR="007F615A" w:rsidRPr="00566759" w:rsidRDefault="007F615A" w:rsidP="007F615A">
      <w:pPr>
        <w:rPr>
          <w:rFonts w:cs="Calibri"/>
          <w:sz w:val="22"/>
          <w:szCs w:val="22"/>
        </w:rPr>
      </w:pPr>
      <w:r w:rsidRPr="00566759">
        <w:rPr>
          <w:rFonts w:cs="Calibri"/>
          <w:sz w:val="22"/>
          <w:szCs w:val="22"/>
        </w:rPr>
        <w:t>The review serves as the mandated mid-term review of the bilateral BASIC Bangsamoro program. It is, however, formative in nature and will inform the future direction of Australia’s bilateral activities and broader support for peace and stability. It will assess the effectiveness of Australia’s support for peace in Muslim Mindanao to date, and its appropriateness in the context of the change in the Philippine administration and the new leadership, policies and institutional environment this entails.</w:t>
      </w:r>
    </w:p>
    <w:p w14:paraId="7DF6F823" w14:textId="77777777" w:rsidR="007F615A" w:rsidRPr="00566759" w:rsidRDefault="007F615A" w:rsidP="007F615A">
      <w:pPr>
        <w:rPr>
          <w:rFonts w:cs="Calibri"/>
          <w:sz w:val="22"/>
          <w:szCs w:val="22"/>
        </w:rPr>
      </w:pPr>
    </w:p>
    <w:p w14:paraId="46DD1E96" w14:textId="77777777" w:rsidR="007F615A" w:rsidRPr="00566759" w:rsidRDefault="007F615A" w:rsidP="007F615A">
      <w:pPr>
        <w:rPr>
          <w:rFonts w:cs="Calibri"/>
          <w:sz w:val="22"/>
          <w:szCs w:val="22"/>
        </w:rPr>
      </w:pPr>
      <w:r w:rsidRPr="00566759">
        <w:rPr>
          <w:rFonts w:cs="Calibri"/>
          <w:sz w:val="22"/>
          <w:szCs w:val="22"/>
        </w:rPr>
        <w:t>It will help DFAT answer the question: what can we learn from the challenges faced in the political process to inform our interventions going forward?</w:t>
      </w:r>
    </w:p>
    <w:p w14:paraId="069A4D1B" w14:textId="77777777" w:rsidR="007F615A" w:rsidRPr="00566759" w:rsidRDefault="007F615A" w:rsidP="007F615A">
      <w:pPr>
        <w:tabs>
          <w:tab w:val="center" w:pos="4513"/>
        </w:tabs>
        <w:rPr>
          <w:rFonts w:cs="Calibri"/>
          <w:b/>
          <w:sz w:val="22"/>
          <w:szCs w:val="22"/>
        </w:rPr>
      </w:pPr>
    </w:p>
    <w:p w14:paraId="2BEB4CC4" w14:textId="77777777" w:rsidR="007F615A" w:rsidRPr="00566759" w:rsidRDefault="007F615A" w:rsidP="007F615A">
      <w:pPr>
        <w:tabs>
          <w:tab w:val="center" w:pos="4513"/>
        </w:tabs>
        <w:rPr>
          <w:rFonts w:cs="Calibri"/>
          <w:b/>
          <w:sz w:val="22"/>
          <w:szCs w:val="22"/>
        </w:rPr>
      </w:pPr>
      <w:r w:rsidRPr="00566759">
        <w:rPr>
          <w:rFonts w:cs="Calibri"/>
          <w:b/>
          <w:sz w:val="22"/>
          <w:szCs w:val="22"/>
        </w:rPr>
        <w:t xml:space="preserve">Scope </w:t>
      </w:r>
    </w:p>
    <w:p w14:paraId="7CECC0BC" w14:textId="77777777" w:rsidR="007F615A" w:rsidRPr="00566759" w:rsidRDefault="007F615A" w:rsidP="007F615A">
      <w:pPr>
        <w:rPr>
          <w:rFonts w:eastAsia="Times New Roman" w:cs="Calibri"/>
          <w:sz w:val="22"/>
          <w:szCs w:val="22"/>
        </w:rPr>
      </w:pPr>
      <w:r w:rsidRPr="00566759">
        <w:rPr>
          <w:rFonts w:cs="Calibri"/>
          <w:sz w:val="22"/>
          <w:szCs w:val="22"/>
        </w:rPr>
        <w:t>The review will consider the implementation of the above support to the peace process</w:t>
      </w:r>
      <w:r w:rsidRPr="00566759">
        <w:rPr>
          <w:rFonts w:eastAsia="Times New Roman" w:cs="Calibri"/>
          <w:sz w:val="22"/>
          <w:szCs w:val="22"/>
        </w:rPr>
        <w:t>, including project outcomes, and assess the extent to which these activities remain appropriate in the new political context.</w:t>
      </w:r>
    </w:p>
    <w:p w14:paraId="688CB7FC" w14:textId="77777777" w:rsidR="007F615A" w:rsidRPr="00566759" w:rsidRDefault="007F615A" w:rsidP="007F615A">
      <w:pPr>
        <w:rPr>
          <w:rFonts w:cs="Calibri"/>
          <w:sz w:val="22"/>
          <w:szCs w:val="22"/>
        </w:rPr>
      </w:pPr>
    </w:p>
    <w:p w14:paraId="21AADBB8" w14:textId="77777777" w:rsidR="007F615A" w:rsidRPr="00566759" w:rsidRDefault="007F615A" w:rsidP="007F615A">
      <w:pPr>
        <w:rPr>
          <w:rFonts w:eastAsia="Times New Roman" w:cs="Calibri"/>
          <w:sz w:val="22"/>
          <w:szCs w:val="22"/>
        </w:rPr>
      </w:pPr>
      <w:r w:rsidRPr="00566759">
        <w:rPr>
          <w:rFonts w:cs="Calibri"/>
          <w:sz w:val="22"/>
          <w:szCs w:val="22"/>
        </w:rPr>
        <w:t>The primary recipient for the report is DFAT management. Implementing partners will also be provided with the report and constitute a secondary audience.</w:t>
      </w:r>
    </w:p>
    <w:p w14:paraId="797B1AB5" w14:textId="77777777" w:rsidR="007F615A" w:rsidRPr="00566759" w:rsidRDefault="007F615A" w:rsidP="007F615A">
      <w:pPr>
        <w:rPr>
          <w:rFonts w:cs="Calibri"/>
          <w:b/>
          <w:sz w:val="22"/>
          <w:szCs w:val="22"/>
        </w:rPr>
      </w:pPr>
    </w:p>
    <w:p w14:paraId="32BBD938" w14:textId="77777777" w:rsidR="007F615A" w:rsidRPr="00566759" w:rsidRDefault="007F615A" w:rsidP="007F615A">
      <w:pPr>
        <w:rPr>
          <w:rFonts w:cs="Calibri"/>
          <w:sz w:val="22"/>
          <w:szCs w:val="22"/>
        </w:rPr>
      </w:pPr>
      <w:r w:rsidRPr="00566759">
        <w:rPr>
          <w:rFonts w:cs="Calibri"/>
          <w:b/>
          <w:sz w:val="22"/>
          <w:szCs w:val="22"/>
        </w:rPr>
        <w:t xml:space="preserve">Criteria </w:t>
      </w:r>
    </w:p>
    <w:p w14:paraId="02BC7BA2" w14:textId="77777777" w:rsidR="007F615A" w:rsidRPr="00566759" w:rsidRDefault="007F615A" w:rsidP="007F615A">
      <w:pPr>
        <w:tabs>
          <w:tab w:val="left" w:pos="6887"/>
        </w:tabs>
        <w:rPr>
          <w:rFonts w:cs="Calibri"/>
          <w:sz w:val="22"/>
          <w:szCs w:val="22"/>
        </w:rPr>
      </w:pPr>
    </w:p>
    <w:p w14:paraId="6B88F5BC" w14:textId="77777777" w:rsidR="007F615A" w:rsidRPr="00566759" w:rsidRDefault="007F615A" w:rsidP="007F615A">
      <w:pPr>
        <w:tabs>
          <w:tab w:val="left" w:pos="6887"/>
        </w:tabs>
        <w:rPr>
          <w:rFonts w:cs="Calibri"/>
          <w:sz w:val="22"/>
          <w:szCs w:val="22"/>
        </w:rPr>
      </w:pPr>
      <w:r w:rsidRPr="00566759">
        <w:rPr>
          <w:rFonts w:cs="Calibri"/>
          <w:sz w:val="22"/>
          <w:szCs w:val="22"/>
        </w:rPr>
        <w:t>The review will address the following criteria and (indicative) questions:</w:t>
      </w:r>
    </w:p>
    <w:p w14:paraId="13DF9C4B" w14:textId="77777777" w:rsidR="007F615A" w:rsidRPr="00566759" w:rsidRDefault="007F615A" w:rsidP="007F615A">
      <w:pPr>
        <w:tabs>
          <w:tab w:val="left" w:pos="7926"/>
        </w:tabs>
        <w:rPr>
          <w:rFonts w:cs="Calibri"/>
          <w:sz w:val="22"/>
          <w:szCs w:val="22"/>
          <w:u w:val="single"/>
        </w:rPr>
      </w:pPr>
    </w:p>
    <w:p w14:paraId="00481693" w14:textId="77777777" w:rsidR="007F615A" w:rsidRPr="00566759" w:rsidRDefault="007F615A" w:rsidP="007F615A">
      <w:pPr>
        <w:tabs>
          <w:tab w:val="left" w:pos="7926"/>
        </w:tabs>
        <w:rPr>
          <w:rFonts w:cs="Calibri"/>
          <w:sz w:val="22"/>
          <w:szCs w:val="22"/>
          <w:u w:val="single"/>
        </w:rPr>
      </w:pPr>
      <w:r w:rsidRPr="00566759">
        <w:rPr>
          <w:rFonts w:cs="Calibri"/>
          <w:sz w:val="22"/>
          <w:szCs w:val="22"/>
          <w:u w:val="single"/>
        </w:rPr>
        <w:t>Effectiveness</w:t>
      </w:r>
      <w:r w:rsidRPr="00566759">
        <w:rPr>
          <w:rFonts w:cs="Calibri"/>
          <w:sz w:val="22"/>
          <w:szCs w:val="22"/>
        </w:rPr>
        <w:t xml:space="preserve">: </w:t>
      </w:r>
      <w:r w:rsidRPr="00566759">
        <w:rPr>
          <w:rFonts w:cs="Calibri"/>
          <w:i/>
          <w:sz w:val="22"/>
          <w:szCs w:val="22"/>
        </w:rPr>
        <w:t>Are we achieving the results that we expected at this point in time?</w:t>
      </w:r>
    </w:p>
    <w:p w14:paraId="6896C0D1" w14:textId="77777777" w:rsidR="007F615A" w:rsidRPr="00566759" w:rsidRDefault="007F615A" w:rsidP="007F615A">
      <w:pPr>
        <w:pStyle w:val="ListParagraph"/>
        <w:numPr>
          <w:ilvl w:val="0"/>
          <w:numId w:val="14"/>
        </w:numPr>
        <w:spacing w:after="200"/>
        <w:contextualSpacing w:val="0"/>
        <w:rPr>
          <w:rFonts w:cs="Calibri"/>
          <w:sz w:val="22"/>
          <w:szCs w:val="22"/>
        </w:rPr>
      </w:pPr>
      <w:r w:rsidRPr="00566759">
        <w:rPr>
          <w:rFonts w:cs="Calibri"/>
          <w:sz w:val="22"/>
          <w:szCs w:val="22"/>
        </w:rPr>
        <w:t>How well did each partner adapt to the changing political context? Were opportunities missed?</w:t>
      </w:r>
    </w:p>
    <w:p w14:paraId="7A7013B3" w14:textId="77777777" w:rsidR="007F615A" w:rsidRPr="00566759" w:rsidRDefault="007F615A" w:rsidP="007F615A">
      <w:pPr>
        <w:pStyle w:val="ListParagraph"/>
        <w:numPr>
          <w:ilvl w:val="0"/>
          <w:numId w:val="14"/>
        </w:numPr>
        <w:spacing w:after="200"/>
        <w:contextualSpacing w:val="0"/>
        <w:rPr>
          <w:rFonts w:cs="Calibri"/>
          <w:sz w:val="22"/>
          <w:szCs w:val="22"/>
        </w:rPr>
      </w:pPr>
      <w:r w:rsidRPr="00566759">
        <w:rPr>
          <w:rFonts w:cs="Calibri"/>
          <w:sz w:val="22"/>
          <w:szCs w:val="22"/>
        </w:rPr>
        <w:t>Is each activity on-track to meet its outcomes and objectives?</w:t>
      </w:r>
    </w:p>
    <w:p w14:paraId="38B0B955" w14:textId="77777777" w:rsidR="007F615A" w:rsidRPr="00566759" w:rsidRDefault="007F615A" w:rsidP="007F615A">
      <w:pPr>
        <w:pStyle w:val="ListParagraph"/>
        <w:numPr>
          <w:ilvl w:val="0"/>
          <w:numId w:val="14"/>
        </w:numPr>
        <w:spacing w:after="200"/>
        <w:contextualSpacing w:val="0"/>
        <w:rPr>
          <w:rFonts w:cs="Calibri"/>
          <w:sz w:val="22"/>
          <w:szCs w:val="22"/>
        </w:rPr>
      </w:pPr>
      <w:r w:rsidRPr="00566759">
        <w:rPr>
          <w:rFonts w:cs="Calibri"/>
          <w:sz w:val="22"/>
          <w:szCs w:val="22"/>
        </w:rPr>
        <w:t>Is the program as a whole addressing the drivers of conflict and violence? Does it meet the ‘do no harm’ standard?</w:t>
      </w:r>
    </w:p>
    <w:p w14:paraId="6EC2BCBB" w14:textId="77777777" w:rsidR="007F615A" w:rsidRPr="00566759" w:rsidRDefault="007F615A" w:rsidP="007F615A">
      <w:pPr>
        <w:pStyle w:val="ListParagraph"/>
        <w:numPr>
          <w:ilvl w:val="0"/>
          <w:numId w:val="14"/>
        </w:numPr>
        <w:spacing w:after="200"/>
        <w:contextualSpacing w:val="0"/>
        <w:rPr>
          <w:rFonts w:cs="Calibri"/>
          <w:sz w:val="22"/>
          <w:szCs w:val="22"/>
        </w:rPr>
      </w:pPr>
      <w:r w:rsidRPr="00566759">
        <w:rPr>
          <w:rFonts w:cs="Calibri"/>
          <w:sz w:val="22"/>
          <w:szCs w:val="22"/>
        </w:rPr>
        <w:t>What is the impact of the research activities being supported? Have these been used to inform policies and programs?</w:t>
      </w:r>
    </w:p>
    <w:p w14:paraId="3FCF3D62" w14:textId="77777777" w:rsidR="007F615A" w:rsidRPr="00566759" w:rsidRDefault="007F615A" w:rsidP="007F615A">
      <w:pPr>
        <w:pStyle w:val="ListParagraph"/>
        <w:numPr>
          <w:ilvl w:val="0"/>
          <w:numId w:val="14"/>
        </w:numPr>
        <w:spacing w:after="200"/>
        <w:contextualSpacing w:val="0"/>
        <w:rPr>
          <w:rFonts w:cs="Calibri"/>
          <w:sz w:val="22"/>
          <w:szCs w:val="22"/>
        </w:rPr>
      </w:pPr>
      <w:r w:rsidRPr="00566759">
        <w:rPr>
          <w:rFonts w:cs="Calibri"/>
          <w:sz w:val="22"/>
          <w:szCs w:val="22"/>
        </w:rPr>
        <w:t>Is the program as a whole making progress as expected in effectively promoting gender equality and women's empowerment?</w:t>
      </w:r>
    </w:p>
    <w:p w14:paraId="0C729E37" w14:textId="77777777" w:rsidR="007F615A" w:rsidRPr="00566759" w:rsidRDefault="007F615A" w:rsidP="007F615A">
      <w:pPr>
        <w:pStyle w:val="ListParagraph"/>
        <w:numPr>
          <w:ilvl w:val="0"/>
          <w:numId w:val="14"/>
        </w:numPr>
        <w:spacing w:after="200"/>
        <w:contextualSpacing w:val="0"/>
        <w:rPr>
          <w:rFonts w:cs="Calibri"/>
          <w:sz w:val="22"/>
          <w:szCs w:val="22"/>
        </w:rPr>
      </w:pPr>
      <w:r w:rsidRPr="00566759">
        <w:rPr>
          <w:rFonts w:cs="Calibri"/>
          <w:sz w:val="22"/>
          <w:szCs w:val="22"/>
        </w:rPr>
        <w:t>Are activities well-aligned with other Australian aid interventions in Muslim Mindanao?</w:t>
      </w:r>
    </w:p>
    <w:p w14:paraId="242C4DA5" w14:textId="77777777" w:rsidR="007F615A" w:rsidRPr="00566759" w:rsidRDefault="007F615A" w:rsidP="007F615A">
      <w:pPr>
        <w:rPr>
          <w:rFonts w:cs="Calibri"/>
          <w:i/>
          <w:sz w:val="22"/>
          <w:szCs w:val="22"/>
        </w:rPr>
      </w:pPr>
      <w:r w:rsidRPr="00566759">
        <w:rPr>
          <w:rFonts w:cs="Calibri"/>
          <w:sz w:val="22"/>
          <w:szCs w:val="22"/>
          <w:u w:val="single"/>
        </w:rPr>
        <w:t>Relevance</w:t>
      </w:r>
      <w:r w:rsidRPr="00566759">
        <w:rPr>
          <w:rFonts w:cs="Calibri"/>
          <w:sz w:val="22"/>
          <w:szCs w:val="22"/>
        </w:rPr>
        <w:t xml:space="preserve">: </w:t>
      </w:r>
      <w:r w:rsidRPr="00566759">
        <w:rPr>
          <w:rFonts w:cs="Calibri"/>
          <w:i/>
          <w:sz w:val="22"/>
          <w:szCs w:val="22"/>
        </w:rPr>
        <w:t>Is this still the right thing to do?</w:t>
      </w:r>
    </w:p>
    <w:p w14:paraId="047BA3B2" w14:textId="77777777" w:rsidR="007F615A" w:rsidRPr="00566759" w:rsidRDefault="007F615A" w:rsidP="007F615A">
      <w:pPr>
        <w:pStyle w:val="ListParagraph"/>
        <w:spacing w:after="200"/>
        <w:contextualSpacing w:val="0"/>
        <w:rPr>
          <w:rFonts w:cs="Calibri"/>
          <w:sz w:val="22"/>
          <w:szCs w:val="22"/>
        </w:rPr>
      </w:pPr>
    </w:p>
    <w:p w14:paraId="52AB661E" w14:textId="77777777" w:rsidR="007F615A" w:rsidRPr="00566759" w:rsidRDefault="007F615A" w:rsidP="007F615A">
      <w:pPr>
        <w:pStyle w:val="ListParagraph"/>
        <w:numPr>
          <w:ilvl w:val="0"/>
          <w:numId w:val="14"/>
        </w:numPr>
        <w:spacing w:after="200"/>
        <w:contextualSpacing w:val="0"/>
        <w:rPr>
          <w:rFonts w:cs="Calibri"/>
          <w:sz w:val="22"/>
          <w:szCs w:val="22"/>
        </w:rPr>
      </w:pPr>
      <w:r w:rsidRPr="00566759">
        <w:rPr>
          <w:rFonts w:cs="Calibri"/>
          <w:sz w:val="22"/>
          <w:szCs w:val="22"/>
        </w:rPr>
        <w:t>How well have current programs adapted in response to the change in context? Are there programs/partners that are no longer relevant?</w:t>
      </w:r>
    </w:p>
    <w:p w14:paraId="14796910" w14:textId="77777777" w:rsidR="007F615A" w:rsidRPr="00566759" w:rsidRDefault="007F615A" w:rsidP="007F615A">
      <w:pPr>
        <w:pStyle w:val="ListParagraph"/>
        <w:numPr>
          <w:ilvl w:val="0"/>
          <w:numId w:val="14"/>
        </w:numPr>
        <w:spacing w:after="200"/>
        <w:contextualSpacing w:val="0"/>
        <w:rPr>
          <w:rFonts w:cs="Calibri"/>
          <w:sz w:val="22"/>
          <w:szCs w:val="22"/>
        </w:rPr>
      </w:pPr>
      <w:r w:rsidRPr="00566759">
        <w:rPr>
          <w:rFonts w:cs="Calibri"/>
          <w:sz w:val="22"/>
          <w:szCs w:val="22"/>
        </w:rPr>
        <w:t>What new initiatives/objectives/partners are needed to support the formal peace process under the Duterte Government?</w:t>
      </w:r>
    </w:p>
    <w:p w14:paraId="10C04E53" w14:textId="77777777" w:rsidR="007F615A" w:rsidRPr="00566759" w:rsidRDefault="007F615A" w:rsidP="007F615A">
      <w:pPr>
        <w:pStyle w:val="ListParagraph"/>
        <w:numPr>
          <w:ilvl w:val="0"/>
          <w:numId w:val="14"/>
        </w:numPr>
        <w:spacing w:after="200"/>
        <w:contextualSpacing w:val="0"/>
        <w:rPr>
          <w:rFonts w:cs="Calibri"/>
          <w:sz w:val="22"/>
          <w:szCs w:val="22"/>
        </w:rPr>
      </w:pPr>
      <w:r w:rsidRPr="00566759">
        <w:rPr>
          <w:rFonts w:cs="Calibri"/>
          <w:sz w:val="22"/>
          <w:szCs w:val="22"/>
        </w:rPr>
        <w:t>Can/should more be done to integrate countering violent extremism activities?</w:t>
      </w:r>
    </w:p>
    <w:p w14:paraId="3C8992E1" w14:textId="77777777" w:rsidR="007F615A" w:rsidRPr="00566759" w:rsidRDefault="007F615A" w:rsidP="007F615A">
      <w:pPr>
        <w:pStyle w:val="ListParagraph"/>
        <w:numPr>
          <w:ilvl w:val="0"/>
          <w:numId w:val="14"/>
        </w:numPr>
        <w:spacing w:after="200"/>
        <w:contextualSpacing w:val="0"/>
        <w:rPr>
          <w:rFonts w:cs="Calibri"/>
          <w:sz w:val="22"/>
          <w:szCs w:val="22"/>
        </w:rPr>
      </w:pPr>
      <w:r w:rsidRPr="00566759">
        <w:rPr>
          <w:rFonts w:cs="Calibri"/>
          <w:sz w:val="22"/>
          <w:szCs w:val="22"/>
        </w:rPr>
        <w:t xml:space="preserve">To what extent do the programs support regional security and economic growth?  </w:t>
      </w:r>
    </w:p>
    <w:p w14:paraId="04D49B95" w14:textId="77777777" w:rsidR="007F615A" w:rsidRPr="00566759" w:rsidRDefault="007F615A" w:rsidP="007F615A">
      <w:pPr>
        <w:rPr>
          <w:rFonts w:cs="Calibri"/>
          <w:sz w:val="22"/>
          <w:szCs w:val="22"/>
        </w:rPr>
      </w:pPr>
      <w:r w:rsidRPr="00566759">
        <w:rPr>
          <w:rFonts w:cs="Calibri"/>
          <w:sz w:val="22"/>
          <w:szCs w:val="22"/>
        </w:rPr>
        <w:t>Based on evidence against these criteria, the review should make recommendations regarding the utility of further funding for programs assessed. The review should also make recommendations for improvements that could be made over the remaining implementation period as well as how the program can best adapt to the changing context now and in the future.</w:t>
      </w:r>
    </w:p>
    <w:p w14:paraId="1643A1DB" w14:textId="77777777" w:rsidR="007F615A" w:rsidRPr="00566759" w:rsidRDefault="007F615A" w:rsidP="007F615A">
      <w:pPr>
        <w:rPr>
          <w:rFonts w:cs="Calibri"/>
          <w:b/>
          <w:sz w:val="22"/>
          <w:szCs w:val="22"/>
        </w:rPr>
      </w:pPr>
    </w:p>
    <w:p w14:paraId="6B614E6F" w14:textId="77777777" w:rsidR="007F615A" w:rsidRPr="00566759" w:rsidRDefault="007F615A" w:rsidP="007F615A">
      <w:pPr>
        <w:rPr>
          <w:rFonts w:cs="Calibri"/>
          <w:b/>
          <w:sz w:val="22"/>
          <w:szCs w:val="22"/>
        </w:rPr>
      </w:pPr>
      <w:r w:rsidRPr="00566759">
        <w:rPr>
          <w:rFonts w:cs="Calibri"/>
          <w:b/>
          <w:sz w:val="22"/>
          <w:szCs w:val="22"/>
        </w:rPr>
        <w:t>Methodology</w:t>
      </w:r>
    </w:p>
    <w:p w14:paraId="398560D9" w14:textId="77777777" w:rsidR="007F615A" w:rsidRPr="00566759" w:rsidRDefault="007F615A" w:rsidP="007F615A">
      <w:pPr>
        <w:rPr>
          <w:rFonts w:cs="Calibri"/>
          <w:sz w:val="22"/>
          <w:szCs w:val="22"/>
        </w:rPr>
      </w:pPr>
    </w:p>
    <w:p w14:paraId="0F0AF815" w14:textId="77777777" w:rsidR="007F615A" w:rsidRPr="00566759" w:rsidRDefault="007F615A" w:rsidP="007F615A">
      <w:pPr>
        <w:rPr>
          <w:rFonts w:cs="Calibri"/>
          <w:sz w:val="22"/>
          <w:szCs w:val="22"/>
        </w:rPr>
      </w:pPr>
      <w:r w:rsidRPr="00566759">
        <w:rPr>
          <w:rFonts w:cs="Calibri"/>
          <w:sz w:val="22"/>
          <w:szCs w:val="22"/>
        </w:rPr>
        <w:t>While the specific methodologies will be determined by the review team in consultation with Manila Post, it is expected that the review will cover the following approaches:</w:t>
      </w:r>
    </w:p>
    <w:p w14:paraId="32DBE591" w14:textId="77777777" w:rsidR="007F615A" w:rsidRPr="00566759" w:rsidRDefault="007F615A" w:rsidP="007F615A">
      <w:pPr>
        <w:pStyle w:val="ListParagraph"/>
        <w:numPr>
          <w:ilvl w:val="0"/>
          <w:numId w:val="13"/>
        </w:numPr>
        <w:spacing w:after="200"/>
        <w:rPr>
          <w:rFonts w:cs="Calibri"/>
          <w:sz w:val="22"/>
          <w:szCs w:val="22"/>
        </w:rPr>
      </w:pPr>
      <w:r w:rsidRPr="00566759">
        <w:rPr>
          <w:rFonts w:cs="Calibri"/>
          <w:sz w:val="22"/>
          <w:szCs w:val="22"/>
        </w:rPr>
        <w:t>Document review (as per reference list)</w:t>
      </w:r>
    </w:p>
    <w:p w14:paraId="3902BE66" w14:textId="77777777" w:rsidR="007F615A" w:rsidRPr="00566759" w:rsidRDefault="007F615A" w:rsidP="007F615A">
      <w:pPr>
        <w:pStyle w:val="ListParagraph"/>
        <w:numPr>
          <w:ilvl w:val="0"/>
          <w:numId w:val="13"/>
        </w:numPr>
        <w:spacing w:after="200"/>
        <w:rPr>
          <w:rFonts w:cs="Calibri"/>
          <w:sz w:val="22"/>
          <w:szCs w:val="22"/>
        </w:rPr>
      </w:pPr>
      <w:r w:rsidRPr="00566759">
        <w:rPr>
          <w:rFonts w:cs="Calibri"/>
          <w:sz w:val="22"/>
          <w:szCs w:val="22"/>
        </w:rPr>
        <w:t>Key informant interviews (suggested list below)</w:t>
      </w:r>
    </w:p>
    <w:p w14:paraId="394F16E9" w14:textId="77777777" w:rsidR="007F615A" w:rsidRPr="00566759" w:rsidRDefault="007F615A" w:rsidP="007F615A">
      <w:pPr>
        <w:pStyle w:val="ListParagraph"/>
        <w:numPr>
          <w:ilvl w:val="0"/>
          <w:numId w:val="13"/>
        </w:numPr>
        <w:spacing w:after="200"/>
        <w:rPr>
          <w:rFonts w:cs="Calibri"/>
          <w:sz w:val="22"/>
          <w:szCs w:val="22"/>
        </w:rPr>
      </w:pPr>
      <w:r w:rsidRPr="00566759">
        <w:rPr>
          <w:rFonts w:cs="Calibri"/>
          <w:sz w:val="22"/>
          <w:szCs w:val="22"/>
        </w:rPr>
        <w:t>Program field visits to project locations (suggestions below)</w:t>
      </w:r>
    </w:p>
    <w:p w14:paraId="2A2EC9E7" w14:textId="77777777" w:rsidR="007F615A" w:rsidRPr="00566759" w:rsidRDefault="007F615A" w:rsidP="007F615A">
      <w:pPr>
        <w:rPr>
          <w:rFonts w:cs="Calibri"/>
          <w:sz w:val="22"/>
          <w:szCs w:val="22"/>
        </w:rPr>
      </w:pPr>
      <w:r w:rsidRPr="00566759">
        <w:rPr>
          <w:rFonts w:cs="Calibri"/>
          <w:sz w:val="22"/>
          <w:szCs w:val="22"/>
        </w:rPr>
        <w:t>Manila Post will provide a briefing to the team on the political context prior to the review mission.</w:t>
      </w:r>
    </w:p>
    <w:p w14:paraId="3BA51F42" w14:textId="77777777" w:rsidR="007F615A" w:rsidRPr="00566759" w:rsidRDefault="007F615A" w:rsidP="007F615A">
      <w:pPr>
        <w:rPr>
          <w:rFonts w:cs="Calibri"/>
          <w:b/>
          <w:sz w:val="22"/>
          <w:szCs w:val="22"/>
        </w:rPr>
      </w:pPr>
    </w:p>
    <w:p w14:paraId="600473EA" w14:textId="77777777" w:rsidR="007F615A" w:rsidRPr="00566759" w:rsidRDefault="007F615A" w:rsidP="007F615A">
      <w:pPr>
        <w:rPr>
          <w:rFonts w:cs="Calibri"/>
          <w:b/>
          <w:sz w:val="22"/>
          <w:szCs w:val="22"/>
        </w:rPr>
      </w:pPr>
      <w:r w:rsidRPr="00566759">
        <w:rPr>
          <w:rFonts w:cs="Calibri"/>
          <w:b/>
          <w:sz w:val="22"/>
          <w:szCs w:val="22"/>
        </w:rPr>
        <w:t xml:space="preserve">Outputs/ Deliverables </w:t>
      </w:r>
    </w:p>
    <w:p w14:paraId="6C84B0F4" w14:textId="77777777" w:rsidR="007F615A" w:rsidRPr="00566759" w:rsidRDefault="007F615A" w:rsidP="007F615A">
      <w:pPr>
        <w:rPr>
          <w:rFonts w:cs="Calibri"/>
          <w:b/>
          <w:sz w:val="22"/>
          <w:szCs w:val="22"/>
        </w:rPr>
      </w:pPr>
    </w:p>
    <w:p w14:paraId="25DFBF69" w14:textId="77777777" w:rsidR="007F615A" w:rsidRPr="00566759" w:rsidRDefault="007F615A" w:rsidP="007F615A">
      <w:pPr>
        <w:rPr>
          <w:rFonts w:cs="Calibri"/>
          <w:sz w:val="22"/>
          <w:szCs w:val="22"/>
        </w:rPr>
      </w:pPr>
      <w:r w:rsidRPr="00566759">
        <w:rPr>
          <w:rFonts w:cs="Calibri"/>
          <w:sz w:val="22"/>
          <w:szCs w:val="22"/>
        </w:rPr>
        <w:t>The review team will produce:</w:t>
      </w:r>
    </w:p>
    <w:p w14:paraId="13BEEC19" w14:textId="77777777" w:rsidR="007F615A" w:rsidRPr="00566759" w:rsidRDefault="007F615A" w:rsidP="007F615A">
      <w:pPr>
        <w:pStyle w:val="ListParagraph"/>
        <w:numPr>
          <w:ilvl w:val="0"/>
          <w:numId w:val="12"/>
        </w:numPr>
        <w:spacing w:after="200"/>
        <w:rPr>
          <w:rFonts w:cs="Calibri"/>
          <w:sz w:val="22"/>
          <w:szCs w:val="22"/>
        </w:rPr>
      </w:pPr>
      <w:r w:rsidRPr="00566759">
        <w:rPr>
          <w:rFonts w:cs="Calibri"/>
          <w:sz w:val="22"/>
          <w:szCs w:val="22"/>
        </w:rPr>
        <w:t>A debriefing presentation for Embassy staff on the mission’s findings</w:t>
      </w:r>
    </w:p>
    <w:p w14:paraId="1E744377" w14:textId="77777777" w:rsidR="007F615A" w:rsidRPr="00566759" w:rsidRDefault="007F615A" w:rsidP="007F615A">
      <w:pPr>
        <w:pStyle w:val="ListParagraph"/>
        <w:numPr>
          <w:ilvl w:val="0"/>
          <w:numId w:val="12"/>
        </w:numPr>
        <w:spacing w:after="200"/>
        <w:rPr>
          <w:rFonts w:cs="Calibri"/>
          <w:sz w:val="22"/>
          <w:szCs w:val="22"/>
        </w:rPr>
      </w:pPr>
      <w:r w:rsidRPr="00566759">
        <w:rPr>
          <w:rFonts w:cs="Calibri"/>
          <w:sz w:val="22"/>
          <w:szCs w:val="22"/>
        </w:rPr>
        <w:t>A draft report outlining the assessment and recommendations, submitted by 17 October. The report should be no more than 15 pages long and include an executive summary of no more than two pages.</w:t>
      </w:r>
    </w:p>
    <w:p w14:paraId="6D4CF189" w14:textId="77777777" w:rsidR="007F615A" w:rsidRPr="00566759" w:rsidRDefault="007F615A" w:rsidP="007F615A">
      <w:pPr>
        <w:pStyle w:val="ListParagraph"/>
        <w:numPr>
          <w:ilvl w:val="0"/>
          <w:numId w:val="12"/>
        </w:numPr>
        <w:spacing w:after="200"/>
        <w:rPr>
          <w:rFonts w:cs="Calibri"/>
          <w:sz w:val="22"/>
          <w:szCs w:val="22"/>
        </w:rPr>
      </w:pPr>
      <w:r w:rsidRPr="00566759">
        <w:rPr>
          <w:rFonts w:cs="Calibri"/>
          <w:sz w:val="22"/>
          <w:szCs w:val="22"/>
        </w:rPr>
        <w:t>A final report by 4 November.</w:t>
      </w:r>
    </w:p>
    <w:p w14:paraId="3BDB15A6" w14:textId="77777777" w:rsidR="007F615A" w:rsidRPr="00566759" w:rsidRDefault="007F615A" w:rsidP="007F615A">
      <w:pPr>
        <w:rPr>
          <w:rFonts w:cs="Calibri"/>
          <w:b/>
          <w:sz w:val="22"/>
          <w:szCs w:val="22"/>
        </w:rPr>
      </w:pPr>
      <w:r w:rsidRPr="00566759">
        <w:rPr>
          <w:rFonts w:cs="Calibri"/>
          <w:b/>
          <w:sz w:val="22"/>
          <w:szCs w:val="22"/>
        </w:rPr>
        <w:t>Indicative Timeframe</w:t>
      </w:r>
    </w:p>
    <w:p w14:paraId="5EDA44F7" w14:textId="77777777" w:rsidR="007F615A" w:rsidRPr="00566759" w:rsidRDefault="007F615A" w:rsidP="007F615A">
      <w:pPr>
        <w:tabs>
          <w:tab w:val="left" w:pos="227"/>
        </w:tabs>
        <w:spacing w:before="60"/>
        <w:rPr>
          <w:rFonts w:eastAsia="Times New Roman" w:cs="Calibri"/>
          <w:sz w:val="22"/>
          <w:szCs w:val="22"/>
        </w:rPr>
      </w:pPr>
      <w:r w:rsidRPr="00566759">
        <w:rPr>
          <w:rFonts w:eastAsia="Times New Roman" w:cs="Calibri"/>
          <w:sz w:val="22"/>
          <w:szCs w:val="22"/>
        </w:rPr>
        <w:t xml:space="preserve">The consultation and field visits will take place in the Philippines for 10 working days starting on 19 September 2016.   </w:t>
      </w:r>
    </w:p>
    <w:p w14:paraId="76949264" w14:textId="77777777" w:rsidR="007F615A" w:rsidRPr="00566759" w:rsidRDefault="007F615A" w:rsidP="007F615A">
      <w:pPr>
        <w:tabs>
          <w:tab w:val="left" w:pos="227"/>
        </w:tabs>
        <w:spacing w:before="60"/>
        <w:jc w:val="both"/>
        <w:rPr>
          <w:rFonts w:eastAsia="Times New Roman" w:cs="Calibri"/>
          <w:sz w:val="22"/>
          <w:szCs w:val="22"/>
        </w:rPr>
      </w:pPr>
    </w:p>
    <w:tbl>
      <w:tblPr>
        <w:tblStyle w:val="TableGrid"/>
        <w:tblW w:w="9606" w:type="dxa"/>
        <w:tblLook w:val="04A0" w:firstRow="1" w:lastRow="0" w:firstColumn="1" w:lastColumn="0" w:noHBand="0" w:noVBand="1"/>
      </w:tblPr>
      <w:tblGrid>
        <w:gridCol w:w="4486"/>
        <w:gridCol w:w="1417"/>
        <w:gridCol w:w="1700"/>
        <w:gridCol w:w="2003"/>
      </w:tblGrid>
      <w:tr w:rsidR="007F615A" w:rsidRPr="00F63575" w14:paraId="62BB2157" w14:textId="77777777" w:rsidTr="00D3756D">
        <w:trPr>
          <w:trHeight w:val="299"/>
        </w:trPr>
        <w:tc>
          <w:tcPr>
            <w:tcW w:w="4486" w:type="dxa"/>
            <w:shd w:val="pct25" w:color="auto" w:fill="auto"/>
          </w:tcPr>
          <w:p w14:paraId="3CC0FE4A" w14:textId="77777777" w:rsidR="007F615A" w:rsidRPr="00566759" w:rsidRDefault="007F615A" w:rsidP="00D3756D">
            <w:pPr>
              <w:jc w:val="both"/>
              <w:rPr>
                <w:rFonts w:cs="Calibri"/>
                <w:b/>
              </w:rPr>
            </w:pPr>
            <w:r w:rsidRPr="005B47DC">
              <w:rPr>
                <w:rFonts w:cs="Calibri"/>
                <w:b/>
              </w:rPr>
              <w:t xml:space="preserve">Review Phase &amp; Actions </w:t>
            </w:r>
          </w:p>
        </w:tc>
        <w:tc>
          <w:tcPr>
            <w:tcW w:w="1417" w:type="dxa"/>
            <w:shd w:val="pct25" w:color="auto" w:fill="auto"/>
          </w:tcPr>
          <w:p w14:paraId="52E82F61" w14:textId="77777777" w:rsidR="007F615A" w:rsidRPr="00566759" w:rsidRDefault="007F615A" w:rsidP="00D3756D">
            <w:pPr>
              <w:jc w:val="both"/>
              <w:rPr>
                <w:rFonts w:cs="Calibri"/>
                <w:b/>
              </w:rPr>
            </w:pPr>
            <w:r w:rsidRPr="005B47DC">
              <w:rPr>
                <w:rFonts w:cs="Calibri"/>
                <w:b/>
              </w:rPr>
              <w:t xml:space="preserve">Location </w:t>
            </w:r>
          </w:p>
        </w:tc>
        <w:tc>
          <w:tcPr>
            <w:tcW w:w="1700" w:type="dxa"/>
            <w:shd w:val="pct25" w:color="auto" w:fill="auto"/>
          </w:tcPr>
          <w:p w14:paraId="306E758E" w14:textId="77777777" w:rsidR="007F615A" w:rsidRPr="00566759" w:rsidRDefault="007F615A" w:rsidP="00D3756D">
            <w:pPr>
              <w:jc w:val="both"/>
              <w:rPr>
                <w:rFonts w:cs="Calibri"/>
                <w:b/>
              </w:rPr>
            </w:pPr>
            <w:r w:rsidRPr="005B47DC">
              <w:rPr>
                <w:rFonts w:cs="Calibri"/>
                <w:b/>
              </w:rPr>
              <w:t xml:space="preserve">Indicative Days </w:t>
            </w:r>
          </w:p>
        </w:tc>
        <w:tc>
          <w:tcPr>
            <w:tcW w:w="2003" w:type="dxa"/>
            <w:shd w:val="pct25" w:color="auto" w:fill="auto"/>
          </w:tcPr>
          <w:p w14:paraId="18A08FD8" w14:textId="77777777" w:rsidR="007F615A" w:rsidRPr="00566759" w:rsidRDefault="007F615A" w:rsidP="00D3756D">
            <w:pPr>
              <w:jc w:val="both"/>
              <w:rPr>
                <w:rFonts w:cs="Calibri"/>
                <w:b/>
              </w:rPr>
            </w:pPr>
            <w:r w:rsidRPr="005B47DC">
              <w:rPr>
                <w:rFonts w:cs="Calibri"/>
                <w:b/>
              </w:rPr>
              <w:t>Indicati</w:t>
            </w:r>
            <w:r w:rsidRPr="00566759">
              <w:rPr>
                <w:rFonts w:cs="Calibri"/>
                <w:b/>
              </w:rPr>
              <w:t>ve Dates</w:t>
            </w:r>
          </w:p>
        </w:tc>
      </w:tr>
      <w:tr w:rsidR="007F615A" w:rsidRPr="00F63575" w14:paraId="0EE2FA9C" w14:textId="77777777" w:rsidTr="00D3756D">
        <w:trPr>
          <w:trHeight w:val="506"/>
        </w:trPr>
        <w:tc>
          <w:tcPr>
            <w:tcW w:w="4486" w:type="dxa"/>
          </w:tcPr>
          <w:p w14:paraId="3FFAF892" w14:textId="77777777" w:rsidR="007F615A" w:rsidRPr="00566759" w:rsidRDefault="007F615A" w:rsidP="007F615A">
            <w:pPr>
              <w:pStyle w:val="ListParagraph"/>
              <w:numPr>
                <w:ilvl w:val="0"/>
                <w:numId w:val="10"/>
              </w:numPr>
              <w:jc w:val="both"/>
              <w:rPr>
                <w:rFonts w:cs="Calibri"/>
                <w:b/>
                <w:u w:val="single"/>
              </w:rPr>
            </w:pPr>
            <w:r w:rsidRPr="005B47DC">
              <w:rPr>
                <w:rFonts w:cs="Calibri"/>
                <w:b/>
                <w:u w:val="single"/>
              </w:rPr>
              <w:t xml:space="preserve">Inception </w:t>
            </w:r>
          </w:p>
          <w:p w14:paraId="1A1EDD72" w14:textId="77777777" w:rsidR="007F615A" w:rsidRPr="00566759" w:rsidRDefault="007F615A" w:rsidP="007F615A">
            <w:pPr>
              <w:pStyle w:val="ListParagraph"/>
              <w:numPr>
                <w:ilvl w:val="0"/>
                <w:numId w:val="9"/>
              </w:numPr>
              <w:spacing w:after="120"/>
              <w:ind w:left="357" w:hanging="357"/>
              <w:contextualSpacing w:val="0"/>
              <w:jc w:val="both"/>
              <w:rPr>
                <w:rFonts w:cs="Calibri"/>
              </w:rPr>
            </w:pPr>
            <w:r w:rsidRPr="005B47DC">
              <w:rPr>
                <w:rFonts w:cs="Calibri"/>
              </w:rPr>
              <w:t xml:space="preserve">Review Documents </w:t>
            </w:r>
          </w:p>
          <w:p w14:paraId="2D22212D" w14:textId="77777777" w:rsidR="007F615A" w:rsidRPr="00566759" w:rsidRDefault="007F615A" w:rsidP="007F615A">
            <w:pPr>
              <w:pStyle w:val="ListParagraph"/>
              <w:numPr>
                <w:ilvl w:val="0"/>
                <w:numId w:val="9"/>
              </w:numPr>
              <w:spacing w:after="120"/>
              <w:ind w:left="357" w:hanging="357"/>
              <w:contextualSpacing w:val="0"/>
              <w:jc w:val="both"/>
              <w:rPr>
                <w:rFonts w:cs="Calibri"/>
              </w:rPr>
            </w:pPr>
            <w:r w:rsidRPr="005B47DC">
              <w:rPr>
                <w:rFonts w:cs="Calibri"/>
              </w:rPr>
              <w:t>Briefing with DFAT (via telecon)</w:t>
            </w:r>
          </w:p>
          <w:p w14:paraId="115F8F1F" w14:textId="77777777" w:rsidR="007F615A" w:rsidRPr="00566759" w:rsidRDefault="007F615A" w:rsidP="007F615A">
            <w:pPr>
              <w:pStyle w:val="ListParagraph"/>
              <w:numPr>
                <w:ilvl w:val="0"/>
                <w:numId w:val="9"/>
              </w:numPr>
              <w:spacing w:after="120"/>
              <w:ind w:left="357" w:hanging="357"/>
              <w:contextualSpacing w:val="0"/>
              <w:jc w:val="both"/>
              <w:rPr>
                <w:rFonts w:cs="Calibri"/>
              </w:rPr>
            </w:pPr>
            <w:r w:rsidRPr="005B47DC">
              <w:rPr>
                <w:rFonts w:cs="Calibri"/>
              </w:rPr>
              <w:t>Draft evaluation plan</w:t>
            </w:r>
          </w:p>
        </w:tc>
        <w:tc>
          <w:tcPr>
            <w:tcW w:w="1417" w:type="dxa"/>
          </w:tcPr>
          <w:p w14:paraId="1A024E96" w14:textId="77777777" w:rsidR="007F615A" w:rsidRPr="00566759" w:rsidRDefault="007F615A" w:rsidP="00D3756D">
            <w:pPr>
              <w:jc w:val="both"/>
              <w:rPr>
                <w:rFonts w:cs="Calibri"/>
              </w:rPr>
            </w:pPr>
          </w:p>
          <w:p w14:paraId="658D9E6A" w14:textId="77777777" w:rsidR="007F615A" w:rsidRPr="00566759" w:rsidRDefault="007F615A" w:rsidP="00D3756D">
            <w:pPr>
              <w:jc w:val="both"/>
              <w:rPr>
                <w:rFonts w:cs="Calibri"/>
              </w:rPr>
            </w:pPr>
          </w:p>
        </w:tc>
        <w:tc>
          <w:tcPr>
            <w:tcW w:w="1700" w:type="dxa"/>
          </w:tcPr>
          <w:p w14:paraId="0503451E" w14:textId="77777777" w:rsidR="007F615A" w:rsidRPr="00566759" w:rsidRDefault="007F615A" w:rsidP="00D3756D">
            <w:pPr>
              <w:jc w:val="both"/>
              <w:rPr>
                <w:rFonts w:cs="Calibri"/>
              </w:rPr>
            </w:pPr>
          </w:p>
          <w:p w14:paraId="697F45FF" w14:textId="77777777" w:rsidR="007F615A" w:rsidRPr="00566759" w:rsidRDefault="007F615A" w:rsidP="00D3756D">
            <w:pPr>
              <w:jc w:val="both"/>
              <w:rPr>
                <w:rFonts w:cs="Calibri"/>
              </w:rPr>
            </w:pPr>
          </w:p>
          <w:p w14:paraId="52AD2705" w14:textId="77777777" w:rsidR="007F615A" w:rsidRPr="00566759" w:rsidRDefault="007F615A" w:rsidP="00D3756D">
            <w:pPr>
              <w:rPr>
                <w:rFonts w:cs="Calibri"/>
              </w:rPr>
            </w:pPr>
            <w:r w:rsidRPr="005B47DC">
              <w:rPr>
                <w:rFonts w:cs="Calibri"/>
              </w:rPr>
              <w:t>3 working days</w:t>
            </w:r>
          </w:p>
        </w:tc>
        <w:tc>
          <w:tcPr>
            <w:tcW w:w="2003" w:type="dxa"/>
          </w:tcPr>
          <w:p w14:paraId="57BECD6C" w14:textId="77777777" w:rsidR="007F615A" w:rsidRPr="00566759" w:rsidRDefault="007F615A" w:rsidP="00D3756D">
            <w:pPr>
              <w:spacing w:before="120"/>
              <w:rPr>
                <w:rFonts w:cs="Calibri"/>
              </w:rPr>
            </w:pPr>
          </w:p>
          <w:p w14:paraId="4DDB8392" w14:textId="77777777" w:rsidR="007F615A" w:rsidRPr="00566759" w:rsidRDefault="007F615A" w:rsidP="00D3756D">
            <w:pPr>
              <w:rPr>
                <w:rFonts w:cs="Calibri"/>
              </w:rPr>
            </w:pPr>
            <w:r w:rsidRPr="005B47DC">
              <w:rPr>
                <w:rFonts w:cs="Calibri"/>
              </w:rPr>
              <w:t>Week of 22</w:t>
            </w:r>
            <w:r w:rsidRPr="005B47DC">
              <w:rPr>
                <w:rFonts w:cs="Calibri"/>
              </w:rPr>
              <w:noBreakHyphen/>
              <w:t>26 August</w:t>
            </w:r>
          </w:p>
          <w:p w14:paraId="795361FC" w14:textId="77777777" w:rsidR="007F615A" w:rsidRPr="00566759" w:rsidRDefault="007F615A" w:rsidP="00D3756D">
            <w:pPr>
              <w:spacing w:before="120"/>
              <w:rPr>
                <w:rFonts w:cs="Calibri"/>
              </w:rPr>
            </w:pPr>
            <w:r w:rsidRPr="005B47DC">
              <w:rPr>
                <w:rFonts w:cs="Calibri"/>
              </w:rPr>
              <w:t>17 September</w:t>
            </w:r>
          </w:p>
        </w:tc>
      </w:tr>
      <w:tr w:rsidR="007F615A" w:rsidRPr="00F63575" w14:paraId="72700FCB" w14:textId="77777777" w:rsidTr="00D3756D">
        <w:trPr>
          <w:trHeight w:val="506"/>
        </w:trPr>
        <w:tc>
          <w:tcPr>
            <w:tcW w:w="4486" w:type="dxa"/>
          </w:tcPr>
          <w:p w14:paraId="34B4E21A" w14:textId="77777777" w:rsidR="007F615A" w:rsidRPr="00566759" w:rsidRDefault="007F615A" w:rsidP="007F615A">
            <w:pPr>
              <w:pStyle w:val="ListParagraph"/>
              <w:numPr>
                <w:ilvl w:val="0"/>
                <w:numId w:val="10"/>
              </w:numPr>
              <w:jc w:val="both"/>
              <w:rPr>
                <w:rFonts w:cs="Calibri"/>
                <w:b/>
                <w:u w:val="single"/>
              </w:rPr>
            </w:pPr>
            <w:r w:rsidRPr="005B47DC">
              <w:rPr>
                <w:rFonts w:cs="Calibri"/>
                <w:b/>
                <w:u w:val="single"/>
              </w:rPr>
              <w:t>Consultation/ Program Field visit</w:t>
            </w:r>
          </w:p>
        </w:tc>
        <w:tc>
          <w:tcPr>
            <w:tcW w:w="1417" w:type="dxa"/>
          </w:tcPr>
          <w:p w14:paraId="1A52D876" w14:textId="77777777" w:rsidR="007F615A" w:rsidRPr="00566759" w:rsidRDefault="007F615A" w:rsidP="00D3756D">
            <w:pPr>
              <w:jc w:val="both"/>
              <w:rPr>
                <w:rFonts w:cs="Calibri"/>
              </w:rPr>
            </w:pPr>
            <w:r w:rsidRPr="005B47DC">
              <w:rPr>
                <w:rFonts w:cs="Calibri"/>
              </w:rPr>
              <w:t>Manila, Cotabato</w:t>
            </w:r>
          </w:p>
        </w:tc>
        <w:tc>
          <w:tcPr>
            <w:tcW w:w="1700" w:type="dxa"/>
          </w:tcPr>
          <w:p w14:paraId="7746F89C" w14:textId="77777777" w:rsidR="007F615A" w:rsidRPr="00566759" w:rsidRDefault="007F615A" w:rsidP="00D3756D">
            <w:pPr>
              <w:rPr>
                <w:rFonts w:cs="Calibri"/>
              </w:rPr>
            </w:pPr>
            <w:r w:rsidRPr="005B47DC">
              <w:rPr>
                <w:rFonts w:cs="Calibri"/>
              </w:rPr>
              <w:t xml:space="preserve">9 working days </w:t>
            </w:r>
          </w:p>
        </w:tc>
        <w:tc>
          <w:tcPr>
            <w:tcW w:w="2003" w:type="dxa"/>
          </w:tcPr>
          <w:p w14:paraId="78BC7F64" w14:textId="77777777" w:rsidR="007F615A" w:rsidRPr="00566759" w:rsidRDefault="007F615A" w:rsidP="00D3756D">
            <w:pPr>
              <w:jc w:val="both"/>
              <w:rPr>
                <w:rFonts w:cs="Calibri"/>
              </w:rPr>
            </w:pPr>
            <w:r w:rsidRPr="005B47DC">
              <w:rPr>
                <w:rFonts w:cs="Calibri"/>
              </w:rPr>
              <w:t>19-29 September</w:t>
            </w:r>
          </w:p>
        </w:tc>
      </w:tr>
      <w:tr w:rsidR="007F615A" w:rsidRPr="00F63575" w14:paraId="42CB4B21" w14:textId="77777777" w:rsidTr="00D3756D">
        <w:trPr>
          <w:trHeight w:val="506"/>
        </w:trPr>
        <w:tc>
          <w:tcPr>
            <w:tcW w:w="4486" w:type="dxa"/>
          </w:tcPr>
          <w:p w14:paraId="501AD150" w14:textId="77777777" w:rsidR="007F615A" w:rsidRPr="00566759" w:rsidRDefault="007F615A" w:rsidP="007F615A">
            <w:pPr>
              <w:pStyle w:val="ListParagraph"/>
              <w:numPr>
                <w:ilvl w:val="0"/>
                <w:numId w:val="10"/>
              </w:numPr>
              <w:jc w:val="both"/>
              <w:rPr>
                <w:rFonts w:cs="Calibri"/>
                <w:b/>
                <w:u w:val="single"/>
              </w:rPr>
            </w:pPr>
            <w:r w:rsidRPr="005B47DC">
              <w:rPr>
                <w:rFonts w:cs="Calibri"/>
                <w:b/>
                <w:u w:val="single"/>
              </w:rPr>
              <w:t xml:space="preserve">Presentation of Aide </w:t>
            </w:r>
            <w:r w:rsidRPr="00566759">
              <w:rPr>
                <w:rFonts w:cs="Calibri"/>
                <w:b/>
                <w:u w:val="single"/>
              </w:rPr>
              <w:t>Memoir</w:t>
            </w:r>
          </w:p>
        </w:tc>
        <w:tc>
          <w:tcPr>
            <w:tcW w:w="1417" w:type="dxa"/>
          </w:tcPr>
          <w:p w14:paraId="2FDCB990" w14:textId="77777777" w:rsidR="007F615A" w:rsidRPr="00566759" w:rsidRDefault="007F615A" w:rsidP="00D3756D">
            <w:pPr>
              <w:jc w:val="both"/>
              <w:rPr>
                <w:rFonts w:cs="Calibri"/>
              </w:rPr>
            </w:pPr>
            <w:r w:rsidRPr="005B47DC">
              <w:rPr>
                <w:rFonts w:cs="Calibri"/>
              </w:rPr>
              <w:t>Manila</w:t>
            </w:r>
          </w:p>
        </w:tc>
        <w:tc>
          <w:tcPr>
            <w:tcW w:w="1700" w:type="dxa"/>
          </w:tcPr>
          <w:p w14:paraId="41C79870" w14:textId="77777777" w:rsidR="007F615A" w:rsidRPr="00566759" w:rsidRDefault="007F615A" w:rsidP="00D3756D">
            <w:pPr>
              <w:jc w:val="both"/>
              <w:rPr>
                <w:rFonts w:cs="Calibri"/>
              </w:rPr>
            </w:pPr>
            <w:r w:rsidRPr="005B47DC">
              <w:rPr>
                <w:rFonts w:cs="Calibri"/>
              </w:rPr>
              <w:t>1 day</w:t>
            </w:r>
          </w:p>
        </w:tc>
        <w:tc>
          <w:tcPr>
            <w:tcW w:w="2003" w:type="dxa"/>
          </w:tcPr>
          <w:p w14:paraId="212FD356" w14:textId="77777777" w:rsidR="007F615A" w:rsidRPr="00566759" w:rsidRDefault="007F615A" w:rsidP="00D3756D">
            <w:pPr>
              <w:jc w:val="both"/>
              <w:rPr>
                <w:rFonts w:cs="Calibri"/>
              </w:rPr>
            </w:pPr>
            <w:r w:rsidRPr="005B47DC">
              <w:rPr>
                <w:rFonts w:cs="Calibri"/>
              </w:rPr>
              <w:t>30 September</w:t>
            </w:r>
          </w:p>
        </w:tc>
      </w:tr>
      <w:tr w:rsidR="007F615A" w:rsidRPr="00F63575" w14:paraId="3F68009A" w14:textId="77777777" w:rsidTr="00D3756D">
        <w:trPr>
          <w:trHeight w:val="506"/>
        </w:trPr>
        <w:tc>
          <w:tcPr>
            <w:tcW w:w="4486" w:type="dxa"/>
          </w:tcPr>
          <w:p w14:paraId="0C0E165F" w14:textId="77777777" w:rsidR="007F615A" w:rsidRPr="00566759" w:rsidRDefault="007F615A" w:rsidP="007F615A">
            <w:pPr>
              <w:pStyle w:val="ListParagraph"/>
              <w:numPr>
                <w:ilvl w:val="0"/>
                <w:numId w:val="10"/>
              </w:numPr>
              <w:jc w:val="both"/>
              <w:rPr>
                <w:rFonts w:cs="Calibri"/>
                <w:b/>
                <w:u w:val="single"/>
              </w:rPr>
            </w:pPr>
            <w:r w:rsidRPr="005B47DC">
              <w:rPr>
                <w:rFonts w:cs="Calibri"/>
                <w:b/>
                <w:u w:val="single"/>
              </w:rPr>
              <w:t>Drafting</w:t>
            </w:r>
          </w:p>
        </w:tc>
        <w:tc>
          <w:tcPr>
            <w:tcW w:w="1417" w:type="dxa"/>
          </w:tcPr>
          <w:p w14:paraId="137CE4C6" w14:textId="77777777" w:rsidR="007F615A" w:rsidRPr="00566759" w:rsidRDefault="007F615A" w:rsidP="00D3756D">
            <w:pPr>
              <w:jc w:val="both"/>
              <w:rPr>
                <w:rFonts w:cs="Calibri"/>
              </w:rPr>
            </w:pPr>
          </w:p>
        </w:tc>
        <w:tc>
          <w:tcPr>
            <w:tcW w:w="1700" w:type="dxa"/>
          </w:tcPr>
          <w:p w14:paraId="3961447D" w14:textId="77777777" w:rsidR="007F615A" w:rsidRPr="00566759" w:rsidRDefault="007F615A" w:rsidP="00D3756D">
            <w:pPr>
              <w:rPr>
                <w:rFonts w:cs="Calibri"/>
              </w:rPr>
            </w:pPr>
            <w:r w:rsidRPr="005B47DC">
              <w:rPr>
                <w:rFonts w:cs="Calibri"/>
              </w:rPr>
              <w:t>Up to 10 working days</w:t>
            </w:r>
          </w:p>
        </w:tc>
        <w:tc>
          <w:tcPr>
            <w:tcW w:w="2003" w:type="dxa"/>
          </w:tcPr>
          <w:p w14:paraId="638D50F7" w14:textId="77777777" w:rsidR="007F615A" w:rsidRPr="00566759" w:rsidRDefault="007F615A" w:rsidP="00D3756D">
            <w:pPr>
              <w:jc w:val="both"/>
              <w:rPr>
                <w:rFonts w:cs="Calibri"/>
              </w:rPr>
            </w:pPr>
          </w:p>
        </w:tc>
      </w:tr>
      <w:tr w:rsidR="007F615A" w:rsidRPr="00F63575" w14:paraId="43BC7F68" w14:textId="77777777" w:rsidTr="00D3756D">
        <w:trPr>
          <w:trHeight w:val="506"/>
        </w:trPr>
        <w:tc>
          <w:tcPr>
            <w:tcW w:w="4486" w:type="dxa"/>
          </w:tcPr>
          <w:p w14:paraId="13EBEADD" w14:textId="77777777" w:rsidR="007F615A" w:rsidRPr="00566759" w:rsidRDefault="007F615A" w:rsidP="007F615A">
            <w:pPr>
              <w:pStyle w:val="ListParagraph"/>
              <w:numPr>
                <w:ilvl w:val="0"/>
                <w:numId w:val="10"/>
              </w:numPr>
              <w:jc w:val="both"/>
              <w:rPr>
                <w:rFonts w:cs="Calibri"/>
                <w:b/>
                <w:u w:val="single"/>
              </w:rPr>
            </w:pPr>
            <w:r w:rsidRPr="005B47DC">
              <w:rPr>
                <w:rFonts w:cs="Calibri"/>
                <w:b/>
                <w:u w:val="single"/>
              </w:rPr>
              <w:t>Submission of First Draft</w:t>
            </w:r>
          </w:p>
        </w:tc>
        <w:tc>
          <w:tcPr>
            <w:tcW w:w="1417" w:type="dxa"/>
          </w:tcPr>
          <w:p w14:paraId="5C9DEEBC" w14:textId="77777777" w:rsidR="007F615A" w:rsidRPr="00566759" w:rsidRDefault="007F615A" w:rsidP="00D3756D">
            <w:pPr>
              <w:jc w:val="both"/>
              <w:rPr>
                <w:rFonts w:cs="Calibri"/>
              </w:rPr>
            </w:pPr>
          </w:p>
        </w:tc>
        <w:tc>
          <w:tcPr>
            <w:tcW w:w="1700" w:type="dxa"/>
          </w:tcPr>
          <w:p w14:paraId="31DC82F5" w14:textId="77777777" w:rsidR="007F615A" w:rsidRPr="00566759" w:rsidRDefault="007F615A" w:rsidP="00D3756D">
            <w:pPr>
              <w:jc w:val="both"/>
              <w:rPr>
                <w:rFonts w:cs="Calibri"/>
              </w:rPr>
            </w:pPr>
          </w:p>
        </w:tc>
        <w:tc>
          <w:tcPr>
            <w:tcW w:w="2003" w:type="dxa"/>
          </w:tcPr>
          <w:p w14:paraId="7398B09D" w14:textId="77777777" w:rsidR="007F615A" w:rsidRPr="00566759" w:rsidRDefault="007F615A" w:rsidP="00D3756D">
            <w:pPr>
              <w:jc w:val="both"/>
              <w:rPr>
                <w:rFonts w:cs="Calibri"/>
              </w:rPr>
            </w:pPr>
            <w:r w:rsidRPr="005B47DC">
              <w:rPr>
                <w:rFonts w:cs="Calibri"/>
              </w:rPr>
              <w:t>17 October</w:t>
            </w:r>
          </w:p>
        </w:tc>
      </w:tr>
      <w:tr w:rsidR="007F615A" w:rsidRPr="00F63575" w14:paraId="2233FF87" w14:textId="77777777" w:rsidTr="00D3756D">
        <w:trPr>
          <w:trHeight w:val="506"/>
        </w:trPr>
        <w:tc>
          <w:tcPr>
            <w:tcW w:w="4486" w:type="dxa"/>
            <w:tcBorders>
              <w:bottom w:val="single" w:sz="4" w:space="0" w:color="auto"/>
            </w:tcBorders>
          </w:tcPr>
          <w:p w14:paraId="317082BD" w14:textId="77777777" w:rsidR="007F615A" w:rsidRPr="00566759" w:rsidRDefault="007F615A" w:rsidP="007F615A">
            <w:pPr>
              <w:pStyle w:val="ListParagraph"/>
              <w:numPr>
                <w:ilvl w:val="0"/>
                <w:numId w:val="10"/>
              </w:numPr>
              <w:jc w:val="both"/>
              <w:rPr>
                <w:rFonts w:cs="Calibri"/>
                <w:b/>
              </w:rPr>
            </w:pPr>
            <w:r w:rsidRPr="005B47DC">
              <w:rPr>
                <w:rFonts w:cs="Calibri"/>
                <w:b/>
                <w:u w:val="single"/>
              </w:rPr>
              <w:t>Draft and Final Report</w:t>
            </w:r>
            <w:r w:rsidRPr="00566759">
              <w:rPr>
                <w:rFonts w:cs="Calibri"/>
                <w:b/>
              </w:rPr>
              <w:t xml:space="preserve"> </w:t>
            </w:r>
          </w:p>
          <w:p w14:paraId="44544ADA" w14:textId="77777777" w:rsidR="007F615A" w:rsidRPr="00566759" w:rsidRDefault="007F615A" w:rsidP="007F615A">
            <w:pPr>
              <w:pStyle w:val="ListParagraph"/>
              <w:numPr>
                <w:ilvl w:val="0"/>
                <w:numId w:val="8"/>
              </w:numPr>
              <w:rPr>
                <w:rFonts w:cs="Calibri"/>
                <w:b/>
              </w:rPr>
            </w:pPr>
            <w:r w:rsidRPr="005B47DC">
              <w:rPr>
                <w:rFonts w:cs="Calibri"/>
              </w:rPr>
              <w:t>DFAT and NGO partner comments on draft report</w:t>
            </w:r>
          </w:p>
          <w:p w14:paraId="70C85DE4" w14:textId="77777777" w:rsidR="007F615A" w:rsidRPr="00566759" w:rsidRDefault="007F615A" w:rsidP="00D3756D">
            <w:pPr>
              <w:rPr>
                <w:rFonts w:cs="Calibri"/>
                <w:b/>
              </w:rPr>
            </w:pPr>
            <w:r w:rsidRPr="005B47DC">
              <w:rPr>
                <w:rFonts w:cs="Calibri"/>
              </w:rPr>
              <w:t xml:space="preserve">  </w:t>
            </w:r>
          </w:p>
          <w:p w14:paraId="51C6E5B8" w14:textId="77777777" w:rsidR="007F615A" w:rsidRPr="00566759" w:rsidRDefault="007F615A" w:rsidP="007F615A">
            <w:pPr>
              <w:pStyle w:val="ListParagraph"/>
              <w:numPr>
                <w:ilvl w:val="0"/>
                <w:numId w:val="8"/>
              </w:numPr>
              <w:rPr>
                <w:rFonts w:cs="Calibri"/>
                <w:b/>
              </w:rPr>
            </w:pPr>
            <w:r w:rsidRPr="005B47DC">
              <w:rPr>
                <w:rFonts w:cs="Calibri"/>
              </w:rPr>
              <w:t xml:space="preserve">Report finalised </w:t>
            </w:r>
          </w:p>
        </w:tc>
        <w:tc>
          <w:tcPr>
            <w:tcW w:w="1417" w:type="dxa"/>
            <w:tcBorders>
              <w:bottom w:val="single" w:sz="4" w:space="0" w:color="auto"/>
            </w:tcBorders>
          </w:tcPr>
          <w:p w14:paraId="5667A147" w14:textId="77777777" w:rsidR="007F615A" w:rsidRPr="00566759" w:rsidRDefault="007F615A" w:rsidP="00D3756D">
            <w:pPr>
              <w:jc w:val="both"/>
              <w:rPr>
                <w:rFonts w:cs="Calibri"/>
              </w:rPr>
            </w:pPr>
          </w:p>
        </w:tc>
        <w:tc>
          <w:tcPr>
            <w:tcW w:w="1700" w:type="dxa"/>
            <w:tcBorders>
              <w:bottom w:val="single" w:sz="4" w:space="0" w:color="auto"/>
            </w:tcBorders>
          </w:tcPr>
          <w:p w14:paraId="60A30E09" w14:textId="77777777" w:rsidR="007F615A" w:rsidRPr="00566759" w:rsidRDefault="007F615A" w:rsidP="00D3756D">
            <w:pPr>
              <w:jc w:val="both"/>
              <w:rPr>
                <w:rFonts w:cs="Calibri"/>
              </w:rPr>
            </w:pPr>
          </w:p>
        </w:tc>
        <w:tc>
          <w:tcPr>
            <w:tcW w:w="2003" w:type="dxa"/>
            <w:tcBorders>
              <w:bottom w:val="single" w:sz="4" w:space="0" w:color="auto"/>
            </w:tcBorders>
          </w:tcPr>
          <w:p w14:paraId="6A5E6907" w14:textId="77777777" w:rsidR="007F615A" w:rsidRPr="00566759" w:rsidRDefault="007F615A" w:rsidP="00D3756D">
            <w:pPr>
              <w:jc w:val="both"/>
              <w:rPr>
                <w:rFonts w:cs="Calibri"/>
              </w:rPr>
            </w:pPr>
          </w:p>
          <w:p w14:paraId="42F011C0" w14:textId="77777777" w:rsidR="007F615A" w:rsidRPr="00566759" w:rsidRDefault="007F615A" w:rsidP="00D3756D">
            <w:pPr>
              <w:jc w:val="both"/>
              <w:rPr>
                <w:rFonts w:cs="Calibri"/>
              </w:rPr>
            </w:pPr>
            <w:r w:rsidRPr="005B47DC">
              <w:rPr>
                <w:rFonts w:cs="Calibri"/>
              </w:rPr>
              <w:t>17-25 October</w:t>
            </w:r>
          </w:p>
          <w:p w14:paraId="0EE5D549" w14:textId="77777777" w:rsidR="007F615A" w:rsidRPr="00566759" w:rsidRDefault="007F615A" w:rsidP="00D3756D">
            <w:pPr>
              <w:jc w:val="both"/>
              <w:rPr>
                <w:rFonts w:cs="Calibri"/>
              </w:rPr>
            </w:pPr>
            <w:r w:rsidRPr="005B47DC">
              <w:rPr>
                <w:rFonts w:cs="Calibri"/>
              </w:rPr>
              <w:t>4 November</w:t>
            </w:r>
          </w:p>
        </w:tc>
      </w:tr>
    </w:tbl>
    <w:p w14:paraId="3FDEA5C0" w14:textId="77777777" w:rsidR="007F615A" w:rsidRPr="00566759" w:rsidRDefault="007F615A" w:rsidP="007F615A">
      <w:pPr>
        <w:tabs>
          <w:tab w:val="left" w:pos="227"/>
        </w:tabs>
        <w:spacing w:before="60"/>
        <w:jc w:val="both"/>
        <w:rPr>
          <w:rFonts w:eastAsia="Times New Roman" w:cs="Calibri"/>
          <w:sz w:val="22"/>
          <w:szCs w:val="22"/>
        </w:rPr>
      </w:pPr>
    </w:p>
    <w:p w14:paraId="5B898A12" w14:textId="77777777" w:rsidR="007F615A" w:rsidRPr="00566759" w:rsidRDefault="007F615A" w:rsidP="007F615A">
      <w:pPr>
        <w:jc w:val="both"/>
        <w:rPr>
          <w:rFonts w:cs="Calibri"/>
          <w:b/>
          <w:sz w:val="22"/>
          <w:szCs w:val="22"/>
        </w:rPr>
      </w:pPr>
      <w:r w:rsidRPr="00566759">
        <w:rPr>
          <w:rFonts w:cs="Calibri"/>
          <w:b/>
          <w:sz w:val="22"/>
          <w:szCs w:val="22"/>
        </w:rPr>
        <w:t>Suggested list of organisations/people to be consulted</w:t>
      </w:r>
    </w:p>
    <w:p w14:paraId="2DE01C4D" w14:textId="77777777" w:rsidR="007F615A" w:rsidRPr="00566759" w:rsidRDefault="007F615A" w:rsidP="007F615A">
      <w:pPr>
        <w:pStyle w:val="ListParagraph"/>
        <w:spacing w:after="200"/>
        <w:ind w:left="360"/>
        <w:rPr>
          <w:rFonts w:cs="Calibri"/>
          <w:sz w:val="22"/>
          <w:szCs w:val="22"/>
        </w:rPr>
      </w:pPr>
    </w:p>
    <w:p w14:paraId="4682ADC7" w14:textId="77777777" w:rsidR="007F615A" w:rsidRPr="00566759" w:rsidRDefault="007F615A" w:rsidP="007F615A">
      <w:pPr>
        <w:pStyle w:val="ListParagraph"/>
        <w:numPr>
          <w:ilvl w:val="0"/>
          <w:numId w:val="11"/>
        </w:numPr>
        <w:spacing w:after="200"/>
        <w:rPr>
          <w:rFonts w:cs="Calibri"/>
          <w:sz w:val="22"/>
          <w:szCs w:val="22"/>
        </w:rPr>
      </w:pPr>
      <w:r w:rsidRPr="00566759">
        <w:rPr>
          <w:rFonts w:cs="Calibri"/>
          <w:sz w:val="22"/>
          <w:szCs w:val="22"/>
          <w:u w:val="single"/>
        </w:rPr>
        <w:t>Implementing partners</w:t>
      </w:r>
      <w:r w:rsidRPr="00566759">
        <w:rPr>
          <w:rFonts w:cs="Calibri"/>
          <w:sz w:val="22"/>
          <w:szCs w:val="22"/>
        </w:rPr>
        <w:t xml:space="preserve">: including organisations with which DFAT has funding agreements, relevant subsidiary partners and other relevant organisations </w:t>
      </w:r>
    </w:p>
    <w:p w14:paraId="1E5191F2" w14:textId="77777777" w:rsidR="007F615A" w:rsidRPr="00566759" w:rsidRDefault="007F615A" w:rsidP="007F615A">
      <w:pPr>
        <w:pStyle w:val="ListParagraph"/>
        <w:numPr>
          <w:ilvl w:val="0"/>
          <w:numId w:val="11"/>
        </w:numPr>
        <w:spacing w:after="200"/>
        <w:rPr>
          <w:rFonts w:cs="Calibri"/>
          <w:sz w:val="22"/>
          <w:szCs w:val="22"/>
        </w:rPr>
      </w:pPr>
      <w:r w:rsidRPr="00566759">
        <w:rPr>
          <w:rFonts w:cs="Calibri"/>
          <w:sz w:val="22"/>
          <w:szCs w:val="22"/>
          <w:u w:val="single"/>
        </w:rPr>
        <w:t>Other donors/UN agencies:</w:t>
      </w:r>
      <w:r w:rsidRPr="00566759">
        <w:rPr>
          <w:rFonts w:cs="Calibri"/>
          <w:sz w:val="22"/>
          <w:szCs w:val="22"/>
        </w:rPr>
        <w:t xml:space="preserve"> UK, EU, Norway, Japan</w:t>
      </w:r>
    </w:p>
    <w:p w14:paraId="3A58C4E9" w14:textId="77777777" w:rsidR="007F615A" w:rsidRPr="00566759" w:rsidRDefault="007F615A" w:rsidP="007F615A">
      <w:pPr>
        <w:pStyle w:val="ListParagraph"/>
        <w:numPr>
          <w:ilvl w:val="0"/>
          <w:numId w:val="11"/>
        </w:numPr>
        <w:spacing w:after="200"/>
        <w:rPr>
          <w:rFonts w:cs="Calibri"/>
          <w:sz w:val="22"/>
          <w:szCs w:val="22"/>
        </w:rPr>
      </w:pPr>
      <w:r w:rsidRPr="00566759">
        <w:rPr>
          <w:rFonts w:cs="Calibri"/>
          <w:sz w:val="22"/>
          <w:szCs w:val="22"/>
          <w:u w:val="single"/>
        </w:rPr>
        <w:t>Philippines representatives</w:t>
      </w:r>
      <w:r w:rsidRPr="00566759">
        <w:rPr>
          <w:rFonts w:cs="Calibri"/>
          <w:sz w:val="22"/>
          <w:szCs w:val="22"/>
        </w:rPr>
        <w:t>: GPH representatives, representatives of the parties to peace agreements, IP organisations, sub-national government stakeholders</w:t>
      </w:r>
    </w:p>
    <w:p w14:paraId="7A86E9DF" w14:textId="77777777" w:rsidR="007F615A" w:rsidRPr="00566759" w:rsidRDefault="007F615A" w:rsidP="007F615A">
      <w:pPr>
        <w:pStyle w:val="ListParagraph"/>
        <w:numPr>
          <w:ilvl w:val="0"/>
          <w:numId w:val="11"/>
        </w:numPr>
        <w:spacing w:after="200"/>
        <w:rPr>
          <w:rFonts w:cs="Calibri"/>
          <w:sz w:val="22"/>
          <w:szCs w:val="22"/>
        </w:rPr>
      </w:pPr>
      <w:r w:rsidRPr="00566759">
        <w:rPr>
          <w:rFonts w:cs="Calibri"/>
          <w:sz w:val="22"/>
          <w:szCs w:val="22"/>
          <w:u w:val="single"/>
        </w:rPr>
        <w:t xml:space="preserve">Australian Government: </w:t>
      </w:r>
      <w:r w:rsidRPr="00566759">
        <w:rPr>
          <w:rFonts w:cs="Calibri"/>
          <w:sz w:val="22"/>
          <w:szCs w:val="22"/>
        </w:rPr>
        <w:t>Relevant staff and management in Manila</w:t>
      </w:r>
    </w:p>
    <w:p w14:paraId="24C6F7F0" w14:textId="77777777" w:rsidR="007F615A" w:rsidRPr="00566759" w:rsidRDefault="007F615A" w:rsidP="007F615A">
      <w:pPr>
        <w:jc w:val="both"/>
        <w:rPr>
          <w:rFonts w:cs="Calibri"/>
          <w:b/>
          <w:sz w:val="22"/>
          <w:szCs w:val="22"/>
        </w:rPr>
      </w:pPr>
      <w:r w:rsidRPr="00566759">
        <w:rPr>
          <w:rFonts w:cs="Calibri"/>
          <w:b/>
          <w:sz w:val="22"/>
          <w:szCs w:val="22"/>
        </w:rPr>
        <w:t>Team Composition/Roles</w:t>
      </w:r>
    </w:p>
    <w:p w14:paraId="48ACF281" w14:textId="77777777" w:rsidR="007F615A" w:rsidRPr="00566759" w:rsidRDefault="007F615A" w:rsidP="007F615A">
      <w:pPr>
        <w:pStyle w:val="ListParagraph"/>
        <w:spacing w:after="200"/>
        <w:ind w:left="360"/>
        <w:rPr>
          <w:rFonts w:cs="Calibri"/>
          <w:sz w:val="22"/>
          <w:szCs w:val="22"/>
        </w:rPr>
      </w:pPr>
    </w:p>
    <w:p w14:paraId="002289A2" w14:textId="77777777" w:rsidR="007F615A" w:rsidRPr="00566759" w:rsidRDefault="007F615A" w:rsidP="007F615A">
      <w:pPr>
        <w:pStyle w:val="ListParagraph"/>
        <w:numPr>
          <w:ilvl w:val="0"/>
          <w:numId w:val="11"/>
        </w:numPr>
        <w:spacing w:after="200"/>
        <w:rPr>
          <w:rFonts w:cs="Calibri"/>
          <w:sz w:val="22"/>
          <w:szCs w:val="22"/>
        </w:rPr>
      </w:pPr>
      <w:r w:rsidRPr="00566759">
        <w:rPr>
          <w:rFonts w:cs="Calibri"/>
          <w:sz w:val="22"/>
          <w:szCs w:val="22"/>
        </w:rPr>
        <w:t>Dr Fermin Adriano (Team Leader)</w:t>
      </w:r>
    </w:p>
    <w:p w14:paraId="4806BE5A" w14:textId="77777777" w:rsidR="007F615A" w:rsidRPr="00566759" w:rsidRDefault="007F615A" w:rsidP="007F615A">
      <w:pPr>
        <w:pStyle w:val="ListParagraph"/>
        <w:numPr>
          <w:ilvl w:val="1"/>
          <w:numId w:val="11"/>
        </w:numPr>
        <w:spacing w:after="200"/>
        <w:rPr>
          <w:rFonts w:cs="Calibri"/>
          <w:sz w:val="22"/>
          <w:szCs w:val="22"/>
        </w:rPr>
      </w:pPr>
      <w:r w:rsidRPr="00566759">
        <w:rPr>
          <w:rFonts w:cs="Calibri"/>
          <w:sz w:val="22"/>
          <w:szCs w:val="22"/>
        </w:rPr>
        <w:lastRenderedPageBreak/>
        <w:t>Responsible for leading the team in meetings with interlocutors; drafting; and coordinating team inputs to the final report.</w:t>
      </w:r>
    </w:p>
    <w:p w14:paraId="45C16CDF" w14:textId="77777777" w:rsidR="007F615A" w:rsidRPr="00566759" w:rsidRDefault="007F615A" w:rsidP="007F615A">
      <w:pPr>
        <w:pStyle w:val="ListParagraph"/>
        <w:numPr>
          <w:ilvl w:val="0"/>
          <w:numId w:val="11"/>
        </w:numPr>
        <w:spacing w:after="200"/>
        <w:rPr>
          <w:rFonts w:cs="Calibri"/>
          <w:sz w:val="22"/>
          <w:szCs w:val="22"/>
        </w:rPr>
      </w:pPr>
      <w:r w:rsidRPr="00566759">
        <w:rPr>
          <w:rFonts w:cs="Calibri"/>
          <w:sz w:val="22"/>
          <w:szCs w:val="22"/>
        </w:rPr>
        <w:t>Mr Robin Bednall</w:t>
      </w:r>
    </w:p>
    <w:p w14:paraId="287A77A3" w14:textId="77777777" w:rsidR="007F615A" w:rsidRPr="00566759" w:rsidRDefault="007F615A" w:rsidP="007F615A">
      <w:pPr>
        <w:pStyle w:val="ListParagraph"/>
        <w:numPr>
          <w:ilvl w:val="1"/>
          <w:numId w:val="11"/>
        </w:numPr>
        <w:spacing w:after="200"/>
        <w:rPr>
          <w:rFonts w:cs="Calibri"/>
          <w:sz w:val="22"/>
          <w:szCs w:val="22"/>
        </w:rPr>
      </w:pPr>
      <w:r w:rsidRPr="00566759">
        <w:rPr>
          <w:rFonts w:cs="Calibri"/>
          <w:sz w:val="22"/>
          <w:szCs w:val="22"/>
        </w:rPr>
        <w:t>Responsible for DFAT-specific advice to the team and inputs to the final report, including on peace, conflict and CVE policy; editing to ensure the final report is fit for purpose for DFAT; and other inputs as agreed with the review team.</w:t>
      </w:r>
    </w:p>
    <w:p w14:paraId="7D4C6CC5" w14:textId="77777777" w:rsidR="007F615A" w:rsidRPr="00566759" w:rsidRDefault="007F615A" w:rsidP="007F615A">
      <w:pPr>
        <w:pStyle w:val="ListParagraph"/>
        <w:numPr>
          <w:ilvl w:val="0"/>
          <w:numId w:val="11"/>
        </w:numPr>
        <w:spacing w:after="200"/>
        <w:rPr>
          <w:rFonts w:cs="Calibri"/>
          <w:sz w:val="22"/>
          <w:szCs w:val="22"/>
        </w:rPr>
      </w:pPr>
      <w:r w:rsidRPr="00566759">
        <w:rPr>
          <w:rFonts w:cs="Calibri"/>
          <w:sz w:val="22"/>
          <w:szCs w:val="22"/>
        </w:rPr>
        <w:t>Dr Sophia Close (Peace and Gender specialist)</w:t>
      </w:r>
    </w:p>
    <w:p w14:paraId="77F5C97C" w14:textId="77777777" w:rsidR="007F615A" w:rsidRPr="00566759" w:rsidRDefault="007F615A" w:rsidP="007F615A">
      <w:pPr>
        <w:pStyle w:val="ListParagraph"/>
        <w:numPr>
          <w:ilvl w:val="1"/>
          <w:numId w:val="11"/>
        </w:numPr>
        <w:spacing w:after="200"/>
        <w:rPr>
          <w:rFonts w:cs="Calibri"/>
          <w:sz w:val="22"/>
          <w:szCs w:val="22"/>
        </w:rPr>
      </w:pPr>
      <w:r w:rsidRPr="00566759">
        <w:rPr>
          <w:rFonts w:cs="Calibri"/>
          <w:sz w:val="22"/>
          <w:szCs w:val="22"/>
        </w:rPr>
        <w:t>Responsible for peace and gender specific inputs to the final report, developed in consultation with team members; and other inputs as agreed with the review team.</w:t>
      </w:r>
    </w:p>
    <w:p w14:paraId="2B3F86EB" w14:textId="77777777" w:rsidR="007F615A" w:rsidRPr="00566759" w:rsidRDefault="007F615A" w:rsidP="007F615A">
      <w:pPr>
        <w:jc w:val="both"/>
        <w:rPr>
          <w:rFonts w:cs="Calibri"/>
          <w:b/>
          <w:sz w:val="22"/>
          <w:szCs w:val="22"/>
        </w:rPr>
      </w:pPr>
      <w:r w:rsidRPr="00566759">
        <w:rPr>
          <w:rFonts w:cs="Calibri"/>
          <w:b/>
          <w:sz w:val="22"/>
          <w:szCs w:val="22"/>
        </w:rPr>
        <w:t xml:space="preserve">Reference Documents </w:t>
      </w:r>
    </w:p>
    <w:p w14:paraId="09AA7CDC" w14:textId="77777777" w:rsidR="007F615A" w:rsidRPr="00566759" w:rsidRDefault="007F615A" w:rsidP="007F615A">
      <w:pPr>
        <w:jc w:val="both"/>
        <w:rPr>
          <w:rFonts w:cs="Calibri"/>
          <w:b/>
          <w:sz w:val="22"/>
          <w:szCs w:val="22"/>
        </w:rPr>
      </w:pPr>
    </w:p>
    <w:p w14:paraId="3F27BC5D" w14:textId="77777777" w:rsidR="007F615A" w:rsidRPr="00566759" w:rsidRDefault="007F615A" w:rsidP="007F615A">
      <w:pPr>
        <w:pStyle w:val="ListParagraph"/>
        <w:numPr>
          <w:ilvl w:val="0"/>
          <w:numId w:val="16"/>
        </w:numPr>
        <w:spacing w:after="200"/>
        <w:jc w:val="both"/>
        <w:rPr>
          <w:rFonts w:cs="Calibri"/>
          <w:sz w:val="22"/>
          <w:szCs w:val="22"/>
        </w:rPr>
      </w:pPr>
      <w:r w:rsidRPr="00566759">
        <w:rPr>
          <w:rFonts w:cs="Calibri"/>
          <w:sz w:val="22"/>
          <w:szCs w:val="22"/>
        </w:rPr>
        <w:t>DFAT design documents</w:t>
      </w:r>
    </w:p>
    <w:p w14:paraId="72721133" w14:textId="77777777" w:rsidR="007F615A" w:rsidRPr="00566759" w:rsidRDefault="007F615A" w:rsidP="007F615A">
      <w:pPr>
        <w:pStyle w:val="ListParagraph"/>
        <w:numPr>
          <w:ilvl w:val="0"/>
          <w:numId w:val="16"/>
        </w:numPr>
        <w:spacing w:after="200"/>
        <w:jc w:val="both"/>
        <w:rPr>
          <w:rFonts w:cs="Calibri"/>
          <w:sz w:val="22"/>
          <w:szCs w:val="22"/>
        </w:rPr>
      </w:pPr>
      <w:r w:rsidRPr="00566759">
        <w:rPr>
          <w:rFonts w:cs="Calibri"/>
          <w:sz w:val="22"/>
          <w:szCs w:val="22"/>
        </w:rPr>
        <w:t>Partner design documents</w:t>
      </w:r>
    </w:p>
    <w:p w14:paraId="1D0AD46E" w14:textId="77777777" w:rsidR="007F615A" w:rsidRPr="00566759" w:rsidRDefault="007F615A" w:rsidP="007F615A">
      <w:pPr>
        <w:pStyle w:val="ListParagraph"/>
        <w:numPr>
          <w:ilvl w:val="0"/>
          <w:numId w:val="16"/>
        </w:numPr>
        <w:spacing w:after="200"/>
        <w:jc w:val="both"/>
        <w:rPr>
          <w:rFonts w:cs="Calibri"/>
          <w:sz w:val="22"/>
          <w:szCs w:val="22"/>
        </w:rPr>
      </w:pPr>
      <w:r w:rsidRPr="00566759">
        <w:rPr>
          <w:rFonts w:cs="Calibri"/>
          <w:sz w:val="22"/>
          <w:szCs w:val="22"/>
        </w:rPr>
        <w:t>Partner reporting</w:t>
      </w:r>
    </w:p>
    <w:p w14:paraId="43844006" w14:textId="77777777" w:rsidR="007F615A" w:rsidRPr="00566759" w:rsidRDefault="007F615A" w:rsidP="007F615A">
      <w:pPr>
        <w:pStyle w:val="ListParagraph"/>
        <w:numPr>
          <w:ilvl w:val="0"/>
          <w:numId w:val="16"/>
        </w:numPr>
        <w:spacing w:after="200"/>
        <w:jc w:val="both"/>
        <w:rPr>
          <w:rFonts w:cs="Calibri"/>
          <w:sz w:val="22"/>
          <w:szCs w:val="22"/>
        </w:rPr>
      </w:pPr>
      <w:r w:rsidRPr="00566759">
        <w:rPr>
          <w:rFonts w:cs="Calibri"/>
          <w:sz w:val="22"/>
          <w:szCs w:val="22"/>
        </w:rPr>
        <w:t>DFAT quality reporting</w:t>
      </w:r>
    </w:p>
    <w:p w14:paraId="466A8DEE" w14:textId="77777777" w:rsidR="00C86461" w:rsidRDefault="00C86461" w:rsidP="009C013C">
      <w:pPr>
        <w:spacing w:after="200"/>
        <w:jc w:val="both"/>
        <w:rPr>
          <w:rFonts w:cstheme="minorHAnsi"/>
        </w:rPr>
      </w:pPr>
    </w:p>
    <w:p w14:paraId="05ED2738" w14:textId="77777777" w:rsidR="00C86461" w:rsidRDefault="00C86461" w:rsidP="009C013C">
      <w:pPr>
        <w:spacing w:after="200"/>
        <w:jc w:val="both"/>
        <w:rPr>
          <w:rFonts w:cstheme="minorHAnsi"/>
        </w:rPr>
      </w:pPr>
    </w:p>
    <w:p w14:paraId="7606387A" w14:textId="77777777" w:rsidR="00C86461" w:rsidRDefault="00C86461" w:rsidP="009C013C">
      <w:pPr>
        <w:spacing w:after="200"/>
        <w:jc w:val="both"/>
        <w:rPr>
          <w:rFonts w:cstheme="minorHAnsi"/>
        </w:rPr>
      </w:pPr>
    </w:p>
    <w:p w14:paraId="67B195CE" w14:textId="77777777" w:rsidR="00C86461" w:rsidRDefault="00C86461" w:rsidP="009C013C">
      <w:pPr>
        <w:spacing w:after="200"/>
        <w:jc w:val="both"/>
        <w:rPr>
          <w:rFonts w:cstheme="minorHAnsi"/>
        </w:rPr>
      </w:pPr>
    </w:p>
    <w:p w14:paraId="7EA4996F" w14:textId="77777777" w:rsidR="00C86461" w:rsidRDefault="00C86461" w:rsidP="009C013C">
      <w:pPr>
        <w:spacing w:after="200"/>
        <w:jc w:val="both"/>
        <w:rPr>
          <w:rFonts w:cstheme="minorHAnsi"/>
        </w:rPr>
      </w:pPr>
    </w:p>
    <w:p w14:paraId="0B9F3F53" w14:textId="77777777" w:rsidR="00C86461" w:rsidRDefault="00C86461" w:rsidP="009C013C">
      <w:pPr>
        <w:spacing w:after="200"/>
        <w:jc w:val="both"/>
        <w:rPr>
          <w:rFonts w:cstheme="minorHAnsi"/>
        </w:rPr>
      </w:pPr>
    </w:p>
    <w:p w14:paraId="774CFA56" w14:textId="77777777" w:rsidR="00C86461" w:rsidRDefault="00C86461" w:rsidP="009C013C">
      <w:pPr>
        <w:spacing w:after="200"/>
        <w:jc w:val="both"/>
        <w:rPr>
          <w:rFonts w:cstheme="minorHAnsi"/>
        </w:rPr>
      </w:pPr>
    </w:p>
    <w:p w14:paraId="5F2CB55E" w14:textId="77777777" w:rsidR="00C86461" w:rsidRDefault="00C86461" w:rsidP="009C013C">
      <w:pPr>
        <w:spacing w:after="200"/>
        <w:jc w:val="both"/>
        <w:rPr>
          <w:rFonts w:cstheme="minorHAnsi"/>
        </w:rPr>
      </w:pPr>
    </w:p>
    <w:p w14:paraId="5136C85D" w14:textId="77777777" w:rsidR="00C86461" w:rsidRDefault="00C86461" w:rsidP="009C013C">
      <w:pPr>
        <w:spacing w:after="200"/>
        <w:jc w:val="both"/>
        <w:rPr>
          <w:rFonts w:cstheme="minorHAnsi"/>
        </w:rPr>
      </w:pPr>
    </w:p>
    <w:p w14:paraId="3DB1833C" w14:textId="77777777" w:rsidR="00C86461" w:rsidRDefault="00C86461" w:rsidP="009C013C">
      <w:pPr>
        <w:spacing w:after="200"/>
        <w:jc w:val="both"/>
        <w:rPr>
          <w:rFonts w:cstheme="minorHAnsi"/>
        </w:rPr>
      </w:pPr>
    </w:p>
    <w:p w14:paraId="5E045A67" w14:textId="77777777" w:rsidR="00C86461" w:rsidRDefault="00C86461" w:rsidP="009C013C">
      <w:pPr>
        <w:spacing w:after="200"/>
        <w:jc w:val="both"/>
        <w:rPr>
          <w:rFonts w:cstheme="minorHAnsi"/>
        </w:rPr>
      </w:pPr>
    </w:p>
    <w:p w14:paraId="680D17CD" w14:textId="77777777" w:rsidR="00C86461" w:rsidRDefault="00C86461" w:rsidP="009C013C">
      <w:pPr>
        <w:spacing w:after="200"/>
        <w:jc w:val="both"/>
        <w:rPr>
          <w:rFonts w:cstheme="minorHAnsi"/>
        </w:rPr>
      </w:pPr>
    </w:p>
    <w:p w14:paraId="59BA996A" w14:textId="34EF0A7A" w:rsidR="00F652E8" w:rsidRDefault="00F652E8">
      <w:pPr>
        <w:rPr>
          <w:rFonts w:cstheme="minorHAnsi"/>
        </w:rPr>
      </w:pPr>
      <w:r>
        <w:rPr>
          <w:rFonts w:cstheme="minorHAnsi"/>
        </w:rPr>
        <w:br w:type="page"/>
      </w:r>
    </w:p>
    <w:p w14:paraId="06B58F4D" w14:textId="77777777" w:rsidR="00C86461" w:rsidRDefault="00C86461">
      <w:pPr>
        <w:jc w:val="center"/>
        <w:rPr>
          <w:b/>
        </w:rPr>
      </w:pPr>
      <w:r>
        <w:rPr>
          <w:b/>
        </w:rPr>
        <w:lastRenderedPageBreak/>
        <w:t>Annex C</w:t>
      </w:r>
    </w:p>
    <w:p w14:paraId="7E4729C7" w14:textId="77777777" w:rsidR="00C86461" w:rsidRDefault="00C86461" w:rsidP="00C86461">
      <w:pPr>
        <w:rPr>
          <w:b/>
        </w:rPr>
      </w:pPr>
    </w:p>
    <w:p w14:paraId="0B1AA8F6" w14:textId="77777777" w:rsidR="00C86461" w:rsidRDefault="00C86461" w:rsidP="00C86461">
      <w:pPr>
        <w:jc w:val="center"/>
        <w:rPr>
          <w:b/>
        </w:rPr>
      </w:pPr>
      <w:r>
        <w:rPr>
          <w:b/>
        </w:rPr>
        <w:t>Evaluation Matrix – Performance of BASIC Partners Against Review Criteria</w:t>
      </w:r>
    </w:p>
    <w:p w14:paraId="18D0ADFA" w14:textId="77777777" w:rsidR="00C86461" w:rsidRPr="00C86709" w:rsidRDefault="00C86461" w:rsidP="00C86461">
      <w:pPr>
        <w:ind w:right="-574"/>
        <w:rPr>
          <w:sz w:val="20"/>
          <w:szCs w:val="20"/>
        </w:rPr>
      </w:pPr>
    </w:p>
    <w:tbl>
      <w:tblPr>
        <w:tblStyle w:val="TableGrid"/>
        <w:tblW w:w="11057" w:type="dxa"/>
        <w:tblInd w:w="-1026" w:type="dxa"/>
        <w:tblLayout w:type="fixed"/>
        <w:tblLook w:val="04A0" w:firstRow="1" w:lastRow="0" w:firstColumn="1" w:lastColumn="0" w:noHBand="0" w:noVBand="1"/>
      </w:tblPr>
      <w:tblGrid>
        <w:gridCol w:w="1560"/>
        <w:gridCol w:w="2409"/>
        <w:gridCol w:w="2410"/>
        <w:gridCol w:w="2268"/>
        <w:gridCol w:w="2410"/>
      </w:tblGrid>
      <w:tr w:rsidR="00C86461" w:rsidRPr="00C86709" w14:paraId="317520E6" w14:textId="77777777" w:rsidTr="00C86461">
        <w:tc>
          <w:tcPr>
            <w:tcW w:w="1560" w:type="dxa"/>
          </w:tcPr>
          <w:p w14:paraId="18AF03AC" w14:textId="77777777" w:rsidR="00C86461" w:rsidRPr="00C86709" w:rsidRDefault="00C86461" w:rsidP="00C86461">
            <w:pPr>
              <w:rPr>
                <w:sz w:val="20"/>
                <w:szCs w:val="20"/>
              </w:rPr>
            </w:pPr>
            <w:r w:rsidRPr="00C86709">
              <w:rPr>
                <w:b/>
                <w:sz w:val="20"/>
                <w:szCs w:val="20"/>
              </w:rPr>
              <w:t>Evaluation Criteria based on TOR</w:t>
            </w:r>
          </w:p>
        </w:tc>
        <w:tc>
          <w:tcPr>
            <w:tcW w:w="2409" w:type="dxa"/>
          </w:tcPr>
          <w:p w14:paraId="0D2CABA3" w14:textId="77777777" w:rsidR="00C86461" w:rsidRPr="00C86709" w:rsidRDefault="00C86461" w:rsidP="00C86461">
            <w:pPr>
              <w:rPr>
                <w:sz w:val="20"/>
                <w:szCs w:val="20"/>
              </w:rPr>
            </w:pPr>
            <w:r w:rsidRPr="00C86709">
              <w:rPr>
                <w:b/>
                <w:sz w:val="20"/>
                <w:szCs w:val="20"/>
              </w:rPr>
              <w:t>Institute for Autonomy and Governance (IAG)</w:t>
            </w:r>
          </w:p>
        </w:tc>
        <w:tc>
          <w:tcPr>
            <w:tcW w:w="2410" w:type="dxa"/>
          </w:tcPr>
          <w:p w14:paraId="05C15101" w14:textId="77777777" w:rsidR="00C86461" w:rsidRPr="00C86709" w:rsidRDefault="00C86461" w:rsidP="00C86461">
            <w:pPr>
              <w:rPr>
                <w:sz w:val="20"/>
                <w:szCs w:val="20"/>
              </w:rPr>
            </w:pPr>
            <w:r w:rsidRPr="00C86709">
              <w:rPr>
                <w:b/>
                <w:sz w:val="20"/>
                <w:szCs w:val="20"/>
              </w:rPr>
              <w:t>International Alert (IA)</w:t>
            </w:r>
          </w:p>
        </w:tc>
        <w:tc>
          <w:tcPr>
            <w:tcW w:w="2268" w:type="dxa"/>
          </w:tcPr>
          <w:p w14:paraId="644D3D19" w14:textId="77777777" w:rsidR="00C86461" w:rsidRPr="00C86709" w:rsidRDefault="00C86461" w:rsidP="00C86461">
            <w:pPr>
              <w:rPr>
                <w:sz w:val="20"/>
                <w:szCs w:val="20"/>
              </w:rPr>
            </w:pPr>
            <w:r w:rsidRPr="00C86709">
              <w:rPr>
                <w:b/>
                <w:sz w:val="20"/>
                <w:szCs w:val="20"/>
              </w:rPr>
              <w:t>Oxfam/W</w:t>
            </w:r>
            <w:r>
              <w:rPr>
                <w:b/>
                <w:sz w:val="20"/>
                <w:szCs w:val="20"/>
              </w:rPr>
              <w:t>E</w:t>
            </w:r>
            <w:r w:rsidRPr="00C86709">
              <w:rPr>
                <w:b/>
                <w:sz w:val="20"/>
                <w:szCs w:val="20"/>
              </w:rPr>
              <w:t>Act1325</w:t>
            </w:r>
          </w:p>
        </w:tc>
        <w:tc>
          <w:tcPr>
            <w:tcW w:w="2410" w:type="dxa"/>
          </w:tcPr>
          <w:p w14:paraId="022DC898" w14:textId="77777777" w:rsidR="00C86461" w:rsidRPr="00C86709" w:rsidRDefault="00C86461" w:rsidP="00C86461">
            <w:pPr>
              <w:rPr>
                <w:sz w:val="20"/>
                <w:szCs w:val="20"/>
              </w:rPr>
            </w:pPr>
            <w:r w:rsidRPr="00C86709">
              <w:rPr>
                <w:b/>
                <w:sz w:val="20"/>
                <w:szCs w:val="20"/>
              </w:rPr>
              <w:t>The Asia Foundation (TAF)</w:t>
            </w:r>
          </w:p>
        </w:tc>
      </w:tr>
      <w:tr w:rsidR="00C86461" w:rsidRPr="00B2313F" w14:paraId="2B9E5E43" w14:textId="77777777" w:rsidTr="00C86461">
        <w:tc>
          <w:tcPr>
            <w:tcW w:w="11057" w:type="dxa"/>
            <w:gridSpan w:val="5"/>
          </w:tcPr>
          <w:p w14:paraId="757BDB70" w14:textId="77777777" w:rsidR="00C86461" w:rsidRPr="00B2313F" w:rsidRDefault="00C86461" w:rsidP="00C86461">
            <w:pPr>
              <w:rPr>
                <w:color w:val="3366FF"/>
              </w:rPr>
            </w:pPr>
            <w:r w:rsidRPr="00B2313F">
              <w:rPr>
                <w:b/>
                <w:color w:val="3366FF"/>
                <w:sz w:val="20"/>
                <w:szCs w:val="20"/>
              </w:rPr>
              <w:t xml:space="preserve">                      Effectiveness</w:t>
            </w:r>
          </w:p>
        </w:tc>
      </w:tr>
      <w:tr w:rsidR="00C86461" w:rsidRPr="0068083F" w14:paraId="53A34B1F" w14:textId="77777777" w:rsidTr="00C86461">
        <w:tc>
          <w:tcPr>
            <w:tcW w:w="1560" w:type="dxa"/>
          </w:tcPr>
          <w:p w14:paraId="7592EC81" w14:textId="77777777" w:rsidR="00C86461" w:rsidRPr="0068083F" w:rsidRDefault="00C86461" w:rsidP="00C86461">
            <w:pPr>
              <w:rPr>
                <w:sz w:val="18"/>
                <w:szCs w:val="18"/>
              </w:rPr>
            </w:pPr>
            <w:r w:rsidRPr="0068083F">
              <w:rPr>
                <w:sz w:val="18"/>
                <w:szCs w:val="18"/>
              </w:rPr>
              <w:t xml:space="preserve">1) </w:t>
            </w:r>
            <w:r w:rsidRPr="00B2313F">
              <w:rPr>
                <w:b/>
                <w:sz w:val="18"/>
                <w:szCs w:val="18"/>
              </w:rPr>
              <w:t>Adjustment to changing political context</w:t>
            </w:r>
          </w:p>
        </w:tc>
        <w:tc>
          <w:tcPr>
            <w:tcW w:w="2409" w:type="dxa"/>
          </w:tcPr>
          <w:p w14:paraId="20880B99" w14:textId="77777777" w:rsidR="00C86461" w:rsidRPr="0068083F" w:rsidRDefault="00C86461" w:rsidP="00C86461">
            <w:pPr>
              <w:rPr>
                <w:sz w:val="18"/>
                <w:szCs w:val="18"/>
              </w:rPr>
            </w:pPr>
            <w:r w:rsidRPr="0068083F">
              <w:rPr>
                <w:sz w:val="18"/>
                <w:szCs w:val="18"/>
              </w:rPr>
              <w:t xml:space="preserve">Adjustments to the activities were made but original thrusts of (a) promoting greater LGU participation in the peace process, and (b) determining LGU administrative role within an autonomous region were retained.  Reason for continuing efforts was to maintain peace and stability at the LGU/community level given failure of the BBL to pass.  </w:t>
            </w:r>
          </w:p>
        </w:tc>
        <w:tc>
          <w:tcPr>
            <w:tcW w:w="2410" w:type="dxa"/>
          </w:tcPr>
          <w:p w14:paraId="1E31B471" w14:textId="5DDF116D" w:rsidR="00C86461" w:rsidRPr="0068083F" w:rsidRDefault="00C86461" w:rsidP="00C86461">
            <w:pPr>
              <w:rPr>
                <w:sz w:val="18"/>
                <w:szCs w:val="18"/>
              </w:rPr>
            </w:pPr>
            <w:r w:rsidRPr="0068083F">
              <w:rPr>
                <w:sz w:val="18"/>
                <w:szCs w:val="18"/>
              </w:rPr>
              <w:t xml:space="preserve">Focus of work </w:t>
            </w:r>
            <w:r w:rsidR="00464F21">
              <w:rPr>
                <w:sz w:val="18"/>
                <w:szCs w:val="18"/>
              </w:rPr>
              <w:t xml:space="preserve">alternative mechanisms that will ensure stability at the ground level despite non-passage of the BBL and </w:t>
            </w:r>
            <w:r w:rsidRPr="0068083F">
              <w:rPr>
                <w:sz w:val="18"/>
                <w:szCs w:val="18"/>
              </w:rPr>
              <w:t xml:space="preserve">  continued work on conflict prevention stemming from operations of “</w:t>
            </w:r>
            <w:r>
              <w:rPr>
                <w:sz w:val="18"/>
                <w:szCs w:val="18"/>
              </w:rPr>
              <w:t xml:space="preserve">shadow economy”, and </w:t>
            </w:r>
            <w:r w:rsidR="00464F21">
              <w:rPr>
                <w:sz w:val="18"/>
                <w:szCs w:val="18"/>
              </w:rPr>
              <w:t>clan conflict (rido)</w:t>
            </w:r>
          </w:p>
        </w:tc>
        <w:tc>
          <w:tcPr>
            <w:tcW w:w="2268" w:type="dxa"/>
          </w:tcPr>
          <w:p w14:paraId="73E40DF1" w14:textId="77777777" w:rsidR="00C86461" w:rsidRPr="0068083F" w:rsidRDefault="00C86461" w:rsidP="00C86461">
            <w:pPr>
              <w:rPr>
                <w:sz w:val="18"/>
                <w:szCs w:val="18"/>
              </w:rPr>
            </w:pPr>
            <w:r w:rsidRPr="0068083F">
              <w:rPr>
                <w:sz w:val="18"/>
                <w:szCs w:val="18"/>
              </w:rPr>
              <w:t>No ex</w:t>
            </w:r>
            <w:r>
              <w:rPr>
                <w:sz w:val="18"/>
                <w:szCs w:val="18"/>
              </w:rPr>
              <w:t>plicit change in activities was made.  I</w:t>
            </w:r>
            <w:r w:rsidRPr="0068083F">
              <w:rPr>
                <w:sz w:val="18"/>
                <w:szCs w:val="18"/>
              </w:rPr>
              <w:t xml:space="preserve">ts accomplishment report noted that “despite the changes in external context, ….  Project remains relevant” (page 15 of 1 Jan to 30 June 2016 accomplishment report). </w:t>
            </w:r>
          </w:p>
        </w:tc>
        <w:tc>
          <w:tcPr>
            <w:tcW w:w="2410" w:type="dxa"/>
          </w:tcPr>
          <w:p w14:paraId="0EF7CDEA" w14:textId="77777777" w:rsidR="00C86461" w:rsidRPr="0068083F" w:rsidRDefault="00C86461" w:rsidP="00C86461">
            <w:pPr>
              <w:rPr>
                <w:sz w:val="18"/>
                <w:szCs w:val="18"/>
              </w:rPr>
            </w:pPr>
            <w:r w:rsidRPr="0068083F">
              <w:rPr>
                <w:sz w:val="18"/>
                <w:szCs w:val="18"/>
              </w:rPr>
              <w:t xml:space="preserve">Intensified effort in building and strengthening peace constituency among key stakeholders, such as the MILF and the MNLF. IPs, AFP and PNP, LGU officials, CSOs and women’s groups, given the failure of the passage of the BBL.  Continuation of local level conflict mediation and peacebuilding addressing horizontal conflicts (i.e., </w:t>
            </w:r>
            <w:r w:rsidRPr="00DC6BC2">
              <w:rPr>
                <w:i/>
                <w:sz w:val="18"/>
                <w:szCs w:val="18"/>
              </w:rPr>
              <w:t>rido</w:t>
            </w:r>
            <w:r w:rsidRPr="0068083F">
              <w:rPr>
                <w:sz w:val="18"/>
                <w:szCs w:val="18"/>
              </w:rPr>
              <w:t>)</w:t>
            </w:r>
            <w:r>
              <w:rPr>
                <w:sz w:val="18"/>
                <w:szCs w:val="18"/>
              </w:rPr>
              <w:t xml:space="preserve"> which have direct bearing on </w:t>
            </w:r>
            <w:r w:rsidRPr="0068083F">
              <w:rPr>
                <w:sz w:val="18"/>
                <w:szCs w:val="18"/>
              </w:rPr>
              <w:t xml:space="preserve">the peace process between the government and the Moros.   </w:t>
            </w:r>
          </w:p>
        </w:tc>
      </w:tr>
      <w:tr w:rsidR="00C86461" w:rsidRPr="0068083F" w14:paraId="0D726CA9" w14:textId="77777777" w:rsidTr="00C86461">
        <w:tc>
          <w:tcPr>
            <w:tcW w:w="1560" w:type="dxa"/>
          </w:tcPr>
          <w:p w14:paraId="3A85B82F" w14:textId="77777777" w:rsidR="00C86461" w:rsidRPr="0068083F" w:rsidRDefault="00C86461" w:rsidP="00C86461">
            <w:pPr>
              <w:rPr>
                <w:sz w:val="18"/>
                <w:szCs w:val="18"/>
              </w:rPr>
            </w:pPr>
            <w:r w:rsidRPr="0068083F">
              <w:rPr>
                <w:sz w:val="18"/>
                <w:szCs w:val="18"/>
              </w:rPr>
              <w:t xml:space="preserve">2) </w:t>
            </w:r>
            <w:r w:rsidRPr="00B2313F">
              <w:rPr>
                <w:b/>
                <w:sz w:val="18"/>
                <w:szCs w:val="18"/>
              </w:rPr>
              <w:t>Attaining outcomes and objectives</w:t>
            </w:r>
          </w:p>
        </w:tc>
        <w:tc>
          <w:tcPr>
            <w:tcW w:w="2409" w:type="dxa"/>
          </w:tcPr>
          <w:p w14:paraId="36F7A756" w14:textId="77777777" w:rsidR="00C86461" w:rsidRPr="0068083F" w:rsidRDefault="00C86461" w:rsidP="00C86461">
            <w:pPr>
              <w:rPr>
                <w:sz w:val="18"/>
                <w:szCs w:val="18"/>
              </w:rPr>
            </w:pPr>
            <w:r>
              <w:rPr>
                <w:sz w:val="18"/>
                <w:szCs w:val="18"/>
              </w:rPr>
              <w:t>W</w:t>
            </w:r>
            <w:r w:rsidRPr="0068083F">
              <w:rPr>
                <w:sz w:val="18"/>
                <w:szCs w:val="18"/>
              </w:rPr>
              <w:t>orkshops/forums/</w:t>
            </w:r>
          </w:p>
          <w:p w14:paraId="55DB53ED" w14:textId="77777777" w:rsidR="00C86461" w:rsidRPr="0068083F" w:rsidRDefault="00C86461" w:rsidP="00C86461">
            <w:pPr>
              <w:rPr>
                <w:sz w:val="18"/>
                <w:szCs w:val="18"/>
              </w:rPr>
            </w:pPr>
            <w:r w:rsidRPr="0068083F">
              <w:rPr>
                <w:sz w:val="18"/>
                <w:szCs w:val="18"/>
              </w:rPr>
              <w:t>meetings were conducted to attain objectives.  They led to greater participation of LGUs to the BB</w:t>
            </w:r>
            <w:r>
              <w:rPr>
                <w:sz w:val="18"/>
                <w:szCs w:val="18"/>
              </w:rPr>
              <w:t>L but not necessarily their buy-</w:t>
            </w:r>
            <w:r w:rsidRPr="0068083F">
              <w:rPr>
                <w:sz w:val="18"/>
                <w:szCs w:val="18"/>
              </w:rPr>
              <w:t xml:space="preserve">in particularly </w:t>
            </w:r>
            <w:r>
              <w:rPr>
                <w:sz w:val="18"/>
                <w:szCs w:val="18"/>
              </w:rPr>
              <w:t xml:space="preserve">in </w:t>
            </w:r>
            <w:r w:rsidRPr="0068083F">
              <w:rPr>
                <w:sz w:val="18"/>
                <w:szCs w:val="18"/>
              </w:rPr>
              <w:t xml:space="preserve">the province of Sulu. </w:t>
            </w:r>
          </w:p>
        </w:tc>
        <w:tc>
          <w:tcPr>
            <w:tcW w:w="2410" w:type="dxa"/>
          </w:tcPr>
          <w:p w14:paraId="5A2F8217" w14:textId="77777777" w:rsidR="00C86461" w:rsidRPr="0068083F" w:rsidRDefault="00C86461" w:rsidP="00C86461">
            <w:pPr>
              <w:rPr>
                <w:sz w:val="18"/>
                <w:szCs w:val="18"/>
              </w:rPr>
            </w:pPr>
            <w:r>
              <w:rPr>
                <w:sz w:val="18"/>
                <w:szCs w:val="18"/>
              </w:rPr>
              <w:t xml:space="preserve">Effective </w:t>
            </w:r>
            <w:r w:rsidRPr="0068083F">
              <w:rPr>
                <w:sz w:val="18"/>
                <w:szCs w:val="18"/>
              </w:rPr>
              <w:t xml:space="preserve">advocacy work achieved through thematic mapping of legislators on their stand on BBL (during its deliberations) and disseminating results of the analyses and position papers of IA on BBL and the peace process.  While issue of </w:t>
            </w:r>
            <w:r>
              <w:rPr>
                <w:sz w:val="18"/>
                <w:szCs w:val="18"/>
              </w:rPr>
              <w:t xml:space="preserve">trade </w:t>
            </w:r>
            <w:r w:rsidRPr="0068083F">
              <w:rPr>
                <w:sz w:val="18"/>
                <w:szCs w:val="18"/>
              </w:rPr>
              <w:t>embargo impos</w:t>
            </w:r>
            <w:r>
              <w:rPr>
                <w:sz w:val="18"/>
                <w:szCs w:val="18"/>
              </w:rPr>
              <w:t xml:space="preserve">ed by Malaysian </w:t>
            </w:r>
            <w:r w:rsidRPr="0068083F">
              <w:rPr>
                <w:sz w:val="18"/>
                <w:szCs w:val="18"/>
              </w:rPr>
              <w:t xml:space="preserve">between Sabah and the islands of Tawi-Tawi and Sulu and its negative impacts were raised to concerned Philippine authorities, it was beyond the implementing partner’s capacity to influence </w:t>
            </w:r>
            <w:r>
              <w:rPr>
                <w:sz w:val="18"/>
                <w:szCs w:val="18"/>
              </w:rPr>
              <w:t xml:space="preserve">GPH </w:t>
            </w:r>
            <w:r w:rsidRPr="0068083F">
              <w:rPr>
                <w:sz w:val="18"/>
                <w:szCs w:val="18"/>
              </w:rPr>
              <w:t>decision</w:t>
            </w:r>
            <w:r>
              <w:rPr>
                <w:sz w:val="18"/>
                <w:szCs w:val="18"/>
              </w:rPr>
              <w:t>s</w:t>
            </w:r>
            <w:r w:rsidRPr="0068083F">
              <w:rPr>
                <w:sz w:val="18"/>
                <w:szCs w:val="18"/>
              </w:rPr>
              <w:t xml:space="preserve"> on the matter.  Also, despite efforts to stem trade and use</w:t>
            </w:r>
            <w:r>
              <w:rPr>
                <w:sz w:val="18"/>
                <w:szCs w:val="18"/>
              </w:rPr>
              <w:t xml:space="preserve"> of</w:t>
            </w:r>
            <w:r w:rsidRPr="0068083F">
              <w:rPr>
                <w:sz w:val="18"/>
                <w:szCs w:val="18"/>
              </w:rPr>
              <w:t xml:space="preserve"> illicit weapons, it was beyond the capacity of</w:t>
            </w:r>
            <w:r>
              <w:rPr>
                <w:sz w:val="18"/>
                <w:szCs w:val="18"/>
              </w:rPr>
              <w:t xml:space="preserve"> the</w:t>
            </w:r>
            <w:r w:rsidRPr="0068083F">
              <w:rPr>
                <w:sz w:val="18"/>
                <w:szCs w:val="18"/>
              </w:rPr>
              <w:t xml:space="preserve"> implementing partner to achieve significant headway on this concern. </w:t>
            </w:r>
          </w:p>
        </w:tc>
        <w:tc>
          <w:tcPr>
            <w:tcW w:w="2268" w:type="dxa"/>
          </w:tcPr>
          <w:p w14:paraId="6B9E81C5" w14:textId="77777777" w:rsidR="00C86461" w:rsidRPr="0068083F" w:rsidRDefault="00C86461" w:rsidP="00C86461">
            <w:pPr>
              <w:rPr>
                <w:sz w:val="18"/>
                <w:szCs w:val="18"/>
              </w:rPr>
            </w:pPr>
            <w:r>
              <w:rPr>
                <w:sz w:val="18"/>
                <w:szCs w:val="18"/>
              </w:rPr>
              <w:t>WEAct1325 successfully i</w:t>
            </w:r>
            <w:r w:rsidRPr="0068083F">
              <w:rPr>
                <w:sz w:val="18"/>
                <w:szCs w:val="18"/>
              </w:rPr>
              <w:t>ncorporated</w:t>
            </w:r>
            <w:r>
              <w:rPr>
                <w:sz w:val="18"/>
                <w:szCs w:val="18"/>
              </w:rPr>
              <w:t xml:space="preserve"> 28</w:t>
            </w:r>
            <w:r w:rsidRPr="0068083F">
              <w:rPr>
                <w:sz w:val="18"/>
                <w:szCs w:val="18"/>
              </w:rPr>
              <w:t xml:space="preserve"> provisions in the BBL protecting women’s rights and promoting greater women’s participation in the peace process.  Project proponent was an active partner in the </w:t>
            </w:r>
            <w:r>
              <w:rPr>
                <w:sz w:val="18"/>
                <w:szCs w:val="18"/>
              </w:rPr>
              <w:t xml:space="preserve">series of </w:t>
            </w:r>
            <w:r w:rsidRPr="0068083F">
              <w:rPr>
                <w:sz w:val="18"/>
                <w:szCs w:val="18"/>
              </w:rPr>
              <w:t>consultation</w:t>
            </w:r>
            <w:r>
              <w:rPr>
                <w:sz w:val="18"/>
                <w:szCs w:val="18"/>
              </w:rPr>
              <w:t xml:space="preserve"> activitie</w:t>
            </w:r>
            <w:r w:rsidRPr="0068083F">
              <w:rPr>
                <w:sz w:val="18"/>
                <w:szCs w:val="18"/>
              </w:rPr>
              <w:t xml:space="preserve">s </w:t>
            </w:r>
            <w:r>
              <w:rPr>
                <w:sz w:val="18"/>
                <w:szCs w:val="18"/>
              </w:rPr>
              <w:t xml:space="preserve">sponsored by </w:t>
            </w:r>
            <w:r w:rsidRPr="0068083F">
              <w:rPr>
                <w:sz w:val="18"/>
                <w:szCs w:val="18"/>
              </w:rPr>
              <w:t>the high-level Peace Councils created by the previous President advocating for women’s leadership role in the peace process.  However, tensions were noted between nation</w:t>
            </w:r>
            <w:r>
              <w:rPr>
                <w:sz w:val="18"/>
                <w:szCs w:val="18"/>
              </w:rPr>
              <w:t xml:space="preserve">al level women’s advocacy </w:t>
            </w:r>
            <w:r w:rsidRPr="0068083F">
              <w:rPr>
                <w:sz w:val="18"/>
                <w:szCs w:val="18"/>
              </w:rPr>
              <w:t xml:space="preserve">and local (Bangsamoro) </w:t>
            </w:r>
            <w:r w:rsidRPr="00214F38">
              <w:rPr>
                <w:sz w:val="18"/>
                <w:szCs w:val="18"/>
              </w:rPr>
              <w:t xml:space="preserve">women’s advocacy groups because of the different contexts within which </w:t>
            </w:r>
            <w:r w:rsidRPr="00DD7BE1">
              <w:rPr>
                <w:sz w:val="18"/>
                <w:szCs w:val="18"/>
              </w:rPr>
              <w:t>they operate.</w:t>
            </w:r>
            <w:r w:rsidRPr="0068083F">
              <w:rPr>
                <w:sz w:val="18"/>
                <w:szCs w:val="18"/>
              </w:rPr>
              <w:t xml:space="preserve"> </w:t>
            </w:r>
          </w:p>
        </w:tc>
        <w:tc>
          <w:tcPr>
            <w:tcW w:w="2410" w:type="dxa"/>
          </w:tcPr>
          <w:p w14:paraId="3AE56577" w14:textId="77777777" w:rsidR="00C86461" w:rsidRPr="0068083F" w:rsidRDefault="00C86461" w:rsidP="00C86461">
            <w:pPr>
              <w:rPr>
                <w:sz w:val="18"/>
                <w:szCs w:val="18"/>
              </w:rPr>
            </w:pPr>
            <w:r w:rsidRPr="0068083F">
              <w:rPr>
                <w:sz w:val="18"/>
                <w:szCs w:val="18"/>
              </w:rPr>
              <w:t>Analytical papers were produced and disseminated to peace stakeholders; numerous workshops/</w:t>
            </w:r>
            <w:r>
              <w:rPr>
                <w:sz w:val="18"/>
                <w:szCs w:val="18"/>
              </w:rPr>
              <w:t xml:space="preserve"> </w:t>
            </w:r>
            <w:r w:rsidRPr="0068083F">
              <w:rPr>
                <w:sz w:val="18"/>
                <w:szCs w:val="18"/>
              </w:rPr>
              <w:t xml:space="preserve">forums were sponsored with key stakeholders (including key personnel from the police and Philippine Armed Forces) participating; </w:t>
            </w:r>
            <w:r>
              <w:rPr>
                <w:sz w:val="18"/>
                <w:szCs w:val="18"/>
              </w:rPr>
              <w:t xml:space="preserve">regular </w:t>
            </w:r>
            <w:r w:rsidRPr="0068083F">
              <w:rPr>
                <w:sz w:val="18"/>
                <w:szCs w:val="18"/>
              </w:rPr>
              <w:t xml:space="preserve">information dissemination through media </w:t>
            </w:r>
            <w:r>
              <w:rPr>
                <w:sz w:val="18"/>
                <w:szCs w:val="18"/>
              </w:rPr>
              <w:t xml:space="preserve">partners </w:t>
            </w:r>
            <w:r w:rsidRPr="0068083F">
              <w:rPr>
                <w:sz w:val="18"/>
                <w:szCs w:val="18"/>
              </w:rPr>
              <w:t xml:space="preserve">(Mindanews) were also undertaken.  Conflict mediation on a number of </w:t>
            </w:r>
            <w:r w:rsidRPr="00DC6BC2">
              <w:rPr>
                <w:i/>
                <w:sz w:val="18"/>
                <w:szCs w:val="18"/>
              </w:rPr>
              <w:t>rido</w:t>
            </w:r>
            <w:r w:rsidRPr="0068083F">
              <w:rPr>
                <w:sz w:val="18"/>
                <w:szCs w:val="18"/>
              </w:rPr>
              <w:t xml:space="preserve"> cases was successfully achieved.   However, linkage with </w:t>
            </w:r>
            <w:r>
              <w:rPr>
                <w:sz w:val="18"/>
                <w:szCs w:val="18"/>
              </w:rPr>
              <w:t xml:space="preserve">TAF’s </w:t>
            </w:r>
            <w:r w:rsidRPr="0068083F">
              <w:rPr>
                <w:sz w:val="18"/>
                <w:szCs w:val="18"/>
              </w:rPr>
              <w:t>CfC was not fully utilized for more effective advocacy work.</w:t>
            </w:r>
          </w:p>
        </w:tc>
      </w:tr>
      <w:tr w:rsidR="00C86461" w:rsidRPr="0068083F" w14:paraId="3DA770C3" w14:textId="77777777" w:rsidTr="00C86461">
        <w:tc>
          <w:tcPr>
            <w:tcW w:w="1560" w:type="dxa"/>
          </w:tcPr>
          <w:p w14:paraId="79BF4E7B" w14:textId="77777777" w:rsidR="00C86461" w:rsidRPr="0068083F" w:rsidRDefault="00C86461" w:rsidP="00C86461">
            <w:pPr>
              <w:rPr>
                <w:sz w:val="18"/>
                <w:szCs w:val="18"/>
              </w:rPr>
            </w:pPr>
            <w:r w:rsidRPr="0068083F">
              <w:rPr>
                <w:sz w:val="18"/>
                <w:szCs w:val="18"/>
              </w:rPr>
              <w:t xml:space="preserve">3) </w:t>
            </w:r>
            <w:r w:rsidRPr="00B2313F">
              <w:rPr>
                <w:b/>
                <w:sz w:val="18"/>
                <w:szCs w:val="18"/>
              </w:rPr>
              <w:t>Addressing drivers of conflict and violence.  Comply with “do no harm” standard</w:t>
            </w:r>
          </w:p>
        </w:tc>
        <w:tc>
          <w:tcPr>
            <w:tcW w:w="2409" w:type="dxa"/>
          </w:tcPr>
          <w:p w14:paraId="3B32C2A4" w14:textId="77777777" w:rsidR="00C86461" w:rsidRDefault="00C86461" w:rsidP="00C86461">
            <w:pPr>
              <w:rPr>
                <w:sz w:val="18"/>
                <w:szCs w:val="18"/>
              </w:rPr>
            </w:pPr>
            <w:r>
              <w:rPr>
                <w:sz w:val="18"/>
                <w:szCs w:val="18"/>
              </w:rPr>
              <w:t>Effectively a</w:t>
            </w:r>
            <w:r w:rsidRPr="0068083F">
              <w:rPr>
                <w:sz w:val="18"/>
                <w:szCs w:val="18"/>
              </w:rPr>
              <w:t xml:space="preserve">llayed </w:t>
            </w:r>
            <w:r>
              <w:rPr>
                <w:sz w:val="18"/>
                <w:szCs w:val="18"/>
              </w:rPr>
              <w:t>t</w:t>
            </w:r>
            <w:r w:rsidRPr="0068083F">
              <w:rPr>
                <w:sz w:val="18"/>
                <w:szCs w:val="18"/>
              </w:rPr>
              <w:t>he fears of LGUs</w:t>
            </w:r>
            <w:r>
              <w:rPr>
                <w:sz w:val="18"/>
                <w:szCs w:val="18"/>
              </w:rPr>
              <w:t>, a potential spoiler,</w:t>
            </w:r>
            <w:r w:rsidRPr="0068083F">
              <w:rPr>
                <w:sz w:val="18"/>
                <w:szCs w:val="18"/>
              </w:rPr>
              <w:t xml:space="preserve"> </w:t>
            </w:r>
            <w:r>
              <w:rPr>
                <w:sz w:val="18"/>
                <w:szCs w:val="18"/>
              </w:rPr>
              <w:t>helping to prevent protests or</w:t>
            </w:r>
            <w:r w:rsidRPr="0068083F">
              <w:rPr>
                <w:sz w:val="18"/>
                <w:szCs w:val="18"/>
              </w:rPr>
              <w:t xml:space="preserve"> violence. </w:t>
            </w:r>
          </w:p>
          <w:p w14:paraId="2561CE18" w14:textId="77777777" w:rsidR="00C86461" w:rsidRDefault="00C86461" w:rsidP="00C86461">
            <w:pPr>
              <w:rPr>
                <w:sz w:val="18"/>
                <w:szCs w:val="18"/>
              </w:rPr>
            </w:pPr>
          </w:p>
          <w:p w14:paraId="342C3142" w14:textId="2FBD87E1" w:rsidR="00C86461" w:rsidRPr="0068083F" w:rsidRDefault="00C86461" w:rsidP="00C86461">
            <w:pPr>
              <w:rPr>
                <w:sz w:val="18"/>
                <w:szCs w:val="18"/>
              </w:rPr>
            </w:pPr>
            <w:r w:rsidRPr="0068083F">
              <w:rPr>
                <w:sz w:val="18"/>
                <w:szCs w:val="18"/>
              </w:rPr>
              <w:t xml:space="preserve"> “Do no harm” </w:t>
            </w:r>
            <w:r>
              <w:rPr>
                <w:sz w:val="18"/>
                <w:szCs w:val="18"/>
              </w:rPr>
              <w:t>used</w:t>
            </w:r>
            <w:r w:rsidRPr="0068083F">
              <w:rPr>
                <w:sz w:val="18"/>
                <w:szCs w:val="18"/>
              </w:rPr>
              <w:t xml:space="preserve"> in Sulu when</w:t>
            </w:r>
            <w:r>
              <w:rPr>
                <w:sz w:val="18"/>
                <w:szCs w:val="18"/>
              </w:rPr>
              <w:t xml:space="preserve"> IAG </w:t>
            </w:r>
            <w:r w:rsidRPr="0068083F">
              <w:rPr>
                <w:sz w:val="18"/>
                <w:szCs w:val="18"/>
              </w:rPr>
              <w:t xml:space="preserve">did not insist of </w:t>
            </w:r>
            <w:r w:rsidRPr="0068083F">
              <w:rPr>
                <w:sz w:val="18"/>
                <w:szCs w:val="18"/>
              </w:rPr>
              <w:lastRenderedPageBreak/>
              <w:t>pushing for “norm</w:t>
            </w:r>
            <w:r>
              <w:rPr>
                <w:sz w:val="18"/>
                <w:szCs w:val="18"/>
              </w:rPr>
              <w:t xml:space="preserve">alization” agenda given the strong </w:t>
            </w:r>
            <w:r w:rsidR="006A7120">
              <w:rPr>
                <w:sz w:val="18"/>
                <w:szCs w:val="18"/>
              </w:rPr>
              <w:t xml:space="preserve">  </w:t>
            </w:r>
            <w:r>
              <w:rPr>
                <w:sz w:val="18"/>
                <w:szCs w:val="18"/>
              </w:rPr>
              <w:t xml:space="preserve"> position </w:t>
            </w:r>
            <w:r w:rsidRPr="0068083F">
              <w:rPr>
                <w:sz w:val="18"/>
                <w:szCs w:val="18"/>
              </w:rPr>
              <w:t>of the LGU</w:t>
            </w:r>
            <w:r>
              <w:rPr>
                <w:sz w:val="18"/>
                <w:szCs w:val="18"/>
              </w:rPr>
              <w:t xml:space="preserve"> that there were no MILF camps i</w:t>
            </w:r>
            <w:r w:rsidRPr="0068083F">
              <w:rPr>
                <w:sz w:val="18"/>
                <w:szCs w:val="18"/>
              </w:rPr>
              <w:t>n the province and hence, normalization is</w:t>
            </w:r>
            <w:r>
              <w:rPr>
                <w:sz w:val="18"/>
                <w:szCs w:val="18"/>
              </w:rPr>
              <w:t xml:space="preserve"> not relevant. Discussion was</w:t>
            </w:r>
            <w:r w:rsidRPr="0068083F">
              <w:rPr>
                <w:sz w:val="18"/>
                <w:szCs w:val="18"/>
              </w:rPr>
              <w:t xml:space="preserve"> shifted to supporting </w:t>
            </w:r>
            <w:r>
              <w:rPr>
                <w:sz w:val="18"/>
                <w:szCs w:val="18"/>
              </w:rPr>
              <w:t>the peace effort</w:t>
            </w:r>
            <w:r w:rsidRPr="0068083F">
              <w:rPr>
                <w:sz w:val="18"/>
                <w:szCs w:val="18"/>
              </w:rPr>
              <w:t xml:space="preserve"> at the provincial and community levels</w:t>
            </w:r>
            <w:r>
              <w:rPr>
                <w:sz w:val="18"/>
                <w:szCs w:val="18"/>
              </w:rPr>
              <w:t>.</w:t>
            </w:r>
          </w:p>
        </w:tc>
        <w:tc>
          <w:tcPr>
            <w:tcW w:w="2410" w:type="dxa"/>
          </w:tcPr>
          <w:p w14:paraId="1E6A6FD8" w14:textId="77777777" w:rsidR="00C86461" w:rsidRPr="0068083F" w:rsidRDefault="00C86461" w:rsidP="00C86461">
            <w:pPr>
              <w:rPr>
                <w:sz w:val="18"/>
                <w:szCs w:val="18"/>
              </w:rPr>
            </w:pPr>
            <w:r w:rsidRPr="0068083F">
              <w:rPr>
                <w:sz w:val="18"/>
                <w:szCs w:val="18"/>
              </w:rPr>
              <w:lastRenderedPageBreak/>
              <w:t xml:space="preserve">Project activities addressed drivers of conflict stemming from operations of “shadow economies”.  Its activities were informed by the results of the conflict monitoring system thereby </w:t>
            </w:r>
            <w:r w:rsidRPr="0068083F">
              <w:rPr>
                <w:sz w:val="18"/>
                <w:szCs w:val="18"/>
              </w:rPr>
              <w:lastRenderedPageBreak/>
              <w:t xml:space="preserve">enhancing relevance and timeliness of its conflict interventions.  Conflict prevention was strengthened by the use of traditional conflict mediation mechanisms tapping assistance of traditional leaders in </w:t>
            </w:r>
            <w:r>
              <w:rPr>
                <w:sz w:val="18"/>
                <w:szCs w:val="18"/>
              </w:rPr>
              <w:t xml:space="preserve">the </w:t>
            </w:r>
            <w:r w:rsidRPr="0068083F">
              <w:rPr>
                <w:sz w:val="18"/>
                <w:szCs w:val="18"/>
              </w:rPr>
              <w:t>community.  Part of the goal is to use CVI measures to prevent violent extremism, instead of</w:t>
            </w:r>
            <w:r>
              <w:rPr>
                <w:sz w:val="18"/>
                <w:szCs w:val="18"/>
              </w:rPr>
              <w:t xml:space="preserve"> explicit CVE that</w:t>
            </w:r>
            <w:r w:rsidRPr="0068083F">
              <w:rPr>
                <w:sz w:val="18"/>
                <w:szCs w:val="18"/>
              </w:rPr>
              <w:t xml:space="preserve"> may alienate community. </w:t>
            </w:r>
          </w:p>
        </w:tc>
        <w:tc>
          <w:tcPr>
            <w:tcW w:w="2268" w:type="dxa"/>
          </w:tcPr>
          <w:p w14:paraId="74517427" w14:textId="77777777" w:rsidR="00C86461" w:rsidRPr="0068083F" w:rsidRDefault="00C86461" w:rsidP="00C86461">
            <w:pPr>
              <w:rPr>
                <w:sz w:val="18"/>
                <w:szCs w:val="18"/>
              </w:rPr>
            </w:pPr>
            <w:r>
              <w:rPr>
                <w:sz w:val="18"/>
                <w:szCs w:val="18"/>
              </w:rPr>
              <w:lastRenderedPageBreak/>
              <w:t>F</w:t>
            </w:r>
            <w:r w:rsidRPr="0068083F">
              <w:rPr>
                <w:sz w:val="18"/>
                <w:szCs w:val="18"/>
              </w:rPr>
              <w:t>orums/</w:t>
            </w:r>
            <w:r>
              <w:rPr>
                <w:sz w:val="18"/>
                <w:szCs w:val="18"/>
              </w:rPr>
              <w:t xml:space="preserve"> </w:t>
            </w:r>
            <w:r w:rsidRPr="0068083F">
              <w:rPr>
                <w:sz w:val="18"/>
                <w:szCs w:val="18"/>
              </w:rPr>
              <w:t>workshops/</w:t>
            </w:r>
            <w:r>
              <w:rPr>
                <w:sz w:val="18"/>
                <w:szCs w:val="18"/>
              </w:rPr>
              <w:t xml:space="preserve"> </w:t>
            </w:r>
            <w:r w:rsidRPr="0068083F">
              <w:rPr>
                <w:sz w:val="18"/>
                <w:szCs w:val="18"/>
              </w:rPr>
              <w:t>meetings</w:t>
            </w:r>
            <w:r>
              <w:rPr>
                <w:sz w:val="18"/>
                <w:szCs w:val="18"/>
              </w:rPr>
              <w:t xml:space="preserve"> </w:t>
            </w:r>
            <w:r w:rsidRPr="0068083F">
              <w:rPr>
                <w:sz w:val="18"/>
                <w:szCs w:val="18"/>
              </w:rPr>
              <w:t>conducted</w:t>
            </w:r>
            <w:r>
              <w:rPr>
                <w:sz w:val="18"/>
                <w:szCs w:val="18"/>
              </w:rPr>
              <w:t xml:space="preserve"> </w:t>
            </w:r>
            <w:r w:rsidRPr="0068083F">
              <w:rPr>
                <w:sz w:val="18"/>
                <w:szCs w:val="18"/>
              </w:rPr>
              <w:t>were able to identify</w:t>
            </w:r>
            <w:r>
              <w:rPr>
                <w:sz w:val="18"/>
                <w:szCs w:val="18"/>
              </w:rPr>
              <w:t xml:space="preserve"> </w:t>
            </w:r>
            <w:r w:rsidRPr="0068083F">
              <w:rPr>
                <w:sz w:val="18"/>
                <w:szCs w:val="18"/>
              </w:rPr>
              <w:t>drivers of conflict among</w:t>
            </w:r>
            <w:r>
              <w:rPr>
                <w:sz w:val="18"/>
                <w:szCs w:val="18"/>
              </w:rPr>
              <w:t xml:space="preserve"> </w:t>
            </w:r>
            <w:r w:rsidRPr="0068083F">
              <w:rPr>
                <w:sz w:val="18"/>
                <w:szCs w:val="18"/>
              </w:rPr>
              <w:t xml:space="preserve">participants. </w:t>
            </w:r>
            <w:r>
              <w:rPr>
                <w:sz w:val="18"/>
                <w:szCs w:val="18"/>
              </w:rPr>
              <w:t xml:space="preserve"> </w:t>
            </w:r>
            <w:r w:rsidRPr="0068083F">
              <w:rPr>
                <w:sz w:val="18"/>
                <w:szCs w:val="18"/>
              </w:rPr>
              <w:t>Some of the women particip</w:t>
            </w:r>
            <w:r>
              <w:rPr>
                <w:sz w:val="18"/>
                <w:szCs w:val="18"/>
              </w:rPr>
              <w:t xml:space="preserve">ants trained had become </w:t>
            </w:r>
            <w:r>
              <w:rPr>
                <w:sz w:val="18"/>
                <w:szCs w:val="18"/>
              </w:rPr>
              <w:lastRenderedPageBreak/>
              <w:t>leaders</w:t>
            </w:r>
            <w:r w:rsidRPr="0068083F">
              <w:rPr>
                <w:sz w:val="18"/>
                <w:szCs w:val="18"/>
              </w:rPr>
              <w:t xml:space="preserve"> in their community</w:t>
            </w:r>
            <w:r>
              <w:rPr>
                <w:sz w:val="18"/>
                <w:szCs w:val="18"/>
              </w:rPr>
              <w:t xml:space="preserve"> and 22 women</w:t>
            </w:r>
            <w:r w:rsidRPr="00794C4E">
              <w:rPr>
                <w:sz w:val="18"/>
                <w:szCs w:val="18"/>
              </w:rPr>
              <w:t xml:space="preserve"> and 59 </w:t>
            </w:r>
            <w:r>
              <w:rPr>
                <w:sz w:val="18"/>
                <w:szCs w:val="18"/>
              </w:rPr>
              <w:t>men were</w:t>
            </w:r>
            <w:r w:rsidRPr="00794C4E">
              <w:rPr>
                <w:sz w:val="18"/>
                <w:szCs w:val="18"/>
              </w:rPr>
              <w:t xml:space="preserve"> trained to revive the Grassroots Peace Monitoring Network (GPMN).</w:t>
            </w:r>
          </w:p>
        </w:tc>
        <w:tc>
          <w:tcPr>
            <w:tcW w:w="2410" w:type="dxa"/>
          </w:tcPr>
          <w:p w14:paraId="73E1EF54" w14:textId="77777777" w:rsidR="00C86461" w:rsidRPr="0068083F" w:rsidRDefault="00C86461" w:rsidP="00C86461">
            <w:pPr>
              <w:rPr>
                <w:sz w:val="18"/>
                <w:szCs w:val="18"/>
              </w:rPr>
            </w:pPr>
            <w:r w:rsidRPr="0068083F">
              <w:rPr>
                <w:sz w:val="18"/>
                <w:szCs w:val="18"/>
              </w:rPr>
              <w:lastRenderedPageBreak/>
              <w:t xml:space="preserve">Activities were geared toward addressing drivers of </w:t>
            </w:r>
            <w:r>
              <w:rPr>
                <w:sz w:val="18"/>
                <w:szCs w:val="18"/>
              </w:rPr>
              <w:t xml:space="preserve">conflict, particularly </w:t>
            </w:r>
            <w:r w:rsidRPr="001A526F">
              <w:rPr>
                <w:i/>
                <w:sz w:val="18"/>
                <w:szCs w:val="18"/>
              </w:rPr>
              <w:t>rido</w:t>
            </w:r>
            <w:r w:rsidRPr="0068083F">
              <w:rPr>
                <w:sz w:val="18"/>
                <w:szCs w:val="18"/>
              </w:rPr>
              <w:t xml:space="preserve">.  Traditional leaders and traditional dispute mechanisms were utilized in conflict mediation.  </w:t>
            </w:r>
          </w:p>
        </w:tc>
      </w:tr>
      <w:tr w:rsidR="00C86461" w:rsidRPr="0068083F" w14:paraId="3DAEACA4" w14:textId="77777777" w:rsidTr="00C86461">
        <w:tc>
          <w:tcPr>
            <w:tcW w:w="1560" w:type="dxa"/>
          </w:tcPr>
          <w:p w14:paraId="5B9DBD6F" w14:textId="77777777" w:rsidR="00C86461" w:rsidRPr="0068083F" w:rsidRDefault="00C86461" w:rsidP="00C86461">
            <w:pPr>
              <w:rPr>
                <w:sz w:val="18"/>
                <w:szCs w:val="18"/>
              </w:rPr>
            </w:pPr>
            <w:r w:rsidRPr="0068083F">
              <w:rPr>
                <w:sz w:val="18"/>
                <w:szCs w:val="18"/>
              </w:rPr>
              <w:t xml:space="preserve">4) </w:t>
            </w:r>
            <w:r>
              <w:rPr>
                <w:b/>
                <w:sz w:val="18"/>
                <w:szCs w:val="18"/>
              </w:rPr>
              <w:t>Impact of research: i</w:t>
            </w:r>
            <w:r w:rsidRPr="00131341">
              <w:rPr>
                <w:b/>
                <w:sz w:val="18"/>
                <w:szCs w:val="18"/>
              </w:rPr>
              <w:t>nput to inform policies and programs</w:t>
            </w:r>
          </w:p>
        </w:tc>
        <w:tc>
          <w:tcPr>
            <w:tcW w:w="2409" w:type="dxa"/>
          </w:tcPr>
          <w:p w14:paraId="4D7927EF" w14:textId="77777777" w:rsidR="00C86461" w:rsidRPr="0068083F" w:rsidRDefault="00C86461" w:rsidP="00C86461">
            <w:pPr>
              <w:rPr>
                <w:sz w:val="18"/>
                <w:szCs w:val="18"/>
              </w:rPr>
            </w:pPr>
            <w:r w:rsidRPr="0068083F">
              <w:rPr>
                <w:sz w:val="18"/>
                <w:szCs w:val="18"/>
              </w:rPr>
              <w:t xml:space="preserve">Analyses and position papers </w:t>
            </w:r>
            <w:r>
              <w:rPr>
                <w:sz w:val="18"/>
                <w:szCs w:val="18"/>
              </w:rPr>
              <w:t>were shared with the MILF and GPH</w:t>
            </w:r>
            <w:r w:rsidRPr="0068083F">
              <w:rPr>
                <w:sz w:val="18"/>
                <w:szCs w:val="18"/>
              </w:rPr>
              <w:t xml:space="preserve"> negotiating panel members and legislators.  Provincial LGUs in ARMM adopted recommendations coming from workshop</w:t>
            </w:r>
            <w:r>
              <w:rPr>
                <w:sz w:val="18"/>
                <w:szCs w:val="18"/>
              </w:rPr>
              <w:t>s</w:t>
            </w:r>
            <w:r w:rsidRPr="0068083F">
              <w:rPr>
                <w:sz w:val="18"/>
                <w:szCs w:val="18"/>
              </w:rPr>
              <w:t xml:space="preserve"> of POCs conducted at different levels.  Papers wer</w:t>
            </w:r>
            <w:r>
              <w:rPr>
                <w:sz w:val="18"/>
                <w:szCs w:val="18"/>
              </w:rPr>
              <w:t>e posted in the IAG website for public access.</w:t>
            </w:r>
          </w:p>
        </w:tc>
        <w:tc>
          <w:tcPr>
            <w:tcW w:w="2410" w:type="dxa"/>
          </w:tcPr>
          <w:p w14:paraId="3BFDE925" w14:textId="6021AD17" w:rsidR="00C86461" w:rsidRPr="0068083F" w:rsidRDefault="00C86461" w:rsidP="00C86461">
            <w:pPr>
              <w:rPr>
                <w:sz w:val="18"/>
                <w:szCs w:val="18"/>
              </w:rPr>
            </w:pPr>
            <w:r w:rsidRPr="0068083F">
              <w:rPr>
                <w:sz w:val="18"/>
                <w:szCs w:val="18"/>
              </w:rPr>
              <w:t xml:space="preserve">Results of studies and position papers were disseminated to inform the “gun control law” </w:t>
            </w:r>
            <w:r>
              <w:rPr>
                <w:sz w:val="18"/>
                <w:szCs w:val="18"/>
              </w:rPr>
              <w:t xml:space="preserve">debate </w:t>
            </w:r>
            <w:r w:rsidRPr="0068083F">
              <w:rPr>
                <w:sz w:val="18"/>
                <w:szCs w:val="18"/>
              </w:rPr>
              <w:t>in the country.  Results of conflict monitoring study were widely disseminated to</w:t>
            </w:r>
            <w:r w:rsidR="00290DFD">
              <w:rPr>
                <w:sz w:val="18"/>
                <w:szCs w:val="18"/>
              </w:rPr>
              <w:t xml:space="preserve"> GPH</w:t>
            </w:r>
            <w:r w:rsidRPr="0068083F">
              <w:rPr>
                <w:sz w:val="18"/>
                <w:szCs w:val="18"/>
              </w:rPr>
              <w:t xml:space="preserve"> and development partners to serve as one of </w:t>
            </w:r>
            <w:r>
              <w:rPr>
                <w:sz w:val="18"/>
                <w:szCs w:val="18"/>
              </w:rPr>
              <w:t xml:space="preserve">the </w:t>
            </w:r>
            <w:r w:rsidRPr="0068083F">
              <w:rPr>
                <w:sz w:val="18"/>
                <w:szCs w:val="18"/>
              </w:rPr>
              <w:t xml:space="preserve">inputs in their programming work in </w:t>
            </w:r>
            <w:r>
              <w:rPr>
                <w:sz w:val="18"/>
                <w:szCs w:val="18"/>
              </w:rPr>
              <w:t>conflict areas.  The studies were</w:t>
            </w:r>
            <w:r w:rsidRPr="0068083F">
              <w:rPr>
                <w:sz w:val="18"/>
                <w:szCs w:val="18"/>
              </w:rPr>
              <w:t xml:space="preserve"> also </w:t>
            </w:r>
            <w:r>
              <w:rPr>
                <w:sz w:val="18"/>
                <w:szCs w:val="18"/>
              </w:rPr>
              <w:t>made available in the IA website.</w:t>
            </w:r>
          </w:p>
        </w:tc>
        <w:tc>
          <w:tcPr>
            <w:tcW w:w="2268" w:type="dxa"/>
          </w:tcPr>
          <w:p w14:paraId="16E60ACF" w14:textId="77777777" w:rsidR="00C86461" w:rsidRPr="0068083F" w:rsidRDefault="00C86461" w:rsidP="00C86461">
            <w:pPr>
              <w:rPr>
                <w:sz w:val="18"/>
                <w:szCs w:val="18"/>
              </w:rPr>
            </w:pPr>
            <w:r>
              <w:rPr>
                <w:sz w:val="18"/>
                <w:szCs w:val="18"/>
              </w:rPr>
              <w:t>Action research</w:t>
            </w:r>
            <w:r w:rsidRPr="0068083F">
              <w:rPr>
                <w:sz w:val="18"/>
                <w:szCs w:val="18"/>
              </w:rPr>
              <w:t xml:space="preserve"> </w:t>
            </w:r>
            <w:r>
              <w:rPr>
                <w:sz w:val="18"/>
                <w:szCs w:val="18"/>
              </w:rPr>
              <w:t xml:space="preserve">and two policy studies </w:t>
            </w:r>
            <w:r w:rsidRPr="0068083F">
              <w:rPr>
                <w:sz w:val="18"/>
                <w:szCs w:val="18"/>
              </w:rPr>
              <w:t>undertak</w:t>
            </w:r>
            <w:r>
              <w:rPr>
                <w:sz w:val="18"/>
                <w:szCs w:val="18"/>
              </w:rPr>
              <w:t>en and used internally for lobbying.</w:t>
            </w:r>
            <w:r w:rsidRPr="0068083F">
              <w:rPr>
                <w:sz w:val="18"/>
                <w:szCs w:val="18"/>
              </w:rPr>
              <w:t xml:space="preserve"> Results of and position papers from women’s workshops/</w:t>
            </w:r>
            <w:r>
              <w:rPr>
                <w:sz w:val="18"/>
                <w:szCs w:val="18"/>
              </w:rPr>
              <w:t xml:space="preserve"> </w:t>
            </w:r>
            <w:r w:rsidRPr="0068083F">
              <w:rPr>
                <w:sz w:val="18"/>
                <w:szCs w:val="18"/>
              </w:rPr>
              <w:t>forums were disseminated to key stakeholders in the peace process</w:t>
            </w:r>
            <w:r>
              <w:rPr>
                <w:sz w:val="18"/>
                <w:szCs w:val="18"/>
              </w:rPr>
              <w:t>. A training manual for women’s participation in peace processes was designed and published</w:t>
            </w:r>
            <w:r w:rsidRPr="0068083F">
              <w:rPr>
                <w:sz w:val="18"/>
                <w:szCs w:val="18"/>
              </w:rPr>
              <w:t xml:space="preserve">. </w:t>
            </w:r>
          </w:p>
        </w:tc>
        <w:tc>
          <w:tcPr>
            <w:tcW w:w="2410" w:type="dxa"/>
          </w:tcPr>
          <w:p w14:paraId="12395CED" w14:textId="77777777" w:rsidR="00C86461" w:rsidRPr="0068083F" w:rsidRDefault="00C86461" w:rsidP="00C86461">
            <w:pPr>
              <w:rPr>
                <w:sz w:val="18"/>
                <w:szCs w:val="18"/>
              </w:rPr>
            </w:pPr>
            <w:r w:rsidRPr="0068083F">
              <w:rPr>
                <w:sz w:val="18"/>
                <w:szCs w:val="18"/>
              </w:rPr>
              <w:t>Research results were widely disseminated to key stakeholders; media dissemination was effectiv</w:t>
            </w:r>
            <w:r>
              <w:rPr>
                <w:sz w:val="18"/>
                <w:szCs w:val="18"/>
              </w:rPr>
              <w:t xml:space="preserve">e and informed debates on </w:t>
            </w:r>
            <w:r w:rsidRPr="0068083F">
              <w:rPr>
                <w:sz w:val="18"/>
                <w:szCs w:val="18"/>
              </w:rPr>
              <w:t>provisions of the BBL</w:t>
            </w:r>
            <w:r>
              <w:rPr>
                <w:sz w:val="18"/>
                <w:szCs w:val="18"/>
              </w:rPr>
              <w:t>.</w:t>
            </w:r>
          </w:p>
        </w:tc>
      </w:tr>
      <w:tr w:rsidR="00C86461" w:rsidRPr="0068083F" w14:paraId="698EE4B2" w14:textId="77777777" w:rsidTr="00C86461">
        <w:tc>
          <w:tcPr>
            <w:tcW w:w="1560" w:type="dxa"/>
          </w:tcPr>
          <w:p w14:paraId="7121E06C" w14:textId="77777777" w:rsidR="00C86461" w:rsidRPr="0068083F" w:rsidRDefault="00C86461" w:rsidP="00C86461">
            <w:pPr>
              <w:rPr>
                <w:sz w:val="18"/>
                <w:szCs w:val="18"/>
              </w:rPr>
            </w:pPr>
            <w:r w:rsidRPr="0068083F">
              <w:rPr>
                <w:sz w:val="18"/>
                <w:szCs w:val="18"/>
              </w:rPr>
              <w:t xml:space="preserve">5) </w:t>
            </w:r>
            <w:r w:rsidRPr="00214F38">
              <w:rPr>
                <w:b/>
                <w:sz w:val="18"/>
                <w:szCs w:val="18"/>
              </w:rPr>
              <w:t>Promote gender equality and women’s empowerment</w:t>
            </w:r>
          </w:p>
        </w:tc>
        <w:tc>
          <w:tcPr>
            <w:tcW w:w="2409" w:type="dxa"/>
          </w:tcPr>
          <w:p w14:paraId="3BAB8F10" w14:textId="034F7815" w:rsidR="00C86461" w:rsidRPr="0068083F" w:rsidRDefault="00C86461" w:rsidP="00F478AF">
            <w:pPr>
              <w:rPr>
                <w:sz w:val="18"/>
                <w:szCs w:val="18"/>
              </w:rPr>
            </w:pPr>
            <w:r w:rsidRPr="0068083F">
              <w:rPr>
                <w:sz w:val="18"/>
                <w:szCs w:val="18"/>
              </w:rPr>
              <w:t>Deliberate efforts were made to ensure women’s participat</w:t>
            </w:r>
            <w:r>
              <w:rPr>
                <w:sz w:val="18"/>
                <w:szCs w:val="18"/>
              </w:rPr>
              <w:t xml:space="preserve">ion in activities.  </w:t>
            </w:r>
            <w:r w:rsidRPr="0068083F">
              <w:rPr>
                <w:sz w:val="18"/>
                <w:szCs w:val="18"/>
              </w:rPr>
              <w:t xml:space="preserve">However, whether women participation eventually resulted in </w:t>
            </w:r>
            <w:r>
              <w:rPr>
                <w:sz w:val="18"/>
                <w:szCs w:val="18"/>
              </w:rPr>
              <w:t xml:space="preserve">them </w:t>
            </w:r>
            <w:r w:rsidRPr="0068083F">
              <w:rPr>
                <w:sz w:val="18"/>
                <w:szCs w:val="18"/>
              </w:rPr>
              <w:t xml:space="preserve">taking a leadership role in the </w:t>
            </w:r>
            <w:r>
              <w:rPr>
                <w:sz w:val="18"/>
                <w:szCs w:val="18"/>
              </w:rPr>
              <w:t>peace process wa</w:t>
            </w:r>
            <w:r w:rsidRPr="0068083F">
              <w:rPr>
                <w:sz w:val="18"/>
                <w:szCs w:val="18"/>
              </w:rPr>
              <w:t>s unclear.</w:t>
            </w:r>
            <w:r>
              <w:rPr>
                <w:sz w:val="18"/>
                <w:szCs w:val="18"/>
              </w:rPr>
              <w:t xml:space="preserve"> Sex disaggregated data was collected for all activities.</w:t>
            </w:r>
            <w:r w:rsidRPr="0068083F">
              <w:rPr>
                <w:sz w:val="18"/>
                <w:szCs w:val="18"/>
              </w:rPr>
              <w:t xml:space="preserve"> </w:t>
            </w:r>
          </w:p>
        </w:tc>
        <w:tc>
          <w:tcPr>
            <w:tcW w:w="2410" w:type="dxa"/>
          </w:tcPr>
          <w:p w14:paraId="3F9C2E28" w14:textId="77777777" w:rsidR="00C86461" w:rsidRPr="0068083F" w:rsidRDefault="00C86461" w:rsidP="00C86461">
            <w:pPr>
              <w:rPr>
                <w:sz w:val="18"/>
                <w:szCs w:val="18"/>
              </w:rPr>
            </w:pPr>
            <w:r w:rsidRPr="0068083F">
              <w:rPr>
                <w:sz w:val="18"/>
                <w:szCs w:val="18"/>
              </w:rPr>
              <w:t>A women</w:t>
            </w:r>
            <w:r>
              <w:rPr>
                <w:sz w:val="18"/>
                <w:szCs w:val="18"/>
              </w:rPr>
              <w:t>’s</w:t>
            </w:r>
            <w:r w:rsidRPr="0068083F">
              <w:rPr>
                <w:sz w:val="18"/>
                <w:szCs w:val="18"/>
              </w:rPr>
              <w:t xml:space="preserve"> organization (i.e., Lupah Sug Bangsamoro Women Association) was tapped to assist IA in implementing various components of the project.  The gro</w:t>
            </w:r>
            <w:r>
              <w:rPr>
                <w:sz w:val="18"/>
                <w:szCs w:val="18"/>
              </w:rPr>
              <w:t xml:space="preserve">up was particularly effective </w:t>
            </w:r>
            <w:r w:rsidRPr="0068083F">
              <w:rPr>
                <w:sz w:val="18"/>
                <w:szCs w:val="18"/>
              </w:rPr>
              <w:t xml:space="preserve">in dispute settlement and conflict resolution and in promoting livelihood programs particularly those involved in the cross border trade between the islands of Tawi Tawi and Sulu, and Sabah. </w:t>
            </w:r>
            <w:r>
              <w:rPr>
                <w:sz w:val="18"/>
                <w:szCs w:val="18"/>
              </w:rPr>
              <w:t xml:space="preserve">Sex disaggregated data was collected for all activities but the </w:t>
            </w:r>
            <w:r w:rsidRPr="00214F38">
              <w:rPr>
                <w:i/>
                <w:sz w:val="18"/>
                <w:szCs w:val="18"/>
              </w:rPr>
              <w:t>quality</w:t>
            </w:r>
            <w:r>
              <w:rPr>
                <w:sz w:val="18"/>
                <w:szCs w:val="18"/>
              </w:rPr>
              <w:t xml:space="preserve"> of women’s participation </w:t>
            </w:r>
            <w:r w:rsidRPr="00214F38">
              <w:rPr>
                <w:sz w:val="18"/>
                <w:szCs w:val="18"/>
              </w:rPr>
              <w:t>was unclear.</w:t>
            </w:r>
          </w:p>
        </w:tc>
        <w:tc>
          <w:tcPr>
            <w:tcW w:w="2268" w:type="dxa"/>
          </w:tcPr>
          <w:p w14:paraId="65A38A19" w14:textId="77777777" w:rsidR="00C86461" w:rsidRPr="0068083F" w:rsidRDefault="00C86461" w:rsidP="00C86461">
            <w:pPr>
              <w:rPr>
                <w:sz w:val="18"/>
                <w:szCs w:val="18"/>
              </w:rPr>
            </w:pPr>
            <w:r w:rsidRPr="0068083F">
              <w:rPr>
                <w:sz w:val="18"/>
                <w:szCs w:val="18"/>
              </w:rPr>
              <w:t xml:space="preserve">Most of project activities revolved around this concern. </w:t>
            </w:r>
            <w:r>
              <w:rPr>
                <w:sz w:val="18"/>
                <w:szCs w:val="18"/>
              </w:rPr>
              <w:t>These activities were successfully implemented resulting in women’s increased participation in peace processes at national and local levels and and 28 points on women’s interests incorporated into the BBL. 8 of 117 trained women ran for national elections with 3 elected. Sex disaggregated data was collected for all activities.</w:t>
            </w:r>
            <w:r w:rsidRPr="0068083F">
              <w:rPr>
                <w:sz w:val="18"/>
                <w:szCs w:val="18"/>
              </w:rPr>
              <w:t xml:space="preserve">  </w:t>
            </w:r>
          </w:p>
        </w:tc>
        <w:tc>
          <w:tcPr>
            <w:tcW w:w="2410" w:type="dxa"/>
          </w:tcPr>
          <w:p w14:paraId="4DF5CB8E" w14:textId="77777777" w:rsidR="00C86461" w:rsidRPr="0068083F" w:rsidRDefault="00C86461" w:rsidP="00C86461">
            <w:pPr>
              <w:rPr>
                <w:sz w:val="18"/>
                <w:szCs w:val="18"/>
              </w:rPr>
            </w:pPr>
            <w:r w:rsidRPr="0068083F">
              <w:rPr>
                <w:sz w:val="18"/>
                <w:szCs w:val="18"/>
              </w:rPr>
              <w:t>Deliberate effort was made to encourage greater women’s participation in the conversation on the peace process.  A number of local women’s groups (both Moros and IPs) served as partners of the project proponent.</w:t>
            </w:r>
            <w:r>
              <w:rPr>
                <w:sz w:val="18"/>
                <w:szCs w:val="18"/>
              </w:rPr>
              <w:t xml:space="preserve"> The impact and quality of these women’s participation is unclear. Sex disaggregated data was collected for all activities.</w:t>
            </w:r>
            <w:r w:rsidRPr="0068083F">
              <w:rPr>
                <w:sz w:val="18"/>
                <w:szCs w:val="18"/>
              </w:rPr>
              <w:t xml:space="preserve">  </w:t>
            </w:r>
          </w:p>
        </w:tc>
      </w:tr>
      <w:tr w:rsidR="00C86461" w:rsidRPr="0068083F" w14:paraId="6D5F4BB1" w14:textId="77777777" w:rsidTr="00C86461">
        <w:tc>
          <w:tcPr>
            <w:tcW w:w="1560" w:type="dxa"/>
          </w:tcPr>
          <w:p w14:paraId="29E85FE6" w14:textId="77777777" w:rsidR="00C86461" w:rsidRPr="0068083F" w:rsidRDefault="00C86461" w:rsidP="00C86461">
            <w:pPr>
              <w:rPr>
                <w:sz w:val="18"/>
                <w:szCs w:val="18"/>
              </w:rPr>
            </w:pPr>
            <w:r w:rsidRPr="0068083F">
              <w:rPr>
                <w:sz w:val="18"/>
                <w:szCs w:val="18"/>
              </w:rPr>
              <w:t xml:space="preserve">6) </w:t>
            </w:r>
            <w:r w:rsidRPr="00131341">
              <w:rPr>
                <w:b/>
                <w:sz w:val="18"/>
                <w:szCs w:val="18"/>
              </w:rPr>
              <w:t>Alignment with other Australian programs in Mindanao</w:t>
            </w:r>
          </w:p>
        </w:tc>
        <w:tc>
          <w:tcPr>
            <w:tcW w:w="2409" w:type="dxa"/>
          </w:tcPr>
          <w:p w14:paraId="52B3CF39" w14:textId="06FA25F3" w:rsidR="00C86461" w:rsidRPr="0068083F" w:rsidRDefault="00C86461" w:rsidP="00C86461">
            <w:pPr>
              <w:rPr>
                <w:sz w:val="18"/>
                <w:szCs w:val="18"/>
              </w:rPr>
            </w:pPr>
            <w:r w:rsidRPr="0068083F">
              <w:rPr>
                <w:sz w:val="18"/>
                <w:szCs w:val="18"/>
              </w:rPr>
              <w:t>Quart</w:t>
            </w:r>
            <w:r>
              <w:rPr>
                <w:sz w:val="18"/>
                <w:szCs w:val="18"/>
              </w:rPr>
              <w:t xml:space="preserve">erly meetings were </w:t>
            </w:r>
            <w:r w:rsidRPr="0068083F">
              <w:rPr>
                <w:sz w:val="18"/>
                <w:szCs w:val="18"/>
              </w:rPr>
              <w:t>held among the four implementing partners an</w:t>
            </w:r>
            <w:r>
              <w:rPr>
                <w:sz w:val="18"/>
                <w:szCs w:val="18"/>
              </w:rPr>
              <w:t>d the Australian project management but it wa</w:t>
            </w:r>
            <w:r w:rsidRPr="0068083F">
              <w:rPr>
                <w:sz w:val="18"/>
                <w:szCs w:val="18"/>
              </w:rPr>
              <w:t>s unclear whether implementing partners benefit</w:t>
            </w:r>
            <w:r>
              <w:rPr>
                <w:sz w:val="18"/>
                <w:szCs w:val="18"/>
              </w:rPr>
              <w:t>ed</w:t>
            </w:r>
            <w:r w:rsidRPr="0068083F">
              <w:rPr>
                <w:sz w:val="18"/>
                <w:szCs w:val="18"/>
              </w:rPr>
              <w:t xml:space="preserve"> from information and experience sharing from those sessions.  </w:t>
            </w:r>
            <w:r>
              <w:rPr>
                <w:sz w:val="18"/>
                <w:szCs w:val="18"/>
              </w:rPr>
              <w:t xml:space="preserve">Overlap was evident in some </w:t>
            </w:r>
            <w:r w:rsidRPr="0068083F">
              <w:rPr>
                <w:sz w:val="18"/>
                <w:szCs w:val="18"/>
              </w:rPr>
              <w:t>activities</w:t>
            </w:r>
            <w:r>
              <w:rPr>
                <w:sz w:val="18"/>
                <w:szCs w:val="18"/>
              </w:rPr>
              <w:t xml:space="preserve"> (forums/ </w:t>
            </w:r>
            <w:r w:rsidRPr="0068083F">
              <w:rPr>
                <w:sz w:val="18"/>
                <w:szCs w:val="18"/>
              </w:rPr>
              <w:t xml:space="preserve">workshops on </w:t>
            </w:r>
            <w:r>
              <w:rPr>
                <w:sz w:val="18"/>
                <w:szCs w:val="18"/>
              </w:rPr>
              <w:t xml:space="preserve">the </w:t>
            </w:r>
            <w:r w:rsidRPr="0068083F">
              <w:rPr>
                <w:sz w:val="18"/>
                <w:szCs w:val="18"/>
              </w:rPr>
              <w:t>BBL and the peace process</w:t>
            </w:r>
            <w:r>
              <w:rPr>
                <w:sz w:val="18"/>
                <w:szCs w:val="18"/>
              </w:rPr>
              <w:t>)</w:t>
            </w:r>
            <w:r w:rsidRPr="0068083F">
              <w:rPr>
                <w:sz w:val="18"/>
                <w:szCs w:val="18"/>
              </w:rPr>
              <w:t xml:space="preserve">.  </w:t>
            </w:r>
            <w:r>
              <w:rPr>
                <w:sz w:val="18"/>
                <w:szCs w:val="18"/>
              </w:rPr>
              <w:t xml:space="preserve">IAG </w:t>
            </w:r>
            <w:r>
              <w:rPr>
                <w:sz w:val="18"/>
                <w:szCs w:val="18"/>
              </w:rPr>
              <w:lastRenderedPageBreak/>
              <w:t>made</w:t>
            </w:r>
            <w:r w:rsidRPr="0068083F">
              <w:rPr>
                <w:sz w:val="18"/>
                <w:szCs w:val="18"/>
              </w:rPr>
              <w:t xml:space="preserve"> no </w:t>
            </w:r>
            <w:r>
              <w:rPr>
                <w:sz w:val="18"/>
                <w:szCs w:val="18"/>
              </w:rPr>
              <w:t xml:space="preserve">apparent </w:t>
            </w:r>
            <w:r w:rsidRPr="0068083F">
              <w:rPr>
                <w:sz w:val="18"/>
                <w:szCs w:val="18"/>
              </w:rPr>
              <w:t>effort to link with other Australian programs in Mindanao.</w:t>
            </w:r>
          </w:p>
        </w:tc>
        <w:tc>
          <w:tcPr>
            <w:tcW w:w="2410" w:type="dxa"/>
          </w:tcPr>
          <w:p w14:paraId="5721A149" w14:textId="77777777" w:rsidR="00C86461" w:rsidRPr="0068083F" w:rsidRDefault="00C86461" w:rsidP="00C86461">
            <w:pPr>
              <w:rPr>
                <w:sz w:val="18"/>
                <w:szCs w:val="18"/>
              </w:rPr>
            </w:pPr>
            <w:r w:rsidRPr="0068083F">
              <w:rPr>
                <w:sz w:val="18"/>
                <w:szCs w:val="18"/>
              </w:rPr>
              <w:lastRenderedPageBreak/>
              <w:t xml:space="preserve">There was no deliberate effort to link up with other Australian programs in Mindanao. </w:t>
            </w:r>
          </w:p>
        </w:tc>
        <w:tc>
          <w:tcPr>
            <w:tcW w:w="2268" w:type="dxa"/>
          </w:tcPr>
          <w:p w14:paraId="403556B8" w14:textId="77777777" w:rsidR="00C86461" w:rsidRPr="0068083F" w:rsidRDefault="00C86461" w:rsidP="00C86461">
            <w:pPr>
              <w:rPr>
                <w:sz w:val="18"/>
                <w:szCs w:val="18"/>
              </w:rPr>
            </w:pPr>
            <w:r w:rsidRPr="0068083F">
              <w:rPr>
                <w:sz w:val="18"/>
                <w:szCs w:val="18"/>
              </w:rPr>
              <w:t>No deliberate effort made</w:t>
            </w:r>
            <w:r>
              <w:rPr>
                <w:sz w:val="18"/>
                <w:szCs w:val="18"/>
              </w:rPr>
              <w:t xml:space="preserve"> to</w:t>
            </w:r>
            <w:r w:rsidRPr="0068083F">
              <w:rPr>
                <w:sz w:val="18"/>
                <w:szCs w:val="18"/>
              </w:rPr>
              <w:t xml:space="preserve"> link up with other Australian programs in Mindanao. </w:t>
            </w:r>
          </w:p>
        </w:tc>
        <w:tc>
          <w:tcPr>
            <w:tcW w:w="2410" w:type="dxa"/>
          </w:tcPr>
          <w:p w14:paraId="594CAB95" w14:textId="15129CE1" w:rsidR="00C86461" w:rsidRPr="0068083F" w:rsidRDefault="00C86461" w:rsidP="00C86461">
            <w:pPr>
              <w:rPr>
                <w:sz w:val="18"/>
                <w:szCs w:val="18"/>
              </w:rPr>
            </w:pPr>
            <w:r w:rsidRPr="0068083F">
              <w:rPr>
                <w:sz w:val="18"/>
                <w:szCs w:val="18"/>
              </w:rPr>
              <w:t>Greater effort should have been exerted in tapping expertise of Coalition for Change (CfC), another project supported by DFAT, to ensure more effective advocacy campaign at the national level.  No component on economic growth concern.</w:t>
            </w:r>
            <w:r w:rsidR="006A7120">
              <w:rPr>
                <w:sz w:val="18"/>
                <w:szCs w:val="18"/>
              </w:rPr>
              <w:t xml:space="preserve"> (i.e., livelihood projects).</w:t>
            </w:r>
            <w:r w:rsidRPr="0068083F">
              <w:rPr>
                <w:sz w:val="18"/>
                <w:szCs w:val="18"/>
              </w:rPr>
              <w:t xml:space="preserve"> </w:t>
            </w:r>
          </w:p>
        </w:tc>
      </w:tr>
      <w:tr w:rsidR="00C86461" w:rsidRPr="0068083F" w14:paraId="03D60B88" w14:textId="77777777" w:rsidTr="00C86461">
        <w:tc>
          <w:tcPr>
            <w:tcW w:w="11057" w:type="dxa"/>
            <w:gridSpan w:val="5"/>
          </w:tcPr>
          <w:p w14:paraId="7BE7B9F6" w14:textId="77777777" w:rsidR="00C86461" w:rsidRPr="00131341" w:rsidRDefault="00C86461" w:rsidP="00C86461">
            <w:pPr>
              <w:rPr>
                <w:color w:val="3366FF"/>
                <w:sz w:val="18"/>
                <w:szCs w:val="18"/>
              </w:rPr>
            </w:pPr>
            <w:r>
              <w:rPr>
                <w:b/>
                <w:color w:val="3366FF"/>
                <w:sz w:val="18"/>
                <w:szCs w:val="18"/>
              </w:rPr>
              <w:t xml:space="preserve">                      </w:t>
            </w:r>
            <w:r w:rsidRPr="00131341">
              <w:rPr>
                <w:b/>
                <w:color w:val="3366FF"/>
                <w:sz w:val="18"/>
                <w:szCs w:val="18"/>
              </w:rPr>
              <w:t>Relevance</w:t>
            </w:r>
          </w:p>
        </w:tc>
      </w:tr>
      <w:tr w:rsidR="00C86461" w:rsidRPr="0068083F" w14:paraId="0F732CE5" w14:textId="77777777" w:rsidTr="00C86461">
        <w:tc>
          <w:tcPr>
            <w:tcW w:w="1560" w:type="dxa"/>
          </w:tcPr>
          <w:p w14:paraId="458508F1" w14:textId="77777777" w:rsidR="00C86461" w:rsidRPr="0068083F" w:rsidRDefault="00C86461" w:rsidP="00C86461">
            <w:pPr>
              <w:rPr>
                <w:sz w:val="18"/>
                <w:szCs w:val="18"/>
              </w:rPr>
            </w:pPr>
            <w:r w:rsidRPr="0068083F">
              <w:rPr>
                <w:sz w:val="18"/>
                <w:szCs w:val="18"/>
              </w:rPr>
              <w:t xml:space="preserve">1) </w:t>
            </w:r>
            <w:r w:rsidRPr="00131341">
              <w:rPr>
                <w:b/>
                <w:sz w:val="18"/>
                <w:szCs w:val="18"/>
              </w:rPr>
              <w:t>Adjustment of current programs to changed environment.  Relevance of programs/partners</w:t>
            </w:r>
          </w:p>
        </w:tc>
        <w:tc>
          <w:tcPr>
            <w:tcW w:w="2409" w:type="dxa"/>
          </w:tcPr>
          <w:p w14:paraId="1BB4E9A8" w14:textId="7E94A4F1" w:rsidR="00C86461" w:rsidRPr="0068083F" w:rsidRDefault="00C86461" w:rsidP="005A6E9E">
            <w:pPr>
              <w:rPr>
                <w:sz w:val="18"/>
                <w:szCs w:val="18"/>
              </w:rPr>
            </w:pPr>
            <w:r w:rsidRPr="0068083F">
              <w:rPr>
                <w:sz w:val="18"/>
                <w:szCs w:val="18"/>
              </w:rPr>
              <w:t xml:space="preserve">Adjustments were made but the inherent limitation of sticking to original objectives </w:t>
            </w:r>
            <w:r>
              <w:rPr>
                <w:sz w:val="18"/>
                <w:szCs w:val="18"/>
              </w:rPr>
              <w:t>i</w:t>
            </w:r>
            <w:r w:rsidR="006A7120">
              <w:rPr>
                <w:sz w:val="18"/>
                <w:szCs w:val="18"/>
              </w:rPr>
              <w:t>(i.e., encouraging participation of the LGUs in the BBL discussion and allaying their fears on key provisions pertaining to relationship between BG and LGUs)</w:t>
            </w:r>
            <w:r w:rsidR="0033490F">
              <w:rPr>
                <w:sz w:val="18"/>
                <w:szCs w:val="18"/>
              </w:rPr>
              <w:t xml:space="preserve"> i</w:t>
            </w:r>
            <w:r>
              <w:rPr>
                <w:sz w:val="18"/>
                <w:szCs w:val="18"/>
              </w:rPr>
              <w:t>n the absence of the BBL constrained</w:t>
            </w:r>
            <w:r w:rsidRPr="0068083F">
              <w:rPr>
                <w:sz w:val="18"/>
                <w:szCs w:val="18"/>
              </w:rPr>
              <w:t xml:space="preserve"> project relevance</w:t>
            </w:r>
            <w:r>
              <w:rPr>
                <w:sz w:val="18"/>
                <w:szCs w:val="18"/>
              </w:rPr>
              <w:t xml:space="preserve">. </w:t>
            </w:r>
            <w:r w:rsidR="005A6E9E">
              <w:rPr>
                <w:sz w:val="18"/>
                <w:szCs w:val="18"/>
              </w:rPr>
              <w:t xml:space="preserve">  C</w:t>
            </w:r>
            <w:r>
              <w:rPr>
                <w:sz w:val="18"/>
                <w:szCs w:val="18"/>
              </w:rPr>
              <w:t>ontinued focus on LGUs must be re-examined given the GPH move toward federalism.</w:t>
            </w:r>
          </w:p>
        </w:tc>
        <w:tc>
          <w:tcPr>
            <w:tcW w:w="2410" w:type="dxa"/>
          </w:tcPr>
          <w:p w14:paraId="06749F49" w14:textId="410AEB90" w:rsidR="00C86461" w:rsidRPr="0068083F" w:rsidRDefault="00C86461" w:rsidP="004D685C">
            <w:pPr>
              <w:rPr>
                <w:sz w:val="18"/>
                <w:szCs w:val="18"/>
              </w:rPr>
            </w:pPr>
            <w:r w:rsidRPr="0068083F">
              <w:rPr>
                <w:sz w:val="18"/>
                <w:szCs w:val="18"/>
              </w:rPr>
              <w:t>Shift to assist</w:t>
            </w:r>
            <w:r>
              <w:rPr>
                <w:sz w:val="18"/>
                <w:szCs w:val="18"/>
              </w:rPr>
              <w:t>ing formulating “Enabling Law” wa</w:t>
            </w:r>
            <w:r w:rsidRPr="0068083F">
              <w:rPr>
                <w:sz w:val="18"/>
                <w:szCs w:val="18"/>
              </w:rPr>
              <w:t xml:space="preserve">s timely </w:t>
            </w:r>
            <w:r>
              <w:rPr>
                <w:sz w:val="18"/>
                <w:szCs w:val="18"/>
              </w:rPr>
              <w:t>and relevant but assistance will have to wait until GPH</w:t>
            </w:r>
            <w:r w:rsidRPr="0068083F">
              <w:rPr>
                <w:sz w:val="18"/>
                <w:szCs w:val="18"/>
              </w:rPr>
              <w:t xml:space="preserve"> and MILF panels clarify the mechanisms on how they are going to address this task.  Gun control law and</w:t>
            </w:r>
            <w:r>
              <w:rPr>
                <w:sz w:val="18"/>
                <w:szCs w:val="18"/>
              </w:rPr>
              <w:t xml:space="preserve"> cross-border issues need whole-of-</w:t>
            </w:r>
            <w:r w:rsidRPr="0068083F">
              <w:rPr>
                <w:sz w:val="18"/>
                <w:szCs w:val="18"/>
              </w:rPr>
              <w:t xml:space="preserve">government approach to be successful (hence, beyond IA to achieve).  </w:t>
            </w:r>
            <w:r>
              <w:rPr>
                <w:sz w:val="18"/>
                <w:szCs w:val="18"/>
              </w:rPr>
              <w:t xml:space="preserve">IA should </w:t>
            </w:r>
            <w:r w:rsidRPr="0068083F">
              <w:rPr>
                <w:sz w:val="18"/>
                <w:szCs w:val="18"/>
              </w:rPr>
              <w:t xml:space="preserve">re-consider support to cross-border trade agenda given its huge scope. </w:t>
            </w:r>
          </w:p>
        </w:tc>
        <w:tc>
          <w:tcPr>
            <w:tcW w:w="2268" w:type="dxa"/>
          </w:tcPr>
          <w:p w14:paraId="430F7169" w14:textId="77777777" w:rsidR="00C86461" w:rsidRPr="0068083F" w:rsidRDefault="00C86461" w:rsidP="00C86461">
            <w:pPr>
              <w:rPr>
                <w:sz w:val="18"/>
                <w:szCs w:val="18"/>
              </w:rPr>
            </w:pPr>
            <w:r w:rsidRPr="0068083F">
              <w:rPr>
                <w:sz w:val="18"/>
                <w:szCs w:val="18"/>
              </w:rPr>
              <w:t>Adjustment was not made because of the cross-cutting nature of gender as a development and peace concern.  Project proponent deemed that objectives remain relevant despite change</w:t>
            </w:r>
            <w:r>
              <w:rPr>
                <w:sz w:val="18"/>
                <w:szCs w:val="18"/>
              </w:rPr>
              <w:t>d</w:t>
            </w:r>
            <w:r w:rsidRPr="0068083F">
              <w:rPr>
                <w:sz w:val="18"/>
                <w:szCs w:val="18"/>
              </w:rPr>
              <w:t xml:space="preserve"> context. </w:t>
            </w:r>
            <w:r>
              <w:rPr>
                <w:sz w:val="18"/>
                <w:szCs w:val="18"/>
              </w:rPr>
              <w:t>A focus on gender-sensitive peacebuilding remains a significant challenge and area of need.</w:t>
            </w:r>
          </w:p>
        </w:tc>
        <w:tc>
          <w:tcPr>
            <w:tcW w:w="2410" w:type="dxa"/>
          </w:tcPr>
          <w:p w14:paraId="427EA455" w14:textId="77777777" w:rsidR="00C86461" w:rsidRPr="0068083F" w:rsidRDefault="00C86461" w:rsidP="00C86461">
            <w:pPr>
              <w:rPr>
                <w:sz w:val="18"/>
                <w:szCs w:val="18"/>
              </w:rPr>
            </w:pPr>
            <w:r w:rsidRPr="0068083F">
              <w:rPr>
                <w:sz w:val="18"/>
                <w:szCs w:val="18"/>
              </w:rPr>
              <w:t>Engaging MNLF and the IPs to broaden participation in the peace proces</w:t>
            </w:r>
            <w:r>
              <w:rPr>
                <w:sz w:val="18"/>
                <w:szCs w:val="18"/>
              </w:rPr>
              <w:t>s wa</w:t>
            </w:r>
            <w:r w:rsidRPr="0068083F">
              <w:rPr>
                <w:sz w:val="18"/>
                <w:szCs w:val="18"/>
              </w:rPr>
              <w:t xml:space="preserve">s most appropriate given failure of BBL to pass due to perception that it only addresses MILF agenda.  Continuing work on </w:t>
            </w:r>
            <w:r w:rsidRPr="003128BA">
              <w:rPr>
                <w:i/>
                <w:sz w:val="18"/>
                <w:szCs w:val="18"/>
              </w:rPr>
              <w:t>rido</w:t>
            </w:r>
            <w:r>
              <w:rPr>
                <w:sz w:val="18"/>
                <w:szCs w:val="18"/>
              </w:rPr>
              <w:t xml:space="preserve"> is justified</w:t>
            </w:r>
            <w:r w:rsidRPr="0068083F">
              <w:rPr>
                <w:sz w:val="18"/>
                <w:szCs w:val="18"/>
              </w:rPr>
              <w:t xml:space="preserve"> given </w:t>
            </w:r>
            <w:r>
              <w:rPr>
                <w:sz w:val="18"/>
                <w:szCs w:val="18"/>
              </w:rPr>
              <w:t xml:space="preserve">previous enormous and ground-breaking </w:t>
            </w:r>
            <w:r w:rsidRPr="0068083F">
              <w:rPr>
                <w:sz w:val="18"/>
                <w:szCs w:val="18"/>
              </w:rPr>
              <w:t xml:space="preserve">work on this issue by project proponent.  However, there will be a need to upscale work </w:t>
            </w:r>
            <w:r>
              <w:rPr>
                <w:sz w:val="18"/>
                <w:szCs w:val="18"/>
              </w:rPr>
              <w:t>toward</w:t>
            </w:r>
            <w:r w:rsidRPr="0068083F">
              <w:rPr>
                <w:sz w:val="18"/>
                <w:szCs w:val="18"/>
              </w:rPr>
              <w:t xml:space="preserve"> formaliz</w:t>
            </w:r>
            <w:r>
              <w:rPr>
                <w:sz w:val="18"/>
                <w:szCs w:val="18"/>
              </w:rPr>
              <w:t xml:space="preserve">ing </w:t>
            </w:r>
            <w:r w:rsidRPr="0068083F">
              <w:rPr>
                <w:sz w:val="18"/>
                <w:szCs w:val="18"/>
              </w:rPr>
              <w:t>dispute/conflict mediation mechanisms.</w:t>
            </w:r>
          </w:p>
        </w:tc>
      </w:tr>
      <w:tr w:rsidR="00C86461" w:rsidRPr="0068083F" w14:paraId="3CA2C1CD" w14:textId="77777777" w:rsidTr="00C86461">
        <w:tc>
          <w:tcPr>
            <w:tcW w:w="1560" w:type="dxa"/>
          </w:tcPr>
          <w:p w14:paraId="508E02C4" w14:textId="77777777" w:rsidR="00C86461" w:rsidRDefault="00C86461" w:rsidP="00C86461">
            <w:pPr>
              <w:rPr>
                <w:b/>
                <w:sz w:val="18"/>
                <w:szCs w:val="18"/>
              </w:rPr>
            </w:pPr>
            <w:r w:rsidRPr="0068083F">
              <w:rPr>
                <w:sz w:val="18"/>
                <w:szCs w:val="18"/>
              </w:rPr>
              <w:t xml:space="preserve">2) </w:t>
            </w:r>
            <w:r w:rsidRPr="003128BA">
              <w:rPr>
                <w:b/>
                <w:sz w:val="18"/>
                <w:szCs w:val="18"/>
              </w:rPr>
              <w:t>New ini</w:t>
            </w:r>
            <w:r w:rsidRPr="007733EB">
              <w:rPr>
                <w:b/>
                <w:sz w:val="18"/>
                <w:szCs w:val="18"/>
              </w:rPr>
              <w:t>tia</w:t>
            </w:r>
            <w:r w:rsidRPr="003128BA">
              <w:rPr>
                <w:b/>
                <w:sz w:val="18"/>
                <w:szCs w:val="18"/>
              </w:rPr>
              <w:t>tives/</w:t>
            </w:r>
          </w:p>
          <w:p w14:paraId="730CEE2B" w14:textId="77777777" w:rsidR="00C86461" w:rsidRPr="0068083F" w:rsidRDefault="00C86461" w:rsidP="00C86461">
            <w:pPr>
              <w:rPr>
                <w:sz w:val="18"/>
                <w:szCs w:val="18"/>
              </w:rPr>
            </w:pPr>
            <w:r w:rsidRPr="003128BA">
              <w:rPr>
                <w:b/>
                <w:sz w:val="18"/>
                <w:szCs w:val="18"/>
              </w:rPr>
              <w:t>objectives/ partners to support the Duterte peace process</w:t>
            </w:r>
          </w:p>
        </w:tc>
        <w:tc>
          <w:tcPr>
            <w:tcW w:w="2409" w:type="dxa"/>
          </w:tcPr>
          <w:p w14:paraId="5219E713" w14:textId="77777777" w:rsidR="00C86461" w:rsidRPr="0068083F" w:rsidRDefault="00C86461" w:rsidP="00C86461">
            <w:pPr>
              <w:rPr>
                <w:sz w:val="18"/>
                <w:szCs w:val="18"/>
              </w:rPr>
            </w:pPr>
            <w:r w:rsidRPr="0068083F">
              <w:rPr>
                <w:sz w:val="18"/>
                <w:szCs w:val="18"/>
              </w:rPr>
              <w:t>Implementing partner now e</w:t>
            </w:r>
            <w:r>
              <w:rPr>
                <w:sz w:val="18"/>
                <w:szCs w:val="18"/>
              </w:rPr>
              <w:t>ngaged in the conversations on f</w:t>
            </w:r>
            <w:r w:rsidRPr="0068083F">
              <w:rPr>
                <w:sz w:val="18"/>
                <w:szCs w:val="18"/>
              </w:rPr>
              <w:t xml:space="preserve">ederalism </w:t>
            </w:r>
            <w:r>
              <w:rPr>
                <w:sz w:val="18"/>
                <w:szCs w:val="18"/>
              </w:rPr>
              <w:t>with</w:t>
            </w:r>
            <w:r w:rsidRPr="0068083F">
              <w:rPr>
                <w:sz w:val="18"/>
                <w:szCs w:val="18"/>
              </w:rPr>
              <w:t xml:space="preserve"> new administration.  It has also engaged the new OPAPP leadership</w:t>
            </w:r>
            <w:r>
              <w:rPr>
                <w:sz w:val="18"/>
                <w:szCs w:val="18"/>
              </w:rPr>
              <w:t>,</w:t>
            </w:r>
            <w:r w:rsidRPr="0068083F">
              <w:rPr>
                <w:sz w:val="18"/>
                <w:szCs w:val="18"/>
              </w:rPr>
              <w:t xml:space="preserve"> contributing to crafting its broad strategic roadmap for the peace process</w:t>
            </w:r>
            <w:r>
              <w:rPr>
                <w:sz w:val="18"/>
                <w:szCs w:val="18"/>
              </w:rPr>
              <w:t>.</w:t>
            </w:r>
          </w:p>
        </w:tc>
        <w:tc>
          <w:tcPr>
            <w:tcW w:w="2410" w:type="dxa"/>
          </w:tcPr>
          <w:p w14:paraId="46C29CB1" w14:textId="77777777" w:rsidR="00C86461" w:rsidRPr="0068083F" w:rsidRDefault="00C86461" w:rsidP="00C86461">
            <w:pPr>
              <w:rPr>
                <w:sz w:val="18"/>
                <w:szCs w:val="18"/>
              </w:rPr>
            </w:pPr>
            <w:r w:rsidRPr="0068083F">
              <w:rPr>
                <w:sz w:val="18"/>
                <w:szCs w:val="18"/>
              </w:rPr>
              <w:t xml:space="preserve">Involved in the dialogue on federalism and the peace talks with the Communist Party of the Philippines.   </w:t>
            </w:r>
            <w:r>
              <w:rPr>
                <w:sz w:val="18"/>
                <w:szCs w:val="18"/>
              </w:rPr>
              <w:t>Should</w:t>
            </w:r>
            <w:r w:rsidRPr="0068083F">
              <w:rPr>
                <w:sz w:val="18"/>
                <w:szCs w:val="18"/>
              </w:rPr>
              <w:t xml:space="preserve"> contribute more on the peace process betw</w:t>
            </w:r>
            <w:r>
              <w:rPr>
                <w:sz w:val="18"/>
                <w:szCs w:val="18"/>
              </w:rPr>
              <w:t>een GPH and the</w:t>
            </w:r>
            <w:r w:rsidRPr="0068083F">
              <w:rPr>
                <w:sz w:val="18"/>
                <w:szCs w:val="18"/>
              </w:rPr>
              <w:t xml:space="preserve"> MNLF</w:t>
            </w:r>
            <w:r>
              <w:rPr>
                <w:sz w:val="18"/>
                <w:szCs w:val="18"/>
              </w:rPr>
              <w:t xml:space="preserve"> and IPs</w:t>
            </w:r>
            <w:r w:rsidRPr="0068083F">
              <w:rPr>
                <w:sz w:val="18"/>
                <w:szCs w:val="18"/>
              </w:rPr>
              <w:t xml:space="preserve">. </w:t>
            </w:r>
          </w:p>
          <w:p w14:paraId="33021582" w14:textId="77777777" w:rsidR="00C86461" w:rsidRPr="0068083F" w:rsidRDefault="00C86461" w:rsidP="00C86461">
            <w:pPr>
              <w:rPr>
                <w:sz w:val="18"/>
                <w:szCs w:val="18"/>
              </w:rPr>
            </w:pPr>
          </w:p>
        </w:tc>
        <w:tc>
          <w:tcPr>
            <w:tcW w:w="2268" w:type="dxa"/>
          </w:tcPr>
          <w:p w14:paraId="71FFE295" w14:textId="77777777" w:rsidR="00C86461" w:rsidRPr="0068083F" w:rsidRDefault="00C86461" w:rsidP="00C86461">
            <w:pPr>
              <w:rPr>
                <w:sz w:val="18"/>
                <w:szCs w:val="18"/>
              </w:rPr>
            </w:pPr>
            <w:r w:rsidRPr="0068083F">
              <w:rPr>
                <w:sz w:val="18"/>
                <w:szCs w:val="18"/>
              </w:rPr>
              <w:t>Intensification of community peace-building and livelihood activities, through women’s group</w:t>
            </w:r>
            <w:r>
              <w:rPr>
                <w:sz w:val="18"/>
                <w:szCs w:val="18"/>
              </w:rPr>
              <w:t>s</w:t>
            </w:r>
            <w:r w:rsidRPr="0068083F">
              <w:rPr>
                <w:sz w:val="18"/>
                <w:szCs w:val="18"/>
              </w:rPr>
              <w:t xml:space="preserve">, to prevent armed violence from erupting as a result of non-passage of BBL. </w:t>
            </w:r>
          </w:p>
        </w:tc>
        <w:tc>
          <w:tcPr>
            <w:tcW w:w="2410" w:type="dxa"/>
          </w:tcPr>
          <w:p w14:paraId="00A45D7A" w14:textId="77777777" w:rsidR="00C86461" w:rsidRPr="0068083F" w:rsidRDefault="00C86461" w:rsidP="00C86461">
            <w:pPr>
              <w:rPr>
                <w:sz w:val="18"/>
                <w:szCs w:val="18"/>
              </w:rPr>
            </w:pPr>
            <w:r w:rsidRPr="0068083F">
              <w:rPr>
                <w:sz w:val="18"/>
                <w:szCs w:val="18"/>
              </w:rPr>
              <w:t>Expanding the peace table to include</w:t>
            </w:r>
            <w:r>
              <w:rPr>
                <w:sz w:val="18"/>
                <w:szCs w:val="18"/>
              </w:rPr>
              <w:t xml:space="preserve"> MNLF and IPs is</w:t>
            </w:r>
            <w:r w:rsidRPr="0068083F">
              <w:rPr>
                <w:sz w:val="18"/>
                <w:szCs w:val="18"/>
              </w:rPr>
              <w:t xml:space="preserve"> supportive of the more inclusive thrust of the Duterte administrion on the peace process.  Project proponent will be a major contributor to the discussion on federalism because of its strength on governance issues</w:t>
            </w:r>
            <w:r>
              <w:rPr>
                <w:sz w:val="18"/>
                <w:szCs w:val="18"/>
              </w:rPr>
              <w:t>.</w:t>
            </w:r>
          </w:p>
        </w:tc>
      </w:tr>
      <w:tr w:rsidR="00C86461" w:rsidRPr="0068083F" w14:paraId="607CB172" w14:textId="77777777" w:rsidTr="00C86461">
        <w:tc>
          <w:tcPr>
            <w:tcW w:w="1560" w:type="dxa"/>
          </w:tcPr>
          <w:p w14:paraId="4AF19CF4" w14:textId="77777777" w:rsidR="00C86461" w:rsidRPr="0068083F" w:rsidRDefault="00C86461" w:rsidP="00C86461">
            <w:pPr>
              <w:rPr>
                <w:sz w:val="18"/>
                <w:szCs w:val="18"/>
              </w:rPr>
            </w:pPr>
            <w:r w:rsidRPr="0068083F">
              <w:rPr>
                <w:sz w:val="18"/>
                <w:szCs w:val="18"/>
              </w:rPr>
              <w:t xml:space="preserve">3) </w:t>
            </w:r>
            <w:r w:rsidRPr="003128BA">
              <w:rPr>
                <w:b/>
                <w:sz w:val="18"/>
                <w:szCs w:val="18"/>
              </w:rPr>
              <w:t>Integrate CVE activities into programs</w:t>
            </w:r>
          </w:p>
        </w:tc>
        <w:tc>
          <w:tcPr>
            <w:tcW w:w="2409" w:type="dxa"/>
          </w:tcPr>
          <w:p w14:paraId="321F2CE2" w14:textId="77777777" w:rsidR="00C86461" w:rsidRPr="0068083F" w:rsidRDefault="00C86461" w:rsidP="00C86461">
            <w:pPr>
              <w:rPr>
                <w:sz w:val="18"/>
                <w:szCs w:val="18"/>
              </w:rPr>
            </w:pPr>
            <w:r>
              <w:rPr>
                <w:sz w:val="18"/>
                <w:szCs w:val="18"/>
              </w:rPr>
              <w:t>C</w:t>
            </w:r>
            <w:r w:rsidRPr="0068083F">
              <w:rPr>
                <w:sz w:val="18"/>
                <w:szCs w:val="18"/>
              </w:rPr>
              <w:t xml:space="preserve">VE concerns were articulated in some </w:t>
            </w:r>
            <w:r>
              <w:rPr>
                <w:sz w:val="18"/>
                <w:szCs w:val="18"/>
              </w:rPr>
              <w:t xml:space="preserve">of the forums/workshops and ostensibly addressed through IAG’s ‘community peace-building work’, but no </w:t>
            </w:r>
            <w:r w:rsidRPr="0068083F">
              <w:rPr>
                <w:sz w:val="18"/>
                <w:szCs w:val="18"/>
              </w:rPr>
              <w:t xml:space="preserve">specific </w:t>
            </w:r>
            <w:r>
              <w:rPr>
                <w:sz w:val="18"/>
                <w:szCs w:val="18"/>
              </w:rPr>
              <w:t xml:space="preserve">action was taken. </w:t>
            </w:r>
          </w:p>
        </w:tc>
        <w:tc>
          <w:tcPr>
            <w:tcW w:w="2410" w:type="dxa"/>
          </w:tcPr>
          <w:p w14:paraId="27889B6D" w14:textId="06E37AE6" w:rsidR="00C86461" w:rsidRDefault="00C86461" w:rsidP="00C86461">
            <w:pPr>
              <w:rPr>
                <w:sz w:val="18"/>
                <w:szCs w:val="18"/>
              </w:rPr>
            </w:pPr>
            <w:r>
              <w:rPr>
                <w:sz w:val="18"/>
                <w:szCs w:val="18"/>
              </w:rPr>
              <w:t xml:space="preserve">This is one of the ongoing activities </w:t>
            </w:r>
            <w:r w:rsidRPr="0068083F">
              <w:rPr>
                <w:sz w:val="18"/>
                <w:szCs w:val="18"/>
              </w:rPr>
              <w:t xml:space="preserve">of </w:t>
            </w:r>
            <w:r>
              <w:rPr>
                <w:sz w:val="18"/>
                <w:szCs w:val="18"/>
              </w:rPr>
              <w:t>the project proponent</w:t>
            </w:r>
            <w:r w:rsidR="0033490F">
              <w:rPr>
                <w:sz w:val="18"/>
                <w:szCs w:val="18"/>
              </w:rPr>
              <w:t>, though a separate activity from BASIC.</w:t>
            </w:r>
            <w:r>
              <w:rPr>
                <w:sz w:val="18"/>
                <w:szCs w:val="18"/>
              </w:rPr>
              <w:t xml:space="preserve">   </w:t>
            </w:r>
            <w:r w:rsidR="0033490F">
              <w:rPr>
                <w:sz w:val="18"/>
                <w:szCs w:val="18"/>
              </w:rPr>
              <w:t xml:space="preserve">However, </w:t>
            </w:r>
            <w:r>
              <w:rPr>
                <w:sz w:val="18"/>
                <w:szCs w:val="18"/>
              </w:rPr>
              <w:t xml:space="preserve">there is a need for </w:t>
            </w:r>
            <w:r w:rsidRPr="0068083F">
              <w:rPr>
                <w:sz w:val="18"/>
                <w:szCs w:val="18"/>
              </w:rPr>
              <w:t xml:space="preserve">a more in-depth study of </w:t>
            </w:r>
            <w:r>
              <w:rPr>
                <w:sz w:val="18"/>
                <w:szCs w:val="18"/>
              </w:rPr>
              <w:t xml:space="preserve">the </w:t>
            </w:r>
            <w:r w:rsidRPr="0068083F">
              <w:rPr>
                <w:sz w:val="18"/>
                <w:szCs w:val="18"/>
              </w:rPr>
              <w:t>extent and operations of radical groups in rural and urban Bangsamoro communities.</w:t>
            </w:r>
          </w:p>
          <w:p w14:paraId="7109B7AF" w14:textId="77777777" w:rsidR="0033490F" w:rsidRPr="0068083F" w:rsidRDefault="0033490F" w:rsidP="00C86461">
            <w:pPr>
              <w:rPr>
                <w:sz w:val="18"/>
                <w:szCs w:val="18"/>
              </w:rPr>
            </w:pPr>
          </w:p>
        </w:tc>
        <w:tc>
          <w:tcPr>
            <w:tcW w:w="2268" w:type="dxa"/>
          </w:tcPr>
          <w:p w14:paraId="1CD8AFC2" w14:textId="77777777" w:rsidR="00C86461" w:rsidRPr="0068083F" w:rsidRDefault="00C86461" w:rsidP="00C86461">
            <w:pPr>
              <w:rPr>
                <w:sz w:val="18"/>
                <w:szCs w:val="18"/>
              </w:rPr>
            </w:pPr>
            <w:r w:rsidRPr="0068083F">
              <w:rPr>
                <w:sz w:val="18"/>
                <w:szCs w:val="18"/>
              </w:rPr>
              <w:t>No spec</w:t>
            </w:r>
            <w:r>
              <w:rPr>
                <w:sz w:val="18"/>
                <w:szCs w:val="18"/>
              </w:rPr>
              <w:t>ific activities on this concern.</w:t>
            </w:r>
          </w:p>
        </w:tc>
        <w:tc>
          <w:tcPr>
            <w:tcW w:w="2410" w:type="dxa"/>
          </w:tcPr>
          <w:p w14:paraId="3FDB70A1" w14:textId="458E7F8B" w:rsidR="00C86461" w:rsidRPr="0068083F" w:rsidRDefault="00C86461" w:rsidP="00C86461">
            <w:pPr>
              <w:rPr>
                <w:sz w:val="18"/>
                <w:szCs w:val="18"/>
              </w:rPr>
            </w:pPr>
            <w:r w:rsidRPr="0068083F">
              <w:rPr>
                <w:sz w:val="18"/>
                <w:szCs w:val="18"/>
              </w:rPr>
              <w:t xml:space="preserve">Unclear whether </w:t>
            </w:r>
            <w:r w:rsidRPr="001F1904">
              <w:rPr>
                <w:i/>
                <w:sz w:val="18"/>
                <w:szCs w:val="18"/>
              </w:rPr>
              <w:t xml:space="preserve">rido </w:t>
            </w:r>
            <w:r w:rsidRPr="0068083F">
              <w:rPr>
                <w:sz w:val="18"/>
                <w:szCs w:val="18"/>
              </w:rPr>
              <w:t xml:space="preserve">conflict resolution will also address CVE concerns.  Project proponent, given </w:t>
            </w:r>
            <w:r>
              <w:rPr>
                <w:sz w:val="18"/>
                <w:szCs w:val="18"/>
              </w:rPr>
              <w:t>its broad local network, is</w:t>
            </w:r>
            <w:r w:rsidRPr="0068083F">
              <w:rPr>
                <w:sz w:val="18"/>
                <w:szCs w:val="18"/>
              </w:rPr>
              <w:t xml:space="preserve"> one of the institutions that can </w:t>
            </w:r>
            <w:r>
              <w:rPr>
                <w:sz w:val="18"/>
                <w:szCs w:val="18"/>
              </w:rPr>
              <w:t xml:space="preserve">successfully </w:t>
            </w:r>
            <w:r w:rsidRPr="0068083F">
              <w:rPr>
                <w:sz w:val="18"/>
                <w:szCs w:val="18"/>
              </w:rPr>
              <w:t xml:space="preserve">conduct a more in-depth analysis of VE. </w:t>
            </w:r>
          </w:p>
        </w:tc>
      </w:tr>
      <w:tr w:rsidR="00C86461" w:rsidRPr="0068083F" w14:paraId="7CBB391E" w14:textId="77777777" w:rsidTr="00C86461">
        <w:tc>
          <w:tcPr>
            <w:tcW w:w="1560" w:type="dxa"/>
          </w:tcPr>
          <w:p w14:paraId="2AB03DE7" w14:textId="77777777" w:rsidR="00C86461" w:rsidRPr="0068083F" w:rsidRDefault="00C86461" w:rsidP="00C86461">
            <w:pPr>
              <w:rPr>
                <w:sz w:val="18"/>
                <w:szCs w:val="18"/>
              </w:rPr>
            </w:pPr>
            <w:r w:rsidRPr="0068083F">
              <w:rPr>
                <w:sz w:val="18"/>
                <w:szCs w:val="18"/>
              </w:rPr>
              <w:t xml:space="preserve">4) </w:t>
            </w:r>
            <w:r w:rsidRPr="000D1390">
              <w:rPr>
                <w:b/>
                <w:sz w:val="18"/>
                <w:szCs w:val="18"/>
              </w:rPr>
              <w:t>Extent of program support to regional security and economic growth</w:t>
            </w:r>
          </w:p>
        </w:tc>
        <w:tc>
          <w:tcPr>
            <w:tcW w:w="2409" w:type="dxa"/>
          </w:tcPr>
          <w:p w14:paraId="46439871" w14:textId="77777777" w:rsidR="00C86461" w:rsidRPr="0068083F" w:rsidRDefault="00C86461" w:rsidP="00C86461">
            <w:pPr>
              <w:rPr>
                <w:sz w:val="18"/>
                <w:szCs w:val="18"/>
              </w:rPr>
            </w:pPr>
            <w:r w:rsidRPr="0068083F">
              <w:rPr>
                <w:sz w:val="18"/>
                <w:szCs w:val="18"/>
              </w:rPr>
              <w:t>Not included in the project</w:t>
            </w:r>
            <w:r>
              <w:rPr>
                <w:sz w:val="18"/>
                <w:szCs w:val="18"/>
              </w:rPr>
              <w:t>.</w:t>
            </w:r>
          </w:p>
        </w:tc>
        <w:tc>
          <w:tcPr>
            <w:tcW w:w="2410" w:type="dxa"/>
          </w:tcPr>
          <w:p w14:paraId="2A3BF281" w14:textId="77777777" w:rsidR="00C86461" w:rsidRPr="0068083F" w:rsidRDefault="00C86461" w:rsidP="00C86461">
            <w:pPr>
              <w:rPr>
                <w:sz w:val="18"/>
                <w:szCs w:val="18"/>
              </w:rPr>
            </w:pPr>
            <w:r w:rsidRPr="0068083F">
              <w:rPr>
                <w:sz w:val="18"/>
                <w:szCs w:val="18"/>
              </w:rPr>
              <w:t>Addressing cross border trade touched on security issues at the border (with Sabah and Sulu and Tawi Tawi) and livelihood opportunities of small time trader, mostly women, engaged in barter trade.  Making a significant dent on the issue will require</w:t>
            </w:r>
            <w:r>
              <w:rPr>
                <w:sz w:val="18"/>
                <w:szCs w:val="18"/>
              </w:rPr>
              <w:t xml:space="preserve"> a</w:t>
            </w:r>
            <w:r w:rsidRPr="0068083F">
              <w:rPr>
                <w:sz w:val="18"/>
                <w:szCs w:val="18"/>
              </w:rPr>
              <w:t xml:space="preserve"> whole</w:t>
            </w:r>
            <w:r>
              <w:rPr>
                <w:sz w:val="18"/>
                <w:szCs w:val="18"/>
              </w:rPr>
              <w:t>-of-</w:t>
            </w:r>
            <w:r w:rsidRPr="0068083F">
              <w:rPr>
                <w:sz w:val="18"/>
                <w:szCs w:val="18"/>
              </w:rPr>
              <w:t xml:space="preserve">government approach. </w:t>
            </w:r>
          </w:p>
        </w:tc>
        <w:tc>
          <w:tcPr>
            <w:tcW w:w="2268" w:type="dxa"/>
          </w:tcPr>
          <w:p w14:paraId="58D31554" w14:textId="77777777" w:rsidR="00C86461" w:rsidRPr="0068083F" w:rsidRDefault="00C86461" w:rsidP="00C86461">
            <w:pPr>
              <w:rPr>
                <w:sz w:val="18"/>
                <w:szCs w:val="18"/>
              </w:rPr>
            </w:pPr>
            <w:r w:rsidRPr="0068083F">
              <w:rPr>
                <w:sz w:val="18"/>
                <w:szCs w:val="18"/>
              </w:rPr>
              <w:t xml:space="preserve">Except for micro livelihood </w:t>
            </w:r>
            <w:r>
              <w:rPr>
                <w:sz w:val="18"/>
                <w:szCs w:val="18"/>
              </w:rPr>
              <w:t>activities</w:t>
            </w:r>
            <w:r w:rsidRPr="0068083F">
              <w:rPr>
                <w:sz w:val="18"/>
                <w:szCs w:val="18"/>
              </w:rPr>
              <w:t xml:space="preserve"> (</w:t>
            </w:r>
            <w:r>
              <w:rPr>
                <w:sz w:val="18"/>
                <w:szCs w:val="18"/>
              </w:rPr>
              <w:t>al</w:t>
            </w:r>
            <w:r w:rsidRPr="0068083F">
              <w:rPr>
                <w:sz w:val="18"/>
                <w:szCs w:val="18"/>
              </w:rPr>
              <w:t xml:space="preserve">though </w:t>
            </w:r>
            <w:r>
              <w:rPr>
                <w:sz w:val="18"/>
                <w:szCs w:val="18"/>
              </w:rPr>
              <w:t xml:space="preserve">there is no evidence that this approach is </w:t>
            </w:r>
            <w:r w:rsidRPr="0068083F">
              <w:rPr>
                <w:sz w:val="18"/>
                <w:szCs w:val="18"/>
              </w:rPr>
              <w:t>sus</w:t>
            </w:r>
            <w:r>
              <w:rPr>
                <w:sz w:val="18"/>
                <w:szCs w:val="18"/>
              </w:rPr>
              <w:t>tainable), there wa</w:t>
            </w:r>
            <w:r w:rsidRPr="0068083F">
              <w:rPr>
                <w:sz w:val="18"/>
                <w:szCs w:val="18"/>
              </w:rPr>
              <w:t xml:space="preserve">s no deliberate effort exerted along this concern. </w:t>
            </w:r>
          </w:p>
        </w:tc>
        <w:tc>
          <w:tcPr>
            <w:tcW w:w="2410" w:type="dxa"/>
          </w:tcPr>
          <w:p w14:paraId="34E628E2" w14:textId="77777777" w:rsidR="00C86461" w:rsidRPr="0068083F" w:rsidRDefault="00C86461" w:rsidP="00C86461">
            <w:pPr>
              <w:rPr>
                <w:sz w:val="18"/>
                <w:szCs w:val="18"/>
              </w:rPr>
            </w:pPr>
            <w:r w:rsidRPr="0068083F">
              <w:rPr>
                <w:sz w:val="18"/>
                <w:szCs w:val="18"/>
              </w:rPr>
              <w:t>Link between CVE in Mindanao conflict areas</w:t>
            </w:r>
            <w:r>
              <w:rPr>
                <w:sz w:val="18"/>
                <w:szCs w:val="18"/>
              </w:rPr>
              <w:t xml:space="preserve"> and regional security concern wa</w:t>
            </w:r>
            <w:r w:rsidRPr="0068083F">
              <w:rPr>
                <w:sz w:val="18"/>
                <w:szCs w:val="18"/>
              </w:rPr>
              <w:t>s unclear because projec</w:t>
            </w:r>
            <w:r>
              <w:rPr>
                <w:sz w:val="18"/>
                <w:szCs w:val="18"/>
              </w:rPr>
              <w:t>t proponent activities on CVEs we</w:t>
            </w:r>
            <w:r w:rsidRPr="0068083F">
              <w:rPr>
                <w:sz w:val="18"/>
                <w:szCs w:val="18"/>
              </w:rPr>
              <w:t xml:space="preserve">re not systematically laid down though it acknowledged emergence of the threat. </w:t>
            </w:r>
          </w:p>
        </w:tc>
      </w:tr>
    </w:tbl>
    <w:p w14:paraId="16708ADA" w14:textId="77777777" w:rsidR="007F615A" w:rsidRPr="004C0208" w:rsidRDefault="007F615A">
      <w:pPr>
        <w:jc w:val="both"/>
        <w:rPr>
          <w:b/>
        </w:rPr>
      </w:pPr>
    </w:p>
    <w:sectPr w:rsidR="007F615A" w:rsidRPr="004C0208" w:rsidSect="00050FF7">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368172" w14:textId="77777777" w:rsidR="00155DEE" w:rsidRDefault="00155DEE" w:rsidP="00D07C51">
      <w:r>
        <w:separator/>
      </w:r>
    </w:p>
  </w:endnote>
  <w:endnote w:type="continuationSeparator" w:id="0">
    <w:p w14:paraId="729569FD" w14:textId="77777777" w:rsidR="00155DEE" w:rsidRDefault="00155DEE" w:rsidP="00D07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7910D" w14:textId="77777777" w:rsidR="00155DEE" w:rsidRDefault="00155DEE" w:rsidP="004972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C432D8F" w14:textId="77777777" w:rsidR="00155DEE" w:rsidRDefault="00155D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564F6" w14:textId="57A1B347" w:rsidR="00155DEE" w:rsidRDefault="00155DEE" w:rsidP="004972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4572D">
      <w:rPr>
        <w:rStyle w:val="PageNumber"/>
        <w:noProof/>
      </w:rPr>
      <w:t>4</w:t>
    </w:r>
    <w:r>
      <w:rPr>
        <w:rStyle w:val="PageNumber"/>
      </w:rPr>
      <w:fldChar w:fldCharType="end"/>
    </w:r>
  </w:p>
  <w:p w14:paraId="3E2A1070" w14:textId="77777777" w:rsidR="00155DEE" w:rsidRDefault="00155D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021F3" w14:textId="77777777" w:rsidR="00E4572D" w:rsidRDefault="00E457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0B4670" w14:textId="77777777" w:rsidR="00155DEE" w:rsidRDefault="00155DEE" w:rsidP="00D07C51">
      <w:r>
        <w:separator/>
      </w:r>
    </w:p>
  </w:footnote>
  <w:footnote w:type="continuationSeparator" w:id="0">
    <w:p w14:paraId="7C33DFD1" w14:textId="77777777" w:rsidR="00155DEE" w:rsidRDefault="00155DEE" w:rsidP="00D07C51">
      <w:r>
        <w:continuationSeparator/>
      </w:r>
    </w:p>
  </w:footnote>
  <w:footnote w:id="1">
    <w:p w14:paraId="175BF2B6" w14:textId="767C0EA9" w:rsidR="00155DEE" w:rsidRPr="00091E1A" w:rsidRDefault="00155DEE" w:rsidP="00091E1A">
      <w:pPr>
        <w:pStyle w:val="FootnoteText"/>
        <w:jc w:val="both"/>
        <w:rPr>
          <w:sz w:val="18"/>
          <w:szCs w:val="18"/>
        </w:rPr>
      </w:pPr>
      <w:r w:rsidRPr="00A70467">
        <w:rPr>
          <w:rStyle w:val="FootnoteReference"/>
          <w:sz w:val="18"/>
          <w:szCs w:val="18"/>
        </w:rPr>
        <w:footnoteRef/>
      </w:r>
      <w:r w:rsidRPr="00A70467">
        <w:rPr>
          <w:sz w:val="18"/>
          <w:szCs w:val="18"/>
        </w:rPr>
        <w:t>The team was composed of Fermin Adriano (Team Leader), Robin Bednall (</w:t>
      </w:r>
      <w:r>
        <w:rPr>
          <w:sz w:val="18"/>
          <w:szCs w:val="18"/>
        </w:rPr>
        <w:t>DFAT Fragility and Conflict Section</w:t>
      </w:r>
      <w:r w:rsidRPr="00A70467">
        <w:rPr>
          <w:sz w:val="18"/>
          <w:szCs w:val="18"/>
        </w:rPr>
        <w:t>), and Sophia Close</w:t>
      </w:r>
      <w:r>
        <w:rPr>
          <w:sz w:val="18"/>
          <w:szCs w:val="18"/>
        </w:rPr>
        <w:t xml:space="preserve"> (Peace and Gender specialist). The Review Team extends its sincere appreciation to the support of the following individuals and institutions for the successful completion of the mission: Mat Kimberley (Deputy Head of Mission), Timothy Smith (First Secretary), Dwan Mei Dumas (Senior Program Officer) and Shannen Enriquez (Program Officer) of the Australian Embassy in Manila; Undersecretary Nabil Tan, Assistant Secretary Rolando Asuncion, and Director Arvin Chua of the Office of the Presidential Adviser on the Peace Process (OPAPP); Chairman </w:t>
      </w:r>
      <w:r w:rsidRPr="009C013C">
        <w:rPr>
          <w:sz w:val="18"/>
          <w:szCs w:val="18"/>
        </w:rPr>
        <w:t xml:space="preserve">Mohagher Iqbal of the MILF Implementing Peace Panel and its members;  Attys Cecille Jimenez and Ishak Mastura of TRJC;  </w:t>
      </w:r>
      <w:r>
        <w:rPr>
          <w:sz w:val="18"/>
          <w:szCs w:val="18"/>
        </w:rPr>
        <w:t xml:space="preserve">Atty Benito Bacani and staff of IAG; Francisco Lara and staff of IA; Steven Rood and staff of TAF; and Oxfam Philippines and WEAct1325 officials and staff members.  Those not mentioned here are acknowledged in Annex A of this report.  </w:t>
      </w:r>
    </w:p>
  </w:footnote>
  <w:footnote w:id="2">
    <w:p w14:paraId="2D8B560B" w14:textId="66CE591B" w:rsidR="00155DEE" w:rsidRPr="00390A95" w:rsidRDefault="00155DEE" w:rsidP="00390A95">
      <w:pPr>
        <w:pStyle w:val="FootnoteText"/>
        <w:jc w:val="both"/>
        <w:rPr>
          <w:sz w:val="18"/>
          <w:szCs w:val="18"/>
        </w:rPr>
      </w:pPr>
      <w:r w:rsidRPr="00091E1A">
        <w:rPr>
          <w:rStyle w:val="FootnoteReference"/>
          <w:sz w:val="18"/>
          <w:szCs w:val="18"/>
        </w:rPr>
        <w:footnoteRef/>
      </w:r>
      <w:r w:rsidRPr="00091E1A">
        <w:rPr>
          <w:sz w:val="18"/>
          <w:szCs w:val="18"/>
        </w:rPr>
        <w:t>Building Autonomous and Sustainable Institutions and Communities</w:t>
      </w:r>
      <w:r>
        <w:rPr>
          <w:sz w:val="18"/>
          <w:szCs w:val="18"/>
        </w:rPr>
        <w:t xml:space="preserve"> in the Bangsamoro (BASIC) Bangsamoro. </w:t>
      </w:r>
      <w:r w:rsidRPr="00390A95">
        <w:rPr>
          <w:sz w:val="18"/>
          <w:szCs w:val="18"/>
        </w:rPr>
        <w:t xml:space="preserve"> </w:t>
      </w:r>
    </w:p>
  </w:footnote>
  <w:footnote w:id="3">
    <w:p w14:paraId="0087D42F" w14:textId="2C72DA4C" w:rsidR="00155DEE" w:rsidRPr="00390A95" w:rsidRDefault="00155DEE" w:rsidP="00390A95">
      <w:pPr>
        <w:pStyle w:val="FootnoteText"/>
        <w:jc w:val="both"/>
        <w:rPr>
          <w:sz w:val="18"/>
          <w:szCs w:val="18"/>
        </w:rPr>
      </w:pPr>
      <w:r w:rsidRPr="00390A95">
        <w:rPr>
          <w:rStyle w:val="FootnoteReference"/>
          <w:sz w:val="18"/>
          <w:szCs w:val="18"/>
        </w:rPr>
        <w:footnoteRef/>
      </w:r>
      <w:r>
        <w:rPr>
          <w:sz w:val="18"/>
          <w:szCs w:val="18"/>
        </w:rPr>
        <w:t xml:space="preserve">The four implementing partners are: (a) Institute for Governance and Autonomy (IAG); (b)International Alert (IA); (c) Oxfam and WEAct1325; and (d) The Asia Foundation (TAF).  </w:t>
      </w:r>
    </w:p>
  </w:footnote>
  <w:footnote w:id="4">
    <w:p w14:paraId="54F5FA78" w14:textId="4D2D61E3" w:rsidR="00155DEE" w:rsidRPr="00A34C4B" w:rsidRDefault="00155DEE" w:rsidP="00091E1A">
      <w:pPr>
        <w:pStyle w:val="FootnoteText"/>
        <w:rPr>
          <w:lang w:val="en-AU"/>
        </w:rPr>
      </w:pPr>
      <w:r w:rsidRPr="00566759">
        <w:rPr>
          <w:rStyle w:val="FootnoteReference"/>
          <w:sz w:val="18"/>
          <w:szCs w:val="18"/>
        </w:rPr>
        <w:footnoteRef/>
      </w:r>
      <w:r w:rsidRPr="00566759">
        <w:rPr>
          <w:sz w:val="18"/>
          <w:szCs w:val="18"/>
        </w:rPr>
        <w:t xml:space="preserve">With the exception of sex disaggregated data, no quantitative data was available to support evaluation of BASIC partners. </w:t>
      </w:r>
    </w:p>
  </w:footnote>
  <w:footnote w:id="5">
    <w:p w14:paraId="3F7402A1" w14:textId="06BFCE0B" w:rsidR="00155DEE" w:rsidRPr="009C013C" w:rsidRDefault="00155DEE" w:rsidP="00091E1A">
      <w:pPr>
        <w:pStyle w:val="FootnoteText"/>
        <w:rPr>
          <w:sz w:val="18"/>
          <w:szCs w:val="18"/>
        </w:rPr>
      </w:pPr>
      <w:r w:rsidRPr="009C013C">
        <w:rPr>
          <w:rStyle w:val="FootnoteReference"/>
          <w:sz w:val="18"/>
          <w:szCs w:val="18"/>
        </w:rPr>
        <w:footnoteRef/>
      </w:r>
      <w:r>
        <w:rPr>
          <w:sz w:val="18"/>
          <w:szCs w:val="18"/>
        </w:rPr>
        <w:t xml:space="preserve">Refer to Annex C for the evaluation summary matrix of the performance of the four implementing partners. </w:t>
      </w:r>
    </w:p>
  </w:footnote>
  <w:footnote w:id="6">
    <w:p w14:paraId="246F76B0" w14:textId="26CAD8A0" w:rsidR="00155DEE" w:rsidRDefault="00155DEE">
      <w:pPr>
        <w:pStyle w:val="FootnoteText"/>
      </w:pPr>
      <w:r>
        <w:rPr>
          <w:rStyle w:val="FootnoteReference"/>
        </w:rPr>
        <w:footnoteRef/>
      </w:r>
      <w:r w:rsidRPr="00611555">
        <w:rPr>
          <w:sz w:val="20"/>
          <w:szCs w:val="20"/>
        </w:rPr>
        <w:t>Data f</w:t>
      </w:r>
      <w:r w:rsidRPr="00D16BC3">
        <w:rPr>
          <w:sz w:val="20"/>
          <w:szCs w:val="20"/>
        </w:rPr>
        <w:t>rom</w:t>
      </w:r>
      <w:r w:rsidRPr="00611555">
        <w:rPr>
          <w:sz w:val="20"/>
          <w:szCs w:val="20"/>
        </w:rPr>
        <w:t xml:space="preserve"> BASIC reports</w:t>
      </w:r>
      <w:r w:rsidRPr="00D16BC3">
        <w:rPr>
          <w:sz w:val="20"/>
          <w:szCs w:val="20"/>
        </w:rPr>
        <w:t>: IAG: 607 women and 642 men; IA: 307 women and 508 men; TAF: 2785 women and 3928 men; and Oxfam/WeAct1325: 550 women and 272 men.</w:t>
      </w:r>
    </w:p>
  </w:footnote>
  <w:footnote w:id="7">
    <w:p w14:paraId="21532131" w14:textId="17D001D0" w:rsidR="00155DEE" w:rsidRPr="00575D33" w:rsidRDefault="00155DEE" w:rsidP="00DD7C50">
      <w:pPr>
        <w:pStyle w:val="FootnoteText"/>
        <w:jc w:val="both"/>
        <w:rPr>
          <w:sz w:val="20"/>
          <w:szCs w:val="20"/>
        </w:rPr>
      </w:pPr>
      <w:r w:rsidRPr="00575D33">
        <w:rPr>
          <w:rStyle w:val="FootnoteReference"/>
          <w:sz w:val="20"/>
          <w:szCs w:val="20"/>
        </w:rPr>
        <w:footnoteRef/>
      </w:r>
      <w:r>
        <w:rPr>
          <w:i/>
          <w:sz w:val="20"/>
          <w:szCs w:val="20"/>
        </w:rPr>
        <w:t xml:space="preserve">Rido </w:t>
      </w:r>
      <w:r>
        <w:rPr>
          <w:sz w:val="20"/>
          <w:szCs w:val="20"/>
        </w:rPr>
        <w:t xml:space="preserve">incidents that could potentially lead to direct clashes between government troops and the MILF or MNLF forces.  Clan war or </w:t>
      </w:r>
      <w:r>
        <w:rPr>
          <w:i/>
          <w:sz w:val="20"/>
          <w:szCs w:val="20"/>
        </w:rPr>
        <w:t xml:space="preserve">rido </w:t>
      </w:r>
      <w:r>
        <w:rPr>
          <w:sz w:val="20"/>
          <w:szCs w:val="20"/>
        </w:rPr>
        <w:t xml:space="preserve">involves two influential families competing over political positions or economic resources.  If one family or group is allied with the government and the other with the rebel forces, both can seek the assistance of the party to which they are allied to, and eventually transform their clan conflict into a vertical conflict.     </w:t>
      </w:r>
    </w:p>
  </w:footnote>
  <w:footnote w:id="8">
    <w:p w14:paraId="35D9DD3E" w14:textId="2998235C" w:rsidR="00155DEE" w:rsidRPr="007C1988" w:rsidRDefault="00155DEE" w:rsidP="00DD7C50">
      <w:pPr>
        <w:pStyle w:val="FootnoteText"/>
        <w:jc w:val="both"/>
        <w:rPr>
          <w:sz w:val="20"/>
          <w:szCs w:val="20"/>
        </w:rPr>
      </w:pPr>
      <w:r w:rsidRPr="007C1988">
        <w:rPr>
          <w:rStyle w:val="FootnoteReference"/>
          <w:sz w:val="20"/>
          <w:szCs w:val="20"/>
        </w:rPr>
        <w:footnoteRef/>
      </w:r>
      <w:r>
        <w:rPr>
          <w:sz w:val="20"/>
          <w:szCs w:val="20"/>
        </w:rPr>
        <w:t xml:space="preserve">IA’s conflict monitoring system shows an increase in the incidences of horizontal conflict despite the dramatic decrease in vertical conflicts after the signing of the Framework Agreement on the Bangsamoro (FAB) between the GPH and the MILF.  This is consistent with the literature on post-conflict elsewhere wherein a rise in horizontal conflict was seen after the successful signing of peace accord (Barron, et.al., 2013).   </w:t>
      </w:r>
      <w:r w:rsidRPr="007C1988">
        <w:rPr>
          <w:sz w:val="20"/>
          <w:szCs w:val="20"/>
        </w:rPr>
        <w:t xml:space="preserve"> </w:t>
      </w:r>
    </w:p>
  </w:footnote>
  <w:footnote w:id="9">
    <w:p w14:paraId="23EB02CE" w14:textId="6D523151" w:rsidR="00155DEE" w:rsidRPr="004060AF" w:rsidRDefault="00155DEE" w:rsidP="00DD7C50">
      <w:pPr>
        <w:pStyle w:val="FootnoteText"/>
        <w:jc w:val="both"/>
        <w:rPr>
          <w:sz w:val="20"/>
          <w:szCs w:val="20"/>
        </w:rPr>
      </w:pPr>
      <w:r w:rsidRPr="004060AF">
        <w:rPr>
          <w:rStyle w:val="FootnoteReference"/>
          <w:sz w:val="20"/>
          <w:szCs w:val="20"/>
        </w:rPr>
        <w:footnoteRef/>
      </w:r>
      <w:r>
        <w:rPr>
          <w:sz w:val="20"/>
          <w:szCs w:val="20"/>
        </w:rPr>
        <w:t xml:space="preserve">A review of selected experiences was undertaken in the 2016 IOM-WB report submitted to the Transitional Justice and Reconciliation Commission (TJRC), entitled, “Land: Territory, Domain and Identity” (for publication).   </w:t>
      </w:r>
      <w:r w:rsidRPr="004060AF">
        <w:rPr>
          <w:sz w:val="20"/>
          <w:szCs w:val="20"/>
        </w:rPr>
        <w:t xml:space="preserve"> </w:t>
      </w:r>
    </w:p>
  </w:footnote>
  <w:footnote w:id="10">
    <w:p w14:paraId="7F2C3A95" w14:textId="77777777" w:rsidR="00155DEE" w:rsidRDefault="00155DEE" w:rsidP="004D36BD">
      <w:pPr>
        <w:pStyle w:val="FootnoteText"/>
      </w:pPr>
      <w:r>
        <w:rPr>
          <w:rStyle w:val="FootnoteReference"/>
        </w:rPr>
        <w:footnoteRef/>
      </w:r>
      <w:r>
        <w:t xml:space="preserve"> </w:t>
      </w:r>
      <w:r w:rsidRPr="00EA4B15">
        <w:rPr>
          <w:sz w:val="20"/>
          <w:szCs w:val="20"/>
        </w:rPr>
        <w:t>See: http://www.politicsforpeace.com/pwd</w:t>
      </w:r>
    </w:p>
  </w:footnote>
  <w:footnote w:id="11">
    <w:p w14:paraId="25B05AA4" w14:textId="08BAE9C8" w:rsidR="00155DEE" w:rsidRDefault="00155DEE" w:rsidP="007F00B3">
      <w:pPr>
        <w:pStyle w:val="FootnoteText"/>
      </w:pPr>
      <w:r>
        <w:rPr>
          <w:rStyle w:val="FootnoteReference"/>
        </w:rPr>
        <w:footnoteRef/>
      </w:r>
      <w:r>
        <w:t xml:space="preserve"> </w:t>
      </w:r>
      <w:r w:rsidRPr="007A0603">
        <w:rPr>
          <w:sz w:val="20"/>
          <w:szCs w:val="20"/>
        </w:rPr>
        <w:t>Lao, 2015, Training Manual: Women’s Leadership in Politics, Peace and Security, WE Act 1325.</w:t>
      </w:r>
      <w:r>
        <w:t xml:space="preserve"> </w:t>
      </w:r>
    </w:p>
  </w:footnote>
  <w:footnote w:id="12">
    <w:p w14:paraId="6E54027E" w14:textId="5762928D" w:rsidR="00155DEE" w:rsidRPr="007A0603" w:rsidRDefault="00155DEE" w:rsidP="007A0603">
      <w:pPr>
        <w:widowControl w:val="0"/>
        <w:autoSpaceDE w:val="0"/>
        <w:autoSpaceDN w:val="0"/>
        <w:adjustRightInd w:val="0"/>
        <w:spacing w:after="240"/>
        <w:rPr>
          <w:sz w:val="20"/>
          <w:szCs w:val="20"/>
        </w:rPr>
      </w:pPr>
      <w:r>
        <w:rPr>
          <w:rStyle w:val="FootnoteReference"/>
        </w:rPr>
        <w:footnoteRef/>
      </w:r>
      <w:r>
        <w:t xml:space="preserve"> </w:t>
      </w:r>
      <w:r w:rsidRPr="007A0603">
        <w:rPr>
          <w:sz w:val="20"/>
          <w:szCs w:val="20"/>
        </w:rPr>
        <w:t xml:space="preserve">In line with the </w:t>
      </w:r>
      <w:r>
        <w:rPr>
          <w:sz w:val="20"/>
          <w:szCs w:val="20"/>
        </w:rPr>
        <w:t xml:space="preserve">2015 </w:t>
      </w:r>
      <w:r w:rsidRPr="007A0603">
        <w:rPr>
          <w:sz w:val="20"/>
          <w:szCs w:val="20"/>
        </w:rPr>
        <w:t xml:space="preserve">Sustainable </w:t>
      </w:r>
      <w:r w:rsidRPr="007F00B3">
        <w:rPr>
          <w:sz w:val="20"/>
          <w:szCs w:val="20"/>
        </w:rPr>
        <w:t>Development</w:t>
      </w:r>
      <w:r w:rsidRPr="007A0603">
        <w:rPr>
          <w:sz w:val="20"/>
          <w:szCs w:val="20"/>
        </w:rPr>
        <w:t xml:space="preserve"> Goals (SDGs) </w:t>
      </w:r>
      <w:r w:rsidRPr="007F00B3">
        <w:rPr>
          <w:sz w:val="20"/>
          <w:szCs w:val="20"/>
        </w:rPr>
        <w:t>including Goal 5 on gender equality, G</w:t>
      </w:r>
      <w:r w:rsidRPr="007A0603">
        <w:rPr>
          <w:sz w:val="20"/>
          <w:szCs w:val="20"/>
        </w:rPr>
        <w:t>oal 10 on reducing inequalities within and among countries, and</w:t>
      </w:r>
      <w:r w:rsidRPr="007F00B3">
        <w:rPr>
          <w:sz w:val="20"/>
          <w:szCs w:val="20"/>
        </w:rPr>
        <w:t xml:space="preserve"> G</w:t>
      </w:r>
      <w:r w:rsidRPr="007A0603">
        <w:rPr>
          <w:sz w:val="20"/>
          <w:szCs w:val="20"/>
        </w:rPr>
        <w:t>oal 16 on peaceful inclusive societi</w:t>
      </w:r>
      <w:r>
        <w:rPr>
          <w:sz w:val="20"/>
          <w:szCs w:val="20"/>
        </w:rPr>
        <w:t>es, Australia’s National Action Plan on Women, Peace and Security 2012-2018, and DFAT’s 2016 Gender Equality and Women’s Empowerment Strategy.</w:t>
      </w:r>
    </w:p>
  </w:footnote>
  <w:footnote w:id="13">
    <w:p w14:paraId="7194AF2E" w14:textId="628AA7BA" w:rsidR="00155DEE" w:rsidRPr="00121D2B" w:rsidRDefault="00155DEE" w:rsidP="00564DD1">
      <w:pPr>
        <w:pStyle w:val="FootnoteText"/>
        <w:jc w:val="both"/>
        <w:rPr>
          <w:color w:val="000000" w:themeColor="text1"/>
          <w:sz w:val="20"/>
          <w:szCs w:val="20"/>
        </w:rPr>
      </w:pPr>
      <w:r w:rsidRPr="00303E9F">
        <w:rPr>
          <w:rStyle w:val="FootnoteReference"/>
          <w:sz w:val="20"/>
          <w:szCs w:val="20"/>
        </w:rPr>
        <w:footnoteRef/>
      </w:r>
      <w:r>
        <w:rPr>
          <w:sz w:val="20"/>
          <w:szCs w:val="20"/>
        </w:rPr>
        <w:t>The World Bank’s Mindanao Jobs Report volume on “Conflict-Affected Areas of Mindanao” (2016) encountered difficulties in gathering reliable data from BaSulTa (Basilan, Sulu and Tawi Tawi) noting that official survey institutions could not easily access these provinc</w:t>
      </w:r>
      <w:r w:rsidRPr="00121D2B">
        <w:rPr>
          <w:color w:val="000000" w:themeColor="text1"/>
          <w:sz w:val="20"/>
          <w:szCs w:val="20"/>
        </w:rPr>
        <w:t xml:space="preserve">es and data from local government offices are unreliable in the absence of qualified staff to gather correct data. </w:t>
      </w:r>
    </w:p>
  </w:footnote>
  <w:footnote w:id="14">
    <w:p w14:paraId="5A8571F2" w14:textId="6A758E91" w:rsidR="00155DEE" w:rsidRPr="003F3042" w:rsidRDefault="00155DEE">
      <w:pPr>
        <w:pStyle w:val="FootnoteText"/>
        <w:rPr>
          <w:sz w:val="20"/>
          <w:szCs w:val="20"/>
        </w:rPr>
      </w:pPr>
      <w:r w:rsidRPr="003F3042">
        <w:rPr>
          <w:rStyle w:val="FootnoteReference"/>
          <w:sz w:val="20"/>
          <w:szCs w:val="20"/>
        </w:rPr>
        <w:footnoteRef/>
      </w:r>
      <w:r w:rsidRPr="00FD3B91">
        <w:rPr>
          <w:sz w:val="20"/>
          <w:szCs w:val="20"/>
        </w:rPr>
        <w:t>Cooper et.al. 2011, A More Violent World? Global Trends in Organised Violence. p. 35</w:t>
      </w:r>
      <w:r>
        <w:rPr>
          <w:sz w:val="20"/>
          <w:szCs w:val="20"/>
        </w:rPr>
        <w:t>.</w:t>
      </w:r>
      <w:r>
        <w:t xml:space="preserve"> </w:t>
      </w:r>
      <w:r w:rsidRPr="003F3042">
        <w:rPr>
          <w:sz w:val="20"/>
          <w:szCs w:val="20"/>
        </w:rPr>
        <w:t xml:space="preserve"> </w:t>
      </w:r>
    </w:p>
  </w:footnote>
  <w:footnote w:id="15">
    <w:p w14:paraId="29020F4C" w14:textId="65286A75" w:rsidR="00155DEE" w:rsidRPr="000C38C9" w:rsidRDefault="00155DEE" w:rsidP="000C38C9">
      <w:pPr>
        <w:pStyle w:val="FootnoteText"/>
        <w:jc w:val="both"/>
        <w:rPr>
          <w:sz w:val="20"/>
          <w:szCs w:val="20"/>
        </w:rPr>
      </w:pPr>
      <w:r w:rsidRPr="000C38C9">
        <w:rPr>
          <w:rStyle w:val="FootnoteReference"/>
          <w:sz w:val="20"/>
          <w:szCs w:val="20"/>
        </w:rPr>
        <w:footnoteRef/>
      </w:r>
      <w:r w:rsidRPr="000C38C9">
        <w:rPr>
          <w:sz w:val="20"/>
          <w:szCs w:val="20"/>
        </w:rPr>
        <w:t>Refer to TAF’s discussion of the results of the SWS public opinion survey on the BBL an</w:t>
      </w:r>
      <w:r>
        <w:rPr>
          <w:sz w:val="20"/>
          <w:szCs w:val="20"/>
        </w:rPr>
        <w:t>d the Mamasapano incident in its</w:t>
      </w:r>
      <w:r w:rsidRPr="000C38C9">
        <w:rPr>
          <w:sz w:val="20"/>
          <w:szCs w:val="20"/>
        </w:rPr>
        <w:t xml:space="preserve"> monograph entitled,  “Filipino Public Opinion on the Bangsamoro Basic Law and the Mamasapano Indicent” (SWS February, March and June 2015 Surveys).    </w:t>
      </w:r>
    </w:p>
  </w:footnote>
  <w:footnote w:id="16">
    <w:p w14:paraId="27D50069" w14:textId="0750279C" w:rsidR="00155DEE" w:rsidRPr="003C3C89" w:rsidRDefault="00155DEE" w:rsidP="00D16E10">
      <w:pPr>
        <w:jc w:val="both"/>
        <w:rPr>
          <w:sz w:val="22"/>
          <w:szCs w:val="22"/>
        </w:rPr>
      </w:pPr>
      <w:r>
        <w:rPr>
          <w:rStyle w:val="FootnoteReference"/>
        </w:rPr>
        <w:footnoteRef/>
      </w:r>
      <w:r>
        <w:t xml:space="preserve"> </w:t>
      </w:r>
      <w:r w:rsidRPr="008B03D2">
        <w:rPr>
          <w:sz w:val="20"/>
          <w:szCs w:val="20"/>
        </w:rPr>
        <w:t xml:space="preserve">For example, a 2013 study of UNDP economic recovery programs in six post-conflict countries found that less than </w:t>
      </w:r>
      <w:r>
        <w:rPr>
          <w:sz w:val="20"/>
          <w:szCs w:val="20"/>
        </w:rPr>
        <w:t>four</w:t>
      </w:r>
      <w:r w:rsidRPr="008B03D2">
        <w:rPr>
          <w:sz w:val="20"/>
          <w:szCs w:val="20"/>
        </w:rPr>
        <w:t xml:space="preserve"> per cent of economic recovery spending was allocated to furthering women’s economic empowerment and gender equality or meeting women’s needs</w:t>
      </w:r>
      <w:r>
        <w:rPr>
          <w:sz w:val="20"/>
          <w:szCs w:val="20"/>
        </w:rPr>
        <w:t xml:space="preserve"> (Douglas, 2015)</w:t>
      </w:r>
      <w:r w:rsidRPr="008B03D2">
        <w:rPr>
          <w:sz w:val="20"/>
          <w:szCs w:val="20"/>
        </w:rPr>
        <w:t>. Investment in gender-responsive economic recovery leads to important results for</w:t>
      </w:r>
      <w:r>
        <w:rPr>
          <w:sz w:val="20"/>
          <w:szCs w:val="20"/>
        </w:rPr>
        <w:t xml:space="preserve"> the whole society</w:t>
      </w:r>
      <w:r w:rsidRPr="008B03D2">
        <w:rPr>
          <w:sz w:val="20"/>
          <w:szCs w:val="20"/>
        </w:rPr>
        <w:t>.</w:t>
      </w:r>
    </w:p>
    <w:p w14:paraId="317D844D" w14:textId="77777777" w:rsidR="00155DEE" w:rsidRDefault="00155DEE" w:rsidP="00D16E10">
      <w:pPr>
        <w:pStyle w:val="FootnoteText"/>
      </w:pPr>
    </w:p>
  </w:footnote>
  <w:footnote w:id="17">
    <w:p w14:paraId="40CD9212" w14:textId="6D3C7060" w:rsidR="00155DEE" w:rsidRPr="003A2A93" w:rsidRDefault="00155DEE">
      <w:pPr>
        <w:pStyle w:val="FootnoteText"/>
        <w:rPr>
          <w:rFonts w:asciiTheme="majorHAnsi" w:hAnsiTheme="majorHAnsi"/>
          <w:sz w:val="20"/>
          <w:szCs w:val="20"/>
        </w:rPr>
      </w:pPr>
      <w:r w:rsidRPr="003A2A93">
        <w:rPr>
          <w:rStyle w:val="FootnoteReference"/>
          <w:rFonts w:asciiTheme="majorHAnsi" w:hAnsiTheme="majorHAnsi"/>
          <w:sz w:val="20"/>
          <w:szCs w:val="20"/>
        </w:rPr>
        <w:footnoteRef/>
      </w:r>
      <w:r>
        <w:rPr>
          <w:rFonts w:asciiTheme="majorHAnsi" w:hAnsiTheme="majorHAnsi"/>
          <w:sz w:val="20"/>
          <w:szCs w:val="20"/>
        </w:rPr>
        <w:t xml:space="preserve">Refer to </w:t>
      </w:r>
      <w:r w:rsidRPr="00856F88">
        <w:rPr>
          <w:rFonts w:asciiTheme="majorHAnsi" w:hAnsiTheme="majorHAnsi"/>
          <w:sz w:val="20"/>
          <w:szCs w:val="20"/>
        </w:rPr>
        <w:t xml:space="preserve">World Bank. 2005. Joint Needs Assessment of Conflict Affected Areas </w:t>
      </w:r>
      <w:r>
        <w:rPr>
          <w:rFonts w:asciiTheme="majorHAnsi" w:hAnsiTheme="majorHAnsi"/>
          <w:sz w:val="20"/>
          <w:szCs w:val="20"/>
        </w:rPr>
        <w:t>in Mindanao. Manila: WB.  The findings of the needs assessment were also validated by the, Bangsamoro Development Agency. 2014.  Bangsamoro Development Plan. Cotabato City.</w:t>
      </w:r>
    </w:p>
  </w:footnote>
  <w:footnote w:id="18">
    <w:p w14:paraId="2E28068E" w14:textId="77777777" w:rsidR="00155DEE" w:rsidRDefault="00155DEE" w:rsidP="00336A1F">
      <w:pPr>
        <w:pStyle w:val="FootnoteText"/>
      </w:pPr>
      <w:r>
        <w:rPr>
          <w:rStyle w:val="FootnoteReference"/>
        </w:rPr>
        <w:footnoteRef/>
      </w:r>
      <w:r>
        <w:t xml:space="preserve"> </w:t>
      </w:r>
      <w:r w:rsidRPr="00145A56">
        <w:rPr>
          <w:sz w:val="20"/>
          <w:szCs w:val="20"/>
        </w:rPr>
        <w:t xml:space="preserve">See </w:t>
      </w:r>
      <w:r>
        <w:rPr>
          <w:sz w:val="20"/>
          <w:szCs w:val="20"/>
        </w:rPr>
        <w:t xml:space="preserve">2015 </w:t>
      </w:r>
      <w:r w:rsidRPr="00145A56">
        <w:rPr>
          <w:sz w:val="20"/>
          <w:szCs w:val="20"/>
        </w:rPr>
        <w:t>TJRC report.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1145A" w14:textId="77777777" w:rsidR="00E4572D" w:rsidRDefault="00E457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4D122" w14:textId="77777777" w:rsidR="00E4572D" w:rsidRDefault="00E457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67F5C" w14:textId="77777777" w:rsidR="00E4572D" w:rsidRDefault="00E457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4"/>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1228FB"/>
    <w:multiLevelType w:val="hybridMultilevel"/>
    <w:tmpl w:val="C1A2D75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5D5E5E"/>
    <w:multiLevelType w:val="multilevel"/>
    <w:tmpl w:val="5CE8A71A"/>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3" w15:restartNumberingAfterBreak="0">
    <w:nsid w:val="0A2A2A3E"/>
    <w:multiLevelType w:val="hybridMultilevel"/>
    <w:tmpl w:val="73DE9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BCB1C14"/>
    <w:multiLevelType w:val="hybridMultilevel"/>
    <w:tmpl w:val="89B8D33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E686915"/>
    <w:multiLevelType w:val="hybridMultilevel"/>
    <w:tmpl w:val="6830971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F2D6DBE"/>
    <w:multiLevelType w:val="hybridMultilevel"/>
    <w:tmpl w:val="9EE2CE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475C96"/>
    <w:multiLevelType w:val="hybridMultilevel"/>
    <w:tmpl w:val="449200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A5B4DFC"/>
    <w:multiLevelType w:val="hybridMultilevel"/>
    <w:tmpl w:val="6830971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AA43A47"/>
    <w:multiLevelType w:val="hybridMultilevel"/>
    <w:tmpl w:val="084452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C5B74A6"/>
    <w:multiLevelType w:val="hybridMultilevel"/>
    <w:tmpl w:val="83A25CD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F204E54"/>
    <w:multiLevelType w:val="hybridMultilevel"/>
    <w:tmpl w:val="073ABB90"/>
    <w:lvl w:ilvl="0" w:tplc="77E623FC">
      <w:start w:val="1"/>
      <w:numFmt w:val="lowerLetter"/>
      <w:lvlText w:val="%1)"/>
      <w:lvlJc w:val="left"/>
      <w:pPr>
        <w:ind w:left="1080" w:hanging="360"/>
      </w:pPr>
      <w:rPr>
        <w:rFonts w:hint="default"/>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2754779D"/>
    <w:multiLevelType w:val="hybridMultilevel"/>
    <w:tmpl w:val="790886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8032EBC"/>
    <w:multiLevelType w:val="hybridMultilevel"/>
    <w:tmpl w:val="2A6E313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284D4620"/>
    <w:multiLevelType w:val="hybridMultilevel"/>
    <w:tmpl w:val="F446D88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DC633D5"/>
    <w:multiLevelType w:val="multilevel"/>
    <w:tmpl w:val="389065F2"/>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16" w15:restartNumberingAfterBreak="0">
    <w:nsid w:val="39972155"/>
    <w:multiLevelType w:val="hybridMultilevel"/>
    <w:tmpl w:val="87D0BA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ACB459D"/>
    <w:multiLevelType w:val="hybridMultilevel"/>
    <w:tmpl w:val="9A4A989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ADC3702"/>
    <w:multiLevelType w:val="hybridMultilevel"/>
    <w:tmpl w:val="A808DA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B032873"/>
    <w:multiLevelType w:val="hybridMultilevel"/>
    <w:tmpl w:val="1004C7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C8922B2"/>
    <w:multiLevelType w:val="hybridMultilevel"/>
    <w:tmpl w:val="741023B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1" w15:restartNumberingAfterBreak="0">
    <w:nsid w:val="409A15E7"/>
    <w:multiLevelType w:val="hybridMultilevel"/>
    <w:tmpl w:val="F5B0EB1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0C57AF6"/>
    <w:multiLevelType w:val="hybridMultilevel"/>
    <w:tmpl w:val="1B2A9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B910E4"/>
    <w:multiLevelType w:val="hybridMultilevel"/>
    <w:tmpl w:val="CAA6FB1C"/>
    <w:lvl w:ilvl="0" w:tplc="17789A66">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087578"/>
    <w:multiLevelType w:val="hybridMultilevel"/>
    <w:tmpl w:val="DF5A158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77D21B4"/>
    <w:multiLevelType w:val="hybridMultilevel"/>
    <w:tmpl w:val="BD3E64D4"/>
    <w:lvl w:ilvl="0" w:tplc="0C09000F">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6705783A"/>
    <w:multiLevelType w:val="hybridMultilevel"/>
    <w:tmpl w:val="38406D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71E344F"/>
    <w:multiLevelType w:val="hybridMultilevel"/>
    <w:tmpl w:val="3394044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6F4D1C62"/>
    <w:multiLevelType w:val="hybridMultilevel"/>
    <w:tmpl w:val="7CE832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8A8213F"/>
    <w:multiLevelType w:val="hybridMultilevel"/>
    <w:tmpl w:val="4A06376C"/>
    <w:lvl w:ilvl="0" w:tplc="0330A7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E5716FA"/>
    <w:multiLevelType w:val="hybridMultilevel"/>
    <w:tmpl w:val="07767550"/>
    <w:lvl w:ilvl="0" w:tplc="C9682894">
      <w:start w:val="20"/>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FBF1FCE"/>
    <w:multiLevelType w:val="hybridMultilevel"/>
    <w:tmpl w:val="308E2A4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3"/>
  </w:num>
  <w:num w:numId="2">
    <w:abstractNumId w:val="29"/>
  </w:num>
  <w:num w:numId="3">
    <w:abstractNumId w:val="22"/>
  </w:num>
  <w:num w:numId="4">
    <w:abstractNumId w:val="0"/>
  </w:num>
  <w:num w:numId="5">
    <w:abstractNumId w:val="15"/>
  </w:num>
  <w:num w:numId="6">
    <w:abstractNumId w:val="2"/>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9"/>
  </w:num>
  <w:num w:numId="10">
    <w:abstractNumId w:val="24"/>
  </w:num>
  <w:num w:numId="11">
    <w:abstractNumId w:val="21"/>
  </w:num>
  <w:num w:numId="12">
    <w:abstractNumId w:val="27"/>
  </w:num>
  <w:num w:numId="13">
    <w:abstractNumId w:val="19"/>
  </w:num>
  <w:num w:numId="14">
    <w:abstractNumId w:val="1"/>
  </w:num>
  <w:num w:numId="15">
    <w:abstractNumId w:val="25"/>
  </w:num>
  <w:num w:numId="16">
    <w:abstractNumId w:val="7"/>
  </w:num>
  <w:num w:numId="17">
    <w:abstractNumId w:val="26"/>
  </w:num>
  <w:num w:numId="18">
    <w:abstractNumId w:val="6"/>
  </w:num>
  <w:num w:numId="19">
    <w:abstractNumId w:val="30"/>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20"/>
  </w:num>
  <w:num w:numId="23">
    <w:abstractNumId w:val="3"/>
  </w:num>
  <w:num w:numId="24">
    <w:abstractNumId w:val="10"/>
  </w:num>
  <w:num w:numId="25">
    <w:abstractNumId w:val="31"/>
  </w:num>
  <w:num w:numId="26">
    <w:abstractNumId w:val="12"/>
  </w:num>
  <w:num w:numId="27">
    <w:abstractNumId w:val="8"/>
  </w:num>
  <w:num w:numId="28">
    <w:abstractNumId w:val="4"/>
  </w:num>
  <w:num w:numId="29">
    <w:abstractNumId w:val="16"/>
  </w:num>
  <w:num w:numId="30">
    <w:abstractNumId w:val="5"/>
  </w:num>
  <w:num w:numId="31">
    <w:abstractNumId w:val="28"/>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C51"/>
    <w:rsid w:val="000031B0"/>
    <w:rsid w:val="00005FE3"/>
    <w:rsid w:val="00010A70"/>
    <w:rsid w:val="000162BB"/>
    <w:rsid w:val="00017FEC"/>
    <w:rsid w:val="00020595"/>
    <w:rsid w:val="00021489"/>
    <w:rsid w:val="00024EC3"/>
    <w:rsid w:val="0003045B"/>
    <w:rsid w:val="000425CB"/>
    <w:rsid w:val="00044F69"/>
    <w:rsid w:val="00050FF7"/>
    <w:rsid w:val="00054853"/>
    <w:rsid w:val="00064BA1"/>
    <w:rsid w:val="00073A05"/>
    <w:rsid w:val="00077C6B"/>
    <w:rsid w:val="00083400"/>
    <w:rsid w:val="00091E1A"/>
    <w:rsid w:val="000975C0"/>
    <w:rsid w:val="000A05B0"/>
    <w:rsid w:val="000A205D"/>
    <w:rsid w:val="000A275F"/>
    <w:rsid w:val="000B208F"/>
    <w:rsid w:val="000C1A80"/>
    <w:rsid w:val="000C1CA1"/>
    <w:rsid w:val="000C38C9"/>
    <w:rsid w:val="000D1390"/>
    <w:rsid w:val="000D36F5"/>
    <w:rsid w:val="000E3D17"/>
    <w:rsid w:val="000E5D10"/>
    <w:rsid w:val="000E5DED"/>
    <w:rsid w:val="000F1592"/>
    <w:rsid w:val="000F3C42"/>
    <w:rsid w:val="000F43D2"/>
    <w:rsid w:val="000F4C0F"/>
    <w:rsid w:val="000F5409"/>
    <w:rsid w:val="001037C9"/>
    <w:rsid w:val="001071CA"/>
    <w:rsid w:val="001078FA"/>
    <w:rsid w:val="0011594E"/>
    <w:rsid w:val="001212FD"/>
    <w:rsid w:val="00121603"/>
    <w:rsid w:val="00121D2B"/>
    <w:rsid w:val="00122E85"/>
    <w:rsid w:val="001231B4"/>
    <w:rsid w:val="00131341"/>
    <w:rsid w:val="0013373B"/>
    <w:rsid w:val="0013479A"/>
    <w:rsid w:val="001433FB"/>
    <w:rsid w:val="00145A56"/>
    <w:rsid w:val="00145CB1"/>
    <w:rsid w:val="00154C5A"/>
    <w:rsid w:val="00155DEE"/>
    <w:rsid w:val="00160248"/>
    <w:rsid w:val="00161BF0"/>
    <w:rsid w:val="00182D7A"/>
    <w:rsid w:val="00197C36"/>
    <w:rsid w:val="001A04C3"/>
    <w:rsid w:val="001A3461"/>
    <w:rsid w:val="001A3A32"/>
    <w:rsid w:val="001A526F"/>
    <w:rsid w:val="001A6773"/>
    <w:rsid w:val="001A7BCA"/>
    <w:rsid w:val="001B2408"/>
    <w:rsid w:val="001B2DE5"/>
    <w:rsid w:val="001B4273"/>
    <w:rsid w:val="001B7E79"/>
    <w:rsid w:val="001D03B1"/>
    <w:rsid w:val="001D09D5"/>
    <w:rsid w:val="001D37D1"/>
    <w:rsid w:val="001D68BD"/>
    <w:rsid w:val="001D6F24"/>
    <w:rsid w:val="001E182F"/>
    <w:rsid w:val="001E56A1"/>
    <w:rsid w:val="001F1904"/>
    <w:rsid w:val="001F4DEA"/>
    <w:rsid w:val="001F5F77"/>
    <w:rsid w:val="001F71E9"/>
    <w:rsid w:val="00203EC7"/>
    <w:rsid w:val="00204880"/>
    <w:rsid w:val="00213371"/>
    <w:rsid w:val="00214F38"/>
    <w:rsid w:val="00220C8F"/>
    <w:rsid w:val="00221646"/>
    <w:rsid w:val="00226DA2"/>
    <w:rsid w:val="00231F5B"/>
    <w:rsid w:val="00241C57"/>
    <w:rsid w:val="00241FF8"/>
    <w:rsid w:val="002444F8"/>
    <w:rsid w:val="002461A4"/>
    <w:rsid w:val="00246BB9"/>
    <w:rsid w:val="00254997"/>
    <w:rsid w:val="00254DA3"/>
    <w:rsid w:val="00264F0D"/>
    <w:rsid w:val="002664DF"/>
    <w:rsid w:val="002679BE"/>
    <w:rsid w:val="00274626"/>
    <w:rsid w:val="00283B40"/>
    <w:rsid w:val="00290DFD"/>
    <w:rsid w:val="00295FF1"/>
    <w:rsid w:val="002A0449"/>
    <w:rsid w:val="002A2A2B"/>
    <w:rsid w:val="002A42E7"/>
    <w:rsid w:val="002B66D8"/>
    <w:rsid w:val="002B6893"/>
    <w:rsid w:val="002B6EBD"/>
    <w:rsid w:val="002C1E27"/>
    <w:rsid w:val="002C5297"/>
    <w:rsid w:val="002C7184"/>
    <w:rsid w:val="002D0562"/>
    <w:rsid w:val="002D1284"/>
    <w:rsid w:val="002D709E"/>
    <w:rsid w:val="002E507A"/>
    <w:rsid w:val="002F173D"/>
    <w:rsid w:val="002F1EA1"/>
    <w:rsid w:val="002F2FD3"/>
    <w:rsid w:val="002F7F3E"/>
    <w:rsid w:val="00303E9F"/>
    <w:rsid w:val="00305C98"/>
    <w:rsid w:val="003068C7"/>
    <w:rsid w:val="003128BA"/>
    <w:rsid w:val="00313E3D"/>
    <w:rsid w:val="00315A31"/>
    <w:rsid w:val="0031630B"/>
    <w:rsid w:val="00324144"/>
    <w:rsid w:val="0032449B"/>
    <w:rsid w:val="00324FFF"/>
    <w:rsid w:val="003306C6"/>
    <w:rsid w:val="0033490F"/>
    <w:rsid w:val="00336A1F"/>
    <w:rsid w:val="0034084F"/>
    <w:rsid w:val="00341844"/>
    <w:rsid w:val="0034263B"/>
    <w:rsid w:val="00342B97"/>
    <w:rsid w:val="00342BD0"/>
    <w:rsid w:val="0034359A"/>
    <w:rsid w:val="00343655"/>
    <w:rsid w:val="00354F0A"/>
    <w:rsid w:val="003555AD"/>
    <w:rsid w:val="00373DF2"/>
    <w:rsid w:val="003746FC"/>
    <w:rsid w:val="00375CC4"/>
    <w:rsid w:val="00383F07"/>
    <w:rsid w:val="00384D70"/>
    <w:rsid w:val="003855A9"/>
    <w:rsid w:val="00390A95"/>
    <w:rsid w:val="003931FF"/>
    <w:rsid w:val="003973DD"/>
    <w:rsid w:val="003A22F2"/>
    <w:rsid w:val="003A2A93"/>
    <w:rsid w:val="003B0C7C"/>
    <w:rsid w:val="003B3767"/>
    <w:rsid w:val="003B4C60"/>
    <w:rsid w:val="003B5424"/>
    <w:rsid w:val="003B6322"/>
    <w:rsid w:val="003C0379"/>
    <w:rsid w:val="003C1A06"/>
    <w:rsid w:val="003C53F6"/>
    <w:rsid w:val="003D20C0"/>
    <w:rsid w:val="003D31FC"/>
    <w:rsid w:val="003E3934"/>
    <w:rsid w:val="003E62D0"/>
    <w:rsid w:val="003F070C"/>
    <w:rsid w:val="003F2BA6"/>
    <w:rsid w:val="003F3042"/>
    <w:rsid w:val="003F47CA"/>
    <w:rsid w:val="003F4D67"/>
    <w:rsid w:val="003F6944"/>
    <w:rsid w:val="0040244D"/>
    <w:rsid w:val="004060AF"/>
    <w:rsid w:val="004061F3"/>
    <w:rsid w:val="00407B15"/>
    <w:rsid w:val="00411941"/>
    <w:rsid w:val="00416A12"/>
    <w:rsid w:val="004249EF"/>
    <w:rsid w:val="00427F92"/>
    <w:rsid w:val="00432577"/>
    <w:rsid w:val="00436445"/>
    <w:rsid w:val="0044036F"/>
    <w:rsid w:val="00444419"/>
    <w:rsid w:val="0044527F"/>
    <w:rsid w:val="004469A1"/>
    <w:rsid w:val="004604B9"/>
    <w:rsid w:val="004618AD"/>
    <w:rsid w:val="00464F21"/>
    <w:rsid w:val="004657EB"/>
    <w:rsid w:val="00466A80"/>
    <w:rsid w:val="00470532"/>
    <w:rsid w:val="0048502C"/>
    <w:rsid w:val="00487E90"/>
    <w:rsid w:val="004916A1"/>
    <w:rsid w:val="004930E7"/>
    <w:rsid w:val="00494F89"/>
    <w:rsid w:val="0049728C"/>
    <w:rsid w:val="004A30CD"/>
    <w:rsid w:val="004A3219"/>
    <w:rsid w:val="004B6CB1"/>
    <w:rsid w:val="004C0208"/>
    <w:rsid w:val="004C2C62"/>
    <w:rsid w:val="004C348F"/>
    <w:rsid w:val="004C763B"/>
    <w:rsid w:val="004D1994"/>
    <w:rsid w:val="004D36BD"/>
    <w:rsid w:val="004D685C"/>
    <w:rsid w:val="004E0C7C"/>
    <w:rsid w:val="004E493F"/>
    <w:rsid w:val="004E4E6F"/>
    <w:rsid w:val="004E5408"/>
    <w:rsid w:val="004E61B9"/>
    <w:rsid w:val="004F1639"/>
    <w:rsid w:val="004F1806"/>
    <w:rsid w:val="004F6291"/>
    <w:rsid w:val="005022C1"/>
    <w:rsid w:val="0050473A"/>
    <w:rsid w:val="00505855"/>
    <w:rsid w:val="00517840"/>
    <w:rsid w:val="00521730"/>
    <w:rsid w:val="0052519C"/>
    <w:rsid w:val="00531ABE"/>
    <w:rsid w:val="00531D80"/>
    <w:rsid w:val="005422CF"/>
    <w:rsid w:val="00563B02"/>
    <w:rsid w:val="00564DD1"/>
    <w:rsid w:val="00566759"/>
    <w:rsid w:val="00572C8D"/>
    <w:rsid w:val="00575D33"/>
    <w:rsid w:val="005762D5"/>
    <w:rsid w:val="00584D1B"/>
    <w:rsid w:val="00590BD7"/>
    <w:rsid w:val="00591782"/>
    <w:rsid w:val="0059325D"/>
    <w:rsid w:val="00596E38"/>
    <w:rsid w:val="005A29F1"/>
    <w:rsid w:val="005A43D9"/>
    <w:rsid w:val="005A43DF"/>
    <w:rsid w:val="005A6C69"/>
    <w:rsid w:val="005A6D18"/>
    <w:rsid w:val="005A6E9E"/>
    <w:rsid w:val="005B4119"/>
    <w:rsid w:val="005B47DC"/>
    <w:rsid w:val="005C0740"/>
    <w:rsid w:val="005C2DFA"/>
    <w:rsid w:val="005C371C"/>
    <w:rsid w:val="005D0234"/>
    <w:rsid w:val="005D26BC"/>
    <w:rsid w:val="005E14D3"/>
    <w:rsid w:val="005F5FA6"/>
    <w:rsid w:val="00604751"/>
    <w:rsid w:val="00620577"/>
    <w:rsid w:val="00620C59"/>
    <w:rsid w:val="00624C70"/>
    <w:rsid w:val="00641563"/>
    <w:rsid w:val="00642213"/>
    <w:rsid w:val="00644CF2"/>
    <w:rsid w:val="0065146C"/>
    <w:rsid w:val="00653755"/>
    <w:rsid w:val="0065777B"/>
    <w:rsid w:val="0066272B"/>
    <w:rsid w:val="00663490"/>
    <w:rsid w:val="00665645"/>
    <w:rsid w:val="00674DB0"/>
    <w:rsid w:val="0067582C"/>
    <w:rsid w:val="006802FB"/>
    <w:rsid w:val="0068083F"/>
    <w:rsid w:val="0068708E"/>
    <w:rsid w:val="006926B0"/>
    <w:rsid w:val="00692A01"/>
    <w:rsid w:val="006946FE"/>
    <w:rsid w:val="006A0441"/>
    <w:rsid w:val="006A7120"/>
    <w:rsid w:val="006B551B"/>
    <w:rsid w:val="006C25B4"/>
    <w:rsid w:val="006C4905"/>
    <w:rsid w:val="006D0F7A"/>
    <w:rsid w:val="006D151B"/>
    <w:rsid w:val="006D5A62"/>
    <w:rsid w:val="006D61A3"/>
    <w:rsid w:val="006E0B7F"/>
    <w:rsid w:val="006E322E"/>
    <w:rsid w:val="006E56E1"/>
    <w:rsid w:val="006F2D48"/>
    <w:rsid w:val="006F2E03"/>
    <w:rsid w:val="006F6A77"/>
    <w:rsid w:val="007016C4"/>
    <w:rsid w:val="00703F2C"/>
    <w:rsid w:val="00712695"/>
    <w:rsid w:val="007240BA"/>
    <w:rsid w:val="007262D5"/>
    <w:rsid w:val="007414B7"/>
    <w:rsid w:val="007414FC"/>
    <w:rsid w:val="007439CB"/>
    <w:rsid w:val="007532B8"/>
    <w:rsid w:val="007534A8"/>
    <w:rsid w:val="00754ED9"/>
    <w:rsid w:val="007551D3"/>
    <w:rsid w:val="00755CBA"/>
    <w:rsid w:val="00755E0B"/>
    <w:rsid w:val="007733EB"/>
    <w:rsid w:val="00784060"/>
    <w:rsid w:val="00784473"/>
    <w:rsid w:val="00785CE3"/>
    <w:rsid w:val="0078692F"/>
    <w:rsid w:val="00794C4E"/>
    <w:rsid w:val="00796719"/>
    <w:rsid w:val="007A0603"/>
    <w:rsid w:val="007A74D0"/>
    <w:rsid w:val="007B3EF6"/>
    <w:rsid w:val="007B43C2"/>
    <w:rsid w:val="007C03C3"/>
    <w:rsid w:val="007C1988"/>
    <w:rsid w:val="007C1E88"/>
    <w:rsid w:val="007C589E"/>
    <w:rsid w:val="007D01CA"/>
    <w:rsid w:val="007D1FF9"/>
    <w:rsid w:val="007D4C8E"/>
    <w:rsid w:val="007D7B96"/>
    <w:rsid w:val="007E0EF4"/>
    <w:rsid w:val="007E25B1"/>
    <w:rsid w:val="007E64B0"/>
    <w:rsid w:val="007F00B3"/>
    <w:rsid w:val="007F2648"/>
    <w:rsid w:val="007F615A"/>
    <w:rsid w:val="00802351"/>
    <w:rsid w:val="008067F9"/>
    <w:rsid w:val="00812A45"/>
    <w:rsid w:val="00813840"/>
    <w:rsid w:val="0081412A"/>
    <w:rsid w:val="00821089"/>
    <w:rsid w:val="00824314"/>
    <w:rsid w:val="00825AA7"/>
    <w:rsid w:val="00833B13"/>
    <w:rsid w:val="008358AB"/>
    <w:rsid w:val="00842065"/>
    <w:rsid w:val="00851662"/>
    <w:rsid w:val="008530DD"/>
    <w:rsid w:val="00856F88"/>
    <w:rsid w:val="00857FFD"/>
    <w:rsid w:val="008648D6"/>
    <w:rsid w:val="008656A1"/>
    <w:rsid w:val="00867101"/>
    <w:rsid w:val="00874CF0"/>
    <w:rsid w:val="0087532B"/>
    <w:rsid w:val="00884B0F"/>
    <w:rsid w:val="008A14D6"/>
    <w:rsid w:val="008A15E5"/>
    <w:rsid w:val="008A188E"/>
    <w:rsid w:val="008A2537"/>
    <w:rsid w:val="008A4207"/>
    <w:rsid w:val="008B03D2"/>
    <w:rsid w:val="008B1E6E"/>
    <w:rsid w:val="008B1EAF"/>
    <w:rsid w:val="008B1FA9"/>
    <w:rsid w:val="008C501C"/>
    <w:rsid w:val="008C5388"/>
    <w:rsid w:val="008E035A"/>
    <w:rsid w:val="008E637B"/>
    <w:rsid w:val="008F199A"/>
    <w:rsid w:val="008F58BA"/>
    <w:rsid w:val="008F632E"/>
    <w:rsid w:val="009012CB"/>
    <w:rsid w:val="00907B31"/>
    <w:rsid w:val="00913929"/>
    <w:rsid w:val="00913F56"/>
    <w:rsid w:val="00916314"/>
    <w:rsid w:val="00925A7B"/>
    <w:rsid w:val="009261AA"/>
    <w:rsid w:val="0092797F"/>
    <w:rsid w:val="00934F16"/>
    <w:rsid w:val="00946233"/>
    <w:rsid w:val="00947C61"/>
    <w:rsid w:val="009564F5"/>
    <w:rsid w:val="00963A73"/>
    <w:rsid w:val="00970DF8"/>
    <w:rsid w:val="009756AE"/>
    <w:rsid w:val="00987122"/>
    <w:rsid w:val="009919D4"/>
    <w:rsid w:val="00993678"/>
    <w:rsid w:val="00993A9B"/>
    <w:rsid w:val="009965C5"/>
    <w:rsid w:val="00997766"/>
    <w:rsid w:val="009A185A"/>
    <w:rsid w:val="009A412C"/>
    <w:rsid w:val="009B2186"/>
    <w:rsid w:val="009B506F"/>
    <w:rsid w:val="009C013C"/>
    <w:rsid w:val="009C423E"/>
    <w:rsid w:val="009C43AA"/>
    <w:rsid w:val="009C4A4D"/>
    <w:rsid w:val="009D1A8E"/>
    <w:rsid w:val="009D380B"/>
    <w:rsid w:val="009D505D"/>
    <w:rsid w:val="009D5962"/>
    <w:rsid w:val="009E11AD"/>
    <w:rsid w:val="009E38B4"/>
    <w:rsid w:val="00A068E4"/>
    <w:rsid w:val="00A1092C"/>
    <w:rsid w:val="00A17056"/>
    <w:rsid w:val="00A17EC4"/>
    <w:rsid w:val="00A258F4"/>
    <w:rsid w:val="00A34C4B"/>
    <w:rsid w:val="00A373D9"/>
    <w:rsid w:val="00A42385"/>
    <w:rsid w:val="00A429CC"/>
    <w:rsid w:val="00A44E85"/>
    <w:rsid w:val="00A4565B"/>
    <w:rsid w:val="00A456AB"/>
    <w:rsid w:val="00A50C95"/>
    <w:rsid w:val="00A515CA"/>
    <w:rsid w:val="00A543B8"/>
    <w:rsid w:val="00A70467"/>
    <w:rsid w:val="00A73941"/>
    <w:rsid w:val="00A758FB"/>
    <w:rsid w:val="00A842DD"/>
    <w:rsid w:val="00A846C2"/>
    <w:rsid w:val="00A90713"/>
    <w:rsid w:val="00A91752"/>
    <w:rsid w:val="00A95E8D"/>
    <w:rsid w:val="00AA2F09"/>
    <w:rsid w:val="00AA782F"/>
    <w:rsid w:val="00AB0E7D"/>
    <w:rsid w:val="00AB209A"/>
    <w:rsid w:val="00AB24BD"/>
    <w:rsid w:val="00AB7B5D"/>
    <w:rsid w:val="00AB7B66"/>
    <w:rsid w:val="00AC7AF3"/>
    <w:rsid w:val="00AC7B7E"/>
    <w:rsid w:val="00AD1EC4"/>
    <w:rsid w:val="00AD2A9D"/>
    <w:rsid w:val="00AD4B57"/>
    <w:rsid w:val="00AD64A6"/>
    <w:rsid w:val="00AE784B"/>
    <w:rsid w:val="00AF1410"/>
    <w:rsid w:val="00AF1A06"/>
    <w:rsid w:val="00AF398C"/>
    <w:rsid w:val="00AF60D6"/>
    <w:rsid w:val="00AF7900"/>
    <w:rsid w:val="00B006B1"/>
    <w:rsid w:val="00B03E2C"/>
    <w:rsid w:val="00B05558"/>
    <w:rsid w:val="00B10A75"/>
    <w:rsid w:val="00B11A45"/>
    <w:rsid w:val="00B12AF9"/>
    <w:rsid w:val="00B13BC9"/>
    <w:rsid w:val="00B13DF7"/>
    <w:rsid w:val="00B21C58"/>
    <w:rsid w:val="00B21F24"/>
    <w:rsid w:val="00B22209"/>
    <w:rsid w:val="00B2313F"/>
    <w:rsid w:val="00B25491"/>
    <w:rsid w:val="00B26B7D"/>
    <w:rsid w:val="00B33ACD"/>
    <w:rsid w:val="00B3419F"/>
    <w:rsid w:val="00B45C85"/>
    <w:rsid w:val="00B5017F"/>
    <w:rsid w:val="00B509FA"/>
    <w:rsid w:val="00B526CA"/>
    <w:rsid w:val="00B546E1"/>
    <w:rsid w:val="00B54C9D"/>
    <w:rsid w:val="00B5639B"/>
    <w:rsid w:val="00B61536"/>
    <w:rsid w:val="00B62F53"/>
    <w:rsid w:val="00B64CF8"/>
    <w:rsid w:val="00B66C75"/>
    <w:rsid w:val="00B674A1"/>
    <w:rsid w:val="00B80D89"/>
    <w:rsid w:val="00B81563"/>
    <w:rsid w:val="00B85488"/>
    <w:rsid w:val="00B90F6A"/>
    <w:rsid w:val="00B94175"/>
    <w:rsid w:val="00B94D9A"/>
    <w:rsid w:val="00B9531C"/>
    <w:rsid w:val="00B95FE0"/>
    <w:rsid w:val="00BA3F2C"/>
    <w:rsid w:val="00BA63D6"/>
    <w:rsid w:val="00BB1049"/>
    <w:rsid w:val="00BB527D"/>
    <w:rsid w:val="00BC322B"/>
    <w:rsid w:val="00BC43E9"/>
    <w:rsid w:val="00BC790C"/>
    <w:rsid w:val="00BD1056"/>
    <w:rsid w:val="00BD2584"/>
    <w:rsid w:val="00BD3ED9"/>
    <w:rsid w:val="00BD6B53"/>
    <w:rsid w:val="00BD7D8E"/>
    <w:rsid w:val="00BE1426"/>
    <w:rsid w:val="00BE1615"/>
    <w:rsid w:val="00BE1636"/>
    <w:rsid w:val="00BE17AB"/>
    <w:rsid w:val="00BF053D"/>
    <w:rsid w:val="00BF07DA"/>
    <w:rsid w:val="00BF1F8E"/>
    <w:rsid w:val="00BF4DBE"/>
    <w:rsid w:val="00C0483F"/>
    <w:rsid w:val="00C06499"/>
    <w:rsid w:val="00C06CA4"/>
    <w:rsid w:val="00C07604"/>
    <w:rsid w:val="00C122AD"/>
    <w:rsid w:val="00C12AE8"/>
    <w:rsid w:val="00C1694B"/>
    <w:rsid w:val="00C213DE"/>
    <w:rsid w:val="00C2198A"/>
    <w:rsid w:val="00C228AB"/>
    <w:rsid w:val="00C23AAC"/>
    <w:rsid w:val="00C25C63"/>
    <w:rsid w:val="00C35318"/>
    <w:rsid w:val="00C4257C"/>
    <w:rsid w:val="00C44BA6"/>
    <w:rsid w:val="00C60EDA"/>
    <w:rsid w:val="00C6184D"/>
    <w:rsid w:val="00C657B3"/>
    <w:rsid w:val="00C67C2C"/>
    <w:rsid w:val="00C73101"/>
    <w:rsid w:val="00C809B5"/>
    <w:rsid w:val="00C86461"/>
    <w:rsid w:val="00C86709"/>
    <w:rsid w:val="00C92F9E"/>
    <w:rsid w:val="00C93571"/>
    <w:rsid w:val="00C95034"/>
    <w:rsid w:val="00CA10C5"/>
    <w:rsid w:val="00CB0FDD"/>
    <w:rsid w:val="00CB2B9F"/>
    <w:rsid w:val="00CB3CEC"/>
    <w:rsid w:val="00CC22D4"/>
    <w:rsid w:val="00CC3E47"/>
    <w:rsid w:val="00CC5D61"/>
    <w:rsid w:val="00CC60F0"/>
    <w:rsid w:val="00CE06A3"/>
    <w:rsid w:val="00CE1C5C"/>
    <w:rsid w:val="00CE1FCA"/>
    <w:rsid w:val="00CE455A"/>
    <w:rsid w:val="00CF0D06"/>
    <w:rsid w:val="00CF6401"/>
    <w:rsid w:val="00D04289"/>
    <w:rsid w:val="00D07C51"/>
    <w:rsid w:val="00D16E10"/>
    <w:rsid w:val="00D23900"/>
    <w:rsid w:val="00D266F7"/>
    <w:rsid w:val="00D27441"/>
    <w:rsid w:val="00D31D87"/>
    <w:rsid w:val="00D3756D"/>
    <w:rsid w:val="00D40864"/>
    <w:rsid w:val="00D422F6"/>
    <w:rsid w:val="00D44AE8"/>
    <w:rsid w:val="00D46F3C"/>
    <w:rsid w:val="00D5671F"/>
    <w:rsid w:val="00D56954"/>
    <w:rsid w:val="00D569C3"/>
    <w:rsid w:val="00D579E2"/>
    <w:rsid w:val="00D65EC9"/>
    <w:rsid w:val="00D7407A"/>
    <w:rsid w:val="00D774F7"/>
    <w:rsid w:val="00D811FF"/>
    <w:rsid w:val="00D816DB"/>
    <w:rsid w:val="00D90898"/>
    <w:rsid w:val="00D90A5A"/>
    <w:rsid w:val="00D94A84"/>
    <w:rsid w:val="00D96A44"/>
    <w:rsid w:val="00DA1226"/>
    <w:rsid w:val="00DA308F"/>
    <w:rsid w:val="00DA44E4"/>
    <w:rsid w:val="00DA458B"/>
    <w:rsid w:val="00DA485C"/>
    <w:rsid w:val="00DB1BB1"/>
    <w:rsid w:val="00DC074F"/>
    <w:rsid w:val="00DC12B8"/>
    <w:rsid w:val="00DC6BC2"/>
    <w:rsid w:val="00DC6C04"/>
    <w:rsid w:val="00DC748A"/>
    <w:rsid w:val="00DD0004"/>
    <w:rsid w:val="00DD4A88"/>
    <w:rsid w:val="00DD6CAE"/>
    <w:rsid w:val="00DD7BE1"/>
    <w:rsid w:val="00DD7C50"/>
    <w:rsid w:val="00DE4D5D"/>
    <w:rsid w:val="00DE6DC3"/>
    <w:rsid w:val="00DF2646"/>
    <w:rsid w:val="00DF28A7"/>
    <w:rsid w:val="00DF3A84"/>
    <w:rsid w:val="00DF5E7E"/>
    <w:rsid w:val="00E02953"/>
    <w:rsid w:val="00E046B7"/>
    <w:rsid w:val="00E0576C"/>
    <w:rsid w:val="00E05B8C"/>
    <w:rsid w:val="00E07D74"/>
    <w:rsid w:val="00E07E6A"/>
    <w:rsid w:val="00E13CA3"/>
    <w:rsid w:val="00E167F0"/>
    <w:rsid w:val="00E215AD"/>
    <w:rsid w:val="00E2315E"/>
    <w:rsid w:val="00E23FDB"/>
    <w:rsid w:val="00E25B47"/>
    <w:rsid w:val="00E26BC1"/>
    <w:rsid w:val="00E26F71"/>
    <w:rsid w:val="00E34C4F"/>
    <w:rsid w:val="00E37961"/>
    <w:rsid w:val="00E37FA8"/>
    <w:rsid w:val="00E404B4"/>
    <w:rsid w:val="00E43597"/>
    <w:rsid w:val="00E4572D"/>
    <w:rsid w:val="00E51999"/>
    <w:rsid w:val="00E51BF0"/>
    <w:rsid w:val="00E53350"/>
    <w:rsid w:val="00E56717"/>
    <w:rsid w:val="00E577D6"/>
    <w:rsid w:val="00E67482"/>
    <w:rsid w:val="00E67968"/>
    <w:rsid w:val="00E7195C"/>
    <w:rsid w:val="00E81FD0"/>
    <w:rsid w:val="00E84923"/>
    <w:rsid w:val="00E905C1"/>
    <w:rsid w:val="00E9060D"/>
    <w:rsid w:val="00E94BB1"/>
    <w:rsid w:val="00E9695D"/>
    <w:rsid w:val="00EA3524"/>
    <w:rsid w:val="00EA3679"/>
    <w:rsid w:val="00EA4963"/>
    <w:rsid w:val="00EA4B15"/>
    <w:rsid w:val="00EB0D49"/>
    <w:rsid w:val="00EB3398"/>
    <w:rsid w:val="00EB5AC7"/>
    <w:rsid w:val="00EB6249"/>
    <w:rsid w:val="00EC119C"/>
    <w:rsid w:val="00EC429B"/>
    <w:rsid w:val="00ED0488"/>
    <w:rsid w:val="00EE57D2"/>
    <w:rsid w:val="00EF4624"/>
    <w:rsid w:val="00EF5D21"/>
    <w:rsid w:val="00F00879"/>
    <w:rsid w:val="00F03302"/>
    <w:rsid w:val="00F1143C"/>
    <w:rsid w:val="00F16D58"/>
    <w:rsid w:val="00F1734F"/>
    <w:rsid w:val="00F401A7"/>
    <w:rsid w:val="00F42E56"/>
    <w:rsid w:val="00F4366B"/>
    <w:rsid w:val="00F44B8B"/>
    <w:rsid w:val="00F4619A"/>
    <w:rsid w:val="00F46543"/>
    <w:rsid w:val="00F478AF"/>
    <w:rsid w:val="00F509FB"/>
    <w:rsid w:val="00F51BBF"/>
    <w:rsid w:val="00F61649"/>
    <w:rsid w:val="00F63575"/>
    <w:rsid w:val="00F6443E"/>
    <w:rsid w:val="00F65288"/>
    <w:rsid w:val="00F652E8"/>
    <w:rsid w:val="00F70248"/>
    <w:rsid w:val="00F77FC4"/>
    <w:rsid w:val="00F85E8D"/>
    <w:rsid w:val="00F86A23"/>
    <w:rsid w:val="00F872BA"/>
    <w:rsid w:val="00F911BA"/>
    <w:rsid w:val="00F92401"/>
    <w:rsid w:val="00F93B6E"/>
    <w:rsid w:val="00FA1E70"/>
    <w:rsid w:val="00FB147D"/>
    <w:rsid w:val="00FB2108"/>
    <w:rsid w:val="00FB3039"/>
    <w:rsid w:val="00FC2A93"/>
    <w:rsid w:val="00FC4F04"/>
    <w:rsid w:val="00FC59F1"/>
    <w:rsid w:val="00FC7B18"/>
    <w:rsid w:val="00FD132D"/>
    <w:rsid w:val="00FD61A8"/>
    <w:rsid w:val="00FD6A11"/>
    <w:rsid w:val="00FE078C"/>
    <w:rsid w:val="00FE23F1"/>
    <w:rsid w:val="00FE26A8"/>
    <w:rsid w:val="00FE4EFB"/>
    <w:rsid w:val="00FE5232"/>
    <w:rsid w:val="00FE5A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DF5DE7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7C51"/>
    <w:pPr>
      <w:ind w:left="720"/>
      <w:contextualSpacing/>
    </w:pPr>
  </w:style>
  <w:style w:type="paragraph" w:styleId="FootnoteText">
    <w:name w:val="footnote text"/>
    <w:basedOn w:val="Normal"/>
    <w:link w:val="FootnoteTextChar"/>
    <w:uiPriority w:val="99"/>
    <w:unhideWhenUsed/>
    <w:rsid w:val="00D07C51"/>
  </w:style>
  <w:style w:type="character" w:customStyle="1" w:styleId="FootnoteTextChar">
    <w:name w:val="Footnote Text Char"/>
    <w:basedOn w:val="DefaultParagraphFont"/>
    <w:link w:val="FootnoteText"/>
    <w:uiPriority w:val="99"/>
    <w:rsid w:val="00D07C51"/>
  </w:style>
  <w:style w:type="character" w:styleId="FootnoteReference">
    <w:name w:val="footnote reference"/>
    <w:basedOn w:val="DefaultParagraphFont"/>
    <w:uiPriority w:val="99"/>
    <w:unhideWhenUsed/>
    <w:rsid w:val="00D07C51"/>
    <w:rPr>
      <w:vertAlign w:val="superscript"/>
    </w:rPr>
  </w:style>
  <w:style w:type="paragraph" w:styleId="Footer">
    <w:name w:val="footer"/>
    <w:basedOn w:val="Normal"/>
    <w:link w:val="FooterChar"/>
    <w:uiPriority w:val="99"/>
    <w:unhideWhenUsed/>
    <w:rsid w:val="0049728C"/>
    <w:pPr>
      <w:tabs>
        <w:tab w:val="center" w:pos="4320"/>
        <w:tab w:val="right" w:pos="8640"/>
      </w:tabs>
    </w:pPr>
  </w:style>
  <w:style w:type="character" w:customStyle="1" w:styleId="FooterChar">
    <w:name w:val="Footer Char"/>
    <w:basedOn w:val="DefaultParagraphFont"/>
    <w:link w:val="Footer"/>
    <w:uiPriority w:val="99"/>
    <w:rsid w:val="0049728C"/>
  </w:style>
  <w:style w:type="character" w:styleId="PageNumber">
    <w:name w:val="page number"/>
    <w:basedOn w:val="DefaultParagraphFont"/>
    <w:uiPriority w:val="99"/>
    <w:semiHidden/>
    <w:unhideWhenUsed/>
    <w:rsid w:val="0049728C"/>
  </w:style>
  <w:style w:type="character" w:styleId="CommentReference">
    <w:name w:val="annotation reference"/>
    <w:basedOn w:val="DefaultParagraphFont"/>
    <w:uiPriority w:val="99"/>
    <w:semiHidden/>
    <w:unhideWhenUsed/>
    <w:rsid w:val="004061F3"/>
    <w:rPr>
      <w:sz w:val="18"/>
      <w:szCs w:val="18"/>
    </w:rPr>
  </w:style>
  <w:style w:type="paragraph" w:styleId="CommentText">
    <w:name w:val="annotation text"/>
    <w:basedOn w:val="Normal"/>
    <w:link w:val="CommentTextChar"/>
    <w:uiPriority w:val="99"/>
    <w:unhideWhenUsed/>
    <w:rsid w:val="004061F3"/>
  </w:style>
  <w:style w:type="character" w:customStyle="1" w:styleId="CommentTextChar">
    <w:name w:val="Comment Text Char"/>
    <w:basedOn w:val="DefaultParagraphFont"/>
    <w:link w:val="CommentText"/>
    <w:uiPriority w:val="99"/>
    <w:rsid w:val="004061F3"/>
  </w:style>
  <w:style w:type="paragraph" w:styleId="CommentSubject">
    <w:name w:val="annotation subject"/>
    <w:basedOn w:val="CommentText"/>
    <w:next w:val="CommentText"/>
    <w:link w:val="CommentSubjectChar"/>
    <w:uiPriority w:val="99"/>
    <w:semiHidden/>
    <w:unhideWhenUsed/>
    <w:rsid w:val="004061F3"/>
    <w:rPr>
      <w:b/>
      <w:bCs/>
      <w:sz w:val="20"/>
      <w:szCs w:val="20"/>
    </w:rPr>
  </w:style>
  <w:style w:type="character" w:customStyle="1" w:styleId="CommentSubjectChar">
    <w:name w:val="Comment Subject Char"/>
    <w:basedOn w:val="CommentTextChar"/>
    <w:link w:val="CommentSubject"/>
    <w:uiPriority w:val="99"/>
    <w:semiHidden/>
    <w:rsid w:val="004061F3"/>
    <w:rPr>
      <w:b/>
      <w:bCs/>
      <w:sz w:val="20"/>
      <w:szCs w:val="20"/>
    </w:rPr>
  </w:style>
  <w:style w:type="paragraph" w:styleId="BalloonText">
    <w:name w:val="Balloon Text"/>
    <w:basedOn w:val="Normal"/>
    <w:link w:val="BalloonTextChar"/>
    <w:uiPriority w:val="99"/>
    <w:semiHidden/>
    <w:unhideWhenUsed/>
    <w:rsid w:val="004061F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061F3"/>
    <w:rPr>
      <w:rFonts w:ascii="Times New Roman" w:hAnsi="Times New Roman" w:cs="Times New Roman"/>
      <w:sz w:val="18"/>
      <w:szCs w:val="18"/>
    </w:rPr>
  </w:style>
  <w:style w:type="paragraph" w:styleId="Revision">
    <w:name w:val="Revision"/>
    <w:hidden/>
    <w:uiPriority w:val="99"/>
    <w:semiHidden/>
    <w:rsid w:val="00DC074F"/>
  </w:style>
  <w:style w:type="paragraph" w:styleId="EndnoteText">
    <w:name w:val="endnote text"/>
    <w:basedOn w:val="Normal"/>
    <w:link w:val="EndnoteTextChar"/>
    <w:semiHidden/>
    <w:unhideWhenUsed/>
    <w:rsid w:val="00916314"/>
    <w:rPr>
      <w:rFonts w:ascii="Times New Roman" w:eastAsia="Times New Roman" w:hAnsi="Times New Roman" w:cs="Times New Roman"/>
      <w:sz w:val="20"/>
      <w:szCs w:val="20"/>
      <w:lang w:val="en-AU"/>
    </w:rPr>
  </w:style>
  <w:style w:type="character" w:customStyle="1" w:styleId="EndnoteTextChar">
    <w:name w:val="Endnote Text Char"/>
    <w:basedOn w:val="DefaultParagraphFont"/>
    <w:link w:val="EndnoteText"/>
    <w:semiHidden/>
    <w:rsid w:val="00916314"/>
    <w:rPr>
      <w:rFonts w:ascii="Times New Roman" w:eastAsia="Times New Roman" w:hAnsi="Times New Roman" w:cs="Times New Roman"/>
      <w:sz w:val="20"/>
      <w:szCs w:val="20"/>
      <w:lang w:val="en-AU"/>
    </w:rPr>
  </w:style>
  <w:style w:type="character" w:styleId="EndnoteReference">
    <w:name w:val="endnote reference"/>
    <w:basedOn w:val="DefaultParagraphFont"/>
    <w:semiHidden/>
    <w:unhideWhenUsed/>
    <w:rsid w:val="00916314"/>
    <w:rPr>
      <w:vertAlign w:val="superscript"/>
    </w:rPr>
  </w:style>
  <w:style w:type="paragraph" w:styleId="Header">
    <w:name w:val="header"/>
    <w:basedOn w:val="Normal"/>
    <w:link w:val="HeaderChar"/>
    <w:uiPriority w:val="99"/>
    <w:unhideWhenUsed/>
    <w:rsid w:val="007B3EF6"/>
    <w:pPr>
      <w:tabs>
        <w:tab w:val="center" w:pos="4513"/>
        <w:tab w:val="right" w:pos="9026"/>
      </w:tabs>
    </w:pPr>
  </w:style>
  <w:style w:type="character" w:customStyle="1" w:styleId="HeaderChar">
    <w:name w:val="Header Char"/>
    <w:basedOn w:val="DefaultParagraphFont"/>
    <w:link w:val="Header"/>
    <w:uiPriority w:val="99"/>
    <w:rsid w:val="007B3EF6"/>
  </w:style>
  <w:style w:type="table" w:styleId="TableGrid">
    <w:name w:val="Table Grid"/>
    <w:basedOn w:val="TableNormal"/>
    <w:uiPriority w:val="59"/>
    <w:rsid w:val="007F615A"/>
    <w:rPr>
      <w:rFonts w:eastAsia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039137">
      <w:bodyDiv w:val="1"/>
      <w:marLeft w:val="0"/>
      <w:marRight w:val="0"/>
      <w:marTop w:val="0"/>
      <w:marBottom w:val="0"/>
      <w:divBdr>
        <w:top w:val="none" w:sz="0" w:space="0" w:color="auto"/>
        <w:left w:val="none" w:sz="0" w:space="0" w:color="auto"/>
        <w:bottom w:val="none" w:sz="0" w:space="0" w:color="auto"/>
        <w:right w:val="none" w:sz="0" w:space="0" w:color="auto"/>
      </w:divBdr>
    </w:div>
    <w:div w:id="274295886">
      <w:bodyDiv w:val="1"/>
      <w:marLeft w:val="0"/>
      <w:marRight w:val="0"/>
      <w:marTop w:val="0"/>
      <w:marBottom w:val="0"/>
      <w:divBdr>
        <w:top w:val="none" w:sz="0" w:space="0" w:color="auto"/>
        <w:left w:val="none" w:sz="0" w:space="0" w:color="auto"/>
        <w:bottom w:val="none" w:sz="0" w:space="0" w:color="auto"/>
        <w:right w:val="none" w:sz="0" w:space="0" w:color="auto"/>
      </w:divBdr>
    </w:div>
    <w:div w:id="324944263">
      <w:bodyDiv w:val="1"/>
      <w:marLeft w:val="0"/>
      <w:marRight w:val="0"/>
      <w:marTop w:val="0"/>
      <w:marBottom w:val="0"/>
      <w:divBdr>
        <w:top w:val="none" w:sz="0" w:space="0" w:color="auto"/>
        <w:left w:val="none" w:sz="0" w:space="0" w:color="auto"/>
        <w:bottom w:val="none" w:sz="0" w:space="0" w:color="auto"/>
        <w:right w:val="none" w:sz="0" w:space="0" w:color="auto"/>
      </w:divBdr>
    </w:div>
    <w:div w:id="574509060">
      <w:bodyDiv w:val="1"/>
      <w:marLeft w:val="0"/>
      <w:marRight w:val="0"/>
      <w:marTop w:val="0"/>
      <w:marBottom w:val="0"/>
      <w:divBdr>
        <w:top w:val="none" w:sz="0" w:space="0" w:color="auto"/>
        <w:left w:val="none" w:sz="0" w:space="0" w:color="auto"/>
        <w:bottom w:val="none" w:sz="0" w:space="0" w:color="auto"/>
        <w:right w:val="none" w:sz="0" w:space="0" w:color="auto"/>
      </w:divBdr>
      <w:divsChild>
        <w:div w:id="2054848415">
          <w:marLeft w:val="0"/>
          <w:marRight w:val="0"/>
          <w:marTop w:val="0"/>
          <w:marBottom w:val="0"/>
          <w:divBdr>
            <w:top w:val="none" w:sz="0" w:space="0" w:color="auto"/>
            <w:left w:val="none" w:sz="0" w:space="0" w:color="auto"/>
            <w:bottom w:val="none" w:sz="0" w:space="0" w:color="auto"/>
            <w:right w:val="none" w:sz="0" w:space="0" w:color="auto"/>
          </w:divBdr>
        </w:div>
        <w:div w:id="741371191">
          <w:marLeft w:val="0"/>
          <w:marRight w:val="0"/>
          <w:marTop w:val="0"/>
          <w:marBottom w:val="0"/>
          <w:divBdr>
            <w:top w:val="none" w:sz="0" w:space="0" w:color="auto"/>
            <w:left w:val="none" w:sz="0" w:space="0" w:color="auto"/>
            <w:bottom w:val="none" w:sz="0" w:space="0" w:color="auto"/>
            <w:right w:val="none" w:sz="0" w:space="0" w:color="auto"/>
          </w:divBdr>
        </w:div>
        <w:div w:id="274291683">
          <w:marLeft w:val="0"/>
          <w:marRight w:val="0"/>
          <w:marTop w:val="0"/>
          <w:marBottom w:val="0"/>
          <w:divBdr>
            <w:top w:val="none" w:sz="0" w:space="0" w:color="auto"/>
            <w:left w:val="none" w:sz="0" w:space="0" w:color="auto"/>
            <w:bottom w:val="none" w:sz="0" w:space="0" w:color="auto"/>
            <w:right w:val="none" w:sz="0" w:space="0" w:color="auto"/>
          </w:divBdr>
        </w:div>
        <w:div w:id="681129734">
          <w:marLeft w:val="0"/>
          <w:marRight w:val="0"/>
          <w:marTop w:val="0"/>
          <w:marBottom w:val="0"/>
          <w:divBdr>
            <w:top w:val="none" w:sz="0" w:space="0" w:color="auto"/>
            <w:left w:val="none" w:sz="0" w:space="0" w:color="auto"/>
            <w:bottom w:val="none" w:sz="0" w:space="0" w:color="auto"/>
            <w:right w:val="none" w:sz="0" w:space="0" w:color="auto"/>
          </w:divBdr>
        </w:div>
        <w:div w:id="189997386">
          <w:marLeft w:val="0"/>
          <w:marRight w:val="0"/>
          <w:marTop w:val="0"/>
          <w:marBottom w:val="0"/>
          <w:divBdr>
            <w:top w:val="none" w:sz="0" w:space="0" w:color="auto"/>
            <w:left w:val="none" w:sz="0" w:space="0" w:color="auto"/>
            <w:bottom w:val="none" w:sz="0" w:space="0" w:color="auto"/>
            <w:right w:val="none" w:sz="0" w:space="0" w:color="auto"/>
          </w:divBdr>
        </w:div>
        <w:div w:id="596449626">
          <w:marLeft w:val="0"/>
          <w:marRight w:val="0"/>
          <w:marTop w:val="0"/>
          <w:marBottom w:val="0"/>
          <w:divBdr>
            <w:top w:val="none" w:sz="0" w:space="0" w:color="auto"/>
            <w:left w:val="none" w:sz="0" w:space="0" w:color="auto"/>
            <w:bottom w:val="none" w:sz="0" w:space="0" w:color="auto"/>
            <w:right w:val="none" w:sz="0" w:space="0" w:color="auto"/>
          </w:divBdr>
        </w:div>
        <w:div w:id="477262655">
          <w:marLeft w:val="0"/>
          <w:marRight w:val="0"/>
          <w:marTop w:val="0"/>
          <w:marBottom w:val="0"/>
          <w:divBdr>
            <w:top w:val="none" w:sz="0" w:space="0" w:color="auto"/>
            <w:left w:val="none" w:sz="0" w:space="0" w:color="auto"/>
            <w:bottom w:val="none" w:sz="0" w:space="0" w:color="auto"/>
            <w:right w:val="none" w:sz="0" w:space="0" w:color="auto"/>
          </w:divBdr>
        </w:div>
        <w:div w:id="1418020946">
          <w:marLeft w:val="0"/>
          <w:marRight w:val="0"/>
          <w:marTop w:val="0"/>
          <w:marBottom w:val="0"/>
          <w:divBdr>
            <w:top w:val="none" w:sz="0" w:space="0" w:color="auto"/>
            <w:left w:val="none" w:sz="0" w:space="0" w:color="auto"/>
            <w:bottom w:val="none" w:sz="0" w:space="0" w:color="auto"/>
            <w:right w:val="none" w:sz="0" w:space="0" w:color="auto"/>
          </w:divBdr>
        </w:div>
      </w:divsChild>
    </w:div>
    <w:div w:id="663094146">
      <w:bodyDiv w:val="1"/>
      <w:marLeft w:val="0"/>
      <w:marRight w:val="0"/>
      <w:marTop w:val="0"/>
      <w:marBottom w:val="0"/>
      <w:divBdr>
        <w:top w:val="none" w:sz="0" w:space="0" w:color="auto"/>
        <w:left w:val="none" w:sz="0" w:space="0" w:color="auto"/>
        <w:bottom w:val="none" w:sz="0" w:space="0" w:color="auto"/>
        <w:right w:val="none" w:sz="0" w:space="0" w:color="auto"/>
      </w:divBdr>
    </w:div>
    <w:div w:id="680470045">
      <w:bodyDiv w:val="1"/>
      <w:marLeft w:val="0"/>
      <w:marRight w:val="0"/>
      <w:marTop w:val="0"/>
      <w:marBottom w:val="0"/>
      <w:divBdr>
        <w:top w:val="none" w:sz="0" w:space="0" w:color="auto"/>
        <w:left w:val="none" w:sz="0" w:space="0" w:color="auto"/>
        <w:bottom w:val="none" w:sz="0" w:space="0" w:color="auto"/>
        <w:right w:val="none" w:sz="0" w:space="0" w:color="auto"/>
      </w:divBdr>
      <w:divsChild>
        <w:div w:id="807207955">
          <w:marLeft w:val="0"/>
          <w:marRight w:val="0"/>
          <w:marTop w:val="0"/>
          <w:marBottom w:val="0"/>
          <w:divBdr>
            <w:top w:val="none" w:sz="0" w:space="0" w:color="auto"/>
            <w:left w:val="none" w:sz="0" w:space="0" w:color="auto"/>
            <w:bottom w:val="none" w:sz="0" w:space="0" w:color="auto"/>
            <w:right w:val="none" w:sz="0" w:space="0" w:color="auto"/>
          </w:divBdr>
        </w:div>
        <w:div w:id="1343363677">
          <w:marLeft w:val="0"/>
          <w:marRight w:val="0"/>
          <w:marTop w:val="0"/>
          <w:marBottom w:val="0"/>
          <w:divBdr>
            <w:top w:val="none" w:sz="0" w:space="0" w:color="auto"/>
            <w:left w:val="none" w:sz="0" w:space="0" w:color="auto"/>
            <w:bottom w:val="none" w:sz="0" w:space="0" w:color="auto"/>
            <w:right w:val="none" w:sz="0" w:space="0" w:color="auto"/>
          </w:divBdr>
        </w:div>
        <w:div w:id="1604612245">
          <w:marLeft w:val="0"/>
          <w:marRight w:val="0"/>
          <w:marTop w:val="0"/>
          <w:marBottom w:val="0"/>
          <w:divBdr>
            <w:top w:val="none" w:sz="0" w:space="0" w:color="auto"/>
            <w:left w:val="none" w:sz="0" w:space="0" w:color="auto"/>
            <w:bottom w:val="none" w:sz="0" w:space="0" w:color="auto"/>
            <w:right w:val="none" w:sz="0" w:space="0" w:color="auto"/>
          </w:divBdr>
        </w:div>
      </w:divsChild>
    </w:div>
    <w:div w:id="742482614">
      <w:bodyDiv w:val="1"/>
      <w:marLeft w:val="0"/>
      <w:marRight w:val="0"/>
      <w:marTop w:val="0"/>
      <w:marBottom w:val="0"/>
      <w:divBdr>
        <w:top w:val="none" w:sz="0" w:space="0" w:color="auto"/>
        <w:left w:val="none" w:sz="0" w:space="0" w:color="auto"/>
        <w:bottom w:val="none" w:sz="0" w:space="0" w:color="auto"/>
        <w:right w:val="none" w:sz="0" w:space="0" w:color="auto"/>
      </w:divBdr>
    </w:div>
    <w:div w:id="1055549889">
      <w:bodyDiv w:val="1"/>
      <w:marLeft w:val="0"/>
      <w:marRight w:val="0"/>
      <w:marTop w:val="0"/>
      <w:marBottom w:val="0"/>
      <w:divBdr>
        <w:top w:val="none" w:sz="0" w:space="0" w:color="auto"/>
        <w:left w:val="none" w:sz="0" w:space="0" w:color="auto"/>
        <w:bottom w:val="none" w:sz="0" w:space="0" w:color="auto"/>
        <w:right w:val="none" w:sz="0" w:space="0" w:color="auto"/>
      </w:divBdr>
    </w:div>
    <w:div w:id="1295601241">
      <w:bodyDiv w:val="1"/>
      <w:marLeft w:val="0"/>
      <w:marRight w:val="0"/>
      <w:marTop w:val="0"/>
      <w:marBottom w:val="0"/>
      <w:divBdr>
        <w:top w:val="none" w:sz="0" w:space="0" w:color="auto"/>
        <w:left w:val="none" w:sz="0" w:space="0" w:color="auto"/>
        <w:bottom w:val="none" w:sz="0" w:space="0" w:color="auto"/>
        <w:right w:val="none" w:sz="0" w:space="0" w:color="auto"/>
      </w:divBdr>
    </w:div>
    <w:div w:id="1569457533">
      <w:bodyDiv w:val="1"/>
      <w:marLeft w:val="0"/>
      <w:marRight w:val="0"/>
      <w:marTop w:val="0"/>
      <w:marBottom w:val="0"/>
      <w:divBdr>
        <w:top w:val="none" w:sz="0" w:space="0" w:color="auto"/>
        <w:left w:val="none" w:sz="0" w:space="0" w:color="auto"/>
        <w:bottom w:val="none" w:sz="0" w:space="0" w:color="auto"/>
        <w:right w:val="none" w:sz="0" w:space="0" w:color="auto"/>
      </w:divBdr>
    </w:div>
    <w:div w:id="1737509147">
      <w:bodyDiv w:val="1"/>
      <w:marLeft w:val="0"/>
      <w:marRight w:val="0"/>
      <w:marTop w:val="0"/>
      <w:marBottom w:val="0"/>
      <w:divBdr>
        <w:top w:val="none" w:sz="0" w:space="0" w:color="auto"/>
        <w:left w:val="none" w:sz="0" w:space="0" w:color="auto"/>
        <w:bottom w:val="none" w:sz="0" w:space="0" w:color="auto"/>
        <w:right w:val="none" w:sz="0" w:space="0" w:color="auto"/>
      </w:divBdr>
    </w:div>
    <w:div w:id="20568540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0F19AC2165D2E47A5E6B7F563E4CF00" ma:contentTypeVersion="1" ma:contentTypeDescription="Create a new document." ma:contentTypeScope="" ma:versionID="982e45fb1dd88f2b854306ad5ead9e90">
  <xsd:schema xmlns:xsd="http://www.w3.org/2001/XMLSchema" xmlns:xs="http://www.w3.org/2001/XMLSchema" xmlns:p="http://schemas.microsoft.com/office/2006/metadata/properties" xmlns:ns1="http://schemas.microsoft.com/sharepoint/v3" targetNamespace="http://schemas.microsoft.com/office/2006/metadata/properties" ma:root="true" ma:fieldsID="9470a02157b988d5574f2537686f426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9CBF9B-3BFB-4D08-A76F-8E4082231F3B}"/>
</file>

<file path=customXml/itemProps2.xml><?xml version="1.0" encoding="utf-8"?>
<ds:datastoreItem xmlns:ds="http://schemas.openxmlformats.org/officeDocument/2006/customXml" ds:itemID="{9A99313C-41D8-421A-8A5B-845C69716A40}"/>
</file>

<file path=customXml/itemProps3.xml><?xml version="1.0" encoding="utf-8"?>
<ds:datastoreItem xmlns:ds="http://schemas.openxmlformats.org/officeDocument/2006/customXml" ds:itemID="{43FE6699-1EB3-4B78-BADE-55B2A163BEA1}"/>
</file>

<file path=customXml/itemProps4.xml><?xml version="1.0" encoding="utf-8"?>
<ds:datastoreItem xmlns:ds="http://schemas.openxmlformats.org/officeDocument/2006/customXml" ds:itemID="{3E47A9C3-D44B-49A0-A7B0-48DD1E91FC26}"/>
</file>

<file path=docProps/app.xml><?xml version="1.0" encoding="utf-8"?>
<Properties xmlns="http://schemas.openxmlformats.org/officeDocument/2006/extended-properties" xmlns:vt="http://schemas.openxmlformats.org/officeDocument/2006/docPropsVTypes">
  <Template>Normal.dotm</Template>
  <TotalTime>0</TotalTime>
  <Pages>31</Pages>
  <Words>11675</Words>
  <Characters>66548</Characters>
  <Application>Microsoft Office Word</Application>
  <DocSecurity>0</DocSecurity>
  <Lines>554</Lines>
  <Paragraphs>156</Paragraphs>
  <ScaleCrop>false</ScaleCrop>
  <Company/>
  <LinksUpToDate>false</LinksUpToDate>
  <CharactersWithSpaces>78067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Strategic Review of Australia’s Support for Peace in Mindanao</dc:title>
  <dc:creator/>
  <cp:lastModifiedBy/>
  <cp:revision>1</cp:revision>
  <dcterms:created xsi:type="dcterms:W3CDTF">2017-03-17T02:43:00Z</dcterms:created>
  <dcterms:modified xsi:type="dcterms:W3CDTF">2017-03-17T02:44:00Z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42f2bb82-9b3d-436b-ba53-88faeb99b46e</vt:lpwstr>
  </property>
  <property fmtid="{D5CDD505-2E9C-101B-9397-08002B2CF9AE}" pid="3" name="SEC">
    <vt:lpwstr>UNCLASSIFIED</vt:lpwstr>
  </property>
  <property fmtid="{D5CDD505-2E9C-101B-9397-08002B2CF9AE}" pid="4" name="DLM">
    <vt:lpwstr>No DLM</vt:lpwstr>
  </property>
  <property fmtid="{D5CDD505-2E9C-101B-9397-08002B2CF9AE}" pid="5" name="ContentTypeId">
    <vt:lpwstr>0x01010050F19AC2165D2E47A5E6B7F563E4CF00</vt:lpwstr>
  </property>
  <property fmtid="{D5CDD505-2E9C-101B-9397-08002B2CF9AE}" pid="6" name="Order">
    <vt:r8>1093000</vt:r8>
  </property>
  <property fmtid="{D5CDD505-2E9C-101B-9397-08002B2CF9AE}" pid="7" name="TemplateUrl">
    <vt:lpwstr/>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ies>
</file>