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1B88A" w14:textId="77777777" w:rsidR="00944BC2" w:rsidRPr="0072064D" w:rsidRDefault="00944BC2" w:rsidP="00944BC2">
      <w:pPr>
        <w:tabs>
          <w:tab w:val="left" w:pos="170"/>
        </w:tabs>
        <w:rPr>
          <w:color w:val="666699"/>
          <w:sz w:val="18"/>
          <w:szCs w:val="18"/>
        </w:rPr>
      </w:pPr>
      <w:bookmarkStart w:id="0" w:name="_GoBack"/>
      <w:bookmarkEnd w:id="0"/>
    </w:p>
    <w:p w14:paraId="4A01B88B" w14:textId="1E0D0BB4" w:rsidR="00C657FB" w:rsidRDefault="00FA640E" w:rsidP="008C7209">
      <w:pPr>
        <w:pStyle w:val="DocName"/>
        <w:pBdr>
          <w:top w:val="single" w:sz="4" w:space="12" w:color="FF9900"/>
          <w:bottom w:val="single" w:sz="4" w:space="5" w:color="FF9900"/>
        </w:pBdr>
        <w:shd w:val="clear" w:color="auto" w:fill="FFFFCC"/>
        <w:spacing w:line="360" w:lineRule="auto"/>
        <w:rPr>
          <w:sz w:val="24"/>
          <w:lang w:eastAsia="en-AU"/>
        </w:rPr>
      </w:pPr>
      <w:r w:rsidRPr="00FA640E">
        <w:rPr>
          <w:sz w:val="24"/>
          <w:lang w:eastAsia="en-AU"/>
        </w:rPr>
        <w:t>Strategic Review of Australia’s Support for Peace in Mindanao</w:t>
      </w:r>
    </w:p>
    <w:p w14:paraId="7586C87C" w14:textId="3FF6ED6C" w:rsidR="00FA640E" w:rsidRDefault="00FA640E" w:rsidP="008C7209">
      <w:pPr>
        <w:pStyle w:val="DocName"/>
        <w:pBdr>
          <w:top w:val="single" w:sz="4" w:space="12" w:color="FF9900"/>
          <w:bottom w:val="single" w:sz="4" w:space="5" w:color="FF9900"/>
        </w:pBdr>
        <w:shd w:val="clear" w:color="auto" w:fill="FFFFCC"/>
        <w:spacing w:line="360" w:lineRule="auto"/>
        <w:rPr>
          <w:sz w:val="24"/>
          <w:lang w:eastAsia="en-AU"/>
        </w:rPr>
      </w:pPr>
      <w:r w:rsidRPr="005277F9">
        <w:rPr>
          <w:sz w:val="22"/>
          <w:lang w:eastAsia="en-AU"/>
        </w:rPr>
        <w:t>and</w:t>
      </w:r>
    </w:p>
    <w:p w14:paraId="48BBEFCA" w14:textId="009C9036" w:rsidR="00FA640E" w:rsidRDefault="00FA640E" w:rsidP="00FA640E">
      <w:pPr>
        <w:pStyle w:val="DocName"/>
        <w:pBdr>
          <w:top w:val="single" w:sz="4" w:space="12" w:color="FF9900"/>
          <w:bottom w:val="single" w:sz="4" w:space="5" w:color="FF9900"/>
        </w:pBdr>
        <w:shd w:val="clear" w:color="auto" w:fill="FFFFCC"/>
        <w:spacing w:line="360" w:lineRule="auto"/>
        <w:rPr>
          <w:sz w:val="24"/>
          <w:lang w:eastAsia="en-AU"/>
        </w:rPr>
      </w:pPr>
      <w:r w:rsidRPr="00FA640E">
        <w:rPr>
          <w:sz w:val="22"/>
          <w:szCs w:val="22"/>
          <w:lang w:eastAsia="en-AU"/>
        </w:rPr>
        <w:t>Mid-Term Review of Building Sustainable Institutions and Communities in Bangsamoro</w:t>
      </w:r>
      <w:r>
        <w:rPr>
          <w:sz w:val="24"/>
          <w:lang w:eastAsia="en-AU"/>
        </w:rPr>
        <w:t xml:space="preserve"> </w:t>
      </w:r>
      <w:r w:rsidRPr="00FA640E">
        <w:rPr>
          <w:sz w:val="24"/>
          <w:lang w:eastAsia="en-AU"/>
        </w:rPr>
        <w:t>(BASIC</w:t>
      </w:r>
      <w:r>
        <w:rPr>
          <w:sz w:val="24"/>
          <w:lang w:eastAsia="en-AU"/>
        </w:rPr>
        <w:t xml:space="preserve"> Bangsamoro</w:t>
      </w:r>
      <w:r w:rsidRPr="00FA640E">
        <w:rPr>
          <w:sz w:val="24"/>
          <w:lang w:eastAsia="en-AU"/>
        </w:rPr>
        <w:t>)</w:t>
      </w:r>
    </w:p>
    <w:p w14:paraId="4A01B88C"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18487F8B" w14:textId="1182CD0F" w:rsidR="009B70B1" w:rsidRPr="006820A4" w:rsidRDefault="009B70B1" w:rsidP="00683EB4">
      <w:pPr>
        <w:pStyle w:val="Heading2"/>
        <w:rPr>
          <w:b w:val="0"/>
          <w:sz w:val="20"/>
          <w:szCs w:val="20"/>
        </w:rPr>
      </w:pPr>
      <w:r w:rsidRPr="006820A4">
        <w:rPr>
          <w:b w:val="0"/>
          <w:sz w:val="20"/>
          <w:szCs w:val="20"/>
        </w:rPr>
        <w:t xml:space="preserve">Prepared by: </w:t>
      </w:r>
      <w:r w:rsidR="000F4BBE">
        <w:rPr>
          <w:b w:val="0"/>
          <w:sz w:val="20"/>
          <w:szCs w:val="20"/>
        </w:rPr>
        <w:t>Tim Smith, First Secretary</w:t>
      </w:r>
    </w:p>
    <w:p w14:paraId="50445033" w14:textId="33586F53" w:rsidR="009B70B1" w:rsidRPr="006820A4" w:rsidRDefault="006127E6" w:rsidP="009B70B1">
      <w:pPr>
        <w:rPr>
          <w:szCs w:val="20"/>
          <w:lang w:eastAsia="en-AU"/>
        </w:rPr>
      </w:pPr>
      <w:r>
        <w:rPr>
          <w:szCs w:val="20"/>
          <w:lang w:eastAsia="en-AU"/>
        </w:rPr>
        <w:t xml:space="preserve">Approved by:  </w:t>
      </w:r>
      <w:r w:rsidR="000F4BBE">
        <w:rPr>
          <w:szCs w:val="20"/>
          <w:lang w:eastAsia="en-AU"/>
        </w:rPr>
        <w:t>Richard Rodgers, Counsellor Political and Public Affairs</w:t>
      </w:r>
    </w:p>
    <w:p w14:paraId="1F9D6D36" w14:textId="58D38B95" w:rsidR="009B70B1" w:rsidRPr="006820A4" w:rsidRDefault="009B70B1" w:rsidP="009B70B1">
      <w:pPr>
        <w:rPr>
          <w:szCs w:val="20"/>
          <w:lang w:eastAsia="en-AU"/>
        </w:rPr>
      </w:pPr>
      <w:r w:rsidRPr="006820A4">
        <w:rPr>
          <w:szCs w:val="20"/>
          <w:lang w:eastAsia="en-AU"/>
        </w:rPr>
        <w:t>Date prepared:</w:t>
      </w:r>
      <w:r w:rsidR="00E9009B">
        <w:rPr>
          <w:szCs w:val="20"/>
          <w:lang w:eastAsia="en-AU"/>
        </w:rPr>
        <w:t xml:space="preserve">   </w:t>
      </w:r>
      <w:r w:rsidR="00446E04">
        <w:rPr>
          <w:szCs w:val="20"/>
          <w:lang w:eastAsia="en-AU"/>
        </w:rPr>
        <w:t>22</w:t>
      </w:r>
      <w:r w:rsidR="000F4BBE">
        <w:rPr>
          <w:szCs w:val="20"/>
          <w:lang w:eastAsia="en-AU"/>
        </w:rPr>
        <w:t xml:space="preserve"> </w:t>
      </w:r>
      <w:r w:rsidR="00914298">
        <w:rPr>
          <w:szCs w:val="20"/>
          <w:lang w:eastAsia="en-AU"/>
        </w:rPr>
        <w:t>February</w:t>
      </w:r>
      <w:r w:rsidR="000F4BBE">
        <w:rPr>
          <w:szCs w:val="20"/>
          <w:lang w:eastAsia="en-AU"/>
        </w:rPr>
        <w:t xml:space="preserve"> 2017</w:t>
      </w:r>
    </w:p>
    <w:p w14:paraId="4A01B88D"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4A01B890" w14:textId="77777777" w:rsidTr="00175FFC">
        <w:trPr>
          <w:cantSplit/>
          <w:tblHeader/>
        </w:trPr>
        <w:tc>
          <w:tcPr>
            <w:tcW w:w="2660" w:type="dxa"/>
            <w:shd w:val="clear" w:color="auto" w:fill="E0E0E0"/>
            <w:vAlign w:val="center"/>
          </w:tcPr>
          <w:p w14:paraId="4A01B88E"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4A01B88F" w14:textId="77777777" w:rsidR="00C657FB" w:rsidRPr="00F43CEC" w:rsidRDefault="00C657FB" w:rsidP="00175FFC">
            <w:pPr>
              <w:pStyle w:val="Table-normal-text"/>
              <w:spacing w:before="120" w:after="120"/>
              <w:rPr>
                <w:b/>
              </w:rPr>
            </w:pPr>
          </w:p>
        </w:tc>
      </w:tr>
      <w:tr w:rsidR="00C657FB" w:rsidRPr="00F43CEC" w14:paraId="4A01B893" w14:textId="77777777" w:rsidTr="00175FFC">
        <w:trPr>
          <w:cantSplit/>
        </w:trPr>
        <w:tc>
          <w:tcPr>
            <w:tcW w:w="2660" w:type="dxa"/>
            <w:shd w:val="clear" w:color="auto" w:fill="auto"/>
          </w:tcPr>
          <w:p w14:paraId="4A01B891"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4A01B892" w14:textId="3D087785" w:rsidR="00C657FB" w:rsidRPr="00F2320B" w:rsidRDefault="006127E6" w:rsidP="005277F9">
            <w:pPr>
              <w:pStyle w:val="Table-normal-text"/>
            </w:pPr>
            <w:r>
              <w:t>IN</w:t>
            </w:r>
            <w:r w:rsidR="008C7209">
              <w:t>L343</w:t>
            </w:r>
            <w:r w:rsidR="00FA640E">
              <w:t xml:space="preserve"> (</w:t>
            </w:r>
            <w:r w:rsidR="005277F9" w:rsidRPr="00FA640E">
              <w:t>BASIC Bangsamoro</w:t>
            </w:r>
            <w:r w:rsidR="005277F9">
              <w:t xml:space="preserve"> activity: </w:t>
            </w:r>
            <w:r w:rsidR="00FA640E">
              <w:t>14A222)</w:t>
            </w:r>
          </w:p>
        </w:tc>
      </w:tr>
      <w:tr w:rsidR="00C657FB" w:rsidRPr="00F43CEC" w14:paraId="4A01B898" w14:textId="77777777" w:rsidTr="00175FFC">
        <w:trPr>
          <w:cantSplit/>
        </w:trPr>
        <w:tc>
          <w:tcPr>
            <w:tcW w:w="2660" w:type="dxa"/>
            <w:shd w:val="clear" w:color="auto" w:fill="auto"/>
          </w:tcPr>
          <w:p w14:paraId="4A01B894"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4A01B895" w14:textId="57DA888F" w:rsidR="00C657FB" w:rsidRPr="00F2320B" w:rsidRDefault="008C7209" w:rsidP="00880048">
            <w:pPr>
              <w:pStyle w:val="Table-normal-text"/>
            </w:pPr>
            <w:r>
              <w:t>1 July</w:t>
            </w:r>
            <w:r w:rsidR="006127E6">
              <w:t xml:space="preserve"> 20</w:t>
            </w:r>
            <w:r w:rsidR="00880048">
              <w:t>14</w:t>
            </w:r>
          </w:p>
        </w:tc>
        <w:tc>
          <w:tcPr>
            <w:tcW w:w="1843" w:type="dxa"/>
            <w:shd w:val="clear" w:color="auto" w:fill="auto"/>
          </w:tcPr>
          <w:p w14:paraId="4A01B896"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4A01B897" w14:textId="74BFD75D" w:rsidR="00C657FB" w:rsidRPr="00F2320B" w:rsidRDefault="006127E6" w:rsidP="000F4BBE">
            <w:pPr>
              <w:pStyle w:val="Table-normal-text"/>
            </w:pPr>
            <w:r>
              <w:t>30 June 20</w:t>
            </w:r>
            <w:r w:rsidR="000F4BBE">
              <w:t>17</w:t>
            </w:r>
          </w:p>
        </w:tc>
      </w:tr>
      <w:tr w:rsidR="00C657FB" w:rsidRPr="00F43CEC" w14:paraId="4A01B89B" w14:textId="77777777" w:rsidTr="00175FFC">
        <w:trPr>
          <w:cantSplit/>
        </w:trPr>
        <w:tc>
          <w:tcPr>
            <w:tcW w:w="2660" w:type="dxa"/>
            <w:shd w:val="clear" w:color="auto" w:fill="auto"/>
          </w:tcPr>
          <w:p w14:paraId="4A01B899" w14:textId="77777777" w:rsidR="00C657FB" w:rsidRPr="00F2320B" w:rsidRDefault="00C657FB" w:rsidP="00175FFC">
            <w:pPr>
              <w:pStyle w:val="Table-normal-text"/>
            </w:pPr>
            <w:r>
              <w:t>Total Australian $</w:t>
            </w:r>
          </w:p>
        </w:tc>
        <w:tc>
          <w:tcPr>
            <w:tcW w:w="7229" w:type="dxa"/>
            <w:gridSpan w:val="3"/>
            <w:shd w:val="clear" w:color="auto" w:fill="auto"/>
          </w:tcPr>
          <w:p w14:paraId="4A01B89A" w14:textId="712D2FC3" w:rsidR="00C657FB" w:rsidRPr="00F2320B" w:rsidRDefault="00FA640E" w:rsidP="00175FFC">
            <w:pPr>
              <w:pStyle w:val="Table-normal-text"/>
            </w:pPr>
            <w:r w:rsidRPr="00FA640E">
              <w:rPr>
                <w:lang w:val="en"/>
              </w:rPr>
              <w:t>7,317,718</w:t>
            </w:r>
            <w:r>
              <w:rPr>
                <w:lang w:val="en"/>
              </w:rPr>
              <w:t xml:space="preserve"> (BASIC Bangsamoro)</w:t>
            </w:r>
          </w:p>
        </w:tc>
      </w:tr>
      <w:tr w:rsidR="00C657FB" w:rsidRPr="00F43CEC" w14:paraId="4A01B89E" w14:textId="77777777" w:rsidTr="00175FFC">
        <w:trPr>
          <w:cantSplit/>
        </w:trPr>
        <w:tc>
          <w:tcPr>
            <w:tcW w:w="2660" w:type="dxa"/>
            <w:shd w:val="clear" w:color="auto" w:fill="auto"/>
          </w:tcPr>
          <w:p w14:paraId="4A01B89C" w14:textId="77777777" w:rsidR="00C657FB" w:rsidRPr="00F2320B" w:rsidRDefault="00C657FB" w:rsidP="00175FFC">
            <w:pPr>
              <w:pStyle w:val="Table-normal-text"/>
            </w:pPr>
            <w:r>
              <w:t>Total other $</w:t>
            </w:r>
          </w:p>
        </w:tc>
        <w:tc>
          <w:tcPr>
            <w:tcW w:w="7229" w:type="dxa"/>
            <w:gridSpan w:val="3"/>
            <w:shd w:val="clear" w:color="auto" w:fill="auto"/>
          </w:tcPr>
          <w:p w14:paraId="4A01B89D" w14:textId="77777777" w:rsidR="00C657FB" w:rsidRPr="00F2320B" w:rsidRDefault="00C657FB" w:rsidP="00175FFC">
            <w:pPr>
              <w:pStyle w:val="Table-normal-text"/>
            </w:pPr>
          </w:p>
        </w:tc>
      </w:tr>
      <w:tr w:rsidR="00C657FB" w:rsidRPr="00F43CEC" w14:paraId="4A01B8A4" w14:textId="77777777" w:rsidTr="00175FFC">
        <w:trPr>
          <w:cantSplit/>
        </w:trPr>
        <w:tc>
          <w:tcPr>
            <w:tcW w:w="2660" w:type="dxa"/>
            <w:shd w:val="clear" w:color="auto" w:fill="auto"/>
          </w:tcPr>
          <w:p w14:paraId="4A01B8A2"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6177297D" w14:textId="4A4644AB" w:rsidR="005277F9" w:rsidRPr="00FA640E" w:rsidRDefault="005277F9" w:rsidP="00175FFC">
            <w:pPr>
              <w:pStyle w:val="Table-normal-text"/>
              <w:rPr>
                <w:u w:val="single"/>
              </w:rPr>
            </w:pPr>
            <w:r>
              <w:rPr>
                <w:u w:val="single"/>
              </w:rPr>
              <w:t xml:space="preserve">BASIC </w:t>
            </w:r>
            <w:r w:rsidRPr="00FA640E">
              <w:rPr>
                <w:u w:val="single"/>
              </w:rPr>
              <w:t>Bangsamoro</w:t>
            </w:r>
          </w:p>
          <w:p w14:paraId="6F36309E" w14:textId="011BDA2E" w:rsidR="00C657FB" w:rsidRDefault="000F4BBE" w:rsidP="00175FFC">
            <w:pPr>
              <w:pStyle w:val="Table-normal-text"/>
            </w:pPr>
            <w:r>
              <w:t>International Alert</w:t>
            </w:r>
          </w:p>
          <w:p w14:paraId="003B9E5E" w14:textId="77777777" w:rsidR="000F4BBE" w:rsidRDefault="000F4BBE" w:rsidP="00175FFC">
            <w:pPr>
              <w:pStyle w:val="Table-normal-text"/>
            </w:pPr>
            <w:r>
              <w:t>Institute for Autonomy and Governance</w:t>
            </w:r>
          </w:p>
          <w:p w14:paraId="49E73E14" w14:textId="77777777" w:rsidR="000F4BBE" w:rsidRDefault="000F4BBE" w:rsidP="00175FFC">
            <w:pPr>
              <w:pStyle w:val="Table-normal-text"/>
            </w:pPr>
            <w:r>
              <w:t>Oxfam</w:t>
            </w:r>
          </w:p>
          <w:p w14:paraId="4A01B8A3" w14:textId="70DC7554" w:rsidR="000F4BBE" w:rsidRPr="00F2320B" w:rsidRDefault="000F4BBE" w:rsidP="00175FFC">
            <w:pPr>
              <w:pStyle w:val="Table-normal-text"/>
            </w:pPr>
            <w:r>
              <w:t>The Asia Foundation</w:t>
            </w:r>
          </w:p>
        </w:tc>
      </w:tr>
      <w:tr w:rsidR="00C657FB" w:rsidRPr="00F43CEC" w14:paraId="4A01B8A7" w14:textId="77777777" w:rsidTr="00175FFC">
        <w:trPr>
          <w:cantSplit/>
        </w:trPr>
        <w:tc>
          <w:tcPr>
            <w:tcW w:w="2660" w:type="dxa"/>
            <w:shd w:val="clear" w:color="auto" w:fill="auto"/>
          </w:tcPr>
          <w:p w14:paraId="4A01B8A5" w14:textId="77777777" w:rsidR="00C657FB" w:rsidRPr="00F2320B" w:rsidRDefault="00C657FB" w:rsidP="00175FFC">
            <w:pPr>
              <w:pStyle w:val="Table-normal-text"/>
            </w:pPr>
            <w:r w:rsidRPr="00F2320B">
              <w:t>Country/Region</w:t>
            </w:r>
          </w:p>
        </w:tc>
        <w:tc>
          <w:tcPr>
            <w:tcW w:w="7229" w:type="dxa"/>
            <w:gridSpan w:val="3"/>
            <w:shd w:val="clear" w:color="auto" w:fill="auto"/>
          </w:tcPr>
          <w:p w14:paraId="4A01B8A6" w14:textId="4805AE11" w:rsidR="00C657FB" w:rsidRPr="00F2320B" w:rsidRDefault="00970C8D" w:rsidP="00175FFC">
            <w:pPr>
              <w:pStyle w:val="Table-normal-text"/>
            </w:pPr>
            <w:r>
              <w:t>Philippines</w:t>
            </w:r>
          </w:p>
        </w:tc>
      </w:tr>
      <w:tr w:rsidR="00C657FB" w:rsidRPr="00F43CEC" w14:paraId="4A01B8AA" w14:textId="77777777" w:rsidTr="00175FFC">
        <w:trPr>
          <w:cantSplit/>
        </w:trPr>
        <w:tc>
          <w:tcPr>
            <w:tcW w:w="2660" w:type="dxa"/>
            <w:shd w:val="clear" w:color="auto" w:fill="auto"/>
          </w:tcPr>
          <w:p w14:paraId="4A01B8A8"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4A01B8A9" w14:textId="5836B4A2" w:rsidR="00C657FB" w:rsidRPr="00F2320B" w:rsidRDefault="000F4BBE" w:rsidP="00175FFC">
            <w:pPr>
              <w:pStyle w:val="Table-normal-text"/>
            </w:pPr>
            <w:r>
              <w:t>Peace and Stability</w:t>
            </w:r>
          </w:p>
        </w:tc>
      </w:tr>
      <w:tr w:rsidR="00C657FB" w:rsidRPr="00F43CEC" w14:paraId="4A01B8AD" w14:textId="77777777" w:rsidTr="00175FFC">
        <w:trPr>
          <w:cantSplit/>
        </w:trPr>
        <w:tc>
          <w:tcPr>
            <w:tcW w:w="2660" w:type="dxa"/>
            <w:shd w:val="clear" w:color="auto" w:fill="auto"/>
          </w:tcPr>
          <w:p w14:paraId="4A01B8AB"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10938C15" w14:textId="77777777" w:rsidR="00970C8D" w:rsidRDefault="005277F9" w:rsidP="005277F9">
            <w:pPr>
              <w:tabs>
                <w:tab w:val="left" w:pos="227"/>
              </w:tabs>
              <w:spacing w:before="60"/>
            </w:pPr>
            <w:r>
              <w:t>T</w:t>
            </w:r>
            <w:r w:rsidRPr="005277F9">
              <w:t xml:space="preserve">he main objective of </w:t>
            </w:r>
            <w:r>
              <w:t>the BASIC Bangsamoro</w:t>
            </w:r>
            <w:r w:rsidRPr="005277F9">
              <w:t xml:space="preserve"> grants program is to support long-term stability and development in conflict-affected areas of Mindanao. This program should enhance stability and development by supporting efforts to ensure a successful transition to the Bangsamoro and a durable end to armed conflict in Moro areas</w:t>
            </w:r>
            <w:r w:rsidR="002310A4" w:rsidRPr="002310A4">
              <w:t>.</w:t>
            </w:r>
          </w:p>
          <w:p w14:paraId="635DA94A" w14:textId="71ADE982" w:rsidR="00802C8E" w:rsidRDefault="00802C8E" w:rsidP="00802C8E">
            <w:pPr>
              <w:tabs>
                <w:tab w:val="left" w:pos="227"/>
              </w:tabs>
              <w:spacing w:before="60"/>
            </w:pPr>
            <w:r>
              <w:t>BASIC Bangsamoro grants supported proposals for:</w:t>
            </w:r>
          </w:p>
          <w:p w14:paraId="1B34745F" w14:textId="2FD988E9" w:rsidR="00802C8E" w:rsidRDefault="00802C8E" w:rsidP="00802C8E">
            <w:pPr>
              <w:pStyle w:val="ListParagraph"/>
              <w:numPr>
                <w:ilvl w:val="0"/>
                <w:numId w:val="12"/>
              </w:numPr>
              <w:tabs>
                <w:tab w:val="left" w:pos="227"/>
              </w:tabs>
              <w:spacing w:before="60"/>
            </w:pPr>
            <w:r>
              <w:t>Improving institutional capacity to implement the peace agreement;</w:t>
            </w:r>
          </w:p>
          <w:p w14:paraId="466116FC" w14:textId="315C7844" w:rsidR="00802C8E" w:rsidRDefault="00802C8E" w:rsidP="00802C8E">
            <w:pPr>
              <w:pStyle w:val="ListParagraph"/>
              <w:numPr>
                <w:ilvl w:val="0"/>
                <w:numId w:val="12"/>
              </w:numPr>
              <w:tabs>
                <w:tab w:val="left" w:pos="227"/>
              </w:tabs>
              <w:spacing w:before="60"/>
            </w:pPr>
            <w:r>
              <w:t>Ensuring the peace process is more credible and widely supported; and</w:t>
            </w:r>
          </w:p>
          <w:p w14:paraId="4A01B8AC" w14:textId="4F16E81E" w:rsidR="00802C8E" w:rsidRPr="00F2320B" w:rsidRDefault="00802C8E" w:rsidP="00802C8E">
            <w:pPr>
              <w:pStyle w:val="ListParagraph"/>
              <w:numPr>
                <w:ilvl w:val="0"/>
                <w:numId w:val="12"/>
              </w:numPr>
              <w:tabs>
                <w:tab w:val="left" w:pos="227"/>
              </w:tabs>
              <w:spacing w:before="60"/>
            </w:pPr>
            <w:r>
              <w:t>Strengthening local mechanisms for averting the escalation of violence.</w:t>
            </w:r>
          </w:p>
        </w:tc>
      </w:tr>
    </w:tbl>
    <w:p w14:paraId="4A01B8AE" w14:textId="1CD22419" w:rsidR="00C657FB" w:rsidRDefault="00C657FB" w:rsidP="00C657FB">
      <w:pPr>
        <w:pStyle w:val="Heading2"/>
        <w:rPr>
          <w:sz w:val="22"/>
        </w:rPr>
      </w:pPr>
      <w:r w:rsidRPr="00310BC9">
        <w:rPr>
          <w:sz w:val="22"/>
        </w:rPr>
        <w:t>Evaluation Summary</w:t>
      </w:r>
    </w:p>
    <w:p w14:paraId="4A01B8B0" w14:textId="04C5D1F5" w:rsidR="00C657FB" w:rsidRPr="00123C3E" w:rsidRDefault="00C657FB" w:rsidP="00C657FB">
      <w:pPr>
        <w:rPr>
          <w:b/>
        </w:rPr>
      </w:pPr>
      <w:r w:rsidRPr="00123C3E">
        <w:rPr>
          <w:b/>
        </w:rPr>
        <w:t>Evaluation Objective:</w:t>
      </w:r>
      <w:r>
        <w:rPr>
          <w:b/>
        </w:rPr>
        <w:t xml:space="preserve"> </w:t>
      </w:r>
      <w:r w:rsidR="005277F9" w:rsidRPr="005277F9">
        <w:t>The review serves as the mandated mid-term review of the bilateral BASIC Bangsamoro program. It is, however, formative in nature and will inform the future direction of Australia’s bilateral activities and broader support for peace and stability. It will assess the effectiveness of Australia’s support for peace in Muslim Mindanao to date, and its appropriateness in the context of the change in the Philippine administration and the new leadership, policies and institu</w:t>
      </w:r>
      <w:r w:rsidR="005277F9">
        <w:t>tional environment this entails</w:t>
      </w:r>
      <w:r w:rsidR="002310A4">
        <w:t>.</w:t>
      </w:r>
      <w:r w:rsidR="008B2A6F">
        <w:t xml:space="preserve"> </w:t>
      </w:r>
    </w:p>
    <w:p w14:paraId="4A01B8B1" w14:textId="055C218A" w:rsidR="00C657FB" w:rsidRPr="00394FD3" w:rsidRDefault="00C657FB" w:rsidP="00C657FB">
      <w:r w:rsidRPr="00123C3E">
        <w:rPr>
          <w:b/>
        </w:rPr>
        <w:t>Evaluation Completion Date:</w:t>
      </w:r>
      <w:r>
        <w:rPr>
          <w:b/>
        </w:rPr>
        <w:t xml:space="preserve"> </w:t>
      </w:r>
      <w:r w:rsidR="00446E04">
        <w:t>9</w:t>
      </w:r>
      <w:r w:rsidR="000F4BBE">
        <w:t xml:space="preserve"> </w:t>
      </w:r>
      <w:r w:rsidR="00914298">
        <w:t>February</w:t>
      </w:r>
      <w:r w:rsidR="002310A4">
        <w:t xml:space="preserve"> 201</w:t>
      </w:r>
      <w:r w:rsidR="000F4BBE">
        <w:t>7</w:t>
      </w:r>
    </w:p>
    <w:p w14:paraId="4A01B8B2" w14:textId="6D0E592F" w:rsidR="00C657FB" w:rsidRDefault="008B2A6F" w:rsidP="00C657FB">
      <w:r>
        <w:rPr>
          <w:b/>
        </w:rPr>
        <w:t>Evaluator</w:t>
      </w:r>
      <w:r w:rsidR="000F4BBE">
        <w:rPr>
          <w:b/>
        </w:rPr>
        <w:t>s</w:t>
      </w:r>
      <w:r w:rsidR="00C657FB" w:rsidRPr="00123C3E">
        <w:rPr>
          <w:b/>
        </w:rPr>
        <w:t>:</w:t>
      </w:r>
      <w:r w:rsidR="000F4BBE">
        <w:rPr>
          <w:b/>
        </w:rPr>
        <w:tab/>
      </w:r>
      <w:r w:rsidR="000F4BBE">
        <w:t>Dr Fermin Adriano</w:t>
      </w:r>
    </w:p>
    <w:p w14:paraId="342073BC" w14:textId="72BA742D" w:rsidR="000F4BBE" w:rsidRDefault="000F4BBE" w:rsidP="00C657FB">
      <w:pPr>
        <w:contextualSpacing/>
      </w:pPr>
      <w:r>
        <w:tab/>
      </w:r>
      <w:r>
        <w:tab/>
        <w:t>Sophia Close</w:t>
      </w:r>
    </w:p>
    <w:p w14:paraId="7607C866" w14:textId="75A59AE1" w:rsidR="000F4BBE" w:rsidRPr="00394FD3" w:rsidRDefault="000F4BBE" w:rsidP="00C657FB">
      <w:pPr>
        <w:contextualSpacing/>
      </w:pPr>
      <w:r>
        <w:tab/>
      </w:r>
      <w:r>
        <w:tab/>
        <w:t>Robin Bednall</w:t>
      </w:r>
    </w:p>
    <w:p w14:paraId="6AB056C8" w14:textId="77777777" w:rsidR="000F4BBE" w:rsidRDefault="000F4BBE" w:rsidP="000D316D">
      <w:pPr>
        <w:rPr>
          <w:b/>
          <w:sz w:val="22"/>
          <w:szCs w:val="22"/>
          <w:lang w:eastAsia="en-AU"/>
        </w:rPr>
      </w:pPr>
    </w:p>
    <w:p w14:paraId="4A01B8B5" w14:textId="72C221B4" w:rsidR="005E3939" w:rsidRDefault="00367DA3" w:rsidP="000D316D">
      <w:pPr>
        <w:rPr>
          <w:b/>
          <w:sz w:val="22"/>
          <w:szCs w:val="22"/>
          <w:lang w:eastAsia="en-AU"/>
        </w:rPr>
      </w:pPr>
      <w:r w:rsidRPr="008B3156">
        <w:rPr>
          <w:b/>
          <w:sz w:val="22"/>
          <w:szCs w:val="22"/>
          <w:lang w:eastAsia="en-AU"/>
        </w:rPr>
        <w:t>D</w:t>
      </w:r>
      <w:r w:rsidR="00E414F7">
        <w:rPr>
          <w:b/>
          <w:sz w:val="22"/>
          <w:szCs w:val="22"/>
          <w:lang w:eastAsia="en-AU"/>
        </w:rPr>
        <w:t>FAT</w:t>
      </w:r>
      <w:r w:rsidRPr="008B3156">
        <w:rPr>
          <w:b/>
          <w:sz w:val="22"/>
          <w:szCs w:val="22"/>
          <w:lang w:eastAsia="en-AU"/>
        </w:rPr>
        <w:t>’s response to the evaluation report</w:t>
      </w:r>
    </w:p>
    <w:p w14:paraId="2E5E13D0" w14:textId="15861CE7" w:rsidR="00A53836" w:rsidRPr="002A089D" w:rsidRDefault="006B6C62" w:rsidP="00A53836">
      <w:pPr>
        <w:rPr>
          <w:szCs w:val="20"/>
          <w:lang w:eastAsia="en-AU"/>
        </w:rPr>
      </w:pPr>
      <w:r w:rsidRPr="006B6C62">
        <w:rPr>
          <w:szCs w:val="20"/>
          <w:lang w:eastAsia="en-AU"/>
        </w:rPr>
        <w:t xml:space="preserve">DFAT </w:t>
      </w:r>
      <w:r w:rsidR="006032AC">
        <w:rPr>
          <w:szCs w:val="20"/>
          <w:lang w:eastAsia="en-AU"/>
        </w:rPr>
        <w:t>assess</w:t>
      </w:r>
      <w:r w:rsidR="00E350C3">
        <w:rPr>
          <w:szCs w:val="20"/>
          <w:lang w:eastAsia="en-AU"/>
        </w:rPr>
        <w:t>ed</w:t>
      </w:r>
      <w:r w:rsidR="006032AC">
        <w:rPr>
          <w:szCs w:val="20"/>
          <w:lang w:eastAsia="en-AU"/>
        </w:rPr>
        <w:t xml:space="preserve"> that t</w:t>
      </w:r>
      <w:r>
        <w:rPr>
          <w:szCs w:val="20"/>
          <w:lang w:eastAsia="en-AU"/>
        </w:rPr>
        <w:t xml:space="preserve">he </w:t>
      </w:r>
      <w:r w:rsidR="000E131E">
        <w:rPr>
          <w:szCs w:val="20"/>
          <w:lang w:eastAsia="en-AU"/>
        </w:rPr>
        <w:t>Review</w:t>
      </w:r>
      <w:r>
        <w:rPr>
          <w:szCs w:val="20"/>
          <w:lang w:eastAsia="en-AU"/>
        </w:rPr>
        <w:t xml:space="preserve"> final</w:t>
      </w:r>
      <w:r w:rsidR="000E131E">
        <w:rPr>
          <w:szCs w:val="20"/>
          <w:lang w:eastAsia="en-AU"/>
        </w:rPr>
        <w:t xml:space="preserve"> </w:t>
      </w:r>
      <w:r w:rsidR="008B2A6F">
        <w:rPr>
          <w:szCs w:val="20"/>
          <w:lang w:eastAsia="en-AU"/>
        </w:rPr>
        <w:t xml:space="preserve">report is </w:t>
      </w:r>
      <w:r w:rsidR="002354FE">
        <w:rPr>
          <w:szCs w:val="20"/>
          <w:lang w:eastAsia="en-AU"/>
        </w:rPr>
        <w:t xml:space="preserve">of </w:t>
      </w:r>
      <w:r w:rsidR="007B043C">
        <w:rPr>
          <w:szCs w:val="20"/>
          <w:lang w:eastAsia="en-AU"/>
        </w:rPr>
        <w:t>good</w:t>
      </w:r>
      <w:r w:rsidR="002354FE">
        <w:rPr>
          <w:szCs w:val="20"/>
          <w:lang w:eastAsia="en-AU"/>
        </w:rPr>
        <w:t xml:space="preserve"> quality and deliver</w:t>
      </w:r>
      <w:r w:rsidR="00C94FAE">
        <w:rPr>
          <w:szCs w:val="20"/>
          <w:lang w:eastAsia="en-AU"/>
        </w:rPr>
        <w:t>ed</w:t>
      </w:r>
      <w:r w:rsidR="002354FE">
        <w:rPr>
          <w:szCs w:val="20"/>
          <w:lang w:eastAsia="en-AU"/>
        </w:rPr>
        <w:t xml:space="preserve"> on its objective</w:t>
      </w:r>
      <w:r>
        <w:rPr>
          <w:szCs w:val="20"/>
          <w:lang w:eastAsia="en-AU"/>
        </w:rPr>
        <w:t>.</w:t>
      </w:r>
      <w:r w:rsidR="002354FE" w:rsidRPr="002354FE">
        <w:rPr>
          <w:szCs w:val="20"/>
          <w:lang w:eastAsia="en-AU"/>
        </w:rPr>
        <w:t xml:space="preserve"> </w:t>
      </w:r>
      <w:r w:rsidR="000E131E">
        <w:rPr>
          <w:szCs w:val="20"/>
          <w:lang w:eastAsia="en-AU"/>
        </w:rPr>
        <w:t xml:space="preserve">The </w:t>
      </w:r>
      <w:r w:rsidR="00C94FAE">
        <w:rPr>
          <w:szCs w:val="20"/>
          <w:lang w:eastAsia="en-AU"/>
        </w:rPr>
        <w:t xml:space="preserve">review identifies the </w:t>
      </w:r>
      <w:r w:rsidR="000E131E">
        <w:rPr>
          <w:szCs w:val="20"/>
          <w:lang w:eastAsia="en-AU"/>
        </w:rPr>
        <w:t xml:space="preserve">strengths and </w:t>
      </w:r>
      <w:r w:rsidR="00802C8E">
        <w:rPr>
          <w:szCs w:val="20"/>
          <w:lang w:eastAsia="en-AU"/>
        </w:rPr>
        <w:t>limitations</w:t>
      </w:r>
      <w:r w:rsidR="000E131E">
        <w:rPr>
          <w:szCs w:val="20"/>
          <w:lang w:eastAsia="en-AU"/>
        </w:rPr>
        <w:t xml:space="preserve"> of </w:t>
      </w:r>
      <w:r>
        <w:rPr>
          <w:szCs w:val="20"/>
          <w:lang w:eastAsia="en-AU"/>
        </w:rPr>
        <w:t xml:space="preserve">the current </w:t>
      </w:r>
      <w:r w:rsidR="00802C8E">
        <w:rPr>
          <w:szCs w:val="20"/>
          <w:lang w:eastAsia="en-AU"/>
        </w:rPr>
        <w:t xml:space="preserve">interventions and provides recommendations on </w:t>
      </w:r>
      <w:r w:rsidR="00C94FAE">
        <w:rPr>
          <w:szCs w:val="20"/>
          <w:lang w:eastAsia="en-AU"/>
        </w:rPr>
        <w:t>the design</w:t>
      </w:r>
      <w:r w:rsidR="00A20786">
        <w:rPr>
          <w:szCs w:val="20"/>
          <w:lang w:eastAsia="en-AU"/>
        </w:rPr>
        <w:t xml:space="preserve"> </w:t>
      </w:r>
      <w:r w:rsidR="00A20786" w:rsidRPr="00CD3266">
        <w:rPr>
          <w:szCs w:val="20"/>
          <w:lang w:eastAsia="en-AU"/>
        </w:rPr>
        <w:t xml:space="preserve">of </w:t>
      </w:r>
      <w:r w:rsidR="005277F9">
        <w:rPr>
          <w:szCs w:val="20"/>
          <w:lang w:eastAsia="en-AU"/>
        </w:rPr>
        <w:t xml:space="preserve">future investments </w:t>
      </w:r>
      <w:r w:rsidR="00A20786" w:rsidRPr="00CD3266">
        <w:rPr>
          <w:szCs w:val="20"/>
          <w:lang w:eastAsia="en-AU"/>
        </w:rPr>
        <w:t xml:space="preserve">in </w:t>
      </w:r>
      <w:r w:rsidR="005277F9">
        <w:rPr>
          <w:szCs w:val="20"/>
          <w:lang w:eastAsia="en-AU"/>
        </w:rPr>
        <w:t>peace and stability in Muslim Mindanao</w:t>
      </w:r>
      <w:r w:rsidR="0020136D" w:rsidRPr="00CD3266">
        <w:rPr>
          <w:szCs w:val="20"/>
          <w:lang w:eastAsia="en-AU"/>
        </w:rPr>
        <w:t>.</w:t>
      </w:r>
    </w:p>
    <w:p w14:paraId="25BDC908" w14:textId="2D661AA3" w:rsidR="006032AC" w:rsidRDefault="00802C8E" w:rsidP="00D11574">
      <w:pPr>
        <w:rPr>
          <w:szCs w:val="20"/>
          <w:lang w:eastAsia="en-AU"/>
        </w:rPr>
      </w:pPr>
      <w:r>
        <w:rPr>
          <w:szCs w:val="20"/>
          <w:lang w:eastAsia="en-AU"/>
        </w:rPr>
        <w:t>DFAT note</w:t>
      </w:r>
      <w:r w:rsidR="0011631E">
        <w:rPr>
          <w:szCs w:val="20"/>
          <w:lang w:eastAsia="en-AU"/>
        </w:rPr>
        <w:t>d</w:t>
      </w:r>
      <w:r>
        <w:rPr>
          <w:szCs w:val="20"/>
          <w:lang w:eastAsia="en-AU"/>
        </w:rPr>
        <w:t xml:space="preserve"> that </w:t>
      </w:r>
      <w:r w:rsidRPr="00802C8E">
        <w:rPr>
          <w:szCs w:val="20"/>
          <w:lang w:eastAsia="en-AU"/>
        </w:rPr>
        <w:t xml:space="preserve">the review team did not have the opportunity to evaluate individual projects and partners in depth, and that further evaluation would </w:t>
      </w:r>
      <w:r w:rsidR="00420301">
        <w:rPr>
          <w:szCs w:val="20"/>
          <w:lang w:eastAsia="en-AU"/>
        </w:rPr>
        <w:t>be required</w:t>
      </w:r>
      <w:r w:rsidRPr="00802C8E">
        <w:rPr>
          <w:szCs w:val="20"/>
          <w:lang w:eastAsia="en-AU"/>
        </w:rPr>
        <w:t xml:space="preserve"> to comprehensively assess the performance of individual </w:t>
      </w:r>
      <w:r w:rsidR="0011631E">
        <w:rPr>
          <w:szCs w:val="20"/>
          <w:lang w:eastAsia="en-AU"/>
        </w:rPr>
        <w:t xml:space="preserve">BASIC Bangsamoro </w:t>
      </w:r>
      <w:r w:rsidRPr="00802C8E">
        <w:rPr>
          <w:szCs w:val="20"/>
          <w:lang w:eastAsia="en-AU"/>
        </w:rPr>
        <w:t>partners.</w:t>
      </w:r>
    </w:p>
    <w:p w14:paraId="3590033B" w14:textId="650A4DF5" w:rsidR="007902A8" w:rsidRPr="007902A8" w:rsidRDefault="00D60196" w:rsidP="00D11574">
      <w:pPr>
        <w:rPr>
          <w:szCs w:val="20"/>
          <w:lang w:eastAsia="en-AU"/>
        </w:rPr>
      </w:pPr>
      <w:r>
        <w:rPr>
          <w:szCs w:val="20"/>
          <w:lang w:eastAsia="en-AU"/>
        </w:rPr>
        <w:t>DFAT also noted that</w:t>
      </w:r>
      <w:r w:rsidR="007902A8">
        <w:rPr>
          <w:szCs w:val="20"/>
          <w:lang w:eastAsia="en-AU"/>
        </w:rPr>
        <w:t xml:space="preserve"> </w:t>
      </w:r>
      <w:r>
        <w:rPr>
          <w:szCs w:val="20"/>
          <w:lang w:eastAsia="en-AU"/>
        </w:rPr>
        <w:t xml:space="preserve">the Muslim Mindanao peace process </w:t>
      </w:r>
      <w:r w:rsidR="007902A8">
        <w:rPr>
          <w:szCs w:val="20"/>
          <w:lang w:eastAsia="en-AU"/>
        </w:rPr>
        <w:t xml:space="preserve">ultimately involves reaching </w:t>
      </w:r>
      <w:r>
        <w:rPr>
          <w:szCs w:val="20"/>
          <w:lang w:eastAsia="en-AU"/>
        </w:rPr>
        <w:t>a complex political settlement</w:t>
      </w:r>
      <w:r w:rsidR="007902A8">
        <w:rPr>
          <w:szCs w:val="20"/>
          <w:lang w:eastAsia="en-AU"/>
        </w:rPr>
        <w:t>; a process</w:t>
      </w:r>
      <w:r>
        <w:rPr>
          <w:szCs w:val="20"/>
          <w:lang w:eastAsia="en-AU"/>
        </w:rPr>
        <w:t xml:space="preserve"> over which donors like Australia and partners in activities such as BASIC Bangsamoro </w:t>
      </w:r>
      <w:r w:rsidR="00E10442">
        <w:rPr>
          <w:szCs w:val="20"/>
          <w:lang w:eastAsia="en-AU"/>
        </w:rPr>
        <w:t>can</w:t>
      </w:r>
      <w:r w:rsidR="007902A8">
        <w:rPr>
          <w:szCs w:val="20"/>
          <w:lang w:eastAsia="en-AU"/>
        </w:rPr>
        <w:t xml:space="preserve"> have </w:t>
      </w:r>
      <w:r w:rsidR="00305042">
        <w:rPr>
          <w:szCs w:val="20"/>
          <w:lang w:eastAsia="en-AU"/>
        </w:rPr>
        <w:t xml:space="preserve">only </w:t>
      </w:r>
      <w:r w:rsidR="007902A8">
        <w:rPr>
          <w:szCs w:val="20"/>
          <w:lang w:eastAsia="en-AU"/>
        </w:rPr>
        <w:t xml:space="preserve">limited influence. </w:t>
      </w:r>
      <w:r w:rsidR="00786580">
        <w:rPr>
          <w:szCs w:val="20"/>
          <w:lang w:eastAsia="en-AU"/>
        </w:rPr>
        <w:t>The strategies recommended in the review report</w:t>
      </w:r>
      <w:r w:rsidR="000E1A9E">
        <w:rPr>
          <w:szCs w:val="20"/>
          <w:lang w:eastAsia="en-AU"/>
        </w:rPr>
        <w:t xml:space="preserve"> with the benefit of hindsight </w:t>
      </w:r>
      <w:r w:rsidR="00446E04">
        <w:rPr>
          <w:szCs w:val="20"/>
          <w:lang w:eastAsia="en-AU"/>
        </w:rPr>
        <w:t>were not necessarily</w:t>
      </w:r>
      <w:r w:rsidR="000E1A9E">
        <w:rPr>
          <w:szCs w:val="20"/>
          <w:lang w:eastAsia="en-AU"/>
        </w:rPr>
        <w:t xml:space="preserve"> apparent </w:t>
      </w:r>
      <w:r w:rsidR="00786580">
        <w:rPr>
          <w:szCs w:val="20"/>
          <w:lang w:eastAsia="en-AU"/>
        </w:rPr>
        <w:t>during</w:t>
      </w:r>
      <w:r w:rsidR="000E1A9E">
        <w:rPr>
          <w:szCs w:val="20"/>
          <w:lang w:eastAsia="en-AU"/>
        </w:rPr>
        <w:t xml:space="preserve"> the course of </w:t>
      </w:r>
      <w:r w:rsidR="00E10442">
        <w:rPr>
          <w:szCs w:val="20"/>
          <w:lang w:eastAsia="en-AU"/>
        </w:rPr>
        <w:t>the peace p</w:t>
      </w:r>
      <w:r w:rsidR="00446E04">
        <w:rPr>
          <w:szCs w:val="20"/>
          <w:lang w:eastAsia="en-AU"/>
        </w:rPr>
        <w:t>rocess</w:t>
      </w:r>
      <w:r w:rsidR="00E10442">
        <w:rPr>
          <w:szCs w:val="20"/>
          <w:lang w:eastAsia="en-AU"/>
        </w:rPr>
        <w:t>.</w:t>
      </w:r>
    </w:p>
    <w:p w14:paraId="089FC0EB" w14:textId="6C9D3E13" w:rsidR="00A53836" w:rsidRPr="00A53836" w:rsidRDefault="008B2A6F" w:rsidP="00A53836">
      <w:pPr>
        <w:rPr>
          <w:i/>
          <w:szCs w:val="20"/>
          <w:u w:val="single"/>
          <w:lang w:eastAsia="en-AU"/>
        </w:rPr>
      </w:pPr>
      <w:r>
        <w:rPr>
          <w:i/>
          <w:szCs w:val="20"/>
          <w:u w:val="single"/>
          <w:lang w:eastAsia="en-AU"/>
        </w:rPr>
        <w:t>DFAT</w:t>
      </w:r>
      <w:r w:rsidR="008B084C">
        <w:rPr>
          <w:i/>
          <w:szCs w:val="20"/>
          <w:u w:val="single"/>
          <w:lang w:eastAsia="en-AU"/>
        </w:rPr>
        <w:t>’s overall response to the findings and recommendations</w:t>
      </w:r>
    </w:p>
    <w:p w14:paraId="6C953D69" w14:textId="367B915B" w:rsidR="00310BC9" w:rsidRPr="006B6C62" w:rsidRDefault="00036209" w:rsidP="007902A8">
      <w:pPr>
        <w:rPr>
          <w:szCs w:val="20"/>
          <w:lang w:eastAsia="en-AU"/>
        </w:rPr>
      </w:pPr>
      <w:r w:rsidRPr="00045812">
        <w:rPr>
          <w:szCs w:val="20"/>
          <w:lang w:eastAsia="en-AU"/>
        </w:rPr>
        <w:t xml:space="preserve">DFAT </w:t>
      </w:r>
      <w:r w:rsidR="00684D0B" w:rsidRPr="00045812">
        <w:rPr>
          <w:szCs w:val="20"/>
          <w:lang w:eastAsia="en-AU"/>
        </w:rPr>
        <w:t>notes the review</w:t>
      </w:r>
      <w:r w:rsidR="00A043BE" w:rsidRPr="00045812">
        <w:rPr>
          <w:szCs w:val="20"/>
          <w:lang w:eastAsia="en-AU"/>
        </w:rPr>
        <w:t xml:space="preserve"> findings and </w:t>
      </w:r>
      <w:r w:rsidR="002A089D" w:rsidRPr="00045812">
        <w:rPr>
          <w:szCs w:val="20"/>
          <w:lang w:eastAsia="en-AU"/>
        </w:rPr>
        <w:t xml:space="preserve">agrees with the recommendations put forward by the </w:t>
      </w:r>
      <w:r w:rsidR="00877550">
        <w:rPr>
          <w:szCs w:val="20"/>
          <w:lang w:eastAsia="en-AU"/>
        </w:rPr>
        <w:t>e</w:t>
      </w:r>
      <w:r w:rsidR="008B2A6F" w:rsidRPr="00045812">
        <w:rPr>
          <w:szCs w:val="20"/>
          <w:lang w:eastAsia="en-AU"/>
        </w:rPr>
        <w:t>valuator</w:t>
      </w:r>
      <w:r w:rsidR="007902A8">
        <w:rPr>
          <w:szCs w:val="20"/>
          <w:lang w:eastAsia="en-AU"/>
        </w:rPr>
        <w:t xml:space="preserve">s, while noting that implementing some of these recommendations would be subject to agreement of other parties (such as the Government of the Philippines) </w:t>
      </w:r>
      <w:r w:rsidR="00786580">
        <w:rPr>
          <w:szCs w:val="20"/>
          <w:lang w:eastAsia="en-AU"/>
        </w:rPr>
        <w:t>and</w:t>
      </w:r>
      <w:r w:rsidR="007902A8">
        <w:rPr>
          <w:szCs w:val="20"/>
          <w:lang w:eastAsia="en-AU"/>
        </w:rPr>
        <w:t xml:space="preserve"> their leadership on policy initiatives</w:t>
      </w:r>
      <w:r w:rsidR="002A089D" w:rsidRPr="00045812">
        <w:rPr>
          <w:szCs w:val="20"/>
          <w:lang w:eastAsia="en-AU"/>
        </w:rPr>
        <w:t>.</w:t>
      </w:r>
    </w:p>
    <w:p w14:paraId="0D068973" w14:textId="0564151C" w:rsidR="00A53836" w:rsidRPr="00A53836" w:rsidRDefault="008B084C" w:rsidP="00A53836">
      <w:pPr>
        <w:rPr>
          <w:i/>
          <w:szCs w:val="20"/>
          <w:u w:val="single"/>
          <w:lang w:eastAsia="en-AU"/>
        </w:rPr>
      </w:pPr>
      <w:r>
        <w:rPr>
          <w:i/>
          <w:szCs w:val="20"/>
          <w:u w:val="single"/>
          <w:lang w:eastAsia="en-AU"/>
        </w:rPr>
        <w:t>Brief comments on future direct</w:t>
      </w:r>
      <w:r w:rsidR="00B366B9">
        <w:rPr>
          <w:i/>
          <w:szCs w:val="20"/>
          <w:u w:val="single"/>
          <w:lang w:eastAsia="en-AU"/>
        </w:rPr>
        <w:t>ion</w:t>
      </w:r>
      <w:r w:rsidR="00914298">
        <w:rPr>
          <w:i/>
          <w:szCs w:val="20"/>
          <w:u w:val="single"/>
          <w:lang w:eastAsia="en-AU"/>
        </w:rPr>
        <w:t xml:space="preserve"> of sector</w:t>
      </w:r>
    </w:p>
    <w:p w14:paraId="7B987DBF" w14:textId="259BCF40" w:rsidR="00B72258" w:rsidRDefault="00786580" w:rsidP="00C657FB">
      <w:pPr>
        <w:rPr>
          <w:szCs w:val="20"/>
          <w:lang w:eastAsia="en-AU"/>
        </w:rPr>
      </w:pPr>
      <w:r>
        <w:rPr>
          <w:szCs w:val="20"/>
          <w:lang w:eastAsia="en-AU"/>
        </w:rPr>
        <w:t xml:space="preserve">The international community remains engaged in the peace process. </w:t>
      </w:r>
      <w:r w:rsidR="00B03D16">
        <w:rPr>
          <w:szCs w:val="20"/>
          <w:lang w:eastAsia="en-AU"/>
        </w:rPr>
        <w:t>Australia</w:t>
      </w:r>
      <w:r w:rsidR="00B854F9" w:rsidRPr="00B03D16">
        <w:rPr>
          <w:szCs w:val="20"/>
          <w:lang w:eastAsia="en-AU"/>
        </w:rPr>
        <w:t xml:space="preserve"> will </w:t>
      </w:r>
      <w:r w:rsidR="00914298">
        <w:rPr>
          <w:szCs w:val="20"/>
          <w:lang w:eastAsia="en-AU"/>
        </w:rPr>
        <w:t>continue its bilateral program of support for the peace process in Muslim Mindanao</w:t>
      </w:r>
      <w:r w:rsidR="00B72258">
        <w:rPr>
          <w:szCs w:val="20"/>
          <w:lang w:eastAsia="en-AU"/>
        </w:rPr>
        <w:t>, incorporating the recommendations of the review where possible.</w:t>
      </w:r>
    </w:p>
    <w:p w14:paraId="3B3E98C4" w14:textId="44DE84E7" w:rsidR="00B72258" w:rsidRDefault="00914298" w:rsidP="00C657FB">
      <w:pPr>
        <w:rPr>
          <w:szCs w:val="20"/>
          <w:lang w:eastAsia="en-AU"/>
        </w:rPr>
      </w:pPr>
      <w:r>
        <w:rPr>
          <w:szCs w:val="20"/>
          <w:lang w:eastAsia="en-AU"/>
        </w:rPr>
        <w:t xml:space="preserve">Since the review mission, the Government of the Philippines </w:t>
      </w:r>
      <w:r w:rsidR="00B72258">
        <w:rPr>
          <w:szCs w:val="20"/>
          <w:lang w:eastAsia="en-AU"/>
        </w:rPr>
        <w:t xml:space="preserve">in partnership with the UNDP </w:t>
      </w:r>
      <w:r>
        <w:rPr>
          <w:szCs w:val="20"/>
          <w:lang w:eastAsia="en-AU"/>
        </w:rPr>
        <w:t xml:space="preserve">has advanced its design for a multi-partner financing facility that will </w:t>
      </w:r>
      <w:r w:rsidR="00B72258">
        <w:rPr>
          <w:szCs w:val="20"/>
          <w:lang w:eastAsia="en-AU"/>
        </w:rPr>
        <w:t>mobilise</w:t>
      </w:r>
      <w:r>
        <w:rPr>
          <w:szCs w:val="20"/>
          <w:lang w:eastAsia="en-AU"/>
        </w:rPr>
        <w:t xml:space="preserve"> peace and development projects in conflict-affected areas of Mindanao, including Muslim Mindanao. </w:t>
      </w:r>
      <w:r w:rsidR="00B72258">
        <w:rPr>
          <w:szCs w:val="20"/>
          <w:lang w:eastAsia="en-AU"/>
        </w:rPr>
        <w:t>Provisions have been made in the peace and stability portfolio pipeline for Australia to contribute to this facility.</w:t>
      </w:r>
    </w:p>
    <w:p w14:paraId="64088445" w14:textId="657D02E8" w:rsidR="00310BC9" w:rsidRPr="00310BC9" w:rsidRDefault="00914298" w:rsidP="00C657FB">
      <w:pPr>
        <w:rPr>
          <w:szCs w:val="20"/>
          <w:lang w:eastAsia="en-AU"/>
        </w:rPr>
      </w:pPr>
      <w:r>
        <w:rPr>
          <w:szCs w:val="20"/>
          <w:lang w:eastAsia="en-AU"/>
        </w:rPr>
        <w:t xml:space="preserve">This facility will also </w:t>
      </w:r>
      <w:r w:rsidR="00B72258">
        <w:rPr>
          <w:szCs w:val="20"/>
          <w:lang w:eastAsia="en-AU"/>
        </w:rPr>
        <w:t>be able to mobilise</w:t>
      </w:r>
      <w:r>
        <w:rPr>
          <w:szCs w:val="20"/>
          <w:lang w:eastAsia="en-AU"/>
        </w:rPr>
        <w:t xml:space="preserve"> </w:t>
      </w:r>
      <w:r w:rsidR="00B72258">
        <w:rPr>
          <w:szCs w:val="20"/>
          <w:lang w:eastAsia="en-AU"/>
        </w:rPr>
        <w:t xml:space="preserve">technical assistance (TA) for partners to the peace process. Accordingly, </w:t>
      </w:r>
      <w:r w:rsidR="00446E04">
        <w:rPr>
          <w:szCs w:val="20"/>
          <w:lang w:eastAsia="en-AU"/>
        </w:rPr>
        <w:t xml:space="preserve">it remains to be seen whether </w:t>
      </w:r>
      <w:r w:rsidR="00B72258">
        <w:rPr>
          <w:szCs w:val="20"/>
          <w:lang w:eastAsia="en-AU"/>
        </w:rPr>
        <w:t xml:space="preserve">the TA facility established to support the GPH-MILF process, FASTRAC, </w:t>
      </w:r>
      <w:r w:rsidR="00446E04">
        <w:rPr>
          <w:szCs w:val="20"/>
          <w:lang w:eastAsia="en-AU"/>
        </w:rPr>
        <w:t>will</w:t>
      </w:r>
      <w:r w:rsidR="00B72258">
        <w:rPr>
          <w:szCs w:val="20"/>
          <w:lang w:eastAsia="en-AU"/>
        </w:rPr>
        <w:t xml:space="preserve"> continue in its current form.</w:t>
      </w:r>
    </w:p>
    <w:p w14:paraId="4A01B8BD" w14:textId="30D3457D" w:rsidR="00C657FB" w:rsidRDefault="0037054B" w:rsidP="00305042">
      <w:pPr>
        <w:spacing w:before="0"/>
        <w:rPr>
          <w:b/>
          <w:sz w:val="22"/>
          <w:szCs w:val="22"/>
          <w:lang w:eastAsia="en-AU"/>
        </w:rPr>
      </w:pPr>
      <w:r>
        <w:rPr>
          <w:b/>
          <w:sz w:val="22"/>
          <w:szCs w:val="22"/>
          <w:lang w:eastAsia="en-AU"/>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09"/>
        <w:gridCol w:w="2754"/>
        <w:gridCol w:w="2682"/>
        <w:gridCol w:w="1583"/>
      </w:tblGrid>
      <w:tr w:rsidR="000E1A9E" w:rsidRPr="00E6298A" w14:paraId="4A01B8C2" w14:textId="77777777" w:rsidTr="00400260">
        <w:trPr>
          <w:cantSplit/>
          <w:tblHeader/>
        </w:trPr>
        <w:tc>
          <w:tcPr>
            <w:tcW w:w="5363" w:type="dxa"/>
            <w:gridSpan w:val="2"/>
            <w:tcBorders>
              <w:bottom w:val="single" w:sz="4" w:space="0" w:color="808080"/>
              <w:right w:val="single" w:sz="4" w:space="0" w:color="auto"/>
            </w:tcBorders>
            <w:shd w:val="clear" w:color="auto" w:fill="FFEC9B"/>
            <w:vAlign w:val="center"/>
          </w:tcPr>
          <w:p w14:paraId="4A01B8BF" w14:textId="6BF79593" w:rsidR="000E1A9E" w:rsidRPr="000E1A9E" w:rsidRDefault="000E1A9E" w:rsidP="001467C6">
            <w:pPr>
              <w:spacing w:after="120"/>
              <w:jc w:val="center"/>
              <w:rPr>
                <w:rFonts w:cs="Arial"/>
                <w:b/>
                <w:szCs w:val="20"/>
              </w:rPr>
            </w:pPr>
            <w:r>
              <w:rPr>
                <w:b/>
                <w:szCs w:val="20"/>
              </w:rPr>
              <w:lastRenderedPageBreak/>
              <w:t>Fi</w:t>
            </w:r>
            <w:r w:rsidRPr="000E1A9E">
              <w:rPr>
                <w:b/>
                <w:szCs w:val="20"/>
              </w:rPr>
              <w:t>nding</w:t>
            </w:r>
          </w:p>
        </w:tc>
        <w:tc>
          <w:tcPr>
            <w:tcW w:w="4265" w:type="dxa"/>
            <w:gridSpan w:val="2"/>
            <w:tcBorders>
              <w:left w:val="single" w:sz="4" w:space="0" w:color="auto"/>
              <w:bottom w:val="single" w:sz="4" w:space="0" w:color="808080"/>
            </w:tcBorders>
            <w:shd w:val="clear" w:color="auto" w:fill="FFEC9B"/>
            <w:vAlign w:val="center"/>
          </w:tcPr>
          <w:p w14:paraId="4A01B8C1" w14:textId="4B4D825D" w:rsidR="000E1A9E" w:rsidRPr="00E6298A" w:rsidRDefault="000E1A9E" w:rsidP="001467C6">
            <w:pPr>
              <w:spacing w:after="120"/>
              <w:jc w:val="center"/>
              <w:rPr>
                <w:rFonts w:cs="Arial"/>
                <w:szCs w:val="20"/>
              </w:rPr>
            </w:pPr>
            <w:r w:rsidRPr="00E6298A">
              <w:rPr>
                <w:rFonts w:cs="Arial"/>
                <w:b/>
                <w:szCs w:val="20"/>
              </w:rPr>
              <w:t xml:space="preserve">Response </w:t>
            </w:r>
          </w:p>
        </w:tc>
      </w:tr>
      <w:tr w:rsidR="000E1A9E" w:rsidRPr="00E6298A" w14:paraId="4A38480B" w14:textId="77777777" w:rsidTr="00527EFD">
        <w:trPr>
          <w:cantSplit/>
          <w:tblHeader/>
        </w:trPr>
        <w:tc>
          <w:tcPr>
            <w:tcW w:w="9628" w:type="dxa"/>
            <w:gridSpan w:val="4"/>
            <w:shd w:val="clear" w:color="auto" w:fill="auto"/>
            <w:vAlign w:val="center"/>
          </w:tcPr>
          <w:p w14:paraId="68B03042" w14:textId="736F78B5" w:rsidR="000E1A9E" w:rsidRPr="002917B3" w:rsidRDefault="000E1A9E" w:rsidP="001467C6">
            <w:pPr>
              <w:spacing w:after="120"/>
              <w:jc w:val="center"/>
              <w:rPr>
                <w:b/>
                <w:szCs w:val="20"/>
              </w:rPr>
            </w:pPr>
            <w:r w:rsidRPr="002917B3">
              <w:rPr>
                <w:b/>
                <w:szCs w:val="20"/>
              </w:rPr>
              <w:t>On Effectiveness</w:t>
            </w:r>
          </w:p>
        </w:tc>
      </w:tr>
      <w:tr w:rsidR="000E1A9E" w:rsidRPr="00E6298A" w14:paraId="558D0184" w14:textId="77777777" w:rsidTr="007E4CBC">
        <w:trPr>
          <w:cantSplit/>
          <w:tblHeader/>
        </w:trPr>
        <w:tc>
          <w:tcPr>
            <w:tcW w:w="5363" w:type="dxa"/>
            <w:gridSpan w:val="2"/>
            <w:tcBorders>
              <w:right w:val="single" w:sz="4" w:space="0" w:color="auto"/>
            </w:tcBorders>
            <w:shd w:val="clear" w:color="auto" w:fill="auto"/>
            <w:vAlign w:val="center"/>
          </w:tcPr>
          <w:p w14:paraId="008145B3" w14:textId="485332CA" w:rsidR="000E1A9E" w:rsidRPr="000E1A9E" w:rsidRDefault="00066377" w:rsidP="000E1A9E">
            <w:pPr>
              <w:spacing w:after="120"/>
              <w:rPr>
                <w:rFonts w:cs="Arial"/>
                <w:szCs w:val="20"/>
              </w:rPr>
            </w:pPr>
            <w:r>
              <w:rPr>
                <w:rFonts w:cs="Arial"/>
                <w:i/>
                <w:szCs w:val="20"/>
              </w:rPr>
              <w:t xml:space="preserve">A. </w:t>
            </w:r>
            <w:r w:rsidR="000E1A9E" w:rsidRPr="000E1A9E">
              <w:rPr>
                <w:rFonts w:cs="Arial"/>
                <w:i/>
                <w:szCs w:val="20"/>
              </w:rPr>
              <w:t>Attaining objectives and adjustment to the changing context</w:t>
            </w:r>
            <w:r w:rsidR="000E1A9E" w:rsidRPr="000E1A9E">
              <w:rPr>
                <w:rFonts w:cs="Arial"/>
                <w:szCs w:val="20"/>
              </w:rPr>
              <w:t xml:space="preserve"> -  BASIC partners were generally successful at building constituencies in support of the peace process, but had mixed results in adapting to the events leading up to the non-passage of the draft enabling law, the Bangsamoro Basic Law (BBL). DFAT could have been more proactive in managing partners.</w:t>
            </w:r>
          </w:p>
        </w:tc>
        <w:tc>
          <w:tcPr>
            <w:tcW w:w="4265" w:type="dxa"/>
            <w:gridSpan w:val="2"/>
            <w:tcBorders>
              <w:left w:val="single" w:sz="4" w:space="0" w:color="auto"/>
            </w:tcBorders>
            <w:shd w:val="clear" w:color="auto" w:fill="auto"/>
            <w:vAlign w:val="center"/>
          </w:tcPr>
          <w:p w14:paraId="28796E66" w14:textId="639CD6AB" w:rsidR="000E1A9E" w:rsidRPr="000E1A9E" w:rsidRDefault="00446E04" w:rsidP="00446E04">
            <w:pPr>
              <w:spacing w:after="120"/>
              <w:rPr>
                <w:szCs w:val="20"/>
              </w:rPr>
            </w:pPr>
            <w:r>
              <w:rPr>
                <w:szCs w:val="20"/>
              </w:rPr>
              <w:t>Agree</w:t>
            </w:r>
            <w:r w:rsidR="000E1A9E" w:rsidRPr="000E1A9E">
              <w:rPr>
                <w:szCs w:val="20"/>
              </w:rPr>
              <w:t xml:space="preserve">, </w:t>
            </w:r>
            <w:r>
              <w:rPr>
                <w:szCs w:val="20"/>
              </w:rPr>
              <w:t xml:space="preserve">noting </w:t>
            </w:r>
            <w:r w:rsidR="00914298">
              <w:rPr>
                <w:szCs w:val="20"/>
              </w:rPr>
              <w:t xml:space="preserve">that </w:t>
            </w:r>
            <w:r w:rsidR="000E1A9E" w:rsidRPr="000E1A9E">
              <w:rPr>
                <w:szCs w:val="20"/>
              </w:rPr>
              <w:t xml:space="preserve">neither DFAT nor </w:t>
            </w:r>
            <w:r>
              <w:rPr>
                <w:szCs w:val="20"/>
              </w:rPr>
              <w:t>BASIC Bangsamoro</w:t>
            </w:r>
            <w:r w:rsidR="000E1A9E" w:rsidRPr="000E1A9E">
              <w:rPr>
                <w:szCs w:val="20"/>
              </w:rPr>
              <w:t xml:space="preserve"> partners were in a position to affect the ultimate outcome of the </w:t>
            </w:r>
            <w:r>
              <w:rPr>
                <w:szCs w:val="20"/>
              </w:rPr>
              <w:t xml:space="preserve">peace </w:t>
            </w:r>
            <w:r w:rsidR="000E1A9E" w:rsidRPr="000E1A9E">
              <w:rPr>
                <w:szCs w:val="20"/>
              </w:rPr>
              <w:t>process, which was dictated by domestic political developments</w:t>
            </w:r>
            <w:r>
              <w:rPr>
                <w:szCs w:val="20"/>
              </w:rPr>
              <w:t>.</w:t>
            </w:r>
          </w:p>
        </w:tc>
      </w:tr>
      <w:tr w:rsidR="000E1A9E" w:rsidRPr="00E6298A" w14:paraId="1D2A62D7" w14:textId="77777777" w:rsidTr="006C0A29">
        <w:trPr>
          <w:cantSplit/>
          <w:tblHeader/>
        </w:trPr>
        <w:tc>
          <w:tcPr>
            <w:tcW w:w="5363" w:type="dxa"/>
            <w:gridSpan w:val="2"/>
            <w:tcBorders>
              <w:right w:val="single" w:sz="4" w:space="0" w:color="auto"/>
            </w:tcBorders>
            <w:shd w:val="clear" w:color="auto" w:fill="auto"/>
            <w:vAlign w:val="center"/>
          </w:tcPr>
          <w:p w14:paraId="69F6A6C6" w14:textId="040FAF67" w:rsidR="000E1A9E" w:rsidRPr="000E1A9E" w:rsidRDefault="00066377" w:rsidP="00155536">
            <w:pPr>
              <w:spacing w:after="120"/>
              <w:rPr>
                <w:rFonts w:cs="Arial"/>
                <w:szCs w:val="20"/>
              </w:rPr>
            </w:pPr>
            <w:r>
              <w:rPr>
                <w:rFonts w:cs="Arial"/>
                <w:i/>
                <w:szCs w:val="20"/>
                <w:lang w:val="en-US"/>
              </w:rPr>
              <w:t xml:space="preserve">B. </w:t>
            </w:r>
            <w:r w:rsidR="00E10442" w:rsidRPr="00E10442">
              <w:rPr>
                <w:rFonts w:cs="Arial"/>
                <w:i/>
                <w:szCs w:val="20"/>
                <w:lang w:val="en-US"/>
              </w:rPr>
              <w:t xml:space="preserve">Addressing drivers of conflict and violence - </w:t>
            </w:r>
            <w:r w:rsidR="00E10442" w:rsidRPr="00E10442">
              <w:rPr>
                <w:rFonts w:cs="Arial"/>
                <w:szCs w:val="20"/>
                <w:lang w:val="en-US"/>
              </w:rPr>
              <w:t>BASIC partners deployed local conflict management tools successfully, but activities had very limited geographical coverage and mechanisms may not be sustainable.</w:t>
            </w:r>
            <w:r w:rsidR="00155536">
              <w:rPr>
                <w:rFonts w:cs="Arial"/>
                <w:szCs w:val="20"/>
                <w:lang w:val="en-US"/>
              </w:rPr>
              <w:t xml:space="preserve"> </w:t>
            </w:r>
            <w:r w:rsidR="00155536" w:rsidRPr="00155536">
              <w:rPr>
                <w:rFonts w:cs="Arial"/>
                <w:szCs w:val="20"/>
                <w:lang w:val="en-US"/>
              </w:rPr>
              <w:t>BASIC partners have good convening power at a community level, and undertook a significant number of outreach activities, but cannot reach or influence all key local political leaders and stakeholders that matter</w:t>
            </w:r>
            <w:r w:rsidR="00155536">
              <w:rPr>
                <w:rFonts w:cs="Arial"/>
                <w:szCs w:val="20"/>
                <w:lang w:val="en-US"/>
              </w:rPr>
              <w:t>.</w:t>
            </w:r>
          </w:p>
        </w:tc>
        <w:tc>
          <w:tcPr>
            <w:tcW w:w="4265" w:type="dxa"/>
            <w:gridSpan w:val="2"/>
            <w:tcBorders>
              <w:left w:val="single" w:sz="4" w:space="0" w:color="auto"/>
            </w:tcBorders>
            <w:shd w:val="clear" w:color="auto" w:fill="auto"/>
            <w:vAlign w:val="center"/>
          </w:tcPr>
          <w:p w14:paraId="749898CA" w14:textId="4D10D276" w:rsidR="000E1A9E" w:rsidRPr="000E1A9E" w:rsidRDefault="00E10442" w:rsidP="00E10442">
            <w:pPr>
              <w:spacing w:after="120"/>
              <w:rPr>
                <w:szCs w:val="20"/>
              </w:rPr>
            </w:pPr>
            <w:r>
              <w:rPr>
                <w:szCs w:val="20"/>
              </w:rPr>
              <w:t>Agree.</w:t>
            </w:r>
          </w:p>
        </w:tc>
      </w:tr>
      <w:tr w:rsidR="000E1A9E" w:rsidRPr="00E6298A" w14:paraId="7E6C89E5" w14:textId="77777777" w:rsidTr="00E97EA7">
        <w:trPr>
          <w:cantSplit/>
          <w:tblHeader/>
        </w:trPr>
        <w:tc>
          <w:tcPr>
            <w:tcW w:w="5363" w:type="dxa"/>
            <w:gridSpan w:val="2"/>
            <w:tcBorders>
              <w:right w:val="single" w:sz="4" w:space="0" w:color="auto"/>
            </w:tcBorders>
            <w:shd w:val="clear" w:color="auto" w:fill="auto"/>
            <w:vAlign w:val="center"/>
          </w:tcPr>
          <w:p w14:paraId="33ACC4DD" w14:textId="25882B93" w:rsidR="000E1A9E" w:rsidRPr="00E10442" w:rsidRDefault="00066377" w:rsidP="00E10442">
            <w:pPr>
              <w:spacing w:after="120"/>
              <w:rPr>
                <w:rFonts w:cs="Arial"/>
                <w:i/>
                <w:szCs w:val="20"/>
                <w:lang w:val="en-US"/>
              </w:rPr>
            </w:pPr>
            <w:r>
              <w:rPr>
                <w:rFonts w:cs="Arial"/>
                <w:i/>
                <w:szCs w:val="20"/>
                <w:lang w:val="en-US"/>
              </w:rPr>
              <w:t xml:space="preserve">C. </w:t>
            </w:r>
            <w:r w:rsidR="00E10442" w:rsidRPr="00E10442">
              <w:rPr>
                <w:rFonts w:cs="Arial"/>
                <w:i/>
                <w:szCs w:val="20"/>
                <w:lang w:val="en-US"/>
              </w:rPr>
              <w:t>Impact of resea</w:t>
            </w:r>
            <w:r w:rsidR="00E10442">
              <w:rPr>
                <w:rFonts w:cs="Arial"/>
                <w:i/>
                <w:szCs w:val="20"/>
                <w:lang w:val="en-US"/>
              </w:rPr>
              <w:t xml:space="preserve">rch on policies and programs - </w:t>
            </w:r>
            <w:r w:rsidR="00E10442" w:rsidRPr="00E10442">
              <w:rPr>
                <w:rFonts w:cs="Arial"/>
                <w:szCs w:val="20"/>
                <w:lang w:val="en-US"/>
              </w:rPr>
              <w:t>BASIC partners were generally successful in clarifying controversial parts of the BBL and were able to</w:t>
            </w:r>
            <w:r w:rsidR="00E10442">
              <w:rPr>
                <w:rFonts w:cs="Arial"/>
                <w:szCs w:val="20"/>
                <w:lang w:val="en-US"/>
              </w:rPr>
              <w:t xml:space="preserve"> reach their target audiences.</w:t>
            </w:r>
          </w:p>
        </w:tc>
        <w:tc>
          <w:tcPr>
            <w:tcW w:w="4265" w:type="dxa"/>
            <w:gridSpan w:val="2"/>
            <w:tcBorders>
              <w:left w:val="single" w:sz="4" w:space="0" w:color="auto"/>
            </w:tcBorders>
            <w:shd w:val="clear" w:color="auto" w:fill="auto"/>
            <w:vAlign w:val="center"/>
          </w:tcPr>
          <w:p w14:paraId="26E370D6" w14:textId="328EFA9B" w:rsidR="000E1A9E" w:rsidRPr="000E1A9E" w:rsidRDefault="00E10442" w:rsidP="00E10442">
            <w:pPr>
              <w:spacing w:after="120"/>
              <w:rPr>
                <w:szCs w:val="20"/>
              </w:rPr>
            </w:pPr>
            <w:r>
              <w:rPr>
                <w:szCs w:val="20"/>
              </w:rPr>
              <w:t>Agree.</w:t>
            </w:r>
          </w:p>
        </w:tc>
      </w:tr>
      <w:tr w:rsidR="00E10442" w:rsidRPr="00E6298A" w14:paraId="5CED1782" w14:textId="77777777" w:rsidTr="00E97EA7">
        <w:trPr>
          <w:cantSplit/>
          <w:tblHeader/>
        </w:trPr>
        <w:tc>
          <w:tcPr>
            <w:tcW w:w="5363" w:type="dxa"/>
            <w:gridSpan w:val="2"/>
            <w:tcBorders>
              <w:right w:val="single" w:sz="4" w:space="0" w:color="auto"/>
            </w:tcBorders>
            <w:shd w:val="clear" w:color="auto" w:fill="auto"/>
            <w:vAlign w:val="center"/>
          </w:tcPr>
          <w:p w14:paraId="2C120DAE" w14:textId="743E92C6" w:rsidR="00E10442" w:rsidRPr="000E1A9E" w:rsidRDefault="00066377" w:rsidP="00E10442">
            <w:pPr>
              <w:spacing w:after="120"/>
              <w:rPr>
                <w:rFonts w:cs="Arial"/>
                <w:szCs w:val="20"/>
              </w:rPr>
            </w:pPr>
            <w:r>
              <w:rPr>
                <w:rFonts w:cs="Arial"/>
                <w:i/>
                <w:szCs w:val="20"/>
                <w:lang w:val="en-US"/>
              </w:rPr>
              <w:t xml:space="preserve">D. </w:t>
            </w:r>
            <w:r w:rsidR="00E10442" w:rsidRPr="00E10442">
              <w:rPr>
                <w:rFonts w:cs="Arial"/>
                <w:i/>
                <w:szCs w:val="20"/>
                <w:lang w:val="en-US"/>
              </w:rPr>
              <w:t xml:space="preserve">Promoting gender equality and women’s empowerment - </w:t>
            </w:r>
            <w:r w:rsidR="00E10442" w:rsidRPr="00E10442">
              <w:rPr>
                <w:rFonts w:cs="Arial"/>
                <w:szCs w:val="20"/>
                <w:lang w:val="en-US"/>
              </w:rPr>
              <w:t>BASIC partners contributed to increasing women’s participation in the peace process but it is unclear to what extent their activities contributed to gender equality.</w:t>
            </w:r>
          </w:p>
        </w:tc>
        <w:tc>
          <w:tcPr>
            <w:tcW w:w="4265" w:type="dxa"/>
            <w:gridSpan w:val="2"/>
            <w:tcBorders>
              <w:left w:val="single" w:sz="4" w:space="0" w:color="auto"/>
            </w:tcBorders>
            <w:shd w:val="clear" w:color="auto" w:fill="auto"/>
            <w:vAlign w:val="center"/>
          </w:tcPr>
          <w:p w14:paraId="4BA3908C" w14:textId="69358A4A" w:rsidR="00E10442" w:rsidRPr="000E1A9E" w:rsidRDefault="00E10442" w:rsidP="00E10442">
            <w:pPr>
              <w:spacing w:after="120"/>
              <w:rPr>
                <w:szCs w:val="20"/>
              </w:rPr>
            </w:pPr>
            <w:r>
              <w:rPr>
                <w:szCs w:val="20"/>
              </w:rPr>
              <w:t>Agree.</w:t>
            </w:r>
          </w:p>
        </w:tc>
      </w:tr>
      <w:tr w:rsidR="00E10442" w:rsidRPr="00E6298A" w14:paraId="3C98CE3E" w14:textId="77777777" w:rsidTr="00E97EA7">
        <w:trPr>
          <w:cantSplit/>
          <w:tblHeader/>
        </w:trPr>
        <w:tc>
          <w:tcPr>
            <w:tcW w:w="5363" w:type="dxa"/>
            <w:gridSpan w:val="2"/>
            <w:tcBorders>
              <w:right w:val="single" w:sz="4" w:space="0" w:color="auto"/>
            </w:tcBorders>
            <w:shd w:val="clear" w:color="auto" w:fill="auto"/>
            <w:vAlign w:val="center"/>
          </w:tcPr>
          <w:p w14:paraId="05F44D99" w14:textId="78B2CD8A" w:rsidR="00E10442" w:rsidRPr="000E1A9E" w:rsidRDefault="00066377" w:rsidP="00E10442">
            <w:pPr>
              <w:spacing w:after="120"/>
              <w:rPr>
                <w:rFonts w:cs="Arial"/>
                <w:szCs w:val="20"/>
              </w:rPr>
            </w:pPr>
            <w:r>
              <w:rPr>
                <w:rFonts w:cs="Arial"/>
                <w:i/>
                <w:szCs w:val="20"/>
                <w:lang w:val="en-US"/>
              </w:rPr>
              <w:t xml:space="preserve">E. </w:t>
            </w:r>
            <w:r w:rsidR="00E10442" w:rsidRPr="00E10442">
              <w:rPr>
                <w:rFonts w:cs="Arial"/>
                <w:i/>
                <w:szCs w:val="20"/>
                <w:lang w:val="en-US"/>
              </w:rPr>
              <w:t xml:space="preserve">Alignment with other Australian assistance in Mindanao – </w:t>
            </w:r>
            <w:r w:rsidR="00E10442" w:rsidRPr="00E10442">
              <w:rPr>
                <w:rFonts w:cs="Arial"/>
                <w:szCs w:val="20"/>
                <w:lang w:val="en-US"/>
              </w:rPr>
              <w:t>Australian assistance for peace and development in Mindanao remains relevant, but must be re-configured to deliver the best possible impact.</w:t>
            </w:r>
          </w:p>
        </w:tc>
        <w:tc>
          <w:tcPr>
            <w:tcW w:w="4265" w:type="dxa"/>
            <w:gridSpan w:val="2"/>
            <w:tcBorders>
              <w:left w:val="single" w:sz="4" w:space="0" w:color="auto"/>
            </w:tcBorders>
            <w:shd w:val="clear" w:color="auto" w:fill="auto"/>
            <w:vAlign w:val="center"/>
          </w:tcPr>
          <w:p w14:paraId="0851939E" w14:textId="421622AF" w:rsidR="00E10442" w:rsidRPr="000E1A9E" w:rsidRDefault="00446E04" w:rsidP="00446E04">
            <w:pPr>
              <w:spacing w:after="120"/>
              <w:rPr>
                <w:szCs w:val="20"/>
              </w:rPr>
            </w:pPr>
            <w:r>
              <w:rPr>
                <w:szCs w:val="20"/>
              </w:rPr>
              <w:t>Agree. This process is underway in respo</w:t>
            </w:r>
            <w:r w:rsidR="00786580">
              <w:rPr>
                <w:szCs w:val="20"/>
              </w:rPr>
              <w:t>nse to the change in Government and the revised policy settings.</w:t>
            </w:r>
          </w:p>
        </w:tc>
      </w:tr>
      <w:tr w:rsidR="00E10442" w:rsidRPr="00E6298A" w14:paraId="2FDFF6AA" w14:textId="77777777" w:rsidTr="00A65E68">
        <w:trPr>
          <w:cantSplit/>
          <w:tblHeader/>
        </w:trPr>
        <w:tc>
          <w:tcPr>
            <w:tcW w:w="9628" w:type="dxa"/>
            <w:gridSpan w:val="4"/>
            <w:shd w:val="clear" w:color="auto" w:fill="auto"/>
            <w:vAlign w:val="center"/>
          </w:tcPr>
          <w:p w14:paraId="62B40991" w14:textId="3A0BD47D" w:rsidR="00E10442" w:rsidRPr="002917B3" w:rsidRDefault="00E10442" w:rsidP="00E10442">
            <w:pPr>
              <w:spacing w:after="120"/>
              <w:jc w:val="center"/>
              <w:rPr>
                <w:b/>
                <w:szCs w:val="20"/>
              </w:rPr>
            </w:pPr>
            <w:r w:rsidRPr="002917B3">
              <w:rPr>
                <w:b/>
                <w:szCs w:val="20"/>
              </w:rPr>
              <w:t>On Relevance</w:t>
            </w:r>
          </w:p>
        </w:tc>
      </w:tr>
      <w:tr w:rsidR="00E10442" w:rsidRPr="00E6298A" w14:paraId="38E24CCE" w14:textId="77777777" w:rsidTr="00E97EA7">
        <w:trPr>
          <w:cantSplit/>
          <w:tblHeader/>
        </w:trPr>
        <w:tc>
          <w:tcPr>
            <w:tcW w:w="5363" w:type="dxa"/>
            <w:gridSpan w:val="2"/>
            <w:tcBorders>
              <w:right w:val="single" w:sz="4" w:space="0" w:color="auto"/>
            </w:tcBorders>
            <w:shd w:val="clear" w:color="auto" w:fill="auto"/>
            <w:vAlign w:val="center"/>
          </w:tcPr>
          <w:p w14:paraId="52B8065D" w14:textId="75D500A8" w:rsidR="00E10442" w:rsidRPr="000E1A9E" w:rsidRDefault="00066377" w:rsidP="00E10442">
            <w:pPr>
              <w:spacing w:after="120"/>
              <w:rPr>
                <w:rFonts w:cs="Arial"/>
                <w:szCs w:val="20"/>
              </w:rPr>
            </w:pPr>
            <w:r>
              <w:rPr>
                <w:rFonts w:cs="Arial"/>
                <w:i/>
                <w:szCs w:val="20"/>
                <w:lang w:val="en-US"/>
              </w:rPr>
              <w:t xml:space="preserve">F. </w:t>
            </w:r>
            <w:r w:rsidR="00E10442" w:rsidRPr="00E10442">
              <w:rPr>
                <w:rFonts w:cs="Arial"/>
                <w:i/>
                <w:szCs w:val="20"/>
                <w:lang w:val="en-US"/>
              </w:rPr>
              <w:t xml:space="preserve">Adjustments in response to changed environment and relevance of programs/partners - </w:t>
            </w:r>
            <w:r w:rsidR="00E10442" w:rsidRPr="00E10442">
              <w:rPr>
                <w:rFonts w:cs="Arial"/>
                <w:szCs w:val="20"/>
                <w:lang w:val="en-US"/>
              </w:rPr>
              <w:t>BASIC partners made adjustments, but some were inadequate due to the constraints on their objectives and staff capacity.</w:t>
            </w:r>
          </w:p>
        </w:tc>
        <w:tc>
          <w:tcPr>
            <w:tcW w:w="4265" w:type="dxa"/>
            <w:gridSpan w:val="2"/>
            <w:tcBorders>
              <w:left w:val="single" w:sz="4" w:space="0" w:color="auto"/>
            </w:tcBorders>
            <w:shd w:val="clear" w:color="auto" w:fill="auto"/>
            <w:vAlign w:val="center"/>
          </w:tcPr>
          <w:p w14:paraId="78D906AE" w14:textId="152A42B8" w:rsidR="00E10442" w:rsidRPr="000E1A9E" w:rsidRDefault="00786580" w:rsidP="00E10442">
            <w:pPr>
              <w:spacing w:after="120"/>
              <w:rPr>
                <w:szCs w:val="20"/>
              </w:rPr>
            </w:pPr>
            <w:r>
              <w:rPr>
                <w:szCs w:val="20"/>
              </w:rPr>
              <w:t>Agree in principle, noting that decisions on ‘adjustments’ were made with the best available information at the time.</w:t>
            </w:r>
          </w:p>
        </w:tc>
      </w:tr>
      <w:tr w:rsidR="00E10442" w:rsidRPr="00E6298A" w14:paraId="68BCA22C" w14:textId="77777777" w:rsidTr="00E97EA7">
        <w:trPr>
          <w:cantSplit/>
          <w:tblHeader/>
        </w:trPr>
        <w:tc>
          <w:tcPr>
            <w:tcW w:w="5363" w:type="dxa"/>
            <w:gridSpan w:val="2"/>
            <w:tcBorders>
              <w:right w:val="single" w:sz="4" w:space="0" w:color="auto"/>
            </w:tcBorders>
            <w:shd w:val="clear" w:color="auto" w:fill="auto"/>
            <w:vAlign w:val="center"/>
          </w:tcPr>
          <w:p w14:paraId="7519CC96" w14:textId="78BDDD0C" w:rsidR="00E10442" w:rsidRPr="000E1A9E" w:rsidRDefault="00066377" w:rsidP="00155536">
            <w:pPr>
              <w:spacing w:after="120"/>
              <w:rPr>
                <w:rFonts w:cs="Arial"/>
                <w:szCs w:val="20"/>
              </w:rPr>
            </w:pPr>
            <w:r>
              <w:rPr>
                <w:rFonts w:cs="Arial"/>
                <w:i/>
                <w:szCs w:val="20"/>
                <w:lang w:val="en-US"/>
              </w:rPr>
              <w:t xml:space="preserve">G. </w:t>
            </w:r>
            <w:r w:rsidR="00E10442" w:rsidRPr="00E10442">
              <w:rPr>
                <w:rFonts w:cs="Arial"/>
                <w:i/>
                <w:szCs w:val="20"/>
                <w:lang w:val="en-US"/>
              </w:rPr>
              <w:t xml:space="preserve">New initiatives/objectives/partners to support the Duterte peace process </w:t>
            </w:r>
            <w:r w:rsidR="00E10442" w:rsidRPr="00E10442">
              <w:rPr>
                <w:rFonts w:cs="Arial"/>
                <w:szCs w:val="20"/>
                <w:lang w:val="en-US"/>
              </w:rPr>
              <w:t>- Besides the provision of technical assistance to the formulation of the “Enabling Law”, BASIC partners are supporting the political dialogue on federalism.</w:t>
            </w:r>
            <w:r w:rsidR="00E10442">
              <w:rPr>
                <w:rFonts w:cs="Arial"/>
                <w:szCs w:val="20"/>
                <w:lang w:val="en-US"/>
              </w:rPr>
              <w:t xml:space="preserve"> Two information vacuums remain:</w:t>
            </w:r>
            <w:r w:rsidR="00E10442" w:rsidRPr="00E10442">
              <w:rPr>
                <w:rFonts w:cs="Arial"/>
                <w:szCs w:val="20"/>
                <w:lang w:val="en-US"/>
              </w:rPr>
              <w:t xml:space="preserve"> what is happening in the island provinces, particularly Sulu and Basilan; and how far violent extremism has taken root.</w:t>
            </w:r>
          </w:p>
        </w:tc>
        <w:tc>
          <w:tcPr>
            <w:tcW w:w="4265" w:type="dxa"/>
            <w:gridSpan w:val="2"/>
            <w:tcBorders>
              <w:left w:val="single" w:sz="4" w:space="0" w:color="auto"/>
            </w:tcBorders>
            <w:shd w:val="clear" w:color="auto" w:fill="auto"/>
            <w:vAlign w:val="center"/>
          </w:tcPr>
          <w:p w14:paraId="79CA80D0" w14:textId="0CA4393B" w:rsidR="00E10442" w:rsidRPr="000E1A9E" w:rsidRDefault="00E10442" w:rsidP="00E10442">
            <w:pPr>
              <w:spacing w:after="120"/>
              <w:rPr>
                <w:szCs w:val="20"/>
              </w:rPr>
            </w:pPr>
            <w:r w:rsidRPr="00E10442">
              <w:rPr>
                <w:szCs w:val="20"/>
                <w:lang w:val="en-US"/>
              </w:rPr>
              <w:t>Agree, noting that access to the most conflict-affected island provinces is an issue for all international partners</w:t>
            </w:r>
            <w:r>
              <w:rPr>
                <w:szCs w:val="20"/>
              </w:rPr>
              <w:t>.</w:t>
            </w:r>
          </w:p>
        </w:tc>
      </w:tr>
      <w:tr w:rsidR="00E10442" w:rsidRPr="00E6298A" w14:paraId="268C09E1" w14:textId="77777777" w:rsidTr="00E97EA7">
        <w:trPr>
          <w:cantSplit/>
          <w:tblHeader/>
        </w:trPr>
        <w:tc>
          <w:tcPr>
            <w:tcW w:w="5363" w:type="dxa"/>
            <w:gridSpan w:val="2"/>
            <w:tcBorders>
              <w:right w:val="single" w:sz="4" w:space="0" w:color="auto"/>
            </w:tcBorders>
            <w:shd w:val="clear" w:color="auto" w:fill="auto"/>
            <w:vAlign w:val="center"/>
          </w:tcPr>
          <w:p w14:paraId="5FF45F07" w14:textId="29F8C755" w:rsidR="00E10442" w:rsidRPr="00E10442" w:rsidRDefault="00066377" w:rsidP="002917B3">
            <w:pPr>
              <w:spacing w:after="120"/>
              <w:rPr>
                <w:rFonts w:cs="Arial"/>
                <w:szCs w:val="20"/>
                <w:lang w:val="en-US"/>
              </w:rPr>
            </w:pPr>
            <w:r>
              <w:rPr>
                <w:rFonts w:cs="Arial"/>
                <w:i/>
                <w:szCs w:val="20"/>
                <w:lang w:val="en-US"/>
              </w:rPr>
              <w:lastRenderedPageBreak/>
              <w:t xml:space="preserve">H. </w:t>
            </w:r>
            <w:r w:rsidR="002917B3" w:rsidRPr="002917B3">
              <w:rPr>
                <w:rFonts w:cs="Arial"/>
                <w:i/>
                <w:szCs w:val="20"/>
                <w:lang w:val="en-US"/>
              </w:rPr>
              <w:t>Extent of program support to regional security and economic growth</w:t>
            </w:r>
            <w:r w:rsidR="00E10442">
              <w:rPr>
                <w:rFonts w:cs="Arial"/>
                <w:szCs w:val="20"/>
                <w:lang w:val="en-US"/>
              </w:rPr>
              <w:t xml:space="preserve"> - </w:t>
            </w:r>
            <w:r w:rsidR="002917B3" w:rsidRPr="002917B3">
              <w:rPr>
                <w:rFonts w:cs="Arial"/>
                <w:szCs w:val="20"/>
                <w:lang w:val="en-US"/>
              </w:rPr>
              <w:t>Some BASIC partners partially addressed this criterion</w:t>
            </w:r>
            <w:r w:rsidR="002917B3">
              <w:rPr>
                <w:rFonts w:cs="Arial"/>
                <w:szCs w:val="20"/>
                <w:lang w:val="en-US"/>
              </w:rPr>
              <w:t>. These included</w:t>
            </w:r>
            <w:r w:rsidR="002917B3" w:rsidRPr="002917B3">
              <w:rPr>
                <w:rFonts w:cs="Arial"/>
                <w:szCs w:val="20"/>
                <w:lang w:val="en-US"/>
              </w:rPr>
              <w:t xml:space="preserve"> livelihood projects, but they were micro in scale and there is no evidence they were economically sustainable</w:t>
            </w:r>
            <w:r w:rsidR="00E10442" w:rsidRPr="00E10442">
              <w:rPr>
                <w:rFonts w:cs="Arial"/>
                <w:szCs w:val="20"/>
                <w:lang w:val="en-US"/>
              </w:rPr>
              <w:t>.</w:t>
            </w:r>
          </w:p>
        </w:tc>
        <w:tc>
          <w:tcPr>
            <w:tcW w:w="4265" w:type="dxa"/>
            <w:gridSpan w:val="2"/>
            <w:tcBorders>
              <w:left w:val="single" w:sz="4" w:space="0" w:color="auto"/>
            </w:tcBorders>
            <w:shd w:val="clear" w:color="auto" w:fill="auto"/>
            <w:vAlign w:val="center"/>
          </w:tcPr>
          <w:p w14:paraId="3CEE8C60" w14:textId="419B62BA" w:rsidR="00E10442" w:rsidRPr="00E10442" w:rsidRDefault="00E10442" w:rsidP="00E10442">
            <w:pPr>
              <w:spacing w:after="120"/>
              <w:rPr>
                <w:szCs w:val="20"/>
              </w:rPr>
            </w:pPr>
            <w:r>
              <w:rPr>
                <w:szCs w:val="20"/>
              </w:rPr>
              <w:t>A</w:t>
            </w:r>
            <w:r w:rsidR="002917B3">
              <w:rPr>
                <w:szCs w:val="20"/>
              </w:rPr>
              <w:t>gree, noting that Australia’s support for livelihoods in conflict-affected Mindanao is primarily delivered through the multi-donor Mindanao Trust Fund.</w:t>
            </w:r>
          </w:p>
        </w:tc>
      </w:tr>
      <w:tr w:rsidR="000E1A9E" w:rsidRPr="00E6298A" w14:paraId="551B33CD" w14:textId="77777777" w:rsidTr="005F1909">
        <w:trPr>
          <w:cantSplit/>
          <w:tblHeader/>
        </w:trPr>
        <w:tc>
          <w:tcPr>
            <w:tcW w:w="2609" w:type="dxa"/>
            <w:shd w:val="clear" w:color="auto" w:fill="FFEC9B"/>
            <w:vAlign w:val="center"/>
          </w:tcPr>
          <w:p w14:paraId="66936910" w14:textId="2FA1C85B" w:rsidR="000E1A9E" w:rsidRPr="00E6298A" w:rsidRDefault="000E1A9E" w:rsidP="000E1A9E">
            <w:pPr>
              <w:pStyle w:val="Heading2"/>
              <w:spacing w:before="120" w:after="120"/>
              <w:jc w:val="center"/>
              <w:rPr>
                <w:sz w:val="20"/>
                <w:szCs w:val="20"/>
              </w:rPr>
            </w:pPr>
            <w:r w:rsidRPr="00E6298A">
              <w:rPr>
                <w:sz w:val="20"/>
                <w:szCs w:val="20"/>
              </w:rPr>
              <w:t>Recommendation</w:t>
            </w:r>
          </w:p>
        </w:tc>
        <w:tc>
          <w:tcPr>
            <w:tcW w:w="2754" w:type="dxa"/>
            <w:tcBorders>
              <w:right w:val="single" w:sz="4" w:space="0" w:color="auto"/>
            </w:tcBorders>
            <w:shd w:val="clear" w:color="auto" w:fill="FFEC9B"/>
            <w:vAlign w:val="center"/>
          </w:tcPr>
          <w:p w14:paraId="40326DDE" w14:textId="1B3F7A22" w:rsidR="000E1A9E" w:rsidRPr="00E6298A" w:rsidRDefault="000E1A9E" w:rsidP="000E1A9E">
            <w:pPr>
              <w:spacing w:after="120"/>
              <w:jc w:val="center"/>
              <w:rPr>
                <w:rFonts w:cs="Arial"/>
                <w:b/>
                <w:szCs w:val="20"/>
              </w:rPr>
            </w:pPr>
            <w:r w:rsidRPr="00E6298A">
              <w:rPr>
                <w:rFonts w:cs="Arial"/>
                <w:b/>
                <w:szCs w:val="20"/>
              </w:rPr>
              <w:t>Response</w:t>
            </w:r>
          </w:p>
        </w:tc>
        <w:tc>
          <w:tcPr>
            <w:tcW w:w="2682" w:type="dxa"/>
            <w:tcBorders>
              <w:left w:val="single" w:sz="4" w:space="0" w:color="auto"/>
            </w:tcBorders>
            <w:shd w:val="clear" w:color="auto" w:fill="FFEC9B"/>
            <w:vAlign w:val="center"/>
          </w:tcPr>
          <w:p w14:paraId="69ADBC6E" w14:textId="6D3D27B7" w:rsidR="000E1A9E" w:rsidRPr="00E6298A" w:rsidRDefault="000E1A9E" w:rsidP="000E1A9E">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14:paraId="4922BF8C" w14:textId="5E298E9D" w:rsidR="000E1A9E" w:rsidRPr="00E6298A" w:rsidRDefault="000E1A9E" w:rsidP="000E1A9E">
            <w:pPr>
              <w:spacing w:after="120"/>
              <w:jc w:val="center"/>
              <w:rPr>
                <w:b/>
                <w:szCs w:val="20"/>
              </w:rPr>
            </w:pPr>
            <w:r w:rsidRPr="00E6298A">
              <w:rPr>
                <w:b/>
                <w:szCs w:val="20"/>
              </w:rPr>
              <w:t>Responsibility</w:t>
            </w:r>
          </w:p>
        </w:tc>
      </w:tr>
      <w:tr w:rsidR="007B043C" w:rsidRPr="00F43CEC" w14:paraId="4A01B8C8" w14:textId="77777777" w:rsidTr="007B043C">
        <w:trPr>
          <w:cantSplit/>
          <w:trHeight w:val="387"/>
        </w:trPr>
        <w:tc>
          <w:tcPr>
            <w:tcW w:w="9628" w:type="dxa"/>
            <w:gridSpan w:val="4"/>
            <w:shd w:val="clear" w:color="auto" w:fill="auto"/>
          </w:tcPr>
          <w:p w14:paraId="4A01B8C7" w14:textId="1A1BB6F0" w:rsidR="007B043C" w:rsidRPr="002917B3" w:rsidRDefault="00E10442" w:rsidP="00E10442">
            <w:pPr>
              <w:spacing w:after="120"/>
              <w:jc w:val="center"/>
              <w:rPr>
                <w:rFonts w:cs="Arial"/>
                <w:b/>
              </w:rPr>
            </w:pPr>
            <w:r w:rsidRPr="002917B3">
              <w:rPr>
                <w:rFonts w:cs="Arial"/>
                <w:b/>
              </w:rPr>
              <w:t>For the current phase of BASIC Bangsamoro</w:t>
            </w:r>
          </w:p>
        </w:tc>
      </w:tr>
      <w:tr w:rsidR="00427D82" w:rsidRPr="00F43CEC" w14:paraId="629466B5" w14:textId="77777777" w:rsidTr="007B043C">
        <w:trPr>
          <w:cantSplit/>
          <w:trHeight w:val="885"/>
        </w:trPr>
        <w:tc>
          <w:tcPr>
            <w:tcW w:w="2609" w:type="dxa"/>
            <w:shd w:val="clear" w:color="auto" w:fill="auto"/>
          </w:tcPr>
          <w:p w14:paraId="7AE2155F" w14:textId="1D35B8A6" w:rsidR="00427D82" w:rsidRPr="00E10442" w:rsidRDefault="00427D82" w:rsidP="00E10442">
            <w:pPr>
              <w:spacing w:after="120"/>
              <w:ind w:left="22"/>
              <w:rPr>
                <w:lang w:val="en-GB"/>
              </w:rPr>
            </w:pPr>
            <w:r w:rsidRPr="00E10442">
              <w:rPr>
                <w:lang w:val="en-US"/>
              </w:rPr>
              <w:t>Develop a coordinated advocacy strategy supporting the peace process and addressing biases, stereotypes and historical injustice</w:t>
            </w:r>
            <w:r>
              <w:rPr>
                <w:lang w:val="en-US"/>
              </w:rPr>
              <w:t>.</w:t>
            </w:r>
          </w:p>
        </w:tc>
        <w:tc>
          <w:tcPr>
            <w:tcW w:w="2754" w:type="dxa"/>
            <w:tcBorders>
              <w:right w:val="single" w:sz="4" w:space="0" w:color="auto"/>
            </w:tcBorders>
            <w:shd w:val="clear" w:color="auto" w:fill="auto"/>
          </w:tcPr>
          <w:p w14:paraId="4E5AD984" w14:textId="114884AD" w:rsidR="00427D82" w:rsidRPr="00F43CEC" w:rsidRDefault="00427D82" w:rsidP="0039236F">
            <w:pPr>
              <w:spacing w:after="120"/>
              <w:rPr>
                <w:rFonts w:cs="Arial"/>
              </w:rPr>
            </w:pPr>
            <w:r w:rsidRPr="00E10442">
              <w:rPr>
                <w:rFonts w:cs="Arial"/>
                <w:lang w:val="en-US"/>
              </w:rPr>
              <w:t>Agree in principle. This is a</w:t>
            </w:r>
            <w:r w:rsidR="0039236F">
              <w:rPr>
                <w:rFonts w:cs="Arial"/>
                <w:lang w:val="en-US"/>
              </w:rPr>
              <w:t>n important area of need, but a</w:t>
            </w:r>
            <w:r w:rsidRPr="00E10442">
              <w:rPr>
                <w:rFonts w:cs="Arial"/>
                <w:lang w:val="en-US"/>
              </w:rPr>
              <w:t xml:space="preserve"> program to </w:t>
            </w:r>
            <w:r w:rsidR="0039236F" w:rsidRPr="00E10442">
              <w:rPr>
                <w:rFonts w:cs="Arial"/>
                <w:lang w:val="en-US"/>
              </w:rPr>
              <w:t>effective</w:t>
            </w:r>
            <w:r w:rsidR="0039236F">
              <w:rPr>
                <w:rFonts w:cs="Arial"/>
                <w:lang w:val="en-US"/>
              </w:rPr>
              <w:t>ly</w:t>
            </w:r>
            <w:r w:rsidR="0039236F" w:rsidRPr="00E10442">
              <w:rPr>
                <w:rFonts w:cs="Arial"/>
                <w:lang w:val="en-US"/>
              </w:rPr>
              <w:t xml:space="preserve"> </w:t>
            </w:r>
            <w:r w:rsidRPr="00E10442">
              <w:rPr>
                <w:rFonts w:cs="Arial"/>
                <w:lang w:val="en-US"/>
              </w:rPr>
              <w:t xml:space="preserve">address this will require </w:t>
            </w:r>
            <w:r>
              <w:rPr>
                <w:rFonts w:cs="Arial"/>
                <w:lang w:val="en-US"/>
              </w:rPr>
              <w:t>local</w:t>
            </w:r>
            <w:r w:rsidRPr="00E10442">
              <w:rPr>
                <w:rFonts w:cs="Arial"/>
                <w:lang w:val="en-US"/>
              </w:rPr>
              <w:t xml:space="preserve"> leadership and a level of resourcing that exceeds the scale and scope Australia’s program. </w:t>
            </w:r>
          </w:p>
        </w:tc>
        <w:tc>
          <w:tcPr>
            <w:tcW w:w="2682" w:type="dxa"/>
            <w:tcBorders>
              <w:left w:val="single" w:sz="4" w:space="0" w:color="auto"/>
            </w:tcBorders>
            <w:shd w:val="clear" w:color="auto" w:fill="auto"/>
          </w:tcPr>
          <w:p w14:paraId="0E578E79" w14:textId="054AA003" w:rsidR="00427D82" w:rsidRPr="00CD3266" w:rsidRDefault="00310585" w:rsidP="00E10442">
            <w:pPr>
              <w:spacing w:after="120"/>
              <w:rPr>
                <w:rFonts w:cs="Arial"/>
              </w:rPr>
            </w:pPr>
            <w:r>
              <w:rPr>
                <w:rFonts w:cs="Arial"/>
              </w:rPr>
              <w:t>DFAT</w:t>
            </w:r>
            <w:r w:rsidR="00427D82" w:rsidRPr="00427D82">
              <w:rPr>
                <w:rFonts w:cs="Arial"/>
              </w:rPr>
              <w:t xml:space="preserve"> will discuss options with the government and other donors.</w:t>
            </w:r>
          </w:p>
        </w:tc>
        <w:tc>
          <w:tcPr>
            <w:tcW w:w="1583" w:type="dxa"/>
            <w:vMerge w:val="restart"/>
            <w:tcBorders>
              <w:left w:val="single" w:sz="4" w:space="0" w:color="auto"/>
            </w:tcBorders>
            <w:shd w:val="clear" w:color="auto" w:fill="auto"/>
          </w:tcPr>
          <w:p w14:paraId="052F3A28" w14:textId="77777777" w:rsidR="00427D82" w:rsidRPr="00CD3266" w:rsidRDefault="00427D82" w:rsidP="007B043C">
            <w:pPr>
              <w:spacing w:after="120"/>
              <w:rPr>
                <w:rFonts w:cs="Arial"/>
              </w:rPr>
            </w:pPr>
          </w:p>
          <w:p w14:paraId="6AF6EBBE" w14:textId="77777777" w:rsidR="00427D82" w:rsidRPr="00CD3266" w:rsidRDefault="00427D82" w:rsidP="007B043C">
            <w:pPr>
              <w:spacing w:after="120"/>
              <w:rPr>
                <w:rFonts w:cs="Arial"/>
              </w:rPr>
            </w:pPr>
          </w:p>
          <w:p w14:paraId="3DBEF7B7" w14:textId="77777777" w:rsidR="00427D82" w:rsidRPr="00CD3266" w:rsidRDefault="00427D82" w:rsidP="007B043C">
            <w:pPr>
              <w:spacing w:after="120"/>
              <w:rPr>
                <w:rFonts w:cs="Arial"/>
              </w:rPr>
            </w:pPr>
          </w:p>
          <w:p w14:paraId="3110B37E" w14:textId="77777777" w:rsidR="00427D82" w:rsidRPr="00CD3266" w:rsidRDefault="00427D82" w:rsidP="007B043C">
            <w:pPr>
              <w:spacing w:after="120"/>
              <w:rPr>
                <w:rFonts w:cs="Arial"/>
              </w:rPr>
            </w:pPr>
          </w:p>
          <w:p w14:paraId="0F77D7D4" w14:textId="77777777" w:rsidR="00427D82" w:rsidRPr="00CD3266" w:rsidRDefault="00427D82" w:rsidP="007B043C">
            <w:pPr>
              <w:spacing w:after="120"/>
              <w:rPr>
                <w:rFonts w:cs="Arial"/>
              </w:rPr>
            </w:pPr>
          </w:p>
          <w:p w14:paraId="1ADEC67A" w14:textId="77777777" w:rsidR="00427D82" w:rsidRPr="00CD3266" w:rsidRDefault="00427D82" w:rsidP="007B043C">
            <w:pPr>
              <w:spacing w:after="120"/>
              <w:rPr>
                <w:rFonts w:cs="Arial"/>
              </w:rPr>
            </w:pPr>
          </w:p>
          <w:p w14:paraId="5001728D" w14:textId="6EC9700B" w:rsidR="00427D82" w:rsidRPr="00CD3266" w:rsidRDefault="00427D82" w:rsidP="007B043C">
            <w:pPr>
              <w:spacing w:after="120"/>
              <w:rPr>
                <w:rFonts w:cs="Arial"/>
              </w:rPr>
            </w:pPr>
            <w:r w:rsidRPr="00CD3266">
              <w:rPr>
                <w:rFonts w:cs="Arial"/>
              </w:rPr>
              <w:t xml:space="preserve">DFAT </w:t>
            </w:r>
            <w:r>
              <w:rPr>
                <w:rFonts w:cs="Arial"/>
              </w:rPr>
              <w:t>Peace and Stability</w:t>
            </w:r>
            <w:r w:rsidRPr="00CD3266">
              <w:rPr>
                <w:rFonts w:cs="Arial"/>
              </w:rPr>
              <w:t xml:space="preserve"> Team in Manila</w:t>
            </w:r>
          </w:p>
        </w:tc>
      </w:tr>
      <w:tr w:rsidR="00427D82" w:rsidRPr="00F43CEC" w14:paraId="4A01B8CE" w14:textId="77777777" w:rsidTr="007B043C">
        <w:trPr>
          <w:cantSplit/>
          <w:trHeight w:val="885"/>
        </w:trPr>
        <w:tc>
          <w:tcPr>
            <w:tcW w:w="2609" w:type="dxa"/>
            <w:shd w:val="clear" w:color="auto" w:fill="auto"/>
          </w:tcPr>
          <w:p w14:paraId="4A01B8C9" w14:textId="30F969FC" w:rsidR="00427D82" w:rsidRPr="0055277B" w:rsidRDefault="00427D82" w:rsidP="00E10442">
            <w:pPr>
              <w:spacing w:after="120"/>
              <w:ind w:left="22"/>
            </w:pPr>
            <w:r w:rsidRPr="00427D82">
              <w:rPr>
                <w:lang w:val="en-US"/>
              </w:rPr>
              <w:t>Increase coordination of BASIC partners</w:t>
            </w:r>
            <w:r>
              <w:rPr>
                <w:lang w:val="en-US"/>
              </w:rPr>
              <w:t>.</w:t>
            </w:r>
          </w:p>
        </w:tc>
        <w:tc>
          <w:tcPr>
            <w:tcW w:w="2754" w:type="dxa"/>
            <w:tcBorders>
              <w:right w:val="single" w:sz="4" w:space="0" w:color="auto"/>
            </w:tcBorders>
            <w:shd w:val="clear" w:color="auto" w:fill="auto"/>
          </w:tcPr>
          <w:p w14:paraId="4A01B8CB" w14:textId="1F016F95" w:rsidR="00427D82" w:rsidRPr="00F43CEC" w:rsidRDefault="00427D82" w:rsidP="00446E04">
            <w:pPr>
              <w:spacing w:after="120"/>
              <w:rPr>
                <w:rFonts w:cs="Arial"/>
              </w:rPr>
            </w:pPr>
            <w:r w:rsidRPr="00427D82">
              <w:rPr>
                <w:rFonts w:cs="Arial"/>
                <w:lang w:val="en-US"/>
              </w:rPr>
              <w:t xml:space="preserve">Agree, noting that each partner has its own comparative advantage and relationships to manage. Attempts by </w:t>
            </w:r>
            <w:r w:rsidR="00446E04">
              <w:rPr>
                <w:rFonts w:cs="Arial"/>
                <w:lang w:val="en-US"/>
              </w:rPr>
              <w:t>DFAT</w:t>
            </w:r>
            <w:r w:rsidRPr="00427D82">
              <w:rPr>
                <w:rFonts w:cs="Arial"/>
                <w:lang w:val="en-US"/>
              </w:rPr>
              <w:t xml:space="preserve"> to ‘drive’ coordination could be counter-productive and </w:t>
            </w:r>
            <w:r w:rsidR="00446E04">
              <w:rPr>
                <w:rFonts w:cs="Arial"/>
                <w:lang w:val="en-US"/>
              </w:rPr>
              <w:t xml:space="preserve">would </w:t>
            </w:r>
            <w:r w:rsidRPr="00427D82">
              <w:rPr>
                <w:rFonts w:cs="Arial"/>
                <w:lang w:val="en-US"/>
              </w:rPr>
              <w:t xml:space="preserve">need to be </w:t>
            </w:r>
            <w:r w:rsidR="00446E04">
              <w:rPr>
                <w:rFonts w:cs="Arial"/>
                <w:lang w:val="en-US"/>
              </w:rPr>
              <w:t>managed</w:t>
            </w:r>
            <w:r w:rsidRPr="00427D82">
              <w:rPr>
                <w:rFonts w:cs="Arial"/>
                <w:lang w:val="en-US"/>
              </w:rPr>
              <w:t xml:space="preserve"> in close consultation with partners. Increasing coordination also increases the management burden on Australia and our partners.</w:t>
            </w:r>
          </w:p>
        </w:tc>
        <w:tc>
          <w:tcPr>
            <w:tcW w:w="2682" w:type="dxa"/>
            <w:tcBorders>
              <w:left w:val="single" w:sz="4" w:space="0" w:color="auto"/>
            </w:tcBorders>
            <w:shd w:val="clear" w:color="auto" w:fill="auto"/>
          </w:tcPr>
          <w:p w14:paraId="4A01B8CC" w14:textId="4A705D51" w:rsidR="00427D82" w:rsidRPr="00EE2FDC" w:rsidRDefault="00310585" w:rsidP="00427D82">
            <w:pPr>
              <w:spacing w:after="120"/>
              <w:rPr>
                <w:rFonts w:cs="Arial"/>
                <w:highlight w:val="yellow"/>
              </w:rPr>
            </w:pPr>
            <w:r>
              <w:rPr>
                <w:rFonts w:cs="Arial"/>
              </w:rPr>
              <w:t>DFAT</w:t>
            </w:r>
            <w:r w:rsidR="00427D82" w:rsidRPr="00427D82">
              <w:rPr>
                <w:rFonts w:cs="Arial"/>
              </w:rPr>
              <w:t xml:space="preserve"> will </w:t>
            </w:r>
            <w:r w:rsidR="00427D82">
              <w:rPr>
                <w:rFonts w:cs="Arial"/>
              </w:rPr>
              <w:t>investigate</w:t>
            </w:r>
            <w:r w:rsidR="00427D82" w:rsidRPr="00427D82">
              <w:rPr>
                <w:rFonts w:cs="Arial"/>
              </w:rPr>
              <w:t xml:space="preserve"> options with </w:t>
            </w:r>
            <w:r w:rsidR="00427D82">
              <w:rPr>
                <w:rFonts w:cs="Arial"/>
              </w:rPr>
              <w:t>partners to improve coordination.</w:t>
            </w:r>
          </w:p>
        </w:tc>
        <w:tc>
          <w:tcPr>
            <w:tcW w:w="1583" w:type="dxa"/>
            <w:vMerge/>
            <w:tcBorders>
              <w:left w:val="single" w:sz="4" w:space="0" w:color="auto"/>
            </w:tcBorders>
            <w:shd w:val="clear" w:color="auto" w:fill="auto"/>
          </w:tcPr>
          <w:p w14:paraId="4A01B8CD" w14:textId="1D906BD0" w:rsidR="00427D82" w:rsidRPr="00F43CEC" w:rsidRDefault="00427D82" w:rsidP="007B043C">
            <w:pPr>
              <w:spacing w:after="120"/>
              <w:rPr>
                <w:rFonts w:cs="Arial"/>
              </w:rPr>
            </w:pPr>
          </w:p>
        </w:tc>
      </w:tr>
      <w:tr w:rsidR="00427D82" w:rsidRPr="00F43CEC" w14:paraId="58DB849E" w14:textId="77777777" w:rsidTr="007B043C">
        <w:trPr>
          <w:cantSplit/>
          <w:trHeight w:val="885"/>
        </w:trPr>
        <w:tc>
          <w:tcPr>
            <w:tcW w:w="2609" w:type="dxa"/>
            <w:shd w:val="clear" w:color="auto" w:fill="auto"/>
          </w:tcPr>
          <w:p w14:paraId="5D397F8F" w14:textId="2616A7BB" w:rsidR="00427D82" w:rsidRPr="007A35FF" w:rsidRDefault="002917B3" w:rsidP="002917B3">
            <w:pPr>
              <w:spacing w:after="120"/>
              <w:ind w:left="22"/>
            </w:pPr>
            <w:r w:rsidRPr="002917B3">
              <w:rPr>
                <w:lang w:val="en-US"/>
              </w:rPr>
              <w:t>Focus BASIC partners on areas of core comparative advantage.</w:t>
            </w:r>
          </w:p>
        </w:tc>
        <w:tc>
          <w:tcPr>
            <w:tcW w:w="2754" w:type="dxa"/>
            <w:tcBorders>
              <w:right w:val="single" w:sz="4" w:space="0" w:color="auto"/>
            </w:tcBorders>
            <w:shd w:val="clear" w:color="auto" w:fill="auto"/>
          </w:tcPr>
          <w:p w14:paraId="01DF764B" w14:textId="74794CB0" w:rsidR="00427D82" w:rsidRPr="00F43CEC" w:rsidRDefault="00427D82" w:rsidP="006E4222">
            <w:pPr>
              <w:spacing w:after="120"/>
              <w:rPr>
                <w:rFonts w:cs="Arial"/>
              </w:rPr>
            </w:pPr>
            <w:r>
              <w:rPr>
                <w:rFonts w:cs="Arial"/>
              </w:rPr>
              <w:t>Agree.</w:t>
            </w:r>
          </w:p>
        </w:tc>
        <w:tc>
          <w:tcPr>
            <w:tcW w:w="2682" w:type="dxa"/>
            <w:tcBorders>
              <w:left w:val="single" w:sz="4" w:space="0" w:color="auto"/>
            </w:tcBorders>
            <w:shd w:val="clear" w:color="auto" w:fill="auto"/>
          </w:tcPr>
          <w:p w14:paraId="74C9D53D" w14:textId="2E0ED4E7" w:rsidR="00427D82" w:rsidRPr="00EE2FDC" w:rsidRDefault="002917B3" w:rsidP="002917B3">
            <w:pPr>
              <w:spacing w:after="120"/>
              <w:rPr>
                <w:rFonts w:cs="Arial"/>
                <w:highlight w:val="yellow"/>
              </w:rPr>
            </w:pPr>
            <w:r>
              <w:rPr>
                <w:rFonts w:cs="Arial"/>
              </w:rPr>
              <w:t xml:space="preserve">A </w:t>
            </w:r>
            <w:r w:rsidRPr="00426287">
              <w:rPr>
                <w:rFonts w:cs="Arial"/>
              </w:rPr>
              <w:t>competitive and merit-based selection</w:t>
            </w:r>
            <w:r>
              <w:rPr>
                <w:rFonts w:cs="Arial"/>
              </w:rPr>
              <w:t xml:space="preserve"> process will be conducted to allocate grants for the next phase of bilateral support. </w:t>
            </w:r>
          </w:p>
        </w:tc>
        <w:tc>
          <w:tcPr>
            <w:tcW w:w="1583" w:type="dxa"/>
            <w:vMerge/>
            <w:tcBorders>
              <w:left w:val="single" w:sz="4" w:space="0" w:color="auto"/>
            </w:tcBorders>
            <w:shd w:val="clear" w:color="auto" w:fill="auto"/>
          </w:tcPr>
          <w:p w14:paraId="7E0675A0" w14:textId="0734BE90" w:rsidR="00427D82" w:rsidRDefault="00427D82" w:rsidP="007B043C">
            <w:pPr>
              <w:spacing w:after="120"/>
              <w:rPr>
                <w:rFonts w:cs="Arial"/>
              </w:rPr>
            </w:pPr>
          </w:p>
        </w:tc>
      </w:tr>
      <w:tr w:rsidR="00426287" w:rsidRPr="00F43CEC" w14:paraId="7E7BCA50" w14:textId="77777777" w:rsidTr="007B043C">
        <w:trPr>
          <w:cantSplit/>
          <w:trHeight w:val="885"/>
        </w:trPr>
        <w:tc>
          <w:tcPr>
            <w:tcW w:w="2609" w:type="dxa"/>
            <w:shd w:val="clear" w:color="auto" w:fill="auto"/>
          </w:tcPr>
          <w:p w14:paraId="63BA775A" w14:textId="4E2D8454" w:rsidR="00426287" w:rsidRPr="00427D82" w:rsidRDefault="002917B3" w:rsidP="00E10442">
            <w:pPr>
              <w:spacing w:after="120"/>
              <w:ind w:left="22"/>
              <w:rPr>
                <w:lang w:val="en-US"/>
              </w:rPr>
            </w:pPr>
            <w:r w:rsidRPr="002917B3">
              <w:rPr>
                <w:lang w:val="en-US"/>
              </w:rPr>
              <w:t>Find opportunities to raise the profile of promising conflict management tools.</w:t>
            </w:r>
          </w:p>
        </w:tc>
        <w:tc>
          <w:tcPr>
            <w:tcW w:w="2754" w:type="dxa"/>
            <w:tcBorders>
              <w:right w:val="single" w:sz="4" w:space="0" w:color="auto"/>
            </w:tcBorders>
            <w:shd w:val="clear" w:color="auto" w:fill="auto"/>
          </w:tcPr>
          <w:p w14:paraId="0381A2EC" w14:textId="5FA34210" w:rsidR="00426287" w:rsidRDefault="00426287" w:rsidP="006E4222">
            <w:pPr>
              <w:spacing w:after="120"/>
              <w:rPr>
                <w:rFonts w:cs="Arial"/>
              </w:rPr>
            </w:pPr>
            <w:r>
              <w:rPr>
                <w:rFonts w:cs="Arial"/>
              </w:rPr>
              <w:t>Agree</w:t>
            </w:r>
          </w:p>
        </w:tc>
        <w:tc>
          <w:tcPr>
            <w:tcW w:w="2682" w:type="dxa"/>
            <w:tcBorders>
              <w:left w:val="single" w:sz="4" w:space="0" w:color="auto"/>
            </w:tcBorders>
            <w:shd w:val="clear" w:color="auto" w:fill="auto"/>
          </w:tcPr>
          <w:p w14:paraId="1F53E871" w14:textId="0A0A7F82" w:rsidR="00426287" w:rsidRDefault="002917B3" w:rsidP="00426287">
            <w:pPr>
              <w:spacing w:after="120"/>
              <w:rPr>
                <w:rFonts w:cs="Arial"/>
              </w:rPr>
            </w:pPr>
            <w:r>
              <w:rPr>
                <w:rFonts w:cs="Arial"/>
              </w:rPr>
              <w:t>DFAT</w:t>
            </w:r>
            <w:r w:rsidRPr="00427D82">
              <w:rPr>
                <w:rFonts w:cs="Arial"/>
              </w:rPr>
              <w:t xml:space="preserve"> will investigate options with partners </w:t>
            </w:r>
            <w:r>
              <w:rPr>
                <w:rFonts w:cs="Arial"/>
              </w:rPr>
              <w:t>and relevant levels of government in Muslim Mindanao.</w:t>
            </w:r>
          </w:p>
        </w:tc>
        <w:tc>
          <w:tcPr>
            <w:tcW w:w="1583" w:type="dxa"/>
            <w:vMerge/>
            <w:tcBorders>
              <w:left w:val="single" w:sz="4" w:space="0" w:color="auto"/>
            </w:tcBorders>
            <w:shd w:val="clear" w:color="auto" w:fill="auto"/>
          </w:tcPr>
          <w:p w14:paraId="7108ED12" w14:textId="77777777" w:rsidR="00426287" w:rsidRDefault="00426287" w:rsidP="007B043C">
            <w:pPr>
              <w:spacing w:after="120"/>
              <w:rPr>
                <w:rFonts w:cs="Arial"/>
              </w:rPr>
            </w:pPr>
          </w:p>
        </w:tc>
      </w:tr>
      <w:tr w:rsidR="00427D82" w:rsidRPr="00F43CEC" w14:paraId="436F6375" w14:textId="77777777" w:rsidTr="007B043C">
        <w:trPr>
          <w:cantSplit/>
          <w:trHeight w:val="885"/>
        </w:trPr>
        <w:tc>
          <w:tcPr>
            <w:tcW w:w="2609" w:type="dxa"/>
            <w:shd w:val="clear" w:color="auto" w:fill="auto"/>
          </w:tcPr>
          <w:p w14:paraId="68EFEE88" w14:textId="433A6AB9" w:rsidR="00427D82" w:rsidRPr="00427D82" w:rsidRDefault="00427D82" w:rsidP="00E10442">
            <w:pPr>
              <w:spacing w:after="120"/>
              <w:ind w:left="22"/>
              <w:rPr>
                <w:lang w:val="en-US"/>
              </w:rPr>
            </w:pPr>
            <w:r w:rsidRPr="00427D82">
              <w:rPr>
                <w:lang w:val="en-US"/>
              </w:rPr>
              <w:t>Embed a stronger gender-sensitive approach across BASIC</w:t>
            </w:r>
            <w:r>
              <w:rPr>
                <w:lang w:val="en-US"/>
              </w:rPr>
              <w:t>.</w:t>
            </w:r>
          </w:p>
        </w:tc>
        <w:tc>
          <w:tcPr>
            <w:tcW w:w="2754" w:type="dxa"/>
            <w:tcBorders>
              <w:right w:val="single" w:sz="4" w:space="0" w:color="auto"/>
            </w:tcBorders>
            <w:shd w:val="clear" w:color="auto" w:fill="auto"/>
          </w:tcPr>
          <w:p w14:paraId="579ED25D" w14:textId="335F2A93" w:rsidR="00427D82" w:rsidRDefault="00427D82" w:rsidP="006E4222">
            <w:pPr>
              <w:spacing w:after="120"/>
              <w:rPr>
                <w:rFonts w:cs="Arial"/>
              </w:rPr>
            </w:pPr>
            <w:r>
              <w:rPr>
                <w:rFonts w:cs="Arial"/>
              </w:rPr>
              <w:t>Agree.</w:t>
            </w:r>
          </w:p>
        </w:tc>
        <w:tc>
          <w:tcPr>
            <w:tcW w:w="2682" w:type="dxa"/>
            <w:tcBorders>
              <w:left w:val="single" w:sz="4" w:space="0" w:color="auto"/>
            </w:tcBorders>
            <w:shd w:val="clear" w:color="auto" w:fill="auto"/>
          </w:tcPr>
          <w:p w14:paraId="02F91667" w14:textId="664BA84B" w:rsidR="00427D82" w:rsidRPr="00EE2FDC" w:rsidRDefault="00310585" w:rsidP="007B043C">
            <w:pPr>
              <w:spacing w:after="120"/>
              <w:rPr>
                <w:rFonts w:cs="Arial"/>
                <w:highlight w:val="yellow"/>
              </w:rPr>
            </w:pPr>
            <w:r>
              <w:rPr>
                <w:rFonts w:cs="Arial"/>
              </w:rPr>
              <w:t>DFAT</w:t>
            </w:r>
            <w:r w:rsidR="00427D82" w:rsidRPr="00427D82">
              <w:rPr>
                <w:rFonts w:cs="Arial"/>
              </w:rPr>
              <w:t xml:space="preserve"> will</w:t>
            </w:r>
            <w:r>
              <w:rPr>
                <w:rFonts w:cs="Arial"/>
              </w:rPr>
              <w:t xml:space="preserve"> draw on appropriate expertise to improve this aspect of BASIC and its successor program.</w:t>
            </w:r>
          </w:p>
        </w:tc>
        <w:tc>
          <w:tcPr>
            <w:tcW w:w="1583" w:type="dxa"/>
            <w:vMerge/>
            <w:tcBorders>
              <w:left w:val="single" w:sz="4" w:space="0" w:color="auto"/>
            </w:tcBorders>
            <w:shd w:val="clear" w:color="auto" w:fill="auto"/>
          </w:tcPr>
          <w:p w14:paraId="28DD0E03" w14:textId="77777777" w:rsidR="00427D82" w:rsidRDefault="00427D82" w:rsidP="007B043C">
            <w:pPr>
              <w:spacing w:after="120"/>
              <w:rPr>
                <w:rFonts w:cs="Arial"/>
              </w:rPr>
            </w:pPr>
          </w:p>
        </w:tc>
      </w:tr>
      <w:tr w:rsidR="00427D82" w:rsidRPr="00F43CEC" w14:paraId="066A91A9" w14:textId="77777777" w:rsidTr="007B043C">
        <w:trPr>
          <w:cantSplit/>
          <w:trHeight w:val="885"/>
        </w:trPr>
        <w:tc>
          <w:tcPr>
            <w:tcW w:w="2609" w:type="dxa"/>
            <w:shd w:val="clear" w:color="auto" w:fill="auto"/>
          </w:tcPr>
          <w:p w14:paraId="020D149F" w14:textId="331D1DBD" w:rsidR="00427D82" w:rsidRPr="00427D82" w:rsidRDefault="00427D82" w:rsidP="00E10442">
            <w:pPr>
              <w:spacing w:after="120"/>
              <w:ind w:left="22"/>
              <w:rPr>
                <w:lang w:val="en-US"/>
              </w:rPr>
            </w:pPr>
            <w:r w:rsidRPr="00427D82">
              <w:rPr>
                <w:lang w:val="en-US"/>
              </w:rPr>
              <w:t>Deliver more targeted gender-inclusive programming</w:t>
            </w:r>
            <w:r w:rsidR="00426287">
              <w:rPr>
                <w:lang w:val="en-US"/>
              </w:rPr>
              <w:t xml:space="preserve"> under BASIC.</w:t>
            </w:r>
          </w:p>
        </w:tc>
        <w:tc>
          <w:tcPr>
            <w:tcW w:w="2754" w:type="dxa"/>
            <w:tcBorders>
              <w:right w:val="single" w:sz="4" w:space="0" w:color="auto"/>
            </w:tcBorders>
            <w:shd w:val="clear" w:color="auto" w:fill="auto"/>
          </w:tcPr>
          <w:p w14:paraId="4ADCCA57" w14:textId="4F08D7A6" w:rsidR="00427D82" w:rsidRDefault="00427D82" w:rsidP="006E4222">
            <w:pPr>
              <w:spacing w:after="120"/>
              <w:rPr>
                <w:rFonts w:cs="Arial"/>
              </w:rPr>
            </w:pPr>
            <w:r>
              <w:rPr>
                <w:rFonts w:cs="Arial"/>
              </w:rPr>
              <w:t>Agree.</w:t>
            </w:r>
          </w:p>
        </w:tc>
        <w:tc>
          <w:tcPr>
            <w:tcW w:w="2682" w:type="dxa"/>
            <w:tcBorders>
              <w:left w:val="single" w:sz="4" w:space="0" w:color="auto"/>
            </w:tcBorders>
            <w:shd w:val="clear" w:color="auto" w:fill="auto"/>
          </w:tcPr>
          <w:p w14:paraId="134B3664" w14:textId="7B9354DF" w:rsidR="00427D82" w:rsidRPr="00EE2FDC" w:rsidRDefault="00310585" w:rsidP="007B043C">
            <w:pPr>
              <w:spacing w:after="120"/>
              <w:rPr>
                <w:rFonts w:cs="Arial"/>
                <w:highlight w:val="yellow"/>
              </w:rPr>
            </w:pPr>
            <w:r>
              <w:rPr>
                <w:rFonts w:cs="Arial"/>
              </w:rPr>
              <w:t>DFAT</w:t>
            </w:r>
            <w:r w:rsidR="00427D82" w:rsidRPr="00427D82">
              <w:rPr>
                <w:rFonts w:cs="Arial"/>
              </w:rPr>
              <w:t xml:space="preserve"> wil</w:t>
            </w:r>
            <w:r>
              <w:rPr>
                <w:rFonts w:cs="Arial"/>
              </w:rPr>
              <w:t>l draw on appropriate expertise</w:t>
            </w:r>
            <w:r w:rsidRPr="00310585">
              <w:rPr>
                <w:rFonts w:cs="Arial"/>
              </w:rPr>
              <w:t xml:space="preserve"> to improve this aspect of BASIC and its successor program.</w:t>
            </w:r>
          </w:p>
        </w:tc>
        <w:tc>
          <w:tcPr>
            <w:tcW w:w="1583" w:type="dxa"/>
            <w:vMerge/>
            <w:tcBorders>
              <w:left w:val="single" w:sz="4" w:space="0" w:color="auto"/>
            </w:tcBorders>
            <w:shd w:val="clear" w:color="auto" w:fill="auto"/>
          </w:tcPr>
          <w:p w14:paraId="47724915" w14:textId="77777777" w:rsidR="00427D82" w:rsidRDefault="00427D82" w:rsidP="007B043C">
            <w:pPr>
              <w:spacing w:after="120"/>
              <w:rPr>
                <w:rFonts w:cs="Arial"/>
              </w:rPr>
            </w:pPr>
          </w:p>
        </w:tc>
      </w:tr>
    </w:tbl>
    <w:p w14:paraId="6B42C69C" w14:textId="0DCD01C2" w:rsidR="00310585" w:rsidRDefault="00310585"/>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09"/>
        <w:gridCol w:w="2754"/>
        <w:gridCol w:w="2682"/>
        <w:gridCol w:w="1583"/>
      </w:tblGrid>
      <w:tr w:rsidR="00155536" w:rsidRPr="00E6298A" w14:paraId="00EE4570" w14:textId="77777777" w:rsidTr="00991201">
        <w:trPr>
          <w:cantSplit/>
          <w:tblHeader/>
        </w:trPr>
        <w:tc>
          <w:tcPr>
            <w:tcW w:w="2609" w:type="dxa"/>
            <w:shd w:val="clear" w:color="auto" w:fill="FFEC9B"/>
            <w:vAlign w:val="center"/>
          </w:tcPr>
          <w:p w14:paraId="4D29F54C" w14:textId="77777777" w:rsidR="00155536" w:rsidRPr="00E6298A" w:rsidRDefault="00155536" w:rsidP="00991201">
            <w:pPr>
              <w:pStyle w:val="Heading2"/>
              <w:spacing w:before="120" w:after="120"/>
              <w:jc w:val="center"/>
              <w:rPr>
                <w:sz w:val="20"/>
                <w:szCs w:val="20"/>
              </w:rPr>
            </w:pPr>
            <w:r w:rsidRPr="00E6298A">
              <w:rPr>
                <w:sz w:val="20"/>
                <w:szCs w:val="20"/>
              </w:rPr>
              <w:t>Recommendation</w:t>
            </w:r>
          </w:p>
        </w:tc>
        <w:tc>
          <w:tcPr>
            <w:tcW w:w="2754" w:type="dxa"/>
            <w:tcBorders>
              <w:right w:val="single" w:sz="4" w:space="0" w:color="auto"/>
            </w:tcBorders>
            <w:shd w:val="clear" w:color="auto" w:fill="FFEC9B"/>
            <w:vAlign w:val="center"/>
          </w:tcPr>
          <w:p w14:paraId="5DB453BA" w14:textId="77777777" w:rsidR="00155536" w:rsidRPr="00E6298A" w:rsidRDefault="00155536" w:rsidP="00991201">
            <w:pPr>
              <w:spacing w:after="120"/>
              <w:jc w:val="center"/>
              <w:rPr>
                <w:rFonts w:cs="Arial"/>
                <w:b/>
                <w:szCs w:val="20"/>
              </w:rPr>
            </w:pPr>
            <w:r w:rsidRPr="00E6298A">
              <w:rPr>
                <w:rFonts w:cs="Arial"/>
                <w:b/>
                <w:szCs w:val="20"/>
              </w:rPr>
              <w:t>Response</w:t>
            </w:r>
          </w:p>
        </w:tc>
        <w:tc>
          <w:tcPr>
            <w:tcW w:w="2682" w:type="dxa"/>
            <w:tcBorders>
              <w:left w:val="single" w:sz="4" w:space="0" w:color="auto"/>
            </w:tcBorders>
            <w:shd w:val="clear" w:color="auto" w:fill="FFEC9B"/>
            <w:vAlign w:val="center"/>
          </w:tcPr>
          <w:p w14:paraId="69FCEEB8" w14:textId="77777777" w:rsidR="00155536" w:rsidRPr="00E6298A" w:rsidRDefault="00155536" w:rsidP="00991201">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14:paraId="275EF51E" w14:textId="77777777" w:rsidR="00155536" w:rsidRPr="00E6298A" w:rsidRDefault="00155536" w:rsidP="00991201">
            <w:pPr>
              <w:spacing w:after="120"/>
              <w:jc w:val="center"/>
              <w:rPr>
                <w:b/>
                <w:szCs w:val="20"/>
              </w:rPr>
            </w:pPr>
            <w:r w:rsidRPr="00E6298A">
              <w:rPr>
                <w:b/>
                <w:szCs w:val="20"/>
              </w:rPr>
              <w:t>Responsibility</w:t>
            </w:r>
          </w:p>
        </w:tc>
      </w:tr>
      <w:tr w:rsidR="007B043C" w:rsidRPr="00F43CEC" w14:paraId="56D725C3" w14:textId="77777777" w:rsidTr="007B043C">
        <w:trPr>
          <w:cantSplit/>
          <w:trHeight w:val="230"/>
        </w:trPr>
        <w:tc>
          <w:tcPr>
            <w:tcW w:w="9628" w:type="dxa"/>
            <w:gridSpan w:val="4"/>
            <w:shd w:val="clear" w:color="auto" w:fill="auto"/>
          </w:tcPr>
          <w:p w14:paraId="6087DA86" w14:textId="44A0E375" w:rsidR="007B043C" w:rsidRPr="002917B3" w:rsidRDefault="00427D82" w:rsidP="00E10442">
            <w:pPr>
              <w:spacing w:after="120"/>
              <w:ind w:left="22"/>
              <w:jc w:val="center"/>
              <w:rPr>
                <w:rFonts w:cs="Arial"/>
                <w:b/>
              </w:rPr>
            </w:pPr>
            <w:r w:rsidRPr="002917B3">
              <w:rPr>
                <w:rFonts w:cs="Arial"/>
                <w:b/>
              </w:rPr>
              <w:t>For future programming</w:t>
            </w:r>
          </w:p>
        </w:tc>
      </w:tr>
      <w:tr w:rsidR="00323DF7" w:rsidRPr="00F43CEC" w14:paraId="2C61C5E2" w14:textId="77777777" w:rsidTr="007B043C">
        <w:trPr>
          <w:cantSplit/>
          <w:trHeight w:val="885"/>
        </w:trPr>
        <w:tc>
          <w:tcPr>
            <w:tcW w:w="2609" w:type="dxa"/>
            <w:shd w:val="clear" w:color="auto" w:fill="auto"/>
          </w:tcPr>
          <w:p w14:paraId="3531B5EC" w14:textId="7F0AB007" w:rsidR="00323DF7" w:rsidRPr="007A35FF" w:rsidRDefault="00323DF7" w:rsidP="00427D82">
            <w:pPr>
              <w:spacing w:after="120"/>
              <w:ind w:left="22"/>
            </w:pPr>
            <w:r>
              <w:rPr>
                <w:lang w:val="en-GB"/>
              </w:rPr>
              <w:t>Strengthen Australian Government alignment.</w:t>
            </w:r>
          </w:p>
        </w:tc>
        <w:tc>
          <w:tcPr>
            <w:tcW w:w="2754" w:type="dxa"/>
            <w:tcBorders>
              <w:right w:val="single" w:sz="4" w:space="0" w:color="auto"/>
            </w:tcBorders>
            <w:shd w:val="clear" w:color="auto" w:fill="auto"/>
          </w:tcPr>
          <w:p w14:paraId="785AC006" w14:textId="11BECA51" w:rsidR="003545F6" w:rsidRDefault="003545F6" w:rsidP="003545F6">
            <w:r>
              <w:t xml:space="preserve">DFAT will develop </w:t>
            </w:r>
            <w:r w:rsidRPr="003545F6">
              <w:t>a whole of government</w:t>
            </w:r>
            <w:r>
              <w:t xml:space="preserve"> strategy that articulates our objectives for investments in Mindanao and peace and stability, how we will achieve those objectives, which partners we will work with</w:t>
            </w:r>
            <w:r w:rsidR="00015DF0">
              <w:t>,</w:t>
            </w:r>
            <w:r>
              <w:t xml:space="preserve"> and how progress will be measured.</w:t>
            </w:r>
          </w:p>
          <w:p w14:paraId="4F1CDDC0" w14:textId="3199E7B4" w:rsidR="00323DF7" w:rsidRPr="00F43CEC" w:rsidRDefault="00323DF7" w:rsidP="00427D82">
            <w:pPr>
              <w:spacing w:after="120"/>
              <w:rPr>
                <w:rFonts w:cs="Arial"/>
              </w:rPr>
            </w:pPr>
          </w:p>
        </w:tc>
        <w:tc>
          <w:tcPr>
            <w:tcW w:w="2682" w:type="dxa"/>
            <w:tcBorders>
              <w:left w:val="single" w:sz="4" w:space="0" w:color="auto"/>
            </w:tcBorders>
            <w:shd w:val="clear" w:color="auto" w:fill="auto"/>
          </w:tcPr>
          <w:p w14:paraId="2173DF60" w14:textId="39839B4C" w:rsidR="00323DF7" w:rsidRPr="00EE2FDC" w:rsidRDefault="003545F6" w:rsidP="001429BB">
            <w:pPr>
              <w:spacing w:after="120"/>
              <w:rPr>
                <w:rFonts w:cs="Arial"/>
                <w:highlight w:val="yellow"/>
              </w:rPr>
            </w:pPr>
            <w:r>
              <w:t>DFAT Canberra will manage development of this strategy with close engagement with DFAT Peace and Stability team in Manila.</w:t>
            </w:r>
          </w:p>
        </w:tc>
        <w:tc>
          <w:tcPr>
            <w:tcW w:w="1583" w:type="dxa"/>
            <w:vMerge w:val="restart"/>
            <w:tcBorders>
              <w:left w:val="single" w:sz="4" w:space="0" w:color="auto"/>
            </w:tcBorders>
            <w:shd w:val="clear" w:color="auto" w:fill="auto"/>
          </w:tcPr>
          <w:p w14:paraId="59A66A34" w14:textId="77777777" w:rsidR="00323DF7" w:rsidRDefault="00323DF7" w:rsidP="007B043C">
            <w:pPr>
              <w:spacing w:after="120"/>
              <w:rPr>
                <w:rFonts w:cs="Arial"/>
              </w:rPr>
            </w:pPr>
          </w:p>
          <w:p w14:paraId="58E89A39" w14:textId="77777777" w:rsidR="00323DF7" w:rsidRDefault="00323DF7" w:rsidP="007B043C">
            <w:pPr>
              <w:spacing w:after="120"/>
              <w:rPr>
                <w:rFonts w:cs="Arial"/>
              </w:rPr>
            </w:pPr>
          </w:p>
          <w:p w14:paraId="1025A719" w14:textId="77777777" w:rsidR="00323DF7" w:rsidRDefault="00323DF7" w:rsidP="007B043C">
            <w:pPr>
              <w:spacing w:after="120"/>
              <w:rPr>
                <w:rFonts w:cs="Arial"/>
              </w:rPr>
            </w:pPr>
          </w:p>
          <w:p w14:paraId="771323E4" w14:textId="77777777" w:rsidR="00323DF7" w:rsidRDefault="00323DF7" w:rsidP="007B043C">
            <w:pPr>
              <w:spacing w:after="120"/>
              <w:rPr>
                <w:rFonts w:cs="Arial"/>
              </w:rPr>
            </w:pPr>
          </w:p>
          <w:p w14:paraId="3473810E" w14:textId="77777777" w:rsidR="00323DF7" w:rsidRDefault="00323DF7" w:rsidP="007B043C">
            <w:pPr>
              <w:spacing w:after="120"/>
              <w:rPr>
                <w:rFonts w:cs="Arial"/>
              </w:rPr>
            </w:pPr>
          </w:p>
          <w:p w14:paraId="59FEF9B6" w14:textId="77777777" w:rsidR="00323DF7" w:rsidRDefault="00323DF7" w:rsidP="007B043C">
            <w:pPr>
              <w:spacing w:after="120"/>
              <w:rPr>
                <w:rFonts w:cs="Arial"/>
              </w:rPr>
            </w:pPr>
          </w:p>
          <w:p w14:paraId="35640BB9" w14:textId="7EDB5631" w:rsidR="00323DF7" w:rsidRDefault="00323DF7" w:rsidP="007B043C">
            <w:pPr>
              <w:spacing w:after="120"/>
              <w:rPr>
                <w:rFonts w:cs="Arial"/>
              </w:rPr>
            </w:pPr>
            <w:r w:rsidRPr="00310585">
              <w:rPr>
                <w:rFonts w:cs="Arial"/>
              </w:rPr>
              <w:t>DFAT Peace and Stability Team in Manila</w:t>
            </w:r>
            <w:r w:rsidR="003545F6">
              <w:rPr>
                <w:rFonts w:cs="Arial"/>
              </w:rPr>
              <w:t xml:space="preserve"> and DFAT Canberra</w:t>
            </w:r>
          </w:p>
          <w:p w14:paraId="754D2A6E" w14:textId="1B2DA6F5" w:rsidR="00323DF7" w:rsidRDefault="00323DF7" w:rsidP="007B043C">
            <w:pPr>
              <w:spacing w:after="120"/>
              <w:rPr>
                <w:rFonts w:cs="Arial"/>
              </w:rPr>
            </w:pPr>
          </w:p>
        </w:tc>
      </w:tr>
      <w:tr w:rsidR="00323DF7" w:rsidRPr="00F43CEC" w14:paraId="6D5C5E06" w14:textId="77777777" w:rsidTr="007B043C">
        <w:trPr>
          <w:cantSplit/>
          <w:trHeight w:val="885"/>
        </w:trPr>
        <w:tc>
          <w:tcPr>
            <w:tcW w:w="2609" w:type="dxa"/>
            <w:shd w:val="clear" w:color="auto" w:fill="auto"/>
          </w:tcPr>
          <w:p w14:paraId="08C7B1D0" w14:textId="580FEA9D" w:rsidR="00323DF7" w:rsidRPr="00427D82" w:rsidRDefault="00323DF7" w:rsidP="00427D82">
            <w:pPr>
              <w:spacing w:after="120"/>
              <w:ind w:left="22"/>
              <w:rPr>
                <w:lang w:val="en-GB"/>
              </w:rPr>
            </w:pPr>
            <w:r w:rsidRPr="00310585">
              <w:rPr>
                <w:lang w:val="en-GB"/>
              </w:rPr>
              <w:t>Strengthen inclusivity and gender-sensitivity of DFAT programming</w:t>
            </w:r>
            <w:r w:rsidRPr="00427D82">
              <w:rPr>
                <w:lang w:val="en-GB"/>
              </w:rPr>
              <w:t>.</w:t>
            </w:r>
          </w:p>
        </w:tc>
        <w:tc>
          <w:tcPr>
            <w:tcW w:w="2754" w:type="dxa"/>
            <w:tcBorders>
              <w:right w:val="single" w:sz="4" w:space="0" w:color="auto"/>
            </w:tcBorders>
            <w:shd w:val="clear" w:color="auto" w:fill="auto"/>
          </w:tcPr>
          <w:p w14:paraId="6FFD1C9A" w14:textId="02AB272D" w:rsidR="00323DF7" w:rsidRDefault="00323DF7" w:rsidP="00E75381">
            <w:pPr>
              <w:spacing w:after="120"/>
              <w:rPr>
                <w:rFonts w:cs="Arial"/>
              </w:rPr>
            </w:pPr>
            <w:r w:rsidRPr="009363B6">
              <w:rPr>
                <w:rFonts w:cs="Arial"/>
              </w:rPr>
              <w:t>A</w:t>
            </w:r>
            <w:r>
              <w:rPr>
                <w:rFonts w:cs="Arial"/>
              </w:rPr>
              <w:t>gree.</w:t>
            </w:r>
          </w:p>
        </w:tc>
        <w:tc>
          <w:tcPr>
            <w:tcW w:w="2682" w:type="dxa"/>
            <w:tcBorders>
              <w:left w:val="single" w:sz="4" w:space="0" w:color="auto"/>
            </w:tcBorders>
            <w:shd w:val="clear" w:color="auto" w:fill="auto"/>
          </w:tcPr>
          <w:p w14:paraId="5C3F27F2" w14:textId="79AEBDA0" w:rsidR="00323DF7" w:rsidRPr="00EE2FDC" w:rsidRDefault="00323DF7" w:rsidP="00310585">
            <w:pPr>
              <w:spacing w:after="120"/>
              <w:rPr>
                <w:rFonts w:cs="Arial"/>
                <w:highlight w:val="yellow"/>
              </w:rPr>
            </w:pPr>
            <w:r w:rsidRPr="00310585">
              <w:rPr>
                <w:rFonts w:cs="Arial"/>
              </w:rPr>
              <w:t xml:space="preserve">DFAT will draw on appropriate expertise to improve this aspect of </w:t>
            </w:r>
            <w:r>
              <w:rPr>
                <w:rFonts w:cs="Arial"/>
              </w:rPr>
              <w:t>our peace and stability interventions.</w:t>
            </w:r>
          </w:p>
        </w:tc>
        <w:tc>
          <w:tcPr>
            <w:tcW w:w="1583" w:type="dxa"/>
            <w:vMerge/>
            <w:tcBorders>
              <w:left w:val="single" w:sz="4" w:space="0" w:color="auto"/>
            </w:tcBorders>
            <w:shd w:val="clear" w:color="auto" w:fill="auto"/>
          </w:tcPr>
          <w:p w14:paraId="7DEC4D3F" w14:textId="7D952C9E" w:rsidR="00323DF7" w:rsidRDefault="00323DF7" w:rsidP="007B043C">
            <w:pPr>
              <w:spacing w:after="120"/>
              <w:rPr>
                <w:rFonts w:cs="Arial"/>
              </w:rPr>
            </w:pPr>
          </w:p>
        </w:tc>
      </w:tr>
      <w:tr w:rsidR="00426287" w:rsidRPr="00F43CEC" w14:paraId="2F009D49" w14:textId="77777777" w:rsidTr="007B043C">
        <w:trPr>
          <w:cantSplit/>
          <w:trHeight w:val="885"/>
        </w:trPr>
        <w:tc>
          <w:tcPr>
            <w:tcW w:w="2609" w:type="dxa"/>
            <w:shd w:val="clear" w:color="auto" w:fill="auto"/>
          </w:tcPr>
          <w:p w14:paraId="06E75933" w14:textId="75A85C6D" w:rsidR="00426287" w:rsidRPr="00310585" w:rsidRDefault="00426287" w:rsidP="00427D82">
            <w:pPr>
              <w:spacing w:after="120"/>
              <w:ind w:left="22"/>
              <w:rPr>
                <w:lang w:val="en-US"/>
              </w:rPr>
            </w:pPr>
            <w:r w:rsidRPr="00426287">
              <w:rPr>
                <w:lang w:val="en-US"/>
              </w:rPr>
              <w:t>Further strengthen conflict and gender-sensitivity in the PATHWAYS program.</w:t>
            </w:r>
          </w:p>
        </w:tc>
        <w:tc>
          <w:tcPr>
            <w:tcW w:w="2754" w:type="dxa"/>
            <w:tcBorders>
              <w:right w:val="single" w:sz="4" w:space="0" w:color="auto"/>
            </w:tcBorders>
            <w:shd w:val="clear" w:color="auto" w:fill="auto"/>
          </w:tcPr>
          <w:p w14:paraId="74559E77" w14:textId="1B2DB586" w:rsidR="00426287" w:rsidRDefault="00426287" w:rsidP="00323DF7">
            <w:pPr>
              <w:spacing w:after="120"/>
              <w:rPr>
                <w:rFonts w:cs="Arial"/>
              </w:rPr>
            </w:pPr>
            <w:r>
              <w:rPr>
                <w:rFonts w:cs="Arial"/>
              </w:rPr>
              <w:t>Agree</w:t>
            </w:r>
            <w:r w:rsidR="00323DF7">
              <w:rPr>
                <w:rFonts w:cs="Arial"/>
              </w:rPr>
              <w:t xml:space="preserve"> in principle.</w:t>
            </w:r>
          </w:p>
        </w:tc>
        <w:tc>
          <w:tcPr>
            <w:tcW w:w="2682" w:type="dxa"/>
            <w:tcBorders>
              <w:left w:val="single" w:sz="4" w:space="0" w:color="auto"/>
            </w:tcBorders>
            <w:shd w:val="clear" w:color="auto" w:fill="auto"/>
          </w:tcPr>
          <w:p w14:paraId="13AD2A21" w14:textId="4B82AFAD" w:rsidR="00426287" w:rsidRDefault="00155536" w:rsidP="00155536">
            <w:pPr>
              <w:spacing w:after="120"/>
              <w:rPr>
                <w:rFonts w:cs="Arial"/>
              </w:rPr>
            </w:pPr>
            <w:r w:rsidRPr="00155536">
              <w:rPr>
                <w:rFonts w:cs="Arial"/>
              </w:rPr>
              <w:t>DFAT teams will assess how this can best be achieved. The flexible nature of PATHWAYS will enable it to respond to changes in the operating environment and associated opportunities throughout implementation</w:t>
            </w:r>
            <w:r>
              <w:rPr>
                <w:rFonts w:cs="Arial"/>
              </w:rPr>
              <w:t>.</w:t>
            </w:r>
            <w:r w:rsidRPr="00155536">
              <w:rPr>
                <w:rFonts w:cs="Arial"/>
              </w:rPr>
              <w:t xml:space="preserve"> </w:t>
            </w:r>
            <w:r>
              <w:rPr>
                <w:rFonts w:cs="Arial"/>
              </w:rPr>
              <w:t>Its</w:t>
            </w:r>
            <w:r w:rsidRPr="00155536">
              <w:rPr>
                <w:rFonts w:cs="Arial"/>
              </w:rPr>
              <w:t xml:space="preserve"> M&amp;E framework will be designed and updated as needed to appropriately measure the effects of the program and to capture broader outcomes.</w:t>
            </w:r>
          </w:p>
        </w:tc>
        <w:tc>
          <w:tcPr>
            <w:tcW w:w="1583" w:type="dxa"/>
            <w:tcBorders>
              <w:left w:val="single" w:sz="4" w:space="0" w:color="auto"/>
            </w:tcBorders>
            <w:shd w:val="clear" w:color="auto" w:fill="auto"/>
          </w:tcPr>
          <w:p w14:paraId="7535E0DE" w14:textId="5A5D5C74" w:rsidR="00426287" w:rsidRPr="00D50E57" w:rsidRDefault="00323DF7" w:rsidP="007B043C">
            <w:pPr>
              <w:spacing w:after="120"/>
              <w:rPr>
                <w:rFonts w:cs="Arial"/>
              </w:rPr>
            </w:pPr>
            <w:r>
              <w:rPr>
                <w:rFonts w:cs="Arial"/>
              </w:rPr>
              <w:t>DFAT Manila</w:t>
            </w:r>
          </w:p>
        </w:tc>
      </w:tr>
      <w:tr w:rsidR="00323DF7" w:rsidRPr="00F43CEC" w14:paraId="1928E164" w14:textId="77777777" w:rsidTr="007B043C">
        <w:trPr>
          <w:cantSplit/>
          <w:trHeight w:val="885"/>
        </w:trPr>
        <w:tc>
          <w:tcPr>
            <w:tcW w:w="2609" w:type="dxa"/>
            <w:shd w:val="clear" w:color="auto" w:fill="auto"/>
          </w:tcPr>
          <w:p w14:paraId="362700FA" w14:textId="56EEC82B" w:rsidR="00323DF7" w:rsidRPr="00427D82" w:rsidRDefault="00323DF7" w:rsidP="00427D82">
            <w:pPr>
              <w:spacing w:after="120"/>
              <w:ind w:left="22"/>
              <w:rPr>
                <w:lang w:val="en-GB"/>
              </w:rPr>
            </w:pPr>
            <w:r w:rsidRPr="00310585">
              <w:rPr>
                <w:lang w:val="en-US"/>
              </w:rPr>
              <w:t>Promote continuity of existing support mechanisms, while uncertainty over peace road map architecture is being resolved</w:t>
            </w:r>
            <w:r w:rsidRPr="00427D82">
              <w:rPr>
                <w:lang w:val="en-GB"/>
              </w:rPr>
              <w:t>.</w:t>
            </w:r>
          </w:p>
        </w:tc>
        <w:tc>
          <w:tcPr>
            <w:tcW w:w="2754" w:type="dxa"/>
            <w:tcBorders>
              <w:right w:val="single" w:sz="4" w:space="0" w:color="auto"/>
            </w:tcBorders>
            <w:shd w:val="clear" w:color="auto" w:fill="auto"/>
          </w:tcPr>
          <w:p w14:paraId="115D42CD" w14:textId="6731CA8F" w:rsidR="00323DF7" w:rsidRDefault="00323DF7" w:rsidP="007B043C">
            <w:pPr>
              <w:spacing w:after="120"/>
              <w:rPr>
                <w:rFonts w:cs="Arial"/>
              </w:rPr>
            </w:pPr>
            <w:r>
              <w:rPr>
                <w:rFonts w:cs="Arial"/>
              </w:rPr>
              <w:t xml:space="preserve">Agree, </w:t>
            </w:r>
            <w:r w:rsidRPr="00310585">
              <w:rPr>
                <w:rFonts w:cs="Arial"/>
                <w:lang w:val="en-US"/>
              </w:rPr>
              <w:t>noting that the Philippines government is advancing its peace and development roadmap</w:t>
            </w:r>
            <w:r>
              <w:rPr>
                <w:rFonts w:cs="Arial"/>
                <w:lang w:val="en-US"/>
              </w:rPr>
              <w:t xml:space="preserve"> and developing a multi-partner financing facility.</w:t>
            </w:r>
          </w:p>
        </w:tc>
        <w:tc>
          <w:tcPr>
            <w:tcW w:w="2682" w:type="dxa"/>
            <w:tcBorders>
              <w:left w:val="single" w:sz="4" w:space="0" w:color="auto"/>
            </w:tcBorders>
            <w:shd w:val="clear" w:color="auto" w:fill="auto"/>
          </w:tcPr>
          <w:p w14:paraId="41D86CFE" w14:textId="6A1F2C37" w:rsidR="00323DF7" w:rsidRDefault="00323DF7" w:rsidP="007B043C">
            <w:pPr>
              <w:spacing w:after="120"/>
              <w:rPr>
                <w:rFonts w:cs="Arial"/>
              </w:rPr>
            </w:pPr>
            <w:r>
              <w:rPr>
                <w:rFonts w:cs="Arial"/>
              </w:rPr>
              <w:t>DFAT will remain engaged with the GPH and development partners to establish the most appropriate modality for supporting the peace process.</w:t>
            </w:r>
          </w:p>
        </w:tc>
        <w:tc>
          <w:tcPr>
            <w:tcW w:w="1583" w:type="dxa"/>
            <w:vMerge w:val="restart"/>
            <w:tcBorders>
              <w:left w:val="single" w:sz="4" w:space="0" w:color="auto"/>
            </w:tcBorders>
            <w:shd w:val="clear" w:color="auto" w:fill="auto"/>
          </w:tcPr>
          <w:p w14:paraId="3C532F02" w14:textId="77777777" w:rsidR="00323DF7" w:rsidRDefault="00323DF7" w:rsidP="007B043C">
            <w:pPr>
              <w:spacing w:after="120"/>
              <w:rPr>
                <w:rFonts w:cs="Arial"/>
              </w:rPr>
            </w:pPr>
            <w:r w:rsidRPr="00BF66AC">
              <w:rPr>
                <w:rFonts w:cs="Arial"/>
              </w:rPr>
              <w:t>DFAT Peace and Stability Team in Manila</w:t>
            </w:r>
          </w:p>
          <w:p w14:paraId="381D9D8B" w14:textId="77777777" w:rsidR="00323DF7" w:rsidRDefault="00323DF7" w:rsidP="007B043C">
            <w:pPr>
              <w:spacing w:after="120"/>
              <w:rPr>
                <w:rFonts w:cs="Arial"/>
              </w:rPr>
            </w:pPr>
          </w:p>
          <w:p w14:paraId="01E9573C" w14:textId="77777777" w:rsidR="00323DF7" w:rsidRDefault="00323DF7" w:rsidP="007B043C">
            <w:pPr>
              <w:spacing w:after="120"/>
              <w:rPr>
                <w:rFonts w:cs="Arial"/>
              </w:rPr>
            </w:pPr>
          </w:p>
          <w:p w14:paraId="56A3C2A4" w14:textId="77777777" w:rsidR="00323DF7" w:rsidRDefault="00323DF7" w:rsidP="007B043C">
            <w:pPr>
              <w:spacing w:after="120"/>
              <w:rPr>
                <w:rFonts w:cs="Arial"/>
              </w:rPr>
            </w:pPr>
          </w:p>
          <w:p w14:paraId="317FBC3C" w14:textId="77777777" w:rsidR="00323DF7" w:rsidRDefault="00323DF7" w:rsidP="007B043C">
            <w:pPr>
              <w:spacing w:after="120"/>
              <w:rPr>
                <w:rFonts w:cs="Arial"/>
              </w:rPr>
            </w:pPr>
          </w:p>
          <w:p w14:paraId="1ACAE74B" w14:textId="77777777" w:rsidR="00323DF7" w:rsidRDefault="00323DF7" w:rsidP="007B043C">
            <w:pPr>
              <w:spacing w:after="120"/>
              <w:rPr>
                <w:rFonts w:cs="Arial"/>
              </w:rPr>
            </w:pPr>
          </w:p>
          <w:p w14:paraId="2F779854" w14:textId="77777777" w:rsidR="00323DF7" w:rsidRDefault="00323DF7" w:rsidP="007B043C">
            <w:pPr>
              <w:spacing w:after="120"/>
              <w:rPr>
                <w:rFonts w:cs="Arial"/>
              </w:rPr>
            </w:pPr>
          </w:p>
          <w:p w14:paraId="30619064" w14:textId="77777777" w:rsidR="00323DF7" w:rsidRDefault="00323DF7" w:rsidP="007B043C">
            <w:pPr>
              <w:spacing w:after="120"/>
              <w:rPr>
                <w:rFonts w:cs="Arial"/>
              </w:rPr>
            </w:pPr>
          </w:p>
          <w:p w14:paraId="05EFFE90" w14:textId="77777777" w:rsidR="00323DF7" w:rsidRDefault="00323DF7" w:rsidP="007B043C">
            <w:pPr>
              <w:spacing w:after="120"/>
              <w:rPr>
                <w:rFonts w:cs="Arial"/>
              </w:rPr>
            </w:pPr>
          </w:p>
          <w:p w14:paraId="64BBEB78" w14:textId="77777777" w:rsidR="00323DF7" w:rsidRDefault="00323DF7" w:rsidP="007B043C">
            <w:pPr>
              <w:spacing w:after="120"/>
              <w:rPr>
                <w:rFonts w:cs="Arial"/>
              </w:rPr>
            </w:pPr>
          </w:p>
          <w:p w14:paraId="365A658F" w14:textId="77777777" w:rsidR="00323DF7" w:rsidRDefault="00323DF7" w:rsidP="007B043C">
            <w:pPr>
              <w:spacing w:after="120"/>
              <w:rPr>
                <w:rFonts w:cs="Arial"/>
              </w:rPr>
            </w:pPr>
          </w:p>
          <w:p w14:paraId="523D28D9" w14:textId="77777777" w:rsidR="00323DF7" w:rsidRDefault="00323DF7" w:rsidP="007B043C">
            <w:pPr>
              <w:spacing w:after="120"/>
              <w:rPr>
                <w:rFonts w:cs="Arial"/>
              </w:rPr>
            </w:pPr>
          </w:p>
          <w:p w14:paraId="462AF147" w14:textId="77777777" w:rsidR="00323DF7" w:rsidRDefault="00323DF7" w:rsidP="007B043C">
            <w:pPr>
              <w:spacing w:after="120"/>
              <w:rPr>
                <w:rFonts w:cs="Arial"/>
              </w:rPr>
            </w:pPr>
          </w:p>
          <w:p w14:paraId="0B2D2B86" w14:textId="77777777" w:rsidR="00323DF7" w:rsidRDefault="00323DF7" w:rsidP="007B043C">
            <w:pPr>
              <w:spacing w:after="120"/>
              <w:rPr>
                <w:rFonts w:cs="Arial"/>
              </w:rPr>
            </w:pPr>
          </w:p>
          <w:p w14:paraId="0AEF1808" w14:textId="77777777" w:rsidR="00323DF7" w:rsidRDefault="00323DF7" w:rsidP="007B043C">
            <w:pPr>
              <w:spacing w:after="120"/>
              <w:rPr>
                <w:rFonts w:cs="Arial"/>
              </w:rPr>
            </w:pPr>
          </w:p>
          <w:p w14:paraId="006AB68A" w14:textId="77777777" w:rsidR="00323DF7" w:rsidRDefault="00323DF7" w:rsidP="007B043C">
            <w:pPr>
              <w:spacing w:after="120"/>
              <w:rPr>
                <w:rFonts w:cs="Arial"/>
              </w:rPr>
            </w:pPr>
          </w:p>
          <w:p w14:paraId="4EE2EB97" w14:textId="77777777" w:rsidR="00323DF7" w:rsidRDefault="00323DF7" w:rsidP="007B043C">
            <w:pPr>
              <w:spacing w:after="120"/>
              <w:rPr>
                <w:rFonts w:cs="Arial"/>
              </w:rPr>
            </w:pPr>
          </w:p>
          <w:p w14:paraId="0675F2F6" w14:textId="77777777" w:rsidR="00323DF7" w:rsidRDefault="00323DF7" w:rsidP="007B043C">
            <w:pPr>
              <w:spacing w:after="120"/>
              <w:rPr>
                <w:rFonts w:cs="Arial"/>
              </w:rPr>
            </w:pPr>
          </w:p>
          <w:p w14:paraId="0BF60098" w14:textId="77777777" w:rsidR="00323DF7" w:rsidRDefault="00323DF7" w:rsidP="007B043C">
            <w:pPr>
              <w:spacing w:after="120"/>
              <w:rPr>
                <w:rFonts w:cs="Arial"/>
              </w:rPr>
            </w:pPr>
          </w:p>
          <w:p w14:paraId="3B97E3FE" w14:textId="77777777" w:rsidR="00323DF7" w:rsidRDefault="00323DF7" w:rsidP="007B043C">
            <w:pPr>
              <w:spacing w:after="120"/>
              <w:rPr>
                <w:rFonts w:cs="Arial"/>
              </w:rPr>
            </w:pPr>
          </w:p>
          <w:p w14:paraId="26DA20CB" w14:textId="4C6A1A4D" w:rsidR="00323DF7" w:rsidRPr="00D50E57" w:rsidRDefault="00323DF7" w:rsidP="007B043C">
            <w:pPr>
              <w:spacing w:after="120"/>
              <w:rPr>
                <w:rFonts w:cs="Arial"/>
              </w:rPr>
            </w:pPr>
            <w:r w:rsidRPr="00323DF7">
              <w:rPr>
                <w:rFonts w:cs="Arial"/>
              </w:rPr>
              <w:t>DFAT Peace and Stability Team in Manila</w:t>
            </w:r>
          </w:p>
        </w:tc>
      </w:tr>
      <w:tr w:rsidR="00323DF7" w:rsidRPr="00F43CEC" w14:paraId="2626CD45" w14:textId="77777777" w:rsidTr="007B043C">
        <w:trPr>
          <w:cantSplit/>
          <w:trHeight w:val="885"/>
        </w:trPr>
        <w:tc>
          <w:tcPr>
            <w:tcW w:w="2609" w:type="dxa"/>
            <w:shd w:val="clear" w:color="auto" w:fill="auto"/>
          </w:tcPr>
          <w:p w14:paraId="7DED051C" w14:textId="2181FC27" w:rsidR="00323DF7" w:rsidRPr="00427D82" w:rsidRDefault="00323DF7" w:rsidP="00426287">
            <w:pPr>
              <w:spacing w:after="120"/>
              <w:rPr>
                <w:lang w:val="en-GB"/>
              </w:rPr>
            </w:pPr>
            <w:r w:rsidRPr="00310585">
              <w:rPr>
                <w:lang w:val="en-US"/>
              </w:rPr>
              <w:t>Continue to work flexibly at multiple levels of the peace process</w:t>
            </w:r>
            <w:r>
              <w:rPr>
                <w:lang w:val="en-US"/>
              </w:rPr>
              <w:t>.</w:t>
            </w:r>
          </w:p>
        </w:tc>
        <w:tc>
          <w:tcPr>
            <w:tcW w:w="2754" w:type="dxa"/>
            <w:tcBorders>
              <w:right w:val="single" w:sz="4" w:space="0" w:color="auto"/>
            </w:tcBorders>
            <w:shd w:val="clear" w:color="auto" w:fill="auto"/>
          </w:tcPr>
          <w:p w14:paraId="08E9FDC2" w14:textId="7B0AAAAF" w:rsidR="00323DF7" w:rsidRDefault="00323DF7" w:rsidP="00E75381">
            <w:pPr>
              <w:spacing w:after="120"/>
              <w:rPr>
                <w:rFonts w:cs="Arial"/>
              </w:rPr>
            </w:pPr>
            <w:r w:rsidRPr="006D32F9">
              <w:rPr>
                <w:rFonts w:cs="Arial"/>
              </w:rPr>
              <w:t xml:space="preserve">Agree. </w:t>
            </w:r>
          </w:p>
        </w:tc>
        <w:tc>
          <w:tcPr>
            <w:tcW w:w="2682" w:type="dxa"/>
            <w:tcBorders>
              <w:left w:val="single" w:sz="4" w:space="0" w:color="auto"/>
            </w:tcBorders>
            <w:shd w:val="clear" w:color="auto" w:fill="auto"/>
          </w:tcPr>
          <w:p w14:paraId="13B8B540" w14:textId="5A228349" w:rsidR="00323DF7" w:rsidRDefault="00323DF7" w:rsidP="001429BB">
            <w:pPr>
              <w:spacing w:after="120"/>
              <w:rPr>
                <w:rFonts w:cs="Arial"/>
              </w:rPr>
            </w:pPr>
          </w:p>
        </w:tc>
        <w:tc>
          <w:tcPr>
            <w:tcW w:w="1583" w:type="dxa"/>
            <w:vMerge/>
            <w:tcBorders>
              <w:left w:val="single" w:sz="4" w:space="0" w:color="auto"/>
            </w:tcBorders>
            <w:shd w:val="clear" w:color="auto" w:fill="auto"/>
          </w:tcPr>
          <w:p w14:paraId="300E0D73" w14:textId="6AD46757" w:rsidR="00323DF7" w:rsidRPr="00D50E57" w:rsidRDefault="00323DF7" w:rsidP="007B043C">
            <w:pPr>
              <w:spacing w:after="120"/>
              <w:rPr>
                <w:rFonts w:cs="Arial"/>
              </w:rPr>
            </w:pPr>
          </w:p>
        </w:tc>
      </w:tr>
      <w:tr w:rsidR="00323DF7" w:rsidRPr="00F43CEC" w14:paraId="502C7C33" w14:textId="77777777" w:rsidTr="007B043C">
        <w:trPr>
          <w:cantSplit/>
          <w:trHeight w:val="885"/>
        </w:trPr>
        <w:tc>
          <w:tcPr>
            <w:tcW w:w="2609" w:type="dxa"/>
            <w:shd w:val="clear" w:color="auto" w:fill="auto"/>
          </w:tcPr>
          <w:p w14:paraId="3EFA6055" w14:textId="12B3388A" w:rsidR="00323DF7" w:rsidRPr="00310585" w:rsidRDefault="00323DF7" w:rsidP="00066377">
            <w:pPr>
              <w:spacing w:after="120"/>
              <w:rPr>
                <w:lang w:val="en-US"/>
              </w:rPr>
            </w:pPr>
            <w:r w:rsidRPr="00310585">
              <w:rPr>
                <w:lang w:val="en-US"/>
              </w:rPr>
              <w:t>Advocate for centralized GPH</w:t>
            </w:r>
            <w:r w:rsidR="00066377">
              <w:rPr>
                <w:lang w:val="en-US"/>
              </w:rPr>
              <w:t xml:space="preserve"> (OPAPP) coordination of donors.</w:t>
            </w:r>
          </w:p>
        </w:tc>
        <w:tc>
          <w:tcPr>
            <w:tcW w:w="2754" w:type="dxa"/>
            <w:tcBorders>
              <w:right w:val="single" w:sz="4" w:space="0" w:color="auto"/>
            </w:tcBorders>
            <w:shd w:val="clear" w:color="auto" w:fill="auto"/>
          </w:tcPr>
          <w:p w14:paraId="264E7C44" w14:textId="38E6A4EB" w:rsidR="00323DF7" w:rsidRDefault="00323DF7" w:rsidP="007B043C">
            <w:pPr>
              <w:spacing w:after="120"/>
              <w:rPr>
                <w:rFonts w:cs="Arial"/>
              </w:rPr>
            </w:pPr>
            <w:r>
              <w:rPr>
                <w:rFonts w:cs="Arial"/>
              </w:rPr>
              <w:t>Agree, noting that the OPAPP of the new government has already reconstituted the main donor coordination body.</w:t>
            </w:r>
          </w:p>
        </w:tc>
        <w:tc>
          <w:tcPr>
            <w:tcW w:w="2682" w:type="dxa"/>
            <w:tcBorders>
              <w:left w:val="single" w:sz="4" w:space="0" w:color="auto"/>
            </w:tcBorders>
            <w:shd w:val="clear" w:color="auto" w:fill="auto"/>
          </w:tcPr>
          <w:p w14:paraId="2C01F8F2" w14:textId="535F80A8" w:rsidR="00323DF7" w:rsidRDefault="00323DF7" w:rsidP="007B043C">
            <w:pPr>
              <w:spacing w:after="120"/>
              <w:rPr>
                <w:rFonts w:cs="Arial"/>
              </w:rPr>
            </w:pPr>
            <w:r>
              <w:rPr>
                <w:rFonts w:cs="Arial"/>
              </w:rPr>
              <w:t>DFAT is participating in the GPH-led Mindanao Working Group.</w:t>
            </w:r>
          </w:p>
        </w:tc>
        <w:tc>
          <w:tcPr>
            <w:tcW w:w="1583" w:type="dxa"/>
            <w:vMerge/>
            <w:tcBorders>
              <w:left w:val="single" w:sz="4" w:space="0" w:color="auto"/>
            </w:tcBorders>
            <w:shd w:val="clear" w:color="auto" w:fill="auto"/>
          </w:tcPr>
          <w:p w14:paraId="62B83740" w14:textId="46145DF2" w:rsidR="00323DF7" w:rsidRPr="00D50E57" w:rsidRDefault="00323DF7" w:rsidP="007B043C">
            <w:pPr>
              <w:spacing w:after="120"/>
              <w:rPr>
                <w:rFonts w:cs="Arial"/>
              </w:rPr>
            </w:pPr>
          </w:p>
        </w:tc>
      </w:tr>
      <w:tr w:rsidR="00323DF7" w:rsidRPr="00F43CEC" w14:paraId="7437D547" w14:textId="77777777" w:rsidTr="007B043C">
        <w:trPr>
          <w:cantSplit/>
          <w:trHeight w:val="885"/>
        </w:trPr>
        <w:tc>
          <w:tcPr>
            <w:tcW w:w="2609" w:type="dxa"/>
            <w:shd w:val="clear" w:color="auto" w:fill="auto"/>
          </w:tcPr>
          <w:p w14:paraId="3088EA8C" w14:textId="008CCDD8" w:rsidR="00323DF7" w:rsidRPr="00310585" w:rsidRDefault="00323DF7" w:rsidP="00426287">
            <w:pPr>
              <w:spacing w:after="120"/>
              <w:ind w:left="22"/>
              <w:rPr>
                <w:lang w:val="en-US"/>
              </w:rPr>
            </w:pPr>
            <w:r w:rsidRPr="00310585">
              <w:rPr>
                <w:lang w:val="en-US"/>
              </w:rPr>
              <w:lastRenderedPageBreak/>
              <w:t>Widen technical assistance to both MIL</w:t>
            </w:r>
            <w:r w:rsidR="00066377">
              <w:rPr>
                <w:lang w:val="en-US"/>
              </w:rPr>
              <w:t>F and other Moro peace-builders.</w:t>
            </w:r>
          </w:p>
        </w:tc>
        <w:tc>
          <w:tcPr>
            <w:tcW w:w="2754" w:type="dxa"/>
            <w:tcBorders>
              <w:right w:val="single" w:sz="4" w:space="0" w:color="auto"/>
            </w:tcBorders>
            <w:shd w:val="clear" w:color="auto" w:fill="auto"/>
          </w:tcPr>
          <w:p w14:paraId="0F9AD0DB" w14:textId="26609139" w:rsidR="00323DF7" w:rsidRDefault="00323DF7" w:rsidP="00066377">
            <w:pPr>
              <w:spacing w:after="120"/>
              <w:rPr>
                <w:rFonts w:cs="Arial"/>
              </w:rPr>
            </w:pPr>
            <w:r>
              <w:rPr>
                <w:rFonts w:cs="Arial"/>
              </w:rPr>
              <w:t xml:space="preserve">Agree, </w:t>
            </w:r>
            <w:r w:rsidRPr="00B72258">
              <w:rPr>
                <w:rFonts w:cs="Arial"/>
              </w:rPr>
              <w:t>noting that TA could be mobilised through the multi-partner facility.</w:t>
            </w:r>
          </w:p>
        </w:tc>
        <w:tc>
          <w:tcPr>
            <w:tcW w:w="2682" w:type="dxa"/>
            <w:vMerge w:val="restart"/>
            <w:tcBorders>
              <w:left w:val="single" w:sz="4" w:space="0" w:color="auto"/>
            </w:tcBorders>
            <w:shd w:val="clear" w:color="auto" w:fill="auto"/>
          </w:tcPr>
          <w:p w14:paraId="414B2CC9" w14:textId="66E2D05E" w:rsidR="00323DF7" w:rsidRDefault="00066377" w:rsidP="007B043C">
            <w:pPr>
              <w:spacing w:after="120"/>
              <w:rPr>
                <w:rFonts w:cs="Arial"/>
              </w:rPr>
            </w:pPr>
            <w:r w:rsidRPr="00066377">
              <w:rPr>
                <w:rFonts w:cs="Arial"/>
              </w:rPr>
              <w:t>DFAT is planning to contribute to the GPH m</w:t>
            </w:r>
            <w:r>
              <w:rPr>
                <w:rFonts w:cs="Arial"/>
              </w:rPr>
              <w:t>ulti-partner financing facility under development.</w:t>
            </w:r>
          </w:p>
        </w:tc>
        <w:tc>
          <w:tcPr>
            <w:tcW w:w="1583" w:type="dxa"/>
            <w:vMerge/>
            <w:tcBorders>
              <w:left w:val="single" w:sz="4" w:space="0" w:color="auto"/>
            </w:tcBorders>
            <w:shd w:val="clear" w:color="auto" w:fill="auto"/>
          </w:tcPr>
          <w:p w14:paraId="7C0202F1" w14:textId="4D643D3A" w:rsidR="00323DF7" w:rsidRPr="00D50E57" w:rsidRDefault="00323DF7" w:rsidP="007B043C">
            <w:pPr>
              <w:spacing w:after="120"/>
              <w:rPr>
                <w:rFonts w:cs="Arial"/>
              </w:rPr>
            </w:pPr>
          </w:p>
        </w:tc>
      </w:tr>
      <w:tr w:rsidR="00323DF7" w:rsidRPr="00F43CEC" w14:paraId="00FC6E5D" w14:textId="77777777" w:rsidTr="007B043C">
        <w:trPr>
          <w:cantSplit/>
          <w:trHeight w:val="885"/>
        </w:trPr>
        <w:tc>
          <w:tcPr>
            <w:tcW w:w="2609" w:type="dxa"/>
            <w:shd w:val="clear" w:color="auto" w:fill="auto"/>
          </w:tcPr>
          <w:p w14:paraId="590DCDB5" w14:textId="34C1846D" w:rsidR="00323DF7" w:rsidRPr="00310585" w:rsidRDefault="00066377" w:rsidP="00066377">
            <w:pPr>
              <w:spacing w:after="120"/>
              <w:ind w:left="22"/>
              <w:rPr>
                <w:lang w:val="en-US"/>
              </w:rPr>
            </w:pPr>
            <w:r w:rsidRPr="00066377">
              <w:rPr>
                <w:lang w:val="en-US"/>
              </w:rPr>
              <w:t>Start shifting multi-donor funds engaged in community-driven development from confidence building measures to inclusive socio-economic development</w:t>
            </w:r>
            <w:r>
              <w:rPr>
                <w:lang w:val="en-US"/>
              </w:rPr>
              <w:t>.</w:t>
            </w:r>
          </w:p>
        </w:tc>
        <w:tc>
          <w:tcPr>
            <w:tcW w:w="2754" w:type="dxa"/>
            <w:tcBorders>
              <w:right w:val="single" w:sz="4" w:space="0" w:color="auto"/>
            </w:tcBorders>
            <w:shd w:val="clear" w:color="auto" w:fill="auto"/>
          </w:tcPr>
          <w:p w14:paraId="0199822F" w14:textId="7E1B5593" w:rsidR="00323DF7" w:rsidRDefault="00323DF7" w:rsidP="007B043C">
            <w:pPr>
              <w:spacing w:after="120"/>
              <w:rPr>
                <w:rFonts w:cs="Arial"/>
              </w:rPr>
            </w:pPr>
            <w:r>
              <w:rPr>
                <w:rFonts w:cs="Arial"/>
              </w:rPr>
              <w:t>Agree, consistent with GPH policy and good conflict-sensitive development practice.</w:t>
            </w:r>
          </w:p>
        </w:tc>
        <w:tc>
          <w:tcPr>
            <w:tcW w:w="2682" w:type="dxa"/>
            <w:vMerge/>
            <w:tcBorders>
              <w:left w:val="single" w:sz="4" w:space="0" w:color="auto"/>
            </w:tcBorders>
            <w:shd w:val="clear" w:color="auto" w:fill="auto"/>
          </w:tcPr>
          <w:p w14:paraId="7923E7FD" w14:textId="745F9B70" w:rsidR="00323DF7" w:rsidRDefault="00323DF7" w:rsidP="007B043C">
            <w:pPr>
              <w:spacing w:after="120"/>
              <w:rPr>
                <w:rFonts w:cs="Arial"/>
              </w:rPr>
            </w:pPr>
          </w:p>
        </w:tc>
        <w:tc>
          <w:tcPr>
            <w:tcW w:w="1583" w:type="dxa"/>
            <w:vMerge/>
            <w:tcBorders>
              <w:left w:val="single" w:sz="4" w:space="0" w:color="auto"/>
            </w:tcBorders>
            <w:shd w:val="clear" w:color="auto" w:fill="auto"/>
          </w:tcPr>
          <w:p w14:paraId="7187C779" w14:textId="77777777" w:rsidR="00323DF7" w:rsidRPr="00D50E57" w:rsidRDefault="00323DF7" w:rsidP="007B043C">
            <w:pPr>
              <w:spacing w:after="120"/>
              <w:rPr>
                <w:rFonts w:cs="Arial"/>
              </w:rPr>
            </w:pPr>
          </w:p>
        </w:tc>
      </w:tr>
      <w:tr w:rsidR="00323DF7" w:rsidRPr="00F43CEC" w14:paraId="5F300450" w14:textId="77777777" w:rsidTr="007B043C">
        <w:trPr>
          <w:cantSplit/>
          <w:trHeight w:val="885"/>
        </w:trPr>
        <w:tc>
          <w:tcPr>
            <w:tcW w:w="2609" w:type="dxa"/>
            <w:shd w:val="clear" w:color="auto" w:fill="auto"/>
          </w:tcPr>
          <w:p w14:paraId="020AE236" w14:textId="7F0222D6" w:rsidR="00323DF7" w:rsidRPr="00310585" w:rsidRDefault="00323DF7" w:rsidP="00066377">
            <w:pPr>
              <w:spacing w:after="120"/>
              <w:ind w:left="22"/>
              <w:rPr>
                <w:lang w:val="en-US"/>
              </w:rPr>
            </w:pPr>
            <w:r w:rsidRPr="00310585">
              <w:rPr>
                <w:lang w:val="en-US"/>
              </w:rPr>
              <w:t>Continue to provide bilateral fund</w:t>
            </w:r>
            <w:r w:rsidR="00066377">
              <w:rPr>
                <w:lang w:val="en-US"/>
              </w:rPr>
              <w:t>ing to strengthen civil society.</w:t>
            </w:r>
          </w:p>
        </w:tc>
        <w:tc>
          <w:tcPr>
            <w:tcW w:w="2754" w:type="dxa"/>
            <w:tcBorders>
              <w:right w:val="single" w:sz="4" w:space="0" w:color="auto"/>
            </w:tcBorders>
            <w:shd w:val="clear" w:color="auto" w:fill="auto"/>
          </w:tcPr>
          <w:p w14:paraId="7694E1CB" w14:textId="38C0BD44" w:rsidR="00323DF7" w:rsidRDefault="00323DF7" w:rsidP="007B043C">
            <w:pPr>
              <w:spacing w:after="120"/>
              <w:rPr>
                <w:rFonts w:cs="Arial"/>
              </w:rPr>
            </w:pPr>
            <w:r>
              <w:rPr>
                <w:rFonts w:cs="Arial"/>
              </w:rPr>
              <w:t>Agree.</w:t>
            </w:r>
          </w:p>
        </w:tc>
        <w:tc>
          <w:tcPr>
            <w:tcW w:w="2682" w:type="dxa"/>
            <w:vMerge w:val="restart"/>
            <w:tcBorders>
              <w:left w:val="single" w:sz="4" w:space="0" w:color="auto"/>
            </w:tcBorders>
            <w:shd w:val="clear" w:color="auto" w:fill="auto"/>
          </w:tcPr>
          <w:p w14:paraId="48A72115" w14:textId="37809B81" w:rsidR="00323DF7" w:rsidRDefault="00323DF7" w:rsidP="007B043C">
            <w:pPr>
              <w:spacing w:after="120"/>
              <w:rPr>
                <w:rFonts w:cs="Arial"/>
              </w:rPr>
            </w:pPr>
            <w:r w:rsidRPr="00BF66AC">
              <w:rPr>
                <w:rFonts w:cs="Arial"/>
              </w:rPr>
              <w:t>DFAT is developing a further phase of its bilateral program to follow BASIC Bangsamoro.</w:t>
            </w:r>
          </w:p>
        </w:tc>
        <w:tc>
          <w:tcPr>
            <w:tcW w:w="1583" w:type="dxa"/>
            <w:vMerge/>
            <w:tcBorders>
              <w:left w:val="single" w:sz="4" w:space="0" w:color="auto"/>
            </w:tcBorders>
            <w:shd w:val="clear" w:color="auto" w:fill="auto"/>
          </w:tcPr>
          <w:p w14:paraId="4EAD089B" w14:textId="77777777" w:rsidR="00323DF7" w:rsidRPr="00D50E57" w:rsidRDefault="00323DF7" w:rsidP="007B043C">
            <w:pPr>
              <w:spacing w:after="120"/>
              <w:rPr>
                <w:rFonts w:cs="Arial"/>
              </w:rPr>
            </w:pPr>
          </w:p>
        </w:tc>
      </w:tr>
      <w:tr w:rsidR="00323DF7" w:rsidRPr="00F43CEC" w14:paraId="5D8D73B8" w14:textId="77777777" w:rsidTr="007B043C">
        <w:trPr>
          <w:cantSplit/>
          <w:trHeight w:val="885"/>
        </w:trPr>
        <w:tc>
          <w:tcPr>
            <w:tcW w:w="2609" w:type="dxa"/>
            <w:shd w:val="clear" w:color="auto" w:fill="auto"/>
          </w:tcPr>
          <w:p w14:paraId="7CECA552" w14:textId="0FFF5DE6" w:rsidR="00323DF7" w:rsidRPr="00310585" w:rsidRDefault="00323DF7" w:rsidP="00066377">
            <w:pPr>
              <w:spacing w:after="120"/>
              <w:ind w:left="22"/>
              <w:rPr>
                <w:lang w:val="en-US"/>
              </w:rPr>
            </w:pPr>
            <w:r w:rsidRPr="00310585">
              <w:rPr>
                <w:lang w:val="en-US"/>
              </w:rPr>
              <w:t>Scale up local conflict management tools and seek to implement them systematically</w:t>
            </w:r>
            <w:r w:rsidR="00066377">
              <w:rPr>
                <w:lang w:val="en-US"/>
              </w:rPr>
              <w:t>.</w:t>
            </w:r>
          </w:p>
        </w:tc>
        <w:tc>
          <w:tcPr>
            <w:tcW w:w="2754" w:type="dxa"/>
            <w:tcBorders>
              <w:right w:val="single" w:sz="4" w:space="0" w:color="auto"/>
            </w:tcBorders>
            <w:shd w:val="clear" w:color="auto" w:fill="auto"/>
          </w:tcPr>
          <w:p w14:paraId="1D8F29AF" w14:textId="3D484D3F" w:rsidR="00323DF7" w:rsidRDefault="00323DF7" w:rsidP="007B043C">
            <w:pPr>
              <w:spacing w:after="120"/>
              <w:rPr>
                <w:rFonts w:cs="Arial"/>
              </w:rPr>
            </w:pPr>
            <w:r>
              <w:rPr>
                <w:rFonts w:cs="Arial"/>
              </w:rPr>
              <w:t>Agree.</w:t>
            </w:r>
          </w:p>
        </w:tc>
        <w:tc>
          <w:tcPr>
            <w:tcW w:w="2682" w:type="dxa"/>
            <w:vMerge/>
            <w:tcBorders>
              <w:left w:val="single" w:sz="4" w:space="0" w:color="auto"/>
            </w:tcBorders>
            <w:shd w:val="clear" w:color="auto" w:fill="auto"/>
          </w:tcPr>
          <w:p w14:paraId="183EF1D3" w14:textId="77777777" w:rsidR="00323DF7" w:rsidRDefault="00323DF7" w:rsidP="007B043C">
            <w:pPr>
              <w:spacing w:after="120"/>
              <w:rPr>
                <w:rFonts w:cs="Arial"/>
              </w:rPr>
            </w:pPr>
          </w:p>
        </w:tc>
        <w:tc>
          <w:tcPr>
            <w:tcW w:w="1583" w:type="dxa"/>
            <w:vMerge/>
            <w:tcBorders>
              <w:left w:val="single" w:sz="4" w:space="0" w:color="auto"/>
            </w:tcBorders>
            <w:shd w:val="clear" w:color="auto" w:fill="auto"/>
          </w:tcPr>
          <w:p w14:paraId="41CFD78F" w14:textId="77777777" w:rsidR="00323DF7" w:rsidRPr="00D50E57" w:rsidRDefault="00323DF7" w:rsidP="007B043C">
            <w:pPr>
              <w:spacing w:after="120"/>
              <w:rPr>
                <w:rFonts w:cs="Arial"/>
              </w:rPr>
            </w:pPr>
          </w:p>
        </w:tc>
      </w:tr>
      <w:tr w:rsidR="00323DF7" w:rsidRPr="00F43CEC" w14:paraId="4869BC95" w14:textId="77777777" w:rsidTr="007B043C">
        <w:trPr>
          <w:cantSplit/>
          <w:trHeight w:val="885"/>
        </w:trPr>
        <w:tc>
          <w:tcPr>
            <w:tcW w:w="2609" w:type="dxa"/>
            <w:shd w:val="clear" w:color="auto" w:fill="auto"/>
          </w:tcPr>
          <w:p w14:paraId="3A6443BB" w14:textId="52C1FCDF" w:rsidR="00323DF7" w:rsidRPr="00310585" w:rsidRDefault="00323DF7" w:rsidP="00066377">
            <w:pPr>
              <w:spacing w:after="120"/>
              <w:ind w:left="22"/>
            </w:pPr>
            <w:r w:rsidRPr="00593C2D">
              <w:rPr>
                <w:lang w:val="en-US"/>
              </w:rPr>
              <w:t>Continue support to ongoin</w:t>
            </w:r>
            <w:r w:rsidR="00066377">
              <w:rPr>
                <w:lang w:val="en-US"/>
              </w:rPr>
              <w:t>g analysis of conflict dynamics.</w:t>
            </w:r>
          </w:p>
        </w:tc>
        <w:tc>
          <w:tcPr>
            <w:tcW w:w="2754" w:type="dxa"/>
            <w:tcBorders>
              <w:right w:val="single" w:sz="4" w:space="0" w:color="auto"/>
            </w:tcBorders>
            <w:shd w:val="clear" w:color="auto" w:fill="auto"/>
          </w:tcPr>
          <w:p w14:paraId="33871ECC" w14:textId="7A8CBC53" w:rsidR="00323DF7" w:rsidRDefault="00323DF7" w:rsidP="007B043C">
            <w:pPr>
              <w:spacing w:after="120"/>
              <w:rPr>
                <w:rFonts w:cs="Arial"/>
              </w:rPr>
            </w:pPr>
            <w:r>
              <w:rPr>
                <w:rFonts w:cs="Arial"/>
              </w:rPr>
              <w:t>Agree.</w:t>
            </w:r>
          </w:p>
        </w:tc>
        <w:tc>
          <w:tcPr>
            <w:tcW w:w="2682" w:type="dxa"/>
            <w:vMerge/>
            <w:tcBorders>
              <w:left w:val="single" w:sz="4" w:space="0" w:color="auto"/>
            </w:tcBorders>
            <w:shd w:val="clear" w:color="auto" w:fill="auto"/>
          </w:tcPr>
          <w:p w14:paraId="61B544FC" w14:textId="77777777" w:rsidR="00323DF7" w:rsidRDefault="00323DF7" w:rsidP="007B043C">
            <w:pPr>
              <w:spacing w:after="120"/>
              <w:rPr>
                <w:rFonts w:cs="Arial"/>
              </w:rPr>
            </w:pPr>
          </w:p>
        </w:tc>
        <w:tc>
          <w:tcPr>
            <w:tcW w:w="1583" w:type="dxa"/>
            <w:vMerge/>
            <w:tcBorders>
              <w:left w:val="single" w:sz="4" w:space="0" w:color="auto"/>
            </w:tcBorders>
            <w:shd w:val="clear" w:color="auto" w:fill="auto"/>
          </w:tcPr>
          <w:p w14:paraId="02245F54" w14:textId="77777777" w:rsidR="00323DF7" w:rsidRPr="00D50E57" w:rsidRDefault="00323DF7" w:rsidP="007B043C">
            <w:pPr>
              <w:spacing w:after="120"/>
              <w:rPr>
                <w:rFonts w:cs="Arial"/>
              </w:rPr>
            </w:pPr>
          </w:p>
        </w:tc>
      </w:tr>
    </w:tbl>
    <w:p w14:paraId="4A01B8D3" w14:textId="595C674F" w:rsidR="00913F5E" w:rsidRPr="00913F5E" w:rsidRDefault="00913F5E" w:rsidP="005F1909">
      <w:pPr>
        <w:pStyle w:val="Heading2"/>
      </w:pPr>
    </w:p>
    <w:sectPr w:rsidR="00913F5E" w:rsidRPr="00913F5E" w:rsidSect="000547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B8DA" w14:textId="77777777" w:rsidR="009363B6" w:rsidRDefault="009363B6">
      <w:pPr>
        <w:pStyle w:val="Table-list-number"/>
      </w:pPr>
      <w:r>
        <w:separator/>
      </w:r>
    </w:p>
  </w:endnote>
  <w:endnote w:type="continuationSeparator" w:id="0">
    <w:p w14:paraId="4A01B8DB" w14:textId="77777777" w:rsidR="009363B6" w:rsidRDefault="009363B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C9D6" w14:textId="77777777" w:rsidR="003940CB" w:rsidRDefault="0039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8988" w14:textId="77777777" w:rsidR="003940CB" w:rsidRDefault="0039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905F" w14:textId="77777777" w:rsidR="003940CB" w:rsidRDefault="0039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B8D8" w14:textId="77777777" w:rsidR="009363B6" w:rsidRDefault="009363B6">
      <w:pPr>
        <w:pStyle w:val="Table-list-number"/>
      </w:pPr>
      <w:r>
        <w:separator/>
      </w:r>
    </w:p>
  </w:footnote>
  <w:footnote w:type="continuationSeparator" w:id="0">
    <w:p w14:paraId="4A01B8D9" w14:textId="77777777" w:rsidR="009363B6" w:rsidRDefault="009363B6">
      <w:pPr>
        <w:pStyle w:val="Table-list-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361E" w14:textId="77777777" w:rsidR="003940CB" w:rsidRDefault="00394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B8DC" w14:textId="77777777" w:rsidR="009363B6" w:rsidRPr="00077243" w:rsidRDefault="009363B6" w:rsidP="00077243">
    <w:pPr>
      <w:pStyle w:val="Header"/>
      <w:jc w:val="center"/>
      <w:rPr>
        <w:caps/>
      </w:rPr>
    </w:pPr>
    <w:r w:rsidRPr="00077243">
      <w:rPr>
        <w:caps/>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0568" w14:textId="77777777" w:rsidR="003940CB" w:rsidRDefault="00394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1"/>
    <w:multiLevelType w:val="hybridMultilevel"/>
    <w:tmpl w:val="E11CACB8"/>
    <w:lvl w:ilvl="0" w:tplc="B0229EBA">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B0732"/>
    <w:multiLevelType w:val="hybridMultilevel"/>
    <w:tmpl w:val="41F251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1740E"/>
    <w:multiLevelType w:val="hybridMultilevel"/>
    <w:tmpl w:val="999EB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ADD1D33"/>
    <w:multiLevelType w:val="hybridMultilevel"/>
    <w:tmpl w:val="CDEC60A4"/>
    <w:lvl w:ilvl="0" w:tplc="B0229EBA">
      <w:start w:val="1"/>
      <w:numFmt w:val="decimal"/>
      <w:lvlText w:val="%1."/>
      <w:lvlJc w:val="left"/>
      <w:pPr>
        <w:ind w:left="38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CD31E26"/>
    <w:multiLevelType w:val="hybridMultilevel"/>
    <w:tmpl w:val="78F23A6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8" w15:restartNumberingAfterBreak="0">
    <w:nsid w:val="43A43B74"/>
    <w:multiLevelType w:val="hybridMultilevel"/>
    <w:tmpl w:val="34B0A3FE"/>
    <w:lvl w:ilvl="0" w:tplc="B0229EBA">
      <w:start w:val="1"/>
      <w:numFmt w:val="decimal"/>
      <w:lvlText w:val="%1."/>
      <w:lvlJc w:val="left"/>
      <w:pPr>
        <w:ind w:left="404" w:hanging="360"/>
      </w:pPr>
      <w:rPr>
        <w:rFonts w:hint="default"/>
      </w:rPr>
    </w:lvl>
    <w:lvl w:ilvl="1" w:tplc="0C090019" w:tentative="1">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9"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B5D7E37"/>
    <w:multiLevelType w:val="hybridMultilevel"/>
    <w:tmpl w:val="EEA49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F93E7E"/>
    <w:multiLevelType w:val="hybridMultilevel"/>
    <w:tmpl w:val="22A8E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EF26B6"/>
    <w:multiLevelType w:val="hybridMultilevel"/>
    <w:tmpl w:val="EE0CEF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4" w15:restartNumberingAfterBreak="0">
    <w:nsid w:val="73BC3832"/>
    <w:multiLevelType w:val="hybridMultilevel"/>
    <w:tmpl w:val="15E68796"/>
    <w:lvl w:ilvl="0" w:tplc="B0229EBA">
      <w:start w:val="1"/>
      <w:numFmt w:val="decimal"/>
      <w:lvlText w:val="%1."/>
      <w:lvlJc w:val="left"/>
      <w:pPr>
        <w:ind w:left="38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15"/>
  </w:num>
  <w:num w:numId="6">
    <w:abstractNumId w:val="1"/>
  </w:num>
  <w:num w:numId="7">
    <w:abstractNumId w:val="11"/>
  </w:num>
  <w:num w:numId="8">
    <w:abstractNumId w:val="2"/>
  </w:num>
  <w:num w:numId="9">
    <w:abstractNumId w:val="10"/>
  </w:num>
  <w:num w:numId="10">
    <w:abstractNumId w:val="3"/>
  </w:num>
  <w:num w:numId="11">
    <w:abstractNumId w:val="0"/>
  </w:num>
  <w:num w:numId="12">
    <w:abstractNumId w:val="7"/>
  </w:num>
  <w:num w:numId="13">
    <w:abstractNumId w:val="14"/>
  </w:num>
  <w:num w:numId="14">
    <w:abstractNumId w:val="8"/>
  </w:num>
  <w:num w:numId="15">
    <w:abstractNumId w:val="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5DF0"/>
    <w:rsid w:val="000163BD"/>
    <w:rsid w:val="000272E0"/>
    <w:rsid w:val="00031779"/>
    <w:rsid w:val="00036209"/>
    <w:rsid w:val="000412DD"/>
    <w:rsid w:val="00045812"/>
    <w:rsid w:val="00051292"/>
    <w:rsid w:val="00052316"/>
    <w:rsid w:val="00054700"/>
    <w:rsid w:val="00062D8B"/>
    <w:rsid w:val="00063CEC"/>
    <w:rsid w:val="00066377"/>
    <w:rsid w:val="00066C64"/>
    <w:rsid w:val="00067C95"/>
    <w:rsid w:val="0007162A"/>
    <w:rsid w:val="00071CEC"/>
    <w:rsid w:val="000728D3"/>
    <w:rsid w:val="000733A7"/>
    <w:rsid w:val="000765F5"/>
    <w:rsid w:val="00077243"/>
    <w:rsid w:val="00080365"/>
    <w:rsid w:val="000815FC"/>
    <w:rsid w:val="00085062"/>
    <w:rsid w:val="000869CE"/>
    <w:rsid w:val="000947EC"/>
    <w:rsid w:val="00094CE2"/>
    <w:rsid w:val="000A77DB"/>
    <w:rsid w:val="000B520A"/>
    <w:rsid w:val="000B7AFD"/>
    <w:rsid w:val="000C4574"/>
    <w:rsid w:val="000D316D"/>
    <w:rsid w:val="000D38AE"/>
    <w:rsid w:val="000D76E8"/>
    <w:rsid w:val="000E131E"/>
    <w:rsid w:val="000E1475"/>
    <w:rsid w:val="000E1958"/>
    <w:rsid w:val="000E1A9E"/>
    <w:rsid w:val="000E4F17"/>
    <w:rsid w:val="000E7AAF"/>
    <w:rsid w:val="000F4BBE"/>
    <w:rsid w:val="000F51D5"/>
    <w:rsid w:val="000F5FF5"/>
    <w:rsid w:val="0010006D"/>
    <w:rsid w:val="0010051B"/>
    <w:rsid w:val="00102362"/>
    <w:rsid w:val="00104963"/>
    <w:rsid w:val="001077BF"/>
    <w:rsid w:val="001078E5"/>
    <w:rsid w:val="00110597"/>
    <w:rsid w:val="00113C84"/>
    <w:rsid w:val="0011631E"/>
    <w:rsid w:val="00116D39"/>
    <w:rsid w:val="00121F43"/>
    <w:rsid w:val="001236CF"/>
    <w:rsid w:val="00123C3E"/>
    <w:rsid w:val="0012582F"/>
    <w:rsid w:val="001270FC"/>
    <w:rsid w:val="00134B6C"/>
    <w:rsid w:val="001378B7"/>
    <w:rsid w:val="00140289"/>
    <w:rsid w:val="001429BB"/>
    <w:rsid w:val="00144AF1"/>
    <w:rsid w:val="001461C8"/>
    <w:rsid w:val="001467C6"/>
    <w:rsid w:val="00151891"/>
    <w:rsid w:val="00153831"/>
    <w:rsid w:val="00153F2A"/>
    <w:rsid w:val="00155536"/>
    <w:rsid w:val="001614B0"/>
    <w:rsid w:val="0016457C"/>
    <w:rsid w:val="00173632"/>
    <w:rsid w:val="00175FFC"/>
    <w:rsid w:val="00177345"/>
    <w:rsid w:val="00177AC0"/>
    <w:rsid w:val="00184728"/>
    <w:rsid w:val="001874BC"/>
    <w:rsid w:val="001917F6"/>
    <w:rsid w:val="001A2E13"/>
    <w:rsid w:val="001B1EE4"/>
    <w:rsid w:val="001B57E3"/>
    <w:rsid w:val="001B5DEE"/>
    <w:rsid w:val="001D7353"/>
    <w:rsid w:val="001E3D24"/>
    <w:rsid w:val="001E4372"/>
    <w:rsid w:val="001E4FCC"/>
    <w:rsid w:val="001F119F"/>
    <w:rsid w:val="001F548E"/>
    <w:rsid w:val="0020136D"/>
    <w:rsid w:val="00201759"/>
    <w:rsid w:val="00206132"/>
    <w:rsid w:val="00210188"/>
    <w:rsid w:val="0021325A"/>
    <w:rsid w:val="00214F7F"/>
    <w:rsid w:val="00221D53"/>
    <w:rsid w:val="00223581"/>
    <w:rsid w:val="002310A4"/>
    <w:rsid w:val="00232239"/>
    <w:rsid w:val="002354FE"/>
    <w:rsid w:val="0024131B"/>
    <w:rsid w:val="002425E0"/>
    <w:rsid w:val="00245265"/>
    <w:rsid w:val="00250414"/>
    <w:rsid w:val="002509B0"/>
    <w:rsid w:val="00250CB9"/>
    <w:rsid w:val="002524DA"/>
    <w:rsid w:val="002546B7"/>
    <w:rsid w:val="00255DF0"/>
    <w:rsid w:val="00264366"/>
    <w:rsid w:val="00276F45"/>
    <w:rsid w:val="002824B7"/>
    <w:rsid w:val="002839B9"/>
    <w:rsid w:val="002917B3"/>
    <w:rsid w:val="0029717D"/>
    <w:rsid w:val="002A089D"/>
    <w:rsid w:val="002B2279"/>
    <w:rsid w:val="002B2BA6"/>
    <w:rsid w:val="002B5216"/>
    <w:rsid w:val="002C07B8"/>
    <w:rsid w:val="002C16EF"/>
    <w:rsid w:val="002D1173"/>
    <w:rsid w:val="002D4C96"/>
    <w:rsid w:val="002E0EA2"/>
    <w:rsid w:val="002E7065"/>
    <w:rsid w:val="002E7A09"/>
    <w:rsid w:val="002F001E"/>
    <w:rsid w:val="002F13CD"/>
    <w:rsid w:val="002F3803"/>
    <w:rsid w:val="002F4C91"/>
    <w:rsid w:val="0030264B"/>
    <w:rsid w:val="00305042"/>
    <w:rsid w:val="00310523"/>
    <w:rsid w:val="00310585"/>
    <w:rsid w:val="00310BC9"/>
    <w:rsid w:val="00310FA6"/>
    <w:rsid w:val="00315833"/>
    <w:rsid w:val="00323DF7"/>
    <w:rsid w:val="00324491"/>
    <w:rsid w:val="00325C94"/>
    <w:rsid w:val="00326D2A"/>
    <w:rsid w:val="00330AFF"/>
    <w:rsid w:val="00334E51"/>
    <w:rsid w:val="00342870"/>
    <w:rsid w:val="00345F77"/>
    <w:rsid w:val="00350917"/>
    <w:rsid w:val="003545F6"/>
    <w:rsid w:val="0035724B"/>
    <w:rsid w:val="00363AEA"/>
    <w:rsid w:val="00367391"/>
    <w:rsid w:val="00367DA3"/>
    <w:rsid w:val="0037054B"/>
    <w:rsid w:val="003719DB"/>
    <w:rsid w:val="00371B8D"/>
    <w:rsid w:val="0037366B"/>
    <w:rsid w:val="00373EB2"/>
    <w:rsid w:val="0037535E"/>
    <w:rsid w:val="0039002F"/>
    <w:rsid w:val="00390A59"/>
    <w:rsid w:val="0039236F"/>
    <w:rsid w:val="003940CB"/>
    <w:rsid w:val="00394C72"/>
    <w:rsid w:val="0039792A"/>
    <w:rsid w:val="00397F85"/>
    <w:rsid w:val="003A09AD"/>
    <w:rsid w:val="003A273C"/>
    <w:rsid w:val="003A36D5"/>
    <w:rsid w:val="003A4D26"/>
    <w:rsid w:val="003B07A6"/>
    <w:rsid w:val="003B518A"/>
    <w:rsid w:val="003C0A67"/>
    <w:rsid w:val="003C24EC"/>
    <w:rsid w:val="003C25ED"/>
    <w:rsid w:val="003D0442"/>
    <w:rsid w:val="003D0C24"/>
    <w:rsid w:val="003D236A"/>
    <w:rsid w:val="003D4CAC"/>
    <w:rsid w:val="003D548A"/>
    <w:rsid w:val="003D5CFC"/>
    <w:rsid w:val="003D6E0A"/>
    <w:rsid w:val="003D7317"/>
    <w:rsid w:val="003E0DFE"/>
    <w:rsid w:val="003E1382"/>
    <w:rsid w:val="003E2603"/>
    <w:rsid w:val="003E3E3E"/>
    <w:rsid w:val="003E6561"/>
    <w:rsid w:val="003E7BC4"/>
    <w:rsid w:val="003F0F7E"/>
    <w:rsid w:val="003F2997"/>
    <w:rsid w:val="003F39FD"/>
    <w:rsid w:val="003F43CF"/>
    <w:rsid w:val="003F43F9"/>
    <w:rsid w:val="003F5112"/>
    <w:rsid w:val="003F7727"/>
    <w:rsid w:val="003F7C64"/>
    <w:rsid w:val="00400C8B"/>
    <w:rsid w:val="004032D0"/>
    <w:rsid w:val="00405D48"/>
    <w:rsid w:val="00406563"/>
    <w:rsid w:val="00406867"/>
    <w:rsid w:val="00406CD2"/>
    <w:rsid w:val="00406D4E"/>
    <w:rsid w:val="00411862"/>
    <w:rsid w:val="00411F10"/>
    <w:rsid w:val="00416565"/>
    <w:rsid w:val="00420301"/>
    <w:rsid w:val="004221A5"/>
    <w:rsid w:val="00426287"/>
    <w:rsid w:val="00427D82"/>
    <w:rsid w:val="00434134"/>
    <w:rsid w:val="00444D45"/>
    <w:rsid w:val="00446E04"/>
    <w:rsid w:val="00454766"/>
    <w:rsid w:val="004555E2"/>
    <w:rsid w:val="00455F94"/>
    <w:rsid w:val="00456E9B"/>
    <w:rsid w:val="00461D80"/>
    <w:rsid w:val="00466CDA"/>
    <w:rsid w:val="004678BE"/>
    <w:rsid w:val="004707CB"/>
    <w:rsid w:val="00473AA7"/>
    <w:rsid w:val="00476FDC"/>
    <w:rsid w:val="0047719C"/>
    <w:rsid w:val="00484857"/>
    <w:rsid w:val="00491068"/>
    <w:rsid w:val="004921E3"/>
    <w:rsid w:val="00492273"/>
    <w:rsid w:val="00492AD5"/>
    <w:rsid w:val="00496DB3"/>
    <w:rsid w:val="004A100E"/>
    <w:rsid w:val="004A56A0"/>
    <w:rsid w:val="004C00C0"/>
    <w:rsid w:val="004C429D"/>
    <w:rsid w:val="004C675F"/>
    <w:rsid w:val="004D3454"/>
    <w:rsid w:val="004E0A16"/>
    <w:rsid w:val="004E150A"/>
    <w:rsid w:val="004E37BD"/>
    <w:rsid w:val="004F1E70"/>
    <w:rsid w:val="004F5F17"/>
    <w:rsid w:val="004F7519"/>
    <w:rsid w:val="00504689"/>
    <w:rsid w:val="005077AB"/>
    <w:rsid w:val="00512427"/>
    <w:rsid w:val="005149FE"/>
    <w:rsid w:val="005154F9"/>
    <w:rsid w:val="0052010E"/>
    <w:rsid w:val="00522766"/>
    <w:rsid w:val="00523BBF"/>
    <w:rsid w:val="005277F9"/>
    <w:rsid w:val="00530283"/>
    <w:rsid w:val="0054250A"/>
    <w:rsid w:val="00543DB6"/>
    <w:rsid w:val="00545D23"/>
    <w:rsid w:val="005477B9"/>
    <w:rsid w:val="00550825"/>
    <w:rsid w:val="00550E26"/>
    <w:rsid w:val="0055277B"/>
    <w:rsid w:val="00563021"/>
    <w:rsid w:val="005672CB"/>
    <w:rsid w:val="00576EED"/>
    <w:rsid w:val="005829CA"/>
    <w:rsid w:val="00586B72"/>
    <w:rsid w:val="0059065C"/>
    <w:rsid w:val="005928E6"/>
    <w:rsid w:val="00593C2D"/>
    <w:rsid w:val="00593DB7"/>
    <w:rsid w:val="0059519C"/>
    <w:rsid w:val="00596949"/>
    <w:rsid w:val="00596AF0"/>
    <w:rsid w:val="005A4455"/>
    <w:rsid w:val="005A47C3"/>
    <w:rsid w:val="005A6B4A"/>
    <w:rsid w:val="005A7156"/>
    <w:rsid w:val="005A7776"/>
    <w:rsid w:val="005D008B"/>
    <w:rsid w:val="005D3F4B"/>
    <w:rsid w:val="005E0F91"/>
    <w:rsid w:val="005E3939"/>
    <w:rsid w:val="005E508C"/>
    <w:rsid w:val="005F1777"/>
    <w:rsid w:val="005F1909"/>
    <w:rsid w:val="006032AC"/>
    <w:rsid w:val="00603B13"/>
    <w:rsid w:val="00611E1D"/>
    <w:rsid w:val="0061231E"/>
    <w:rsid w:val="006127E6"/>
    <w:rsid w:val="0061491C"/>
    <w:rsid w:val="00614E79"/>
    <w:rsid w:val="00614EC8"/>
    <w:rsid w:val="006153BC"/>
    <w:rsid w:val="00615F87"/>
    <w:rsid w:val="006175CE"/>
    <w:rsid w:val="00630522"/>
    <w:rsid w:val="00632714"/>
    <w:rsid w:val="00636F15"/>
    <w:rsid w:val="00637B48"/>
    <w:rsid w:val="00642F53"/>
    <w:rsid w:val="00643E64"/>
    <w:rsid w:val="00651A6C"/>
    <w:rsid w:val="00654BC0"/>
    <w:rsid w:val="00656E2F"/>
    <w:rsid w:val="00670D9D"/>
    <w:rsid w:val="00674A73"/>
    <w:rsid w:val="00677BF8"/>
    <w:rsid w:val="00681953"/>
    <w:rsid w:val="00681FC6"/>
    <w:rsid w:val="006820A4"/>
    <w:rsid w:val="006837EA"/>
    <w:rsid w:val="00683EB4"/>
    <w:rsid w:val="00684D0B"/>
    <w:rsid w:val="00691182"/>
    <w:rsid w:val="00692A4C"/>
    <w:rsid w:val="006941D7"/>
    <w:rsid w:val="00696A03"/>
    <w:rsid w:val="006A069A"/>
    <w:rsid w:val="006A33F8"/>
    <w:rsid w:val="006A6864"/>
    <w:rsid w:val="006B0754"/>
    <w:rsid w:val="006B0F3C"/>
    <w:rsid w:val="006B1170"/>
    <w:rsid w:val="006B204D"/>
    <w:rsid w:val="006B4A7A"/>
    <w:rsid w:val="006B5E30"/>
    <w:rsid w:val="006B6C62"/>
    <w:rsid w:val="006B74F9"/>
    <w:rsid w:val="006B7BFE"/>
    <w:rsid w:val="006C2142"/>
    <w:rsid w:val="006D31BA"/>
    <w:rsid w:val="006D32F9"/>
    <w:rsid w:val="006D39AC"/>
    <w:rsid w:val="006D7297"/>
    <w:rsid w:val="006E0843"/>
    <w:rsid w:val="006E08F6"/>
    <w:rsid w:val="006E1925"/>
    <w:rsid w:val="006E317D"/>
    <w:rsid w:val="006E4222"/>
    <w:rsid w:val="006F08E8"/>
    <w:rsid w:val="006F403E"/>
    <w:rsid w:val="00705B62"/>
    <w:rsid w:val="007104C5"/>
    <w:rsid w:val="0072064D"/>
    <w:rsid w:val="00724F8B"/>
    <w:rsid w:val="007336DD"/>
    <w:rsid w:val="00740689"/>
    <w:rsid w:val="00742DC6"/>
    <w:rsid w:val="00743FDA"/>
    <w:rsid w:val="00744139"/>
    <w:rsid w:val="007478C2"/>
    <w:rsid w:val="00747B90"/>
    <w:rsid w:val="00750A67"/>
    <w:rsid w:val="00755ECE"/>
    <w:rsid w:val="007617BD"/>
    <w:rsid w:val="00762F7B"/>
    <w:rsid w:val="00767EB4"/>
    <w:rsid w:val="007717B2"/>
    <w:rsid w:val="0077265D"/>
    <w:rsid w:val="0077790F"/>
    <w:rsid w:val="007801A9"/>
    <w:rsid w:val="007820D0"/>
    <w:rsid w:val="007831EF"/>
    <w:rsid w:val="00783EFE"/>
    <w:rsid w:val="00783F58"/>
    <w:rsid w:val="00786580"/>
    <w:rsid w:val="007902A8"/>
    <w:rsid w:val="007A35FF"/>
    <w:rsid w:val="007B042E"/>
    <w:rsid w:val="007B043C"/>
    <w:rsid w:val="007B2772"/>
    <w:rsid w:val="007C0E48"/>
    <w:rsid w:val="007C5FAB"/>
    <w:rsid w:val="007D2631"/>
    <w:rsid w:val="007E37A6"/>
    <w:rsid w:val="007E3C0F"/>
    <w:rsid w:val="007E4E22"/>
    <w:rsid w:val="007E4FE8"/>
    <w:rsid w:val="007E58A9"/>
    <w:rsid w:val="007E60A1"/>
    <w:rsid w:val="007E694D"/>
    <w:rsid w:val="007F3EE5"/>
    <w:rsid w:val="00800236"/>
    <w:rsid w:val="00800650"/>
    <w:rsid w:val="008010C1"/>
    <w:rsid w:val="00802A54"/>
    <w:rsid w:val="00802C8E"/>
    <w:rsid w:val="00804AEF"/>
    <w:rsid w:val="00804D49"/>
    <w:rsid w:val="00806888"/>
    <w:rsid w:val="00814D47"/>
    <w:rsid w:val="0081654C"/>
    <w:rsid w:val="00816584"/>
    <w:rsid w:val="00817570"/>
    <w:rsid w:val="008275E0"/>
    <w:rsid w:val="00831FE2"/>
    <w:rsid w:val="00843412"/>
    <w:rsid w:val="00843D42"/>
    <w:rsid w:val="00845B17"/>
    <w:rsid w:val="00847FA2"/>
    <w:rsid w:val="00864A76"/>
    <w:rsid w:val="0087604D"/>
    <w:rsid w:val="00877550"/>
    <w:rsid w:val="00880048"/>
    <w:rsid w:val="00882584"/>
    <w:rsid w:val="00886689"/>
    <w:rsid w:val="00887304"/>
    <w:rsid w:val="00894472"/>
    <w:rsid w:val="00896128"/>
    <w:rsid w:val="008B084C"/>
    <w:rsid w:val="008B2A6F"/>
    <w:rsid w:val="008B3156"/>
    <w:rsid w:val="008B3DD0"/>
    <w:rsid w:val="008B7666"/>
    <w:rsid w:val="008C7209"/>
    <w:rsid w:val="008D105C"/>
    <w:rsid w:val="008D6B75"/>
    <w:rsid w:val="008D716B"/>
    <w:rsid w:val="008D7666"/>
    <w:rsid w:val="008E0C4C"/>
    <w:rsid w:val="008F36C7"/>
    <w:rsid w:val="008F3DAA"/>
    <w:rsid w:val="0091135C"/>
    <w:rsid w:val="00913F5E"/>
    <w:rsid w:val="00914298"/>
    <w:rsid w:val="00921CBF"/>
    <w:rsid w:val="00923B0C"/>
    <w:rsid w:val="009247FD"/>
    <w:rsid w:val="009328B1"/>
    <w:rsid w:val="00933765"/>
    <w:rsid w:val="009363B6"/>
    <w:rsid w:val="00936948"/>
    <w:rsid w:val="00944BC2"/>
    <w:rsid w:val="00950A91"/>
    <w:rsid w:val="009526A3"/>
    <w:rsid w:val="00953FAD"/>
    <w:rsid w:val="0095688C"/>
    <w:rsid w:val="00963C76"/>
    <w:rsid w:val="00963FE5"/>
    <w:rsid w:val="00970C8D"/>
    <w:rsid w:val="00975EFF"/>
    <w:rsid w:val="00982318"/>
    <w:rsid w:val="00983442"/>
    <w:rsid w:val="00993D41"/>
    <w:rsid w:val="009A4B0D"/>
    <w:rsid w:val="009B1EDE"/>
    <w:rsid w:val="009B2334"/>
    <w:rsid w:val="009B4B2D"/>
    <w:rsid w:val="009B564C"/>
    <w:rsid w:val="009B6244"/>
    <w:rsid w:val="009B6A20"/>
    <w:rsid w:val="009B70B1"/>
    <w:rsid w:val="009C235A"/>
    <w:rsid w:val="009C34DA"/>
    <w:rsid w:val="009C73C2"/>
    <w:rsid w:val="009D0A88"/>
    <w:rsid w:val="009D2708"/>
    <w:rsid w:val="009D62FF"/>
    <w:rsid w:val="009D6DE1"/>
    <w:rsid w:val="009D7187"/>
    <w:rsid w:val="009E74C0"/>
    <w:rsid w:val="00A02130"/>
    <w:rsid w:val="00A032B2"/>
    <w:rsid w:val="00A043BE"/>
    <w:rsid w:val="00A04888"/>
    <w:rsid w:val="00A111F1"/>
    <w:rsid w:val="00A1709A"/>
    <w:rsid w:val="00A20786"/>
    <w:rsid w:val="00A236A7"/>
    <w:rsid w:val="00A243DF"/>
    <w:rsid w:val="00A2540E"/>
    <w:rsid w:val="00A268C7"/>
    <w:rsid w:val="00A32596"/>
    <w:rsid w:val="00A33696"/>
    <w:rsid w:val="00A36EBD"/>
    <w:rsid w:val="00A40ACB"/>
    <w:rsid w:val="00A435F6"/>
    <w:rsid w:val="00A44E49"/>
    <w:rsid w:val="00A5059C"/>
    <w:rsid w:val="00A519CC"/>
    <w:rsid w:val="00A5273A"/>
    <w:rsid w:val="00A53647"/>
    <w:rsid w:val="00A53836"/>
    <w:rsid w:val="00A558C5"/>
    <w:rsid w:val="00A55C90"/>
    <w:rsid w:val="00A63D5B"/>
    <w:rsid w:val="00A66BE5"/>
    <w:rsid w:val="00A71362"/>
    <w:rsid w:val="00A75B48"/>
    <w:rsid w:val="00A85757"/>
    <w:rsid w:val="00A91D3A"/>
    <w:rsid w:val="00A94B71"/>
    <w:rsid w:val="00AA4991"/>
    <w:rsid w:val="00AB6960"/>
    <w:rsid w:val="00AC3332"/>
    <w:rsid w:val="00AD1B8A"/>
    <w:rsid w:val="00AD5FFB"/>
    <w:rsid w:val="00AE250D"/>
    <w:rsid w:val="00AE52D5"/>
    <w:rsid w:val="00AE5F85"/>
    <w:rsid w:val="00AE7561"/>
    <w:rsid w:val="00AF1433"/>
    <w:rsid w:val="00AF367C"/>
    <w:rsid w:val="00AF4FCA"/>
    <w:rsid w:val="00B008B4"/>
    <w:rsid w:val="00B03D16"/>
    <w:rsid w:val="00B04101"/>
    <w:rsid w:val="00B045C1"/>
    <w:rsid w:val="00B06A1E"/>
    <w:rsid w:val="00B07AD5"/>
    <w:rsid w:val="00B11A4D"/>
    <w:rsid w:val="00B20827"/>
    <w:rsid w:val="00B2593F"/>
    <w:rsid w:val="00B30672"/>
    <w:rsid w:val="00B35F23"/>
    <w:rsid w:val="00B362C7"/>
    <w:rsid w:val="00B366B9"/>
    <w:rsid w:val="00B369D1"/>
    <w:rsid w:val="00B41A17"/>
    <w:rsid w:val="00B432DE"/>
    <w:rsid w:val="00B4437C"/>
    <w:rsid w:val="00B45A12"/>
    <w:rsid w:val="00B67F3E"/>
    <w:rsid w:val="00B72258"/>
    <w:rsid w:val="00B75863"/>
    <w:rsid w:val="00B766F4"/>
    <w:rsid w:val="00B8200C"/>
    <w:rsid w:val="00B84249"/>
    <w:rsid w:val="00B854F9"/>
    <w:rsid w:val="00B86E2F"/>
    <w:rsid w:val="00B91940"/>
    <w:rsid w:val="00B93E67"/>
    <w:rsid w:val="00B9551F"/>
    <w:rsid w:val="00BA19E0"/>
    <w:rsid w:val="00BA3C47"/>
    <w:rsid w:val="00BB53D4"/>
    <w:rsid w:val="00BC0190"/>
    <w:rsid w:val="00BC2C84"/>
    <w:rsid w:val="00BC5D5C"/>
    <w:rsid w:val="00BE0D7D"/>
    <w:rsid w:val="00BF07A5"/>
    <w:rsid w:val="00BF3562"/>
    <w:rsid w:val="00BF3735"/>
    <w:rsid w:val="00BF66AC"/>
    <w:rsid w:val="00C00100"/>
    <w:rsid w:val="00C01019"/>
    <w:rsid w:val="00C0509D"/>
    <w:rsid w:val="00C050A5"/>
    <w:rsid w:val="00C0520A"/>
    <w:rsid w:val="00C13229"/>
    <w:rsid w:val="00C16B9D"/>
    <w:rsid w:val="00C20446"/>
    <w:rsid w:val="00C263B2"/>
    <w:rsid w:val="00C32487"/>
    <w:rsid w:val="00C3517A"/>
    <w:rsid w:val="00C42279"/>
    <w:rsid w:val="00C4363D"/>
    <w:rsid w:val="00C441FE"/>
    <w:rsid w:val="00C4776D"/>
    <w:rsid w:val="00C51434"/>
    <w:rsid w:val="00C53398"/>
    <w:rsid w:val="00C55591"/>
    <w:rsid w:val="00C6299D"/>
    <w:rsid w:val="00C64683"/>
    <w:rsid w:val="00C64B11"/>
    <w:rsid w:val="00C65145"/>
    <w:rsid w:val="00C657FB"/>
    <w:rsid w:val="00C65A25"/>
    <w:rsid w:val="00C65BF6"/>
    <w:rsid w:val="00C65DDC"/>
    <w:rsid w:val="00C66DAE"/>
    <w:rsid w:val="00C679C9"/>
    <w:rsid w:val="00C700FD"/>
    <w:rsid w:val="00C76381"/>
    <w:rsid w:val="00C77C7A"/>
    <w:rsid w:val="00C8100B"/>
    <w:rsid w:val="00C8709B"/>
    <w:rsid w:val="00C94FAE"/>
    <w:rsid w:val="00CA2397"/>
    <w:rsid w:val="00CA3980"/>
    <w:rsid w:val="00CA5F98"/>
    <w:rsid w:val="00CB0D9F"/>
    <w:rsid w:val="00CB13C6"/>
    <w:rsid w:val="00CB24A3"/>
    <w:rsid w:val="00CB46BA"/>
    <w:rsid w:val="00CC30D7"/>
    <w:rsid w:val="00CC5199"/>
    <w:rsid w:val="00CC7AE9"/>
    <w:rsid w:val="00CD0227"/>
    <w:rsid w:val="00CD18A5"/>
    <w:rsid w:val="00CD3266"/>
    <w:rsid w:val="00CD5AE4"/>
    <w:rsid w:val="00CE0C47"/>
    <w:rsid w:val="00CF08F0"/>
    <w:rsid w:val="00D02F70"/>
    <w:rsid w:val="00D065A5"/>
    <w:rsid w:val="00D07FB1"/>
    <w:rsid w:val="00D11574"/>
    <w:rsid w:val="00D17961"/>
    <w:rsid w:val="00D26DB0"/>
    <w:rsid w:val="00D273CD"/>
    <w:rsid w:val="00D34B08"/>
    <w:rsid w:val="00D35C20"/>
    <w:rsid w:val="00D37836"/>
    <w:rsid w:val="00D4711F"/>
    <w:rsid w:val="00D50E57"/>
    <w:rsid w:val="00D60196"/>
    <w:rsid w:val="00D60DCD"/>
    <w:rsid w:val="00D66ACD"/>
    <w:rsid w:val="00D709F8"/>
    <w:rsid w:val="00D721A2"/>
    <w:rsid w:val="00D72611"/>
    <w:rsid w:val="00D81AE0"/>
    <w:rsid w:val="00D82FCE"/>
    <w:rsid w:val="00D85E14"/>
    <w:rsid w:val="00D91610"/>
    <w:rsid w:val="00D9527A"/>
    <w:rsid w:val="00D95EB1"/>
    <w:rsid w:val="00D97C41"/>
    <w:rsid w:val="00DB1297"/>
    <w:rsid w:val="00DB20B2"/>
    <w:rsid w:val="00DC06C0"/>
    <w:rsid w:val="00DC4205"/>
    <w:rsid w:val="00DC5878"/>
    <w:rsid w:val="00DC6210"/>
    <w:rsid w:val="00DC73A5"/>
    <w:rsid w:val="00DC7D35"/>
    <w:rsid w:val="00DE11AB"/>
    <w:rsid w:val="00DE2470"/>
    <w:rsid w:val="00DE473C"/>
    <w:rsid w:val="00DE589D"/>
    <w:rsid w:val="00DF0CC0"/>
    <w:rsid w:val="00DF62D0"/>
    <w:rsid w:val="00E043D0"/>
    <w:rsid w:val="00E10442"/>
    <w:rsid w:val="00E10870"/>
    <w:rsid w:val="00E12A1C"/>
    <w:rsid w:val="00E12F7B"/>
    <w:rsid w:val="00E20030"/>
    <w:rsid w:val="00E244B4"/>
    <w:rsid w:val="00E245E4"/>
    <w:rsid w:val="00E27F4A"/>
    <w:rsid w:val="00E30F79"/>
    <w:rsid w:val="00E33E4E"/>
    <w:rsid w:val="00E350C3"/>
    <w:rsid w:val="00E36400"/>
    <w:rsid w:val="00E414F7"/>
    <w:rsid w:val="00E44075"/>
    <w:rsid w:val="00E50AA1"/>
    <w:rsid w:val="00E511AE"/>
    <w:rsid w:val="00E5268B"/>
    <w:rsid w:val="00E57B1B"/>
    <w:rsid w:val="00E605EE"/>
    <w:rsid w:val="00E6298A"/>
    <w:rsid w:val="00E67963"/>
    <w:rsid w:val="00E75381"/>
    <w:rsid w:val="00E77EAF"/>
    <w:rsid w:val="00E854B4"/>
    <w:rsid w:val="00E86F3D"/>
    <w:rsid w:val="00E879FB"/>
    <w:rsid w:val="00E9009B"/>
    <w:rsid w:val="00E9095B"/>
    <w:rsid w:val="00E9260F"/>
    <w:rsid w:val="00E92FD0"/>
    <w:rsid w:val="00E93466"/>
    <w:rsid w:val="00E9448D"/>
    <w:rsid w:val="00EA1186"/>
    <w:rsid w:val="00EA1AA0"/>
    <w:rsid w:val="00EA5124"/>
    <w:rsid w:val="00EA6987"/>
    <w:rsid w:val="00EA6FCD"/>
    <w:rsid w:val="00EB3E0E"/>
    <w:rsid w:val="00EB3F2D"/>
    <w:rsid w:val="00EB74F2"/>
    <w:rsid w:val="00EC262F"/>
    <w:rsid w:val="00EC54C2"/>
    <w:rsid w:val="00EC6A26"/>
    <w:rsid w:val="00EE2FDC"/>
    <w:rsid w:val="00EF02B3"/>
    <w:rsid w:val="00EF116F"/>
    <w:rsid w:val="00EF4E0F"/>
    <w:rsid w:val="00EF51DB"/>
    <w:rsid w:val="00F00F21"/>
    <w:rsid w:val="00F01177"/>
    <w:rsid w:val="00F0610B"/>
    <w:rsid w:val="00F13AF9"/>
    <w:rsid w:val="00F22FFA"/>
    <w:rsid w:val="00F31F3B"/>
    <w:rsid w:val="00F36188"/>
    <w:rsid w:val="00F3700D"/>
    <w:rsid w:val="00F37AD0"/>
    <w:rsid w:val="00F37B61"/>
    <w:rsid w:val="00F37DD4"/>
    <w:rsid w:val="00F4330F"/>
    <w:rsid w:val="00F4512D"/>
    <w:rsid w:val="00F52AAB"/>
    <w:rsid w:val="00F52EA1"/>
    <w:rsid w:val="00F570DB"/>
    <w:rsid w:val="00F63B43"/>
    <w:rsid w:val="00F67830"/>
    <w:rsid w:val="00F76D3C"/>
    <w:rsid w:val="00F77C97"/>
    <w:rsid w:val="00F931EC"/>
    <w:rsid w:val="00FA03DC"/>
    <w:rsid w:val="00FA2BD3"/>
    <w:rsid w:val="00FA5AC3"/>
    <w:rsid w:val="00FA640E"/>
    <w:rsid w:val="00FB4715"/>
    <w:rsid w:val="00FC2E73"/>
    <w:rsid w:val="00FC32FD"/>
    <w:rsid w:val="00FD403E"/>
    <w:rsid w:val="00FE16B3"/>
    <w:rsid w:val="00FE1DDE"/>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4A01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36"/>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DE589D"/>
    <w:pPr>
      <w:ind w:left="720"/>
      <w:contextualSpacing/>
    </w:pPr>
  </w:style>
  <w:style w:type="paragraph" w:styleId="FootnoteText">
    <w:name w:val="footnote text"/>
    <w:basedOn w:val="Normal"/>
    <w:link w:val="FootnoteTextChar"/>
    <w:uiPriority w:val="99"/>
    <w:semiHidden/>
    <w:unhideWhenUsed/>
    <w:rsid w:val="006032AC"/>
    <w:pPr>
      <w:spacing w:before="0"/>
    </w:pPr>
    <w:rPr>
      <w:rFonts w:asciiTheme="minorHAnsi" w:eastAsiaTheme="minorHAnsi" w:hAnsiTheme="minorHAnsi" w:cstheme="minorBidi"/>
      <w:sz w:val="24"/>
      <w:lang w:val="en-US"/>
    </w:rPr>
  </w:style>
  <w:style w:type="character" w:customStyle="1" w:styleId="FootnoteTextChar">
    <w:name w:val="Footnote Text Char"/>
    <w:basedOn w:val="DefaultParagraphFont"/>
    <w:link w:val="FootnoteText"/>
    <w:uiPriority w:val="99"/>
    <w:semiHidden/>
    <w:rsid w:val="006032AC"/>
    <w:rPr>
      <w:rFonts w:asciiTheme="minorHAnsi" w:eastAsiaTheme="minorHAnsi" w:hAnsiTheme="minorHAnsi" w:cstheme="minorBidi"/>
      <w:sz w:val="24"/>
      <w:szCs w:val="24"/>
      <w:lang w:val="en-US" w:eastAsia="en-US"/>
    </w:rPr>
  </w:style>
  <w:style w:type="paragraph" w:customStyle="1" w:styleId="Reference">
    <w:name w:val="Reference"/>
    <w:basedOn w:val="Normal"/>
    <w:uiPriority w:val="14"/>
    <w:qFormat/>
    <w:rsid w:val="006032AC"/>
    <w:pPr>
      <w:spacing w:before="60" w:after="200"/>
    </w:pPr>
    <w:rPr>
      <w:i/>
      <w:sz w:val="16"/>
      <w:szCs w:val="22"/>
      <w:lang w:eastAsia="en-AU"/>
    </w:rPr>
  </w:style>
  <w:style w:type="character" w:styleId="FootnoteReference">
    <w:name w:val="footnote reference"/>
    <w:basedOn w:val="DefaultParagraphFont"/>
    <w:uiPriority w:val="99"/>
    <w:semiHidden/>
    <w:unhideWhenUsed/>
    <w:rsid w:val="00603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74473">
      <w:bodyDiv w:val="1"/>
      <w:marLeft w:val="0"/>
      <w:marRight w:val="0"/>
      <w:marTop w:val="0"/>
      <w:marBottom w:val="0"/>
      <w:divBdr>
        <w:top w:val="none" w:sz="0" w:space="0" w:color="auto"/>
        <w:left w:val="none" w:sz="0" w:space="0" w:color="auto"/>
        <w:bottom w:val="none" w:sz="0" w:space="0" w:color="auto"/>
        <w:right w:val="none" w:sz="0" w:space="0" w:color="auto"/>
      </w:divBdr>
    </w:div>
    <w:div w:id="17652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3FD70A-3313-4176-B8EB-A95FCB2C77A3}"/>
</file>

<file path=customXml/itemProps2.xml><?xml version="1.0" encoding="utf-8"?>
<ds:datastoreItem xmlns:ds="http://schemas.openxmlformats.org/officeDocument/2006/customXml" ds:itemID="{6A8B0DBB-7D58-43E5-9A7F-F7F4A394A413}"/>
</file>

<file path=customXml/itemProps3.xml><?xml version="1.0" encoding="utf-8"?>
<ds:datastoreItem xmlns:ds="http://schemas.openxmlformats.org/officeDocument/2006/customXml" ds:itemID="{CF735AD0-1D1B-41D4-BA1C-4B24871621A9}"/>
</file>

<file path=customXml/itemProps4.xml><?xml version="1.0" encoding="utf-8"?>
<ds:datastoreItem xmlns:ds="http://schemas.openxmlformats.org/officeDocument/2006/customXml" ds:itemID="{5577494E-FEFF-4820-8C9B-037A3FE6F02E}"/>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Review of Australia’s Support for Peace in Mindanao - Management Response</dc:title>
  <dc:creator/>
  <cp:lastModifiedBy/>
  <cp:revision>1</cp:revision>
  <dcterms:created xsi:type="dcterms:W3CDTF">2017-03-17T02:45:00Z</dcterms:created>
  <dcterms:modified xsi:type="dcterms:W3CDTF">2017-03-17T02:45:00Z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b08a4336-8d39-467a-80ac-f531ca6f7bd7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1092800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