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F4DE5" w14:textId="77777777" w:rsidR="00971AE2" w:rsidRPr="000C1650" w:rsidRDefault="00971AE2" w:rsidP="0010324D">
      <w:pPr>
        <w:pStyle w:val="Referencestyle"/>
        <w:tabs>
          <w:tab w:val="left" w:pos="4320"/>
        </w:tabs>
      </w:pPr>
      <w:bookmarkStart w:id="0" w:name="_GoBack"/>
      <w:bookmarkEnd w:id="0"/>
    </w:p>
    <w:p w14:paraId="7B8C388F" w14:textId="77777777" w:rsidR="00971AE2" w:rsidRPr="000C1650" w:rsidRDefault="00971AE2" w:rsidP="0010324D">
      <w:pPr>
        <w:pStyle w:val="Letdate"/>
        <w:tabs>
          <w:tab w:val="clear" w:pos="5400"/>
          <w:tab w:val="clear" w:pos="7200"/>
          <w:tab w:val="right" w:pos="7560"/>
        </w:tabs>
      </w:pPr>
      <w:r w:rsidRPr="000C1650">
        <w:tab/>
      </w:r>
    </w:p>
    <w:p w14:paraId="71CA2235" w14:textId="76D2D9B6" w:rsidR="000C1650" w:rsidRPr="000C1650" w:rsidRDefault="000C1650" w:rsidP="000C1650">
      <w:pPr>
        <w:jc w:val="center"/>
        <w:rPr>
          <w:b/>
        </w:rPr>
      </w:pPr>
      <w:r w:rsidRPr="000C1650">
        <w:rPr>
          <w:b/>
        </w:rPr>
        <w:t>Amendment to the Trust Fund Administration Agreement between the Government of Australia, acting through the Department of Foreign Affairs and Trade (formerly the Australian Agency for international Development), the International Bank for Reconstruction and Development and the International Development Association, and the United Nations Office on Drugs and Crime concerning the Stolen Asset Recovery Initiative (“StAR”) Multi-Donor Trust Fund</w:t>
      </w:r>
    </w:p>
    <w:p w14:paraId="728F4695" w14:textId="77777777" w:rsidR="00A137EE" w:rsidRPr="000C1650" w:rsidRDefault="00A137EE" w:rsidP="00A137EE">
      <w:pPr>
        <w:jc w:val="center"/>
        <w:rPr>
          <w:b/>
        </w:rPr>
      </w:pPr>
    </w:p>
    <w:p w14:paraId="7D93C1BA" w14:textId="77777777" w:rsidR="00C5161E" w:rsidRPr="000C1650" w:rsidRDefault="00A137EE" w:rsidP="00A137EE">
      <w:pPr>
        <w:jc w:val="center"/>
        <w:rPr>
          <w:b/>
        </w:rPr>
      </w:pPr>
      <w:r w:rsidRPr="000C1650">
        <w:rPr>
          <w:b/>
        </w:rPr>
        <w:t>(Trust Fund No. TF07</w:t>
      </w:r>
      <w:r w:rsidR="009C31CD" w:rsidRPr="000C1650">
        <w:rPr>
          <w:b/>
        </w:rPr>
        <w:t>1149)</w:t>
      </w:r>
    </w:p>
    <w:p w14:paraId="287C09A9" w14:textId="77777777" w:rsidR="00C5161E" w:rsidRPr="000C1650" w:rsidRDefault="00C5161E" w:rsidP="00C5161E"/>
    <w:p w14:paraId="398B736F" w14:textId="747A4415" w:rsidR="000631D7" w:rsidRPr="000C1650" w:rsidRDefault="000631D7" w:rsidP="000631D7">
      <w:pPr>
        <w:pStyle w:val="Letdear"/>
        <w:rPr>
          <w:szCs w:val="24"/>
        </w:rPr>
      </w:pPr>
    </w:p>
    <w:p w14:paraId="35D83767" w14:textId="77777777" w:rsidR="00C5161E" w:rsidRPr="000C1650" w:rsidRDefault="00C5161E" w:rsidP="00C5161E">
      <w:pPr>
        <w:jc w:val="center"/>
        <w:rPr>
          <w:b/>
          <w:bCs/>
          <w:i/>
          <w:iCs/>
          <w:u w:val="single"/>
        </w:rPr>
      </w:pPr>
    </w:p>
    <w:p w14:paraId="42D2283C" w14:textId="26976DCF" w:rsidR="00A137EE" w:rsidRPr="000C1650" w:rsidRDefault="00A137EE" w:rsidP="00A137EE">
      <w:r w:rsidRPr="000C1650">
        <w:t>1.</w:t>
      </w:r>
      <w:r w:rsidR="001D0B2C">
        <w:t xml:space="preserve">Reference is made </w:t>
      </w:r>
      <w:r w:rsidRPr="000C1650">
        <w:t xml:space="preserve"> to the Administration Agreement </w:t>
      </w:r>
      <w:r w:rsidR="00A867F5" w:rsidRPr="000C1650">
        <w:t>(</w:t>
      </w:r>
      <w:r w:rsidR="00145EAD">
        <w:t>henceforth “Administration Arrangement”)</w:t>
      </w:r>
      <w:r w:rsidR="00A867F5" w:rsidRPr="000C1650">
        <w:t xml:space="preserve"> </w:t>
      </w:r>
      <w:r w:rsidRPr="000C1650">
        <w:t xml:space="preserve">dated </w:t>
      </w:r>
      <w:r w:rsidR="009C31CD" w:rsidRPr="000C1650">
        <w:t xml:space="preserve">June 10, 2009 </w:t>
      </w:r>
      <w:r w:rsidR="001D0B2C">
        <w:t xml:space="preserve">among </w:t>
      </w:r>
      <w:r w:rsidRPr="000C1650">
        <w:t xml:space="preserve"> the Government of Australia</w:t>
      </w:r>
      <w:r w:rsidR="00F07EDE">
        <w:t xml:space="preserve">, </w:t>
      </w:r>
      <w:r w:rsidR="00F07EDE" w:rsidRPr="009F35E0">
        <w:t>acting through the Department of Foreign Affairs and Trade (form</w:t>
      </w:r>
      <w:r w:rsidR="00A7335D">
        <w:t>erly the Australian Agency for I</w:t>
      </w:r>
      <w:r w:rsidR="00F07EDE" w:rsidRPr="009F35E0">
        <w:t>nternational Development)</w:t>
      </w:r>
      <w:r w:rsidRPr="000C1650">
        <w:t xml:space="preserve"> (the “Donor”)</w:t>
      </w:r>
      <w:r w:rsidR="000C1650" w:rsidRPr="000C1650">
        <w:t xml:space="preserve">, </w:t>
      </w:r>
      <w:r w:rsidRPr="000C1650">
        <w:t>the International Bank for Reconstruction and Development (IBRD) and the International Development Association (IDA) (collectively, the “Bank”),</w:t>
      </w:r>
      <w:r w:rsidR="000C1650" w:rsidRPr="000C1650">
        <w:t xml:space="preserve"> and the United Nations Office on Drugs and Crime (UNODC</w:t>
      </w:r>
      <w:r w:rsidR="00F07EDE">
        <w:t>, together with the Bank and the Donor</w:t>
      </w:r>
      <w:r w:rsidR="000C1650" w:rsidRPr="000C1650">
        <w:t>, the “Participants” and each a “Participant”)</w:t>
      </w:r>
      <w:r w:rsidRPr="000C1650">
        <w:t xml:space="preserve"> regarding the </w:t>
      </w:r>
      <w:r w:rsidR="009C31CD" w:rsidRPr="000C1650">
        <w:t xml:space="preserve">StAR </w:t>
      </w:r>
      <w:r w:rsidR="000C1650" w:rsidRPr="000C1650">
        <w:t>Multi</w:t>
      </w:r>
      <w:r w:rsidR="000C1650" w:rsidRPr="000C1650">
        <w:noBreakHyphen/>
        <w:t xml:space="preserve">Donor </w:t>
      </w:r>
      <w:r w:rsidR="009C31CD" w:rsidRPr="000C1650">
        <w:t>Trust Fund</w:t>
      </w:r>
      <w:r w:rsidRPr="000C1650">
        <w:t xml:space="preserve"> (TF</w:t>
      </w:r>
      <w:r w:rsidR="009C31CD" w:rsidRPr="000C1650">
        <w:t>071149)</w:t>
      </w:r>
      <w:r w:rsidR="00A7335D">
        <w:t xml:space="preserve"> (the “Trust Fund”)</w:t>
      </w:r>
      <w:r w:rsidR="00F07EDE">
        <w:t>, as amended (the “</w:t>
      </w:r>
      <w:r w:rsidR="001D0B2C">
        <w:t>Administration Agreement</w:t>
      </w:r>
      <w:r w:rsidR="00F07EDE">
        <w:t>”)</w:t>
      </w:r>
      <w:r w:rsidRPr="000C1650">
        <w:t xml:space="preserve">.  Pursuant to discussions between the Bank and the Donor, the Bank proposes to amend the Administration </w:t>
      </w:r>
      <w:r w:rsidR="00E139CE">
        <w:t xml:space="preserve">Arrangement </w:t>
      </w:r>
      <w:r w:rsidRPr="000C1650">
        <w:t xml:space="preserve">as follows: </w:t>
      </w:r>
    </w:p>
    <w:p w14:paraId="135E5A05" w14:textId="77777777" w:rsidR="00A137EE" w:rsidRPr="000C1650" w:rsidRDefault="00A137EE" w:rsidP="00A137EE"/>
    <w:p w14:paraId="25B02B97" w14:textId="77777777" w:rsidR="009C31CD" w:rsidRPr="000C1650" w:rsidRDefault="009C31CD" w:rsidP="00567FB0">
      <w:pPr>
        <w:pStyle w:val="ListParagraph"/>
        <w:numPr>
          <w:ilvl w:val="0"/>
          <w:numId w:val="1"/>
        </w:numPr>
        <w:ind w:hanging="720"/>
        <w:rPr>
          <w:szCs w:val="24"/>
        </w:rPr>
      </w:pPr>
      <w:r w:rsidRPr="000C1650">
        <w:rPr>
          <w:szCs w:val="24"/>
        </w:rPr>
        <w:t xml:space="preserve">All references to the </w:t>
      </w:r>
      <w:r w:rsidR="000C1650" w:rsidRPr="000C1650">
        <w:rPr>
          <w:szCs w:val="24"/>
        </w:rPr>
        <w:t>“</w:t>
      </w:r>
      <w:r w:rsidRPr="000C1650">
        <w:rPr>
          <w:szCs w:val="24"/>
        </w:rPr>
        <w:t>Australian Agency for International Development</w:t>
      </w:r>
      <w:r w:rsidR="000C1650" w:rsidRPr="000C1650">
        <w:rPr>
          <w:szCs w:val="24"/>
        </w:rPr>
        <w:t>” and “AusAID” are replaced with</w:t>
      </w:r>
      <w:r w:rsidR="00567FB0" w:rsidRPr="000C1650">
        <w:rPr>
          <w:szCs w:val="24"/>
        </w:rPr>
        <w:t xml:space="preserve"> the </w:t>
      </w:r>
      <w:r w:rsidR="000C1650" w:rsidRPr="000C1650">
        <w:rPr>
          <w:szCs w:val="24"/>
        </w:rPr>
        <w:t>“</w:t>
      </w:r>
      <w:r w:rsidR="00567FB0" w:rsidRPr="000C1650">
        <w:rPr>
          <w:szCs w:val="24"/>
        </w:rPr>
        <w:t>Department of Foreign Affairs and Trade</w:t>
      </w:r>
      <w:r w:rsidR="000C1650" w:rsidRPr="000C1650">
        <w:rPr>
          <w:szCs w:val="24"/>
        </w:rPr>
        <w:t>” and “DFAT”</w:t>
      </w:r>
      <w:r w:rsidR="00567FB0" w:rsidRPr="000C1650">
        <w:rPr>
          <w:szCs w:val="24"/>
        </w:rPr>
        <w:t>.</w:t>
      </w:r>
    </w:p>
    <w:p w14:paraId="7284F50D" w14:textId="77777777" w:rsidR="000C1650" w:rsidRPr="000C1650" w:rsidRDefault="000C1650" w:rsidP="000C1650">
      <w:pPr>
        <w:pStyle w:val="ListParagraph"/>
        <w:rPr>
          <w:szCs w:val="24"/>
        </w:rPr>
      </w:pPr>
    </w:p>
    <w:p w14:paraId="71B9F293" w14:textId="77777777" w:rsidR="000C1650" w:rsidRPr="000C1650" w:rsidRDefault="000C1650" w:rsidP="00567FB0">
      <w:pPr>
        <w:pStyle w:val="ListParagraph"/>
        <w:numPr>
          <w:ilvl w:val="0"/>
          <w:numId w:val="1"/>
        </w:numPr>
        <w:ind w:hanging="720"/>
        <w:rPr>
          <w:szCs w:val="24"/>
        </w:rPr>
      </w:pPr>
      <w:r w:rsidRPr="000C1650">
        <w:rPr>
          <w:szCs w:val="24"/>
        </w:rPr>
        <w:t>All references to “Parties” and “Party” are replaced with “Participants” and “Participant”.</w:t>
      </w:r>
    </w:p>
    <w:p w14:paraId="059BDF2D" w14:textId="77777777" w:rsidR="000C1650" w:rsidRPr="000C1650" w:rsidRDefault="000C1650" w:rsidP="000C1650">
      <w:pPr>
        <w:pStyle w:val="ListParagraph"/>
        <w:rPr>
          <w:szCs w:val="24"/>
        </w:rPr>
      </w:pPr>
    </w:p>
    <w:p w14:paraId="47CD78DF" w14:textId="07D7024C" w:rsidR="000C1650" w:rsidRPr="000C1650" w:rsidRDefault="000C1650" w:rsidP="00567FB0">
      <w:pPr>
        <w:pStyle w:val="ListParagraph"/>
        <w:numPr>
          <w:ilvl w:val="0"/>
          <w:numId w:val="1"/>
        </w:numPr>
        <w:ind w:hanging="720"/>
        <w:rPr>
          <w:szCs w:val="24"/>
        </w:rPr>
      </w:pPr>
      <w:r w:rsidRPr="000C1650">
        <w:rPr>
          <w:szCs w:val="24"/>
        </w:rPr>
        <w:t xml:space="preserve">Delete “Whereas,” from the first three paragraphs and start each of these paragraphs by capitalising the word </w:t>
      </w:r>
      <w:r w:rsidR="001D0B2C">
        <w:rPr>
          <w:szCs w:val="24"/>
        </w:rPr>
        <w:t xml:space="preserve">immediately </w:t>
      </w:r>
      <w:r w:rsidRPr="000C1650">
        <w:rPr>
          <w:szCs w:val="24"/>
        </w:rPr>
        <w:t xml:space="preserve">following </w:t>
      </w:r>
      <w:r>
        <w:rPr>
          <w:szCs w:val="24"/>
        </w:rPr>
        <w:t>“W</w:t>
      </w:r>
      <w:r w:rsidRPr="000C1650">
        <w:rPr>
          <w:szCs w:val="24"/>
        </w:rPr>
        <w:t>hereas</w:t>
      </w:r>
      <w:r>
        <w:rPr>
          <w:szCs w:val="24"/>
        </w:rPr>
        <w:t>”</w:t>
      </w:r>
      <w:r w:rsidRPr="000C1650">
        <w:rPr>
          <w:szCs w:val="24"/>
        </w:rPr>
        <w:t>.</w:t>
      </w:r>
    </w:p>
    <w:p w14:paraId="30A2CD58" w14:textId="77777777" w:rsidR="009C31CD" w:rsidRPr="000C1650" w:rsidRDefault="009C31CD" w:rsidP="00A137EE"/>
    <w:p w14:paraId="70AC63A3" w14:textId="1467BC4C" w:rsidR="00A137EE" w:rsidRDefault="00A137EE" w:rsidP="009C31CD">
      <w:pPr>
        <w:pStyle w:val="ListParagraph"/>
        <w:numPr>
          <w:ilvl w:val="0"/>
          <w:numId w:val="1"/>
        </w:numPr>
        <w:ind w:hanging="720"/>
      </w:pPr>
      <w:r w:rsidRPr="000C1650">
        <w:rPr>
          <w:szCs w:val="24"/>
        </w:rPr>
        <w:t xml:space="preserve">All references to </w:t>
      </w:r>
      <w:r w:rsidRPr="000C1650">
        <w:t>“Administration Agreement”, “this Agreement” and “shall” in the main text are replaced with “Administration Arrangement”, “this Arrangement” and “will”</w:t>
      </w:r>
      <w:r w:rsidR="00F07EDE">
        <w:t>,</w:t>
      </w:r>
      <w:r w:rsidRPr="000C1650">
        <w:t xml:space="preserve"> respectively.</w:t>
      </w:r>
    </w:p>
    <w:p w14:paraId="207746AC" w14:textId="77777777" w:rsidR="000C1650" w:rsidRDefault="000C1650" w:rsidP="000C1650">
      <w:pPr>
        <w:pStyle w:val="ListParagraph"/>
      </w:pPr>
    </w:p>
    <w:p w14:paraId="1ADF020A" w14:textId="5924D0AE" w:rsidR="000C1650" w:rsidRPr="000C1650" w:rsidRDefault="000C1650" w:rsidP="009C31CD">
      <w:pPr>
        <w:pStyle w:val="ListParagraph"/>
        <w:numPr>
          <w:ilvl w:val="0"/>
          <w:numId w:val="1"/>
        </w:numPr>
        <w:ind w:hanging="720"/>
      </w:pPr>
      <w:r>
        <w:t>All references to “</w:t>
      </w:r>
      <w:r w:rsidR="00857177">
        <w:t>a</w:t>
      </w:r>
      <w:r>
        <w:t>gree</w:t>
      </w:r>
      <w:r w:rsidR="006871B9">
        <w:t>ment</w:t>
      </w:r>
      <w:r>
        <w:t>”</w:t>
      </w:r>
      <w:r w:rsidR="00857177">
        <w:t xml:space="preserve"> or tenses of the verb “to agree” </w:t>
      </w:r>
      <w:r w:rsidR="006871B9">
        <w:t xml:space="preserve">are replaced with </w:t>
      </w:r>
      <w:r w:rsidR="00857177">
        <w:t xml:space="preserve">“decisions” or </w:t>
      </w:r>
      <w:r w:rsidR="006871B9">
        <w:t>the corresponding</w:t>
      </w:r>
      <w:r w:rsidR="00857177">
        <w:t xml:space="preserve"> tenses of the verb “to decide”.</w:t>
      </w:r>
    </w:p>
    <w:p w14:paraId="785DED08" w14:textId="77777777" w:rsidR="00A137EE" w:rsidRPr="000C1650" w:rsidRDefault="00A137EE" w:rsidP="00A137EE"/>
    <w:p w14:paraId="465B3CF9" w14:textId="0C9DF55D" w:rsidR="00A137EE" w:rsidRPr="000C1650" w:rsidRDefault="00A137EE" w:rsidP="00567FB0">
      <w:pPr>
        <w:ind w:left="709" w:hanging="709"/>
      </w:pPr>
      <w:r w:rsidRPr="000C1650">
        <w:t>(</w:t>
      </w:r>
      <w:r w:rsidR="0012680B">
        <w:t>f</w:t>
      </w:r>
      <w:r w:rsidRPr="000C1650">
        <w:t>)</w:t>
      </w:r>
      <w:r w:rsidRPr="000C1650">
        <w:tab/>
      </w:r>
      <w:r w:rsidR="00567FB0" w:rsidRPr="000C1650">
        <w:t xml:space="preserve">Paragraphs 7, 8, 9 and 10 of the </w:t>
      </w:r>
      <w:r w:rsidRPr="000C1650">
        <w:t>Adm</w:t>
      </w:r>
      <w:r w:rsidR="00857177">
        <w:t xml:space="preserve">inistration </w:t>
      </w:r>
      <w:r w:rsidR="00E139CE">
        <w:t>Arrangement</w:t>
      </w:r>
      <w:r w:rsidR="00E139CE" w:rsidRPr="000C1650">
        <w:t xml:space="preserve"> </w:t>
      </w:r>
      <w:r w:rsidRPr="000C1650">
        <w:t>are deleted in their entirety and replaced with the following:</w:t>
      </w:r>
    </w:p>
    <w:p w14:paraId="353EFA0B" w14:textId="77777777" w:rsidR="00A137EE" w:rsidRPr="000C1650" w:rsidRDefault="00A137EE" w:rsidP="00A137EE"/>
    <w:p w14:paraId="4C0B4CD1" w14:textId="7C54AE32" w:rsidR="00A137EE" w:rsidRDefault="00F36D29" w:rsidP="00A137EE">
      <w:pPr>
        <w:ind w:left="720"/>
      </w:pPr>
      <w:r>
        <w:t>“</w:t>
      </w:r>
      <w:r w:rsidR="00F07EDE">
        <w:t>7.</w:t>
      </w:r>
      <w:r w:rsidR="00F07EDE">
        <w:tab/>
      </w:r>
      <w:r w:rsidR="00A137EE" w:rsidRPr="000C1650">
        <w:t xml:space="preserve">All annexes hereto constitute an integral part of this Administration Arrangement, whose terms taken together will constitute the entire arrangement between the Donor and the Bank. Unless otherwise specified in an annex hereto, </w:t>
      </w:r>
      <w:r w:rsidR="00A137EE" w:rsidRPr="000C1650">
        <w:lastRenderedPageBreak/>
        <w:t>this Administration Arrangement may be amended only by written amendment between the Bank and the Donor; provided, however, that any annexes to this Administration Arrangement may be amended only by written amendment of all donors contributing to the Trust Fund</w:t>
      </w:r>
      <w:r w:rsidR="00F07EDE">
        <w:t>; provided further that any amendment to paragraph 8 below, or any other aspect of the Administration Arrangement that affect the terms of the Transfer Agreement, will additionally require the written amendment of UNODC</w:t>
      </w:r>
    </w:p>
    <w:p w14:paraId="688EB914" w14:textId="77777777" w:rsidR="00857177" w:rsidRDefault="00857177" w:rsidP="00A137EE">
      <w:pPr>
        <w:ind w:left="720"/>
      </w:pPr>
    </w:p>
    <w:p w14:paraId="465F1539" w14:textId="5DC2496A" w:rsidR="00857177" w:rsidRPr="000C1650" w:rsidRDefault="00F07EDE" w:rsidP="00A137EE">
      <w:pPr>
        <w:ind w:left="720"/>
      </w:pPr>
      <w:r>
        <w:t>8.</w:t>
      </w:r>
      <w:r>
        <w:tab/>
      </w:r>
      <w:r w:rsidR="00857177">
        <w:t xml:space="preserve">UNODC accepts all terms, including of its </w:t>
      </w:r>
      <w:r w:rsidR="00756420">
        <w:t>obligations, described in the Transfer Agreement. UNODC further accepts that the Donor has the options specified in paragraph 15 of the Transfer Agreement as a third party beneficiary and is entitled to seek direct recourse against UNODC at any time for enforcement of any unmet obligations under the Transfer Agreement.</w:t>
      </w:r>
    </w:p>
    <w:p w14:paraId="48BE0732" w14:textId="77777777" w:rsidR="00A137EE" w:rsidRPr="000C1650" w:rsidRDefault="00A137EE" w:rsidP="00A137EE">
      <w:pPr>
        <w:ind w:left="720"/>
      </w:pPr>
    </w:p>
    <w:p w14:paraId="3D26DAB0" w14:textId="58363906" w:rsidR="00A137EE" w:rsidRPr="000C1650" w:rsidRDefault="009F35E0" w:rsidP="00A137EE">
      <w:pPr>
        <w:ind w:left="720"/>
      </w:pPr>
      <w:r>
        <w:t>9.</w:t>
      </w:r>
      <w:r>
        <w:tab/>
      </w:r>
      <w:r w:rsidR="00A137EE" w:rsidRPr="000C1650">
        <w:t>It is understood that this Administration Arrangement, including any annexes, is not an international treaty and is not eligible for registration as a treaty under Article 102 of the United Nations Charter, nor is it, in the Donor’s understanding, any other form of international agreement. It is an administrative arrangement between the Bank and the Donor.</w:t>
      </w:r>
    </w:p>
    <w:p w14:paraId="16A05D65" w14:textId="77777777" w:rsidR="00A137EE" w:rsidRPr="000C1650" w:rsidRDefault="00A137EE" w:rsidP="00A137EE">
      <w:pPr>
        <w:ind w:left="720"/>
      </w:pPr>
    </w:p>
    <w:p w14:paraId="212B9BCC" w14:textId="2D0E8FE2" w:rsidR="00A137EE" w:rsidRPr="000C1650" w:rsidRDefault="009F35E0" w:rsidP="00A137EE">
      <w:pPr>
        <w:ind w:left="720"/>
      </w:pPr>
      <w:r>
        <w:t>10.</w:t>
      </w:r>
      <w:r>
        <w:tab/>
      </w:r>
      <w:r w:rsidR="00A137EE" w:rsidRPr="000C1650">
        <w:t>All references made in the Annexes to “shall”, “Administration Agreement” and “Parties” will have the same meaning as the term “will”, “Administration Arrangement” and “Participants” herein. In addition, references in the Annexes to “agreements” or to tenses of the verb “to agree” will be deemed to constitute references to “decisions” or to tenses of the verb “to decide”</w:t>
      </w:r>
      <w:r w:rsidR="00F36D29">
        <w:t>, if such references are used in the Administration Arrangement</w:t>
      </w:r>
      <w:r w:rsidR="00A137EE" w:rsidRPr="000C1650">
        <w:t>.</w:t>
      </w:r>
    </w:p>
    <w:p w14:paraId="2104AC1D" w14:textId="77777777" w:rsidR="00A137EE" w:rsidRPr="000C1650" w:rsidRDefault="00A137EE" w:rsidP="00A137EE">
      <w:pPr>
        <w:ind w:left="720"/>
      </w:pPr>
    </w:p>
    <w:p w14:paraId="4B4BA78E" w14:textId="2F8403FD" w:rsidR="00A137EE" w:rsidRPr="000C1650" w:rsidRDefault="009F35E0" w:rsidP="00A137EE">
      <w:pPr>
        <w:ind w:left="720"/>
      </w:pPr>
      <w:r>
        <w:t>11.</w:t>
      </w:r>
      <w:r>
        <w:tab/>
      </w:r>
      <w:r w:rsidR="00A137EE" w:rsidRPr="000C1650">
        <w:t xml:space="preserve">Each of the Participants represents, by confirming its acceptance below, that it is authorized to enter into this Administration Arrangement and act in accordance with its provisions.  The </w:t>
      </w:r>
      <w:r>
        <w:t xml:space="preserve">Participants </w:t>
      </w:r>
      <w:r w:rsidR="00A137EE" w:rsidRPr="000C1650">
        <w:t xml:space="preserve"> are each requested to sign and date this Administration Arrangement, and upon possession by the Bank of this fully signed Administration Arrangement, this Administration Arrangement will come into effect as of </w:t>
      </w:r>
      <w:r w:rsidR="00E9727E">
        <w:t>November 3, 2008</w:t>
      </w:r>
      <w:r w:rsidR="00A137EE" w:rsidRPr="000C1650">
        <w:t>.</w:t>
      </w:r>
      <w:r w:rsidR="00F36D29">
        <w:t>”</w:t>
      </w:r>
    </w:p>
    <w:p w14:paraId="3067D651" w14:textId="77777777" w:rsidR="00A137EE" w:rsidRPr="000C1650" w:rsidRDefault="00A137EE" w:rsidP="00A137EE"/>
    <w:p w14:paraId="1A95B233" w14:textId="50657AE3" w:rsidR="00C5161E" w:rsidRPr="000C1650" w:rsidRDefault="00A137EE" w:rsidP="00C5161E">
      <w:pPr>
        <w:pStyle w:val="Referencestyle"/>
        <w:jc w:val="both"/>
      </w:pPr>
      <w:r w:rsidRPr="000C1650">
        <w:t>2</w:t>
      </w:r>
      <w:r w:rsidR="00C5161E" w:rsidRPr="000C1650">
        <w:t>.</w:t>
      </w:r>
      <w:r w:rsidR="00C5161E" w:rsidRPr="000C1650">
        <w:tab/>
        <w:t>All other terms of the Administration</w:t>
      </w:r>
      <w:r w:rsidR="00573C28" w:rsidRPr="000C1650">
        <w:t xml:space="preserve"> </w:t>
      </w:r>
      <w:r w:rsidR="00145EAD">
        <w:t xml:space="preserve">Arrangement </w:t>
      </w:r>
      <w:r w:rsidR="00EA5F33" w:rsidRPr="000C1650">
        <w:t>wi</w:t>
      </w:r>
      <w:r w:rsidR="00C5161E" w:rsidRPr="000C1650">
        <w:t>ll remain the same.</w:t>
      </w:r>
    </w:p>
    <w:p w14:paraId="7BE22105" w14:textId="77777777" w:rsidR="00C5161E" w:rsidRPr="000C1650" w:rsidRDefault="00C5161E" w:rsidP="00C5161E">
      <w:pPr>
        <w:pStyle w:val="Referencestyle"/>
        <w:jc w:val="both"/>
      </w:pPr>
    </w:p>
    <w:p w14:paraId="2D19BC7F" w14:textId="4E1B7E42" w:rsidR="00996276" w:rsidRDefault="00A137EE" w:rsidP="00996276">
      <w:pPr>
        <w:jc w:val="both"/>
        <w:rPr>
          <w:color w:val="000000"/>
          <w:szCs w:val="24"/>
        </w:rPr>
      </w:pPr>
      <w:r w:rsidRPr="000C1650">
        <w:t>3</w:t>
      </w:r>
      <w:r w:rsidR="00C5161E" w:rsidRPr="000C1650">
        <w:t>.</w:t>
      </w:r>
      <w:r w:rsidR="00C5161E" w:rsidRPr="000C1650">
        <w:tab/>
      </w:r>
      <w:r w:rsidR="00996276" w:rsidRPr="000C1650">
        <w:rPr>
          <w:color w:val="000000"/>
          <w:szCs w:val="24"/>
        </w:rPr>
        <w:t xml:space="preserve">The Bank will disclose this </w:t>
      </w:r>
      <w:r w:rsidR="0010324D" w:rsidRPr="000C1650">
        <w:rPr>
          <w:color w:val="000000"/>
          <w:szCs w:val="24"/>
        </w:rPr>
        <w:t>amendment (the “Amendment”)</w:t>
      </w:r>
      <w:r w:rsidR="00996276" w:rsidRPr="000C1650">
        <w:rPr>
          <w:color w:val="000000"/>
          <w:szCs w:val="24"/>
        </w:rPr>
        <w:t xml:space="preserve"> and related information on this Trust Fund in accordance with the World Bank Policy on Access to Information. </w:t>
      </w:r>
      <w:r w:rsidR="0010324D" w:rsidRPr="000C1650">
        <w:rPr>
          <w:color w:val="000000"/>
          <w:szCs w:val="24"/>
        </w:rPr>
        <w:t xml:space="preserve"> </w:t>
      </w:r>
      <w:r w:rsidR="00996276" w:rsidRPr="000C1650">
        <w:rPr>
          <w:color w:val="000000"/>
          <w:szCs w:val="24"/>
        </w:rPr>
        <w:t xml:space="preserve">By entering into this </w:t>
      </w:r>
      <w:r w:rsidR="0010324D" w:rsidRPr="000C1650">
        <w:rPr>
          <w:color w:val="000000"/>
          <w:szCs w:val="24"/>
        </w:rPr>
        <w:t>Amendment</w:t>
      </w:r>
      <w:r w:rsidR="00996276" w:rsidRPr="000C1650">
        <w:rPr>
          <w:color w:val="000000"/>
          <w:szCs w:val="24"/>
        </w:rPr>
        <w:t xml:space="preserve">, the Donor </w:t>
      </w:r>
      <w:r w:rsidR="005D60A5">
        <w:rPr>
          <w:color w:val="000000"/>
          <w:szCs w:val="24"/>
        </w:rPr>
        <w:t xml:space="preserve">and UNODC </w:t>
      </w:r>
      <w:r w:rsidR="00996276" w:rsidRPr="000C1650">
        <w:rPr>
          <w:color w:val="000000"/>
          <w:szCs w:val="24"/>
        </w:rPr>
        <w:t xml:space="preserve">consent to disclosure of this </w:t>
      </w:r>
      <w:r w:rsidR="0010324D" w:rsidRPr="000C1650">
        <w:rPr>
          <w:color w:val="000000"/>
          <w:szCs w:val="24"/>
        </w:rPr>
        <w:t>Amendment</w:t>
      </w:r>
      <w:r w:rsidR="00996276" w:rsidRPr="000C1650">
        <w:rPr>
          <w:color w:val="000000"/>
          <w:szCs w:val="24"/>
        </w:rPr>
        <w:t xml:space="preserve"> and related information on this Trust Fund.</w:t>
      </w:r>
    </w:p>
    <w:p w14:paraId="0FC7791B" w14:textId="5C23F2C8" w:rsidR="00864533" w:rsidRDefault="00864533" w:rsidP="00996276">
      <w:pPr>
        <w:jc w:val="both"/>
        <w:rPr>
          <w:color w:val="000000"/>
          <w:szCs w:val="24"/>
        </w:rPr>
      </w:pPr>
    </w:p>
    <w:p w14:paraId="6A25D764" w14:textId="615F4A60" w:rsidR="00864533" w:rsidRDefault="00864533" w:rsidP="00996276">
      <w:pPr>
        <w:jc w:val="both"/>
        <w:rPr>
          <w:color w:val="000000"/>
          <w:szCs w:val="24"/>
        </w:rPr>
      </w:pPr>
    </w:p>
    <w:p w14:paraId="1FB53173" w14:textId="77777777" w:rsidR="00864533" w:rsidRPr="000C1650" w:rsidRDefault="00864533" w:rsidP="00996276">
      <w:pPr>
        <w:jc w:val="both"/>
        <w:rPr>
          <w:color w:val="000000"/>
          <w:szCs w:val="24"/>
        </w:rPr>
      </w:pPr>
    </w:p>
    <w:p w14:paraId="4F611B65" w14:textId="77777777" w:rsidR="00C5161E" w:rsidRPr="000C1650" w:rsidRDefault="00C5161E" w:rsidP="00C5161E">
      <w:pPr>
        <w:pStyle w:val="Referencestyle"/>
        <w:jc w:val="both"/>
      </w:pPr>
    </w:p>
    <w:p w14:paraId="769B44A6" w14:textId="7C2F07A2" w:rsidR="001D0B2C" w:rsidRPr="000C1650" w:rsidRDefault="00A137EE" w:rsidP="00C5161E">
      <w:pPr>
        <w:pStyle w:val="Referencestyle"/>
        <w:jc w:val="both"/>
      </w:pPr>
      <w:r w:rsidRPr="000C1650">
        <w:t>4</w:t>
      </w:r>
      <w:r w:rsidR="00C5161E" w:rsidRPr="000C1650">
        <w:t>.</w:t>
      </w:r>
      <w:r w:rsidR="00C5161E" w:rsidRPr="000C1650">
        <w:tab/>
      </w:r>
      <w:r w:rsidR="001D0B2C" w:rsidRPr="008958BF">
        <w:t xml:space="preserve">Each of the </w:t>
      </w:r>
      <w:r w:rsidR="001D0B2C">
        <w:t>Participants</w:t>
      </w:r>
      <w:r w:rsidR="001D0B2C" w:rsidRPr="008958BF">
        <w:t xml:space="preserve"> represents, by confirming its </w:t>
      </w:r>
      <w:r w:rsidR="001D0B2C">
        <w:t xml:space="preserve">acceptance </w:t>
      </w:r>
      <w:r w:rsidR="001D0B2C" w:rsidRPr="008958BF">
        <w:t xml:space="preserve">below, that it is authorized to enter into this </w:t>
      </w:r>
      <w:r w:rsidR="001D0B2C">
        <w:t xml:space="preserve">Amendment </w:t>
      </w:r>
      <w:r w:rsidR="001D0B2C" w:rsidRPr="008958BF">
        <w:t xml:space="preserve">and act in accordance with </w:t>
      </w:r>
      <w:r w:rsidR="001D0B2C">
        <w:t>its provisions</w:t>
      </w:r>
      <w:r w:rsidR="001D0B2C" w:rsidRPr="008958BF">
        <w:t xml:space="preserve">.  The </w:t>
      </w:r>
      <w:r w:rsidR="001D0B2C">
        <w:lastRenderedPageBreak/>
        <w:t>Participants</w:t>
      </w:r>
      <w:r w:rsidR="001D0B2C" w:rsidRPr="008958BF">
        <w:t xml:space="preserve"> are requested to sign and date this </w:t>
      </w:r>
      <w:r w:rsidR="00A7335D">
        <w:t>Amendment</w:t>
      </w:r>
      <w:r w:rsidR="001D0B2C" w:rsidRPr="008958BF">
        <w:t xml:space="preserve">, and upon possession by the Bank of this fully signed </w:t>
      </w:r>
      <w:r w:rsidR="00A7335D">
        <w:t>Amendment</w:t>
      </w:r>
      <w:r w:rsidR="001D0B2C">
        <w:t>,</w:t>
      </w:r>
      <w:r w:rsidR="001D0B2C" w:rsidRPr="008958BF">
        <w:t xml:space="preserve"> this </w:t>
      </w:r>
      <w:r w:rsidR="00A7335D">
        <w:t>Amendment</w:t>
      </w:r>
      <w:r w:rsidR="001D0B2C" w:rsidRPr="008958BF">
        <w:t xml:space="preserve"> </w:t>
      </w:r>
      <w:r w:rsidR="001D0B2C">
        <w:t>will</w:t>
      </w:r>
      <w:r w:rsidR="001D0B2C" w:rsidRPr="008958BF">
        <w:t xml:space="preserve"> </w:t>
      </w:r>
      <w:r w:rsidR="001D0B2C">
        <w:t xml:space="preserve">come into </w:t>
      </w:r>
      <w:r w:rsidR="001D0B2C" w:rsidRPr="008958BF">
        <w:t>effect</w:t>
      </w:r>
      <w:r w:rsidR="001D0B2C">
        <w:t xml:space="preserve"> </w:t>
      </w:r>
      <w:r w:rsidR="001D0B2C" w:rsidRPr="008958BF">
        <w:t>as of the date of the last signature</w:t>
      </w:r>
    </w:p>
    <w:p w14:paraId="4362A347" w14:textId="77777777" w:rsidR="00C5161E" w:rsidRPr="000C1650" w:rsidRDefault="00C5161E" w:rsidP="00C5161E">
      <w:pPr>
        <w:pStyle w:val="Referencestyle"/>
        <w:jc w:val="both"/>
      </w:pPr>
    </w:p>
    <w:p w14:paraId="3A1EBF33" w14:textId="77777777" w:rsidR="00C5161E" w:rsidRPr="000C1650" w:rsidRDefault="00C5161E" w:rsidP="00C5161E"/>
    <w:p w14:paraId="4899CA4A" w14:textId="212F4B48" w:rsidR="00C5161E" w:rsidRPr="000C1650" w:rsidRDefault="00C5161E" w:rsidP="00C5161E">
      <w:pPr>
        <w:pStyle w:val="Referencestyle"/>
        <w:jc w:val="center"/>
      </w:pPr>
    </w:p>
    <w:p w14:paraId="4EF24CA7" w14:textId="77777777" w:rsidR="00C5161E" w:rsidRPr="000C1650" w:rsidRDefault="00C5161E" w:rsidP="00C5161E"/>
    <w:p w14:paraId="40737F5B" w14:textId="77777777" w:rsidR="00C5161E" w:rsidRPr="000C1650" w:rsidRDefault="00C5161E" w:rsidP="00EA3CE7">
      <w:pPr>
        <w:pStyle w:val="Referencestyle"/>
        <w:rPr>
          <w:b/>
        </w:rPr>
      </w:pPr>
      <w:r w:rsidRPr="000C1650">
        <w:rPr>
          <w:b/>
        </w:rPr>
        <w:t>INTERNATIONAL BANK FOR RECONSTRUCTION AND DEVELOPMENT</w:t>
      </w:r>
    </w:p>
    <w:p w14:paraId="29E993FC" w14:textId="77777777" w:rsidR="00C5161E" w:rsidRPr="000C1650" w:rsidRDefault="00C5161E" w:rsidP="00EA3CE7">
      <w:pPr>
        <w:pStyle w:val="Referencestyle"/>
        <w:rPr>
          <w:b/>
        </w:rPr>
      </w:pPr>
      <w:r w:rsidRPr="000C1650">
        <w:rPr>
          <w:b/>
        </w:rPr>
        <w:t>INTERNATIONAL DEVELOPMENT ASSOCIATION</w:t>
      </w:r>
    </w:p>
    <w:p w14:paraId="00DF00CB" w14:textId="77777777" w:rsidR="00C5161E" w:rsidRPr="000C1650" w:rsidRDefault="00C5161E" w:rsidP="00C5161E">
      <w:pPr>
        <w:pStyle w:val="Style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ind w:firstLine="576"/>
        <w:jc w:val="center"/>
        <w:rPr>
          <w:rFonts w:ascii="Times New Roman" w:hAnsi="Times New Roman"/>
          <w:lang w:val="en-AU"/>
        </w:rPr>
      </w:pPr>
    </w:p>
    <w:p w14:paraId="32D53ADB" w14:textId="77777777" w:rsidR="00C5161E" w:rsidRPr="000C1650" w:rsidRDefault="00C5161E" w:rsidP="00C5161E">
      <w:pPr>
        <w:pStyle w:val="Style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ind w:firstLine="576"/>
        <w:jc w:val="center"/>
        <w:rPr>
          <w:rFonts w:ascii="Times New Roman" w:hAnsi="Times New Roman"/>
          <w:lang w:val="en-AU"/>
        </w:rPr>
      </w:pPr>
    </w:p>
    <w:p w14:paraId="1D2123BA" w14:textId="77777777" w:rsidR="00A7335D" w:rsidRPr="008958BF" w:rsidRDefault="00A7335D" w:rsidP="00A7335D">
      <w:pPr>
        <w:rPr>
          <w:b/>
          <w:bCs/>
        </w:rPr>
      </w:pPr>
    </w:p>
    <w:p w14:paraId="1B6449E6" w14:textId="77777777" w:rsidR="00A7335D" w:rsidRPr="008958BF" w:rsidRDefault="00A7335D" w:rsidP="00A7335D">
      <w:pPr>
        <w:jc w:val="both"/>
      </w:pPr>
      <w:r w:rsidRPr="008958BF">
        <w:t>By: ________________________</w:t>
      </w:r>
      <w:r w:rsidRPr="008958BF">
        <w:tab/>
      </w:r>
      <w:r w:rsidRPr="008958BF">
        <w:tab/>
      </w:r>
      <w:r>
        <w:tab/>
      </w:r>
      <w:r w:rsidRPr="008958BF">
        <w:t>Date: ______________________</w:t>
      </w:r>
      <w:r w:rsidRPr="008958BF">
        <w:tab/>
      </w:r>
      <w:r w:rsidRPr="008958BF">
        <w:tab/>
      </w:r>
    </w:p>
    <w:p w14:paraId="7173C04A" w14:textId="77777777" w:rsidR="00A7335D" w:rsidRDefault="00A7335D" w:rsidP="00A7335D">
      <w:pPr>
        <w:ind w:firstLine="720"/>
        <w:jc w:val="both"/>
      </w:pPr>
      <w:r>
        <w:t>Ceyla Pazarbasioglu</w:t>
      </w:r>
    </w:p>
    <w:p w14:paraId="00A4B885" w14:textId="77777777" w:rsidR="00A7335D" w:rsidRDefault="00A7335D" w:rsidP="00A7335D">
      <w:pPr>
        <w:ind w:left="720"/>
        <w:jc w:val="both"/>
      </w:pPr>
      <w:r>
        <w:t>Senior Director</w:t>
      </w:r>
    </w:p>
    <w:p w14:paraId="4A476D81" w14:textId="77777777" w:rsidR="00A7335D" w:rsidRPr="008958BF" w:rsidRDefault="00A7335D" w:rsidP="00A7335D">
      <w:pPr>
        <w:ind w:left="720"/>
        <w:jc w:val="both"/>
      </w:pPr>
      <w:r>
        <w:t>Finance &amp; Markets Global Practice</w:t>
      </w:r>
    </w:p>
    <w:p w14:paraId="4A176CB1" w14:textId="77777777" w:rsidR="00C5161E" w:rsidRPr="000C1650" w:rsidRDefault="00C5161E" w:rsidP="00C5161E">
      <w:pPr>
        <w:pStyle w:val="Style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outlineLvl w:val="0"/>
        <w:rPr>
          <w:rFonts w:ascii="Times New Roman" w:hAnsi="Times New Roman"/>
          <w:lang w:val="en-AU"/>
        </w:rPr>
      </w:pPr>
    </w:p>
    <w:p w14:paraId="5D32B211" w14:textId="2E614819" w:rsidR="00C5161E" w:rsidRPr="0019548B" w:rsidRDefault="00C5161E" w:rsidP="00C5161E">
      <w:pPr>
        <w:pStyle w:val="Style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outlineLvl w:val="0"/>
        <w:rPr>
          <w:rFonts w:ascii="Times New Roman" w:hAnsi="Times New Roman"/>
          <w:b/>
          <w:lang w:val="en-AU"/>
        </w:rPr>
      </w:pPr>
    </w:p>
    <w:p w14:paraId="13912300" w14:textId="77777777" w:rsidR="0019548B" w:rsidRPr="000C1650" w:rsidRDefault="0019548B" w:rsidP="00C5161E">
      <w:pPr>
        <w:pStyle w:val="Style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outlineLvl w:val="0"/>
        <w:rPr>
          <w:rFonts w:ascii="Times New Roman" w:hAnsi="Times New Roman"/>
          <w:lang w:val="en-AU"/>
        </w:rPr>
      </w:pPr>
    </w:p>
    <w:p w14:paraId="21C4B255" w14:textId="3361E9E7" w:rsidR="000A23BA" w:rsidRPr="000C1650" w:rsidRDefault="00EA5F33" w:rsidP="00972CDA">
      <w:pPr>
        <w:jc w:val="both"/>
        <w:rPr>
          <w:b/>
        </w:rPr>
      </w:pPr>
      <w:r w:rsidRPr="000C1650">
        <w:rPr>
          <w:b/>
          <w:szCs w:val="24"/>
        </w:rPr>
        <w:t>GOVERNMENT OF AUSTRALIA</w:t>
      </w:r>
      <w:r w:rsidR="00A7335D">
        <w:rPr>
          <w:b/>
          <w:szCs w:val="24"/>
        </w:rPr>
        <w:t xml:space="preserve"> </w:t>
      </w:r>
      <w:r w:rsidR="001D0B2C">
        <w:rPr>
          <w:b/>
          <w:szCs w:val="24"/>
        </w:rPr>
        <w:t xml:space="preserve">ACTING </w:t>
      </w:r>
      <w:r w:rsidR="00864533">
        <w:rPr>
          <w:b/>
          <w:szCs w:val="24"/>
        </w:rPr>
        <w:t xml:space="preserve">THROUGH </w:t>
      </w:r>
      <w:r w:rsidR="00864533" w:rsidRPr="00864533">
        <w:rPr>
          <w:b/>
          <w:caps/>
        </w:rPr>
        <w:t>THE</w:t>
      </w:r>
      <w:r w:rsidR="00FB0E78" w:rsidRPr="000C1650">
        <w:rPr>
          <w:b/>
          <w:caps/>
        </w:rPr>
        <w:t xml:space="preserve"> </w:t>
      </w:r>
      <w:r w:rsidRPr="000C1650">
        <w:rPr>
          <w:b/>
          <w:caps/>
        </w:rPr>
        <w:t>DEPARTMENT OF FOREIGN AFFAIRS AND TRADE</w:t>
      </w:r>
    </w:p>
    <w:p w14:paraId="11FA34BC" w14:textId="77777777" w:rsidR="00C5161E" w:rsidRPr="000C1650" w:rsidRDefault="00C5161E" w:rsidP="00C5161E">
      <w:pPr>
        <w:pStyle w:val="Style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s>
        <w:outlineLvl w:val="0"/>
        <w:rPr>
          <w:rFonts w:ascii="Times New Roman" w:hAnsi="Times New Roman"/>
          <w:lang w:val="en-AU"/>
        </w:rPr>
      </w:pPr>
    </w:p>
    <w:p w14:paraId="70D25AFF" w14:textId="77777777" w:rsidR="00A7335D" w:rsidRDefault="00A7335D" w:rsidP="00A7335D">
      <w:pPr>
        <w:jc w:val="both"/>
      </w:pPr>
    </w:p>
    <w:p w14:paraId="50F9CDDD" w14:textId="77777777" w:rsidR="00A7335D" w:rsidRPr="008958BF" w:rsidRDefault="00A7335D" w:rsidP="00A7335D">
      <w:pPr>
        <w:jc w:val="both"/>
      </w:pPr>
      <w:r w:rsidRPr="008958BF">
        <w:t>By: ________________________</w:t>
      </w:r>
      <w:r w:rsidRPr="008958BF">
        <w:tab/>
      </w:r>
      <w:r w:rsidRPr="008958BF">
        <w:tab/>
      </w:r>
      <w:r>
        <w:tab/>
      </w:r>
      <w:r w:rsidRPr="008958BF">
        <w:t>Date: ______________________</w:t>
      </w:r>
      <w:r w:rsidRPr="008958BF">
        <w:tab/>
      </w:r>
      <w:r w:rsidRPr="008958BF">
        <w:tab/>
      </w:r>
    </w:p>
    <w:p w14:paraId="1A5B806A" w14:textId="24888B47" w:rsidR="00A7335D" w:rsidRDefault="00864533" w:rsidP="00A7335D">
      <w:pPr>
        <w:ind w:firstLine="720"/>
        <w:jc w:val="both"/>
      </w:pPr>
      <w:r>
        <w:t>Michael Wilson</w:t>
      </w:r>
    </w:p>
    <w:p w14:paraId="435A0FEA" w14:textId="738FD4D2" w:rsidR="00A7335D" w:rsidRDefault="00864533" w:rsidP="00A7335D">
      <w:pPr>
        <w:ind w:firstLine="720"/>
        <w:jc w:val="both"/>
      </w:pPr>
      <w:r>
        <w:t>Assistant Secretary</w:t>
      </w:r>
    </w:p>
    <w:p w14:paraId="070485A4" w14:textId="12E5BDA9" w:rsidR="0019548B" w:rsidRDefault="00864533" w:rsidP="00864533">
      <w:pPr>
        <w:ind w:firstLine="720"/>
      </w:pPr>
      <w:r w:rsidRPr="00864533">
        <w:t>Governance, Fragility and Water Branch</w:t>
      </w:r>
    </w:p>
    <w:p w14:paraId="12A9C959" w14:textId="68E96E41" w:rsidR="00864533" w:rsidRPr="00864533" w:rsidRDefault="00864533" w:rsidP="00864533">
      <w:pPr>
        <w:ind w:firstLine="720"/>
      </w:pPr>
      <w:r>
        <w:t>Development Policy Division</w:t>
      </w:r>
    </w:p>
    <w:p w14:paraId="622F90F8" w14:textId="77777777" w:rsidR="00A7335D" w:rsidRDefault="00A7335D" w:rsidP="00EA3CE7">
      <w:pPr>
        <w:rPr>
          <w:b/>
          <w:szCs w:val="24"/>
        </w:rPr>
      </w:pPr>
    </w:p>
    <w:p w14:paraId="27EB4B75" w14:textId="642107A7" w:rsidR="00EA3CE7" w:rsidRPr="00EA3CE7" w:rsidRDefault="00EA3CE7" w:rsidP="00EA3CE7">
      <w:pPr>
        <w:rPr>
          <w:b/>
          <w:szCs w:val="24"/>
        </w:rPr>
      </w:pPr>
      <w:r w:rsidRPr="00EA3CE7">
        <w:rPr>
          <w:b/>
          <w:szCs w:val="24"/>
        </w:rPr>
        <w:t>UNITED NATIONS OFFICE ON DRUGS AND CRIME</w:t>
      </w:r>
    </w:p>
    <w:p w14:paraId="2B31F2A7" w14:textId="27980645" w:rsidR="00EA3CE7" w:rsidRDefault="00EA3CE7" w:rsidP="00EA3CE7">
      <w:pPr>
        <w:rPr>
          <w:szCs w:val="24"/>
        </w:rPr>
      </w:pPr>
    </w:p>
    <w:p w14:paraId="2EFC03BB" w14:textId="77777777" w:rsidR="00A7335D" w:rsidRDefault="00A7335D" w:rsidP="00A7335D">
      <w:pPr>
        <w:tabs>
          <w:tab w:val="left" w:pos="6211"/>
        </w:tabs>
        <w:jc w:val="both"/>
        <w:rPr>
          <w:b/>
        </w:rPr>
      </w:pPr>
    </w:p>
    <w:p w14:paraId="1527EAC9" w14:textId="77777777" w:rsidR="00A7335D" w:rsidRPr="008958BF" w:rsidRDefault="00A7335D" w:rsidP="00A7335D">
      <w:pPr>
        <w:jc w:val="both"/>
      </w:pPr>
      <w:r w:rsidRPr="008958BF">
        <w:t>By: ________________________</w:t>
      </w:r>
      <w:r w:rsidRPr="008958BF">
        <w:tab/>
      </w:r>
      <w:r w:rsidRPr="008958BF">
        <w:tab/>
      </w:r>
      <w:r>
        <w:tab/>
      </w:r>
      <w:r w:rsidRPr="008958BF">
        <w:t>Date: ______________________</w:t>
      </w:r>
      <w:r w:rsidRPr="008958BF">
        <w:tab/>
      </w:r>
      <w:r w:rsidRPr="008958BF">
        <w:tab/>
      </w:r>
    </w:p>
    <w:p w14:paraId="3766F04B" w14:textId="77777777" w:rsidR="00A7335D" w:rsidRPr="00AC73FA" w:rsidRDefault="00A7335D" w:rsidP="00A7335D">
      <w:pPr>
        <w:ind w:firstLine="720"/>
        <w:jc w:val="both"/>
      </w:pPr>
      <w:r w:rsidRPr="00AC73FA">
        <w:t>Jean-Luc Lemahieu</w:t>
      </w:r>
    </w:p>
    <w:p w14:paraId="031D4DD5" w14:textId="77777777" w:rsidR="00A7335D" w:rsidRDefault="00A7335D" w:rsidP="00A7335D">
      <w:pPr>
        <w:ind w:firstLine="720"/>
        <w:jc w:val="both"/>
      </w:pPr>
      <w:r w:rsidRPr="00AC73FA">
        <w:t>Director</w:t>
      </w:r>
    </w:p>
    <w:p w14:paraId="163F9D07" w14:textId="77777777" w:rsidR="00A7335D" w:rsidRDefault="00A7335D" w:rsidP="00A7335D">
      <w:pPr>
        <w:ind w:firstLine="720"/>
        <w:jc w:val="both"/>
      </w:pPr>
      <w:r>
        <w:t>Division for Policy Analysis and Public Affairs</w:t>
      </w:r>
    </w:p>
    <w:p w14:paraId="2177D550" w14:textId="77777777" w:rsidR="00A7335D" w:rsidRPr="00AC73FA" w:rsidRDefault="00A7335D" w:rsidP="00A7335D">
      <w:pPr>
        <w:ind w:firstLine="720"/>
        <w:jc w:val="both"/>
      </w:pPr>
    </w:p>
    <w:p w14:paraId="02012541" w14:textId="77777777" w:rsidR="00EA3CE7" w:rsidRPr="000C1650" w:rsidRDefault="00EA3CE7" w:rsidP="00EA3CE7">
      <w:pPr>
        <w:rPr>
          <w:szCs w:val="24"/>
        </w:rPr>
      </w:pPr>
    </w:p>
    <w:sectPr w:rsidR="00EA3CE7" w:rsidRPr="000C165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32A1A" w14:textId="77777777" w:rsidR="002C1627" w:rsidRDefault="002C1627">
      <w:r>
        <w:separator/>
      </w:r>
    </w:p>
  </w:endnote>
  <w:endnote w:type="continuationSeparator" w:id="0">
    <w:p w14:paraId="63AA15EF" w14:textId="77777777" w:rsidR="002C1627" w:rsidRDefault="002C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F81D9" w14:textId="77777777" w:rsidR="001078FE" w:rsidRDefault="00107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38CC5" w14:textId="77777777" w:rsidR="008C11D2" w:rsidRDefault="008C11D2">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FC5E7" w14:textId="77777777" w:rsidR="008C11D2" w:rsidRDefault="008C11D2">
    <w:pPr>
      <w:pStyle w:val="Footer"/>
      <w:rPr>
        <w:lang w:val="fr-FR"/>
      </w:rPr>
    </w:pPr>
    <w:r>
      <w:rPr>
        <w:rFonts w:ascii="Arial" w:hAnsi="Arial"/>
        <w:sz w:val="16"/>
      </w:rPr>
      <w:tab/>
    </w:r>
    <w:r>
      <w:rPr>
        <w:rFonts w:ascii="Arial" w:hAnsi="Arial"/>
        <w:sz w:val="14"/>
        <w:lang w:val="fr-FR"/>
      </w:rPr>
      <w:t xml:space="preserve">RCA 248423. </w:t>
    </w:r>
    <w:r>
      <w:rPr>
        <w:rFonts w:ascii="Arial" w:hAnsi="Arial"/>
        <w:sz w:val="14"/>
      </w:rPr>
      <w:fldChar w:fldCharType="begin"/>
    </w:r>
    <w:r>
      <w:rPr>
        <w:rFonts w:ascii="Arial" w:hAnsi="Arial"/>
        <w:sz w:val="14"/>
        <w:lang w:val="fr-FR"/>
      </w:rPr>
      <w:instrText>SYMBOL 38 \f "Wingdings"</w:instrText>
    </w:r>
    <w:r>
      <w:rPr>
        <w:rFonts w:ascii="Arial" w:hAnsi="Arial"/>
        <w:sz w:val="14"/>
      </w:rPr>
      <w:fldChar w:fldCharType="end"/>
    </w:r>
    <w:r>
      <w:rPr>
        <w:rFonts w:ascii="Arial" w:hAnsi="Arial"/>
        <w:sz w:val="14"/>
        <w:lang w:val="fr-FR"/>
      </w:rPr>
      <w:t xml:space="preserve"> WUI 64145 </w:t>
    </w:r>
    <w:r>
      <w:rPr>
        <w:rFonts w:ascii="Arial" w:hAnsi="Arial"/>
        <w:sz w:val="14"/>
      </w:rPr>
      <w:fldChar w:fldCharType="begin"/>
    </w:r>
    <w:r>
      <w:rPr>
        <w:rFonts w:ascii="Arial" w:hAnsi="Arial"/>
        <w:sz w:val="14"/>
        <w:lang w:val="fr-FR"/>
      </w:rPr>
      <w:instrText>SYMBOL 38 \f "Wingdings"</w:instrText>
    </w:r>
    <w:r>
      <w:rPr>
        <w:rFonts w:ascii="Arial" w:hAnsi="Arial"/>
        <w:sz w:val="14"/>
      </w:rPr>
      <w:fldChar w:fldCharType="end"/>
    </w:r>
    <w:r>
      <w:rPr>
        <w:rFonts w:ascii="Arial" w:hAnsi="Arial"/>
        <w:sz w:val="14"/>
        <w:lang w:val="fr-FR"/>
      </w:rPr>
      <w:t xml:space="preserve"> FAX (202) 477-6391</w:t>
    </w:r>
  </w:p>
  <w:p w14:paraId="0687EB8A" w14:textId="77777777" w:rsidR="008C11D2" w:rsidRDefault="008C11D2">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7D9A4" w14:textId="77777777" w:rsidR="002C1627" w:rsidRDefault="002C1627">
      <w:r>
        <w:separator/>
      </w:r>
    </w:p>
  </w:footnote>
  <w:footnote w:type="continuationSeparator" w:id="0">
    <w:p w14:paraId="6741B555" w14:textId="77777777" w:rsidR="002C1627" w:rsidRDefault="002C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8B6D8" w14:textId="77777777" w:rsidR="001078FE" w:rsidRDefault="00107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1A94" w14:textId="0C47EA57" w:rsidR="008C11D2" w:rsidRDefault="008C11D2">
    <w:pPr>
      <w:pStyle w:val="Header"/>
      <w:tabs>
        <w:tab w:val="clear" w:pos="7200"/>
        <w:tab w:val="right" w:pos="8640"/>
      </w:tabs>
    </w:pPr>
    <w:r>
      <w:tab/>
      <w:t>-</w:t>
    </w:r>
    <w:r>
      <w:fldChar w:fldCharType="begin"/>
    </w:r>
    <w:r>
      <w:instrText>PAGE</w:instrText>
    </w:r>
    <w:r>
      <w:fldChar w:fldCharType="separate"/>
    </w:r>
    <w:r w:rsidR="003C0568">
      <w:rPr>
        <w:noProof/>
      </w:rPr>
      <w:t>3</w:t>
    </w:r>
    <w:r>
      <w:fldChar w:fldCharType="end"/>
    </w:r>
    <w:r>
      <w:t>-</w:t>
    </w:r>
    <w:r>
      <w:tab/>
    </w:r>
  </w:p>
  <w:p w14:paraId="475F82E5" w14:textId="77777777" w:rsidR="008C11D2" w:rsidRDefault="008C11D2">
    <w:pPr>
      <w:pStyle w:val="Header"/>
    </w:pPr>
  </w:p>
  <w:p w14:paraId="362D70F2" w14:textId="77777777" w:rsidR="008C11D2" w:rsidRDefault="008C1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27C71" w14:textId="1DD76C0E" w:rsidR="00864533" w:rsidRPr="00864533" w:rsidRDefault="00864533" w:rsidP="001078FE">
    <w:pPr>
      <w:pStyle w:val="Header"/>
      <w:jc w:val="center"/>
      <w:rPr>
        <w:b/>
        <w:color w:val="FF0000"/>
      </w:rPr>
    </w:pPr>
    <w:r>
      <w:rPr>
        <w:b/>
        <w:color w:val="FF0000"/>
      </w:rPr>
      <w:t>PROPOSED LETTER OF AMENDMENT TO THE ADMINSTRATION ARRANGEMENT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9F2"/>
    <w:multiLevelType w:val="hybridMultilevel"/>
    <w:tmpl w:val="30CC5A26"/>
    <w:lvl w:ilvl="0" w:tplc="600652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1E"/>
    <w:rsid w:val="00012E7A"/>
    <w:rsid w:val="000631D7"/>
    <w:rsid w:val="00097740"/>
    <w:rsid w:val="00097C90"/>
    <w:rsid w:val="000A23BA"/>
    <w:rsid w:val="000C1650"/>
    <w:rsid w:val="000F4FC3"/>
    <w:rsid w:val="0010324D"/>
    <w:rsid w:val="001078FE"/>
    <w:rsid w:val="0012680B"/>
    <w:rsid w:val="00131743"/>
    <w:rsid w:val="00145EAD"/>
    <w:rsid w:val="001677D6"/>
    <w:rsid w:val="0018368E"/>
    <w:rsid w:val="0019548B"/>
    <w:rsid w:val="001D0B2C"/>
    <w:rsid w:val="002119F1"/>
    <w:rsid w:val="00294431"/>
    <w:rsid w:val="002C1627"/>
    <w:rsid w:val="003130D5"/>
    <w:rsid w:val="003248B4"/>
    <w:rsid w:val="0032702A"/>
    <w:rsid w:val="003750C7"/>
    <w:rsid w:val="00381152"/>
    <w:rsid w:val="00396229"/>
    <w:rsid w:val="003C0568"/>
    <w:rsid w:val="003C786B"/>
    <w:rsid w:val="003D4B25"/>
    <w:rsid w:val="004979DC"/>
    <w:rsid w:val="004C6BE4"/>
    <w:rsid w:val="005472B1"/>
    <w:rsid w:val="00554085"/>
    <w:rsid w:val="00555CE3"/>
    <w:rsid w:val="00567FB0"/>
    <w:rsid w:val="00573C28"/>
    <w:rsid w:val="005A09A0"/>
    <w:rsid w:val="005A39D0"/>
    <w:rsid w:val="005A3D93"/>
    <w:rsid w:val="005A5EE5"/>
    <w:rsid w:val="005D60A5"/>
    <w:rsid w:val="00623685"/>
    <w:rsid w:val="006276F4"/>
    <w:rsid w:val="006871B9"/>
    <w:rsid w:val="006E082E"/>
    <w:rsid w:val="007032DC"/>
    <w:rsid w:val="00756420"/>
    <w:rsid w:val="00756918"/>
    <w:rsid w:val="007A396B"/>
    <w:rsid w:val="007B0BD1"/>
    <w:rsid w:val="007D2543"/>
    <w:rsid w:val="007E274E"/>
    <w:rsid w:val="007F632D"/>
    <w:rsid w:val="00805FF1"/>
    <w:rsid w:val="008126CB"/>
    <w:rsid w:val="00820BED"/>
    <w:rsid w:val="00825450"/>
    <w:rsid w:val="00846F7B"/>
    <w:rsid w:val="00857177"/>
    <w:rsid w:val="00864533"/>
    <w:rsid w:val="008B0AD5"/>
    <w:rsid w:val="008C11D2"/>
    <w:rsid w:val="008D4B82"/>
    <w:rsid w:val="008E6693"/>
    <w:rsid w:val="009421E9"/>
    <w:rsid w:val="00971AE2"/>
    <w:rsid w:val="00972CDA"/>
    <w:rsid w:val="00996276"/>
    <w:rsid w:val="009C31CD"/>
    <w:rsid w:val="009F35E0"/>
    <w:rsid w:val="00A11E83"/>
    <w:rsid w:val="00A137EE"/>
    <w:rsid w:val="00A168D9"/>
    <w:rsid w:val="00A23A72"/>
    <w:rsid w:val="00A538F1"/>
    <w:rsid w:val="00A7335D"/>
    <w:rsid w:val="00A867F5"/>
    <w:rsid w:val="00A96A28"/>
    <w:rsid w:val="00AE53FB"/>
    <w:rsid w:val="00B27F54"/>
    <w:rsid w:val="00B5646B"/>
    <w:rsid w:val="00BA400F"/>
    <w:rsid w:val="00BA40F5"/>
    <w:rsid w:val="00BE5FB7"/>
    <w:rsid w:val="00C0767A"/>
    <w:rsid w:val="00C5161E"/>
    <w:rsid w:val="00D33328"/>
    <w:rsid w:val="00D543ED"/>
    <w:rsid w:val="00DA59B8"/>
    <w:rsid w:val="00DB5425"/>
    <w:rsid w:val="00DC4261"/>
    <w:rsid w:val="00DD48F4"/>
    <w:rsid w:val="00E078D2"/>
    <w:rsid w:val="00E139CE"/>
    <w:rsid w:val="00E9727E"/>
    <w:rsid w:val="00EA3CE7"/>
    <w:rsid w:val="00EA5F33"/>
    <w:rsid w:val="00EC227D"/>
    <w:rsid w:val="00EE105F"/>
    <w:rsid w:val="00F0451C"/>
    <w:rsid w:val="00F06707"/>
    <w:rsid w:val="00F07EDE"/>
    <w:rsid w:val="00F36D29"/>
    <w:rsid w:val="00F44AF3"/>
    <w:rsid w:val="00F6102A"/>
    <w:rsid w:val="00FB0E78"/>
    <w:rsid w:val="00FB25E9"/>
    <w:rsid w:val="00FF1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1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61E"/>
    <w:rPr>
      <w:sz w:val="24"/>
      <w:lang w:eastAsia="en-US"/>
    </w:rPr>
  </w:style>
  <w:style w:type="paragraph" w:styleId="Heading1">
    <w:name w:val="heading 1"/>
    <w:basedOn w:val="Normal"/>
    <w:next w:val="Normal"/>
    <w:qFormat/>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pPr>
      <w:spacing w:after="2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left" w:pos="7200"/>
      </w:tabs>
    </w:pPr>
    <w:rPr>
      <w:sz w:val="22"/>
    </w:rPr>
  </w:style>
  <w:style w:type="paragraph" w:customStyle="1" w:styleId="Formletterhead">
    <w:name w:val="Form: letterhead"/>
    <w:basedOn w:val="Referencestyle"/>
    <w:pPr>
      <w:tabs>
        <w:tab w:val="left" w:pos="5130"/>
        <w:tab w:val="left" w:pos="7290"/>
      </w:tabs>
      <w:ind w:left="180"/>
    </w:pPr>
    <w:rPr>
      <w:rFonts w:ascii="Arial" w:hAnsi="Arial"/>
      <w:sz w:val="28"/>
    </w:rPr>
  </w:style>
  <w:style w:type="paragraph" w:customStyle="1" w:styleId="Referencestyle">
    <w:name w:val="Reference style"/>
    <w:basedOn w:val="Normal"/>
  </w:style>
  <w:style w:type="paragraph" w:customStyle="1" w:styleId="Letdate">
    <w:name w:val="Let: date"/>
    <w:basedOn w:val="Referencestyle"/>
    <w:pPr>
      <w:tabs>
        <w:tab w:val="left" w:pos="5400"/>
        <w:tab w:val="left" w:pos="7200"/>
      </w:tabs>
    </w:pPr>
  </w:style>
  <w:style w:type="paragraph" w:customStyle="1" w:styleId="Letaddressee">
    <w:name w:val="Let: addressee"/>
    <w:basedOn w:val="Referencestyle"/>
    <w:pPr>
      <w:tabs>
        <w:tab w:val="left" w:pos="5400"/>
        <w:tab w:val="left" w:pos="7200"/>
      </w:tabs>
    </w:pPr>
  </w:style>
  <w:style w:type="paragraph" w:customStyle="1" w:styleId="Letdear">
    <w:name w:val="Let: dear"/>
    <w:basedOn w:val="Referencestyle"/>
    <w:pPr>
      <w:tabs>
        <w:tab w:val="left" w:pos="5400"/>
        <w:tab w:val="left" w:pos="7200"/>
      </w:tabs>
    </w:pPr>
  </w:style>
  <w:style w:type="paragraph" w:customStyle="1" w:styleId="Letsincerely">
    <w:name w:val="Let: sincerely"/>
    <w:basedOn w:val="Referencestyle"/>
    <w:pPr>
      <w:tabs>
        <w:tab w:val="left" w:pos="5400"/>
        <w:tab w:val="left" w:pos="7200"/>
      </w:tabs>
    </w:pPr>
  </w:style>
  <w:style w:type="paragraph" w:customStyle="1" w:styleId="Letsender">
    <w:name w:val="Let: sender"/>
    <w:basedOn w:val="Referencestyle"/>
    <w:pPr>
      <w:tabs>
        <w:tab w:val="left" w:pos="5400"/>
        <w:tab w:val="left" w:pos="7200"/>
      </w:tabs>
    </w:pPr>
  </w:style>
  <w:style w:type="paragraph" w:customStyle="1" w:styleId="Style0">
    <w:name w:val="Style0"/>
    <w:rsid w:val="00C5161E"/>
    <w:rPr>
      <w:rFonts w:ascii="Arial" w:hAnsi="Arial"/>
      <w:snapToGrid w:val="0"/>
      <w:sz w:val="24"/>
      <w:lang w:val="en-US" w:eastAsia="en-US"/>
    </w:rPr>
  </w:style>
  <w:style w:type="paragraph" w:styleId="FootnoteText">
    <w:name w:val="footnote text"/>
    <w:basedOn w:val="Normal"/>
    <w:semiHidden/>
    <w:rsid w:val="00805FF1"/>
    <w:rPr>
      <w:sz w:val="20"/>
    </w:rPr>
  </w:style>
  <w:style w:type="character" w:styleId="FootnoteReference">
    <w:name w:val="footnote reference"/>
    <w:semiHidden/>
    <w:rsid w:val="00805FF1"/>
    <w:rPr>
      <w:vertAlign w:val="superscript"/>
    </w:rPr>
  </w:style>
  <w:style w:type="character" w:customStyle="1" w:styleId="st">
    <w:name w:val="st"/>
    <w:rsid w:val="008C11D2"/>
  </w:style>
  <w:style w:type="character" w:styleId="CommentReference">
    <w:name w:val="annotation reference"/>
    <w:uiPriority w:val="99"/>
    <w:rsid w:val="003750C7"/>
    <w:rPr>
      <w:sz w:val="16"/>
      <w:szCs w:val="16"/>
    </w:rPr>
  </w:style>
  <w:style w:type="paragraph" w:styleId="CommentText">
    <w:name w:val="annotation text"/>
    <w:basedOn w:val="Normal"/>
    <w:link w:val="CommentTextChar"/>
    <w:uiPriority w:val="99"/>
    <w:rsid w:val="003750C7"/>
    <w:rPr>
      <w:sz w:val="20"/>
    </w:rPr>
  </w:style>
  <w:style w:type="character" w:customStyle="1" w:styleId="CommentTextChar">
    <w:name w:val="Comment Text Char"/>
    <w:link w:val="CommentText"/>
    <w:uiPriority w:val="99"/>
    <w:rsid w:val="003750C7"/>
    <w:rPr>
      <w:lang w:val="en-US" w:eastAsia="en-US"/>
    </w:rPr>
  </w:style>
  <w:style w:type="paragraph" w:styleId="CommentSubject">
    <w:name w:val="annotation subject"/>
    <w:basedOn w:val="CommentText"/>
    <w:next w:val="CommentText"/>
    <w:link w:val="CommentSubjectChar"/>
    <w:rsid w:val="003750C7"/>
    <w:rPr>
      <w:b/>
      <w:bCs/>
    </w:rPr>
  </w:style>
  <w:style w:type="character" w:customStyle="1" w:styleId="CommentSubjectChar">
    <w:name w:val="Comment Subject Char"/>
    <w:link w:val="CommentSubject"/>
    <w:rsid w:val="003750C7"/>
    <w:rPr>
      <w:b/>
      <w:bCs/>
      <w:lang w:val="en-US" w:eastAsia="en-US"/>
    </w:rPr>
  </w:style>
  <w:style w:type="paragraph" w:styleId="BalloonText">
    <w:name w:val="Balloon Text"/>
    <w:basedOn w:val="Normal"/>
    <w:link w:val="BalloonTextChar"/>
    <w:rsid w:val="003750C7"/>
    <w:rPr>
      <w:rFonts w:ascii="Tahoma" w:hAnsi="Tahoma" w:cs="Tahoma"/>
      <w:sz w:val="16"/>
      <w:szCs w:val="16"/>
    </w:rPr>
  </w:style>
  <w:style w:type="character" w:customStyle="1" w:styleId="BalloonTextChar">
    <w:name w:val="Balloon Text Char"/>
    <w:link w:val="BalloonText"/>
    <w:rsid w:val="003750C7"/>
    <w:rPr>
      <w:rFonts w:ascii="Tahoma" w:hAnsi="Tahoma" w:cs="Tahoma"/>
      <w:sz w:val="16"/>
      <w:szCs w:val="16"/>
      <w:lang w:val="en-US" w:eastAsia="en-US"/>
    </w:rPr>
  </w:style>
  <w:style w:type="paragraph" w:styleId="ListParagraph">
    <w:name w:val="List Paragraph"/>
    <w:basedOn w:val="Normal"/>
    <w:uiPriority w:val="34"/>
    <w:qFormat/>
    <w:rsid w:val="009C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33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8C9F79-D36F-48CA-9092-5DFF9E5129EE}"/>
</file>

<file path=customXml/itemProps2.xml><?xml version="1.0" encoding="utf-8"?>
<ds:datastoreItem xmlns:ds="http://schemas.openxmlformats.org/officeDocument/2006/customXml" ds:itemID="{D567BB70-E468-420E-9C5F-41ABF278B1F6}"/>
</file>

<file path=customXml/itemProps3.xml><?xml version="1.0" encoding="utf-8"?>
<ds:datastoreItem xmlns:ds="http://schemas.openxmlformats.org/officeDocument/2006/customXml" ds:itemID="{9C084CEF-E566-49BE-9510-08F2B77E0A2F}"/>
</file>

<file path=customXml/itemProps4.xml><?xml version="1.0" encoding="utf-8"?>
<ds:datastoreItem xmlns:ds="http://schemas.openxmlformats.org/officeDocument/2006/customXml" ds:itemID="{38552A7F-1DF6-4A9A-AFD0-9B7E47AD812C}"/>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5060</Characters>
  <Application>Microsoft Office Word</Application>
  <DocSecurity>0</DocSecurity>
  <Lines>42</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Initiative: Amendment to the Trust Fund Administration Agreement – April 2017</dc:title>
  <dc:subject/>
  <dc:creator/>
  <cp:keywords/>
  <cp:lastModifiedBy/>
  <cp:revision>1</cp:revision>
  <dcterms:created xsi:type="dcterms:W3CDTF">2017-08-24T23:01:00Z</dcterms:created>
  <dcterms:modified xsi:type="dcterms:W3CDTF">2017-08-24T23:01:00Z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2d37034e-c9f2-4599-ad28-08fb8c06deb6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1115400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