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7503" w14:textId="77777777" w:rsidR="00451312" w:rsidRDefault="00451312" w:rsidP="00451312">
      <w:pPr>
        <w:pStyle w:val="Title"/>
        <w:pBdr>
          <w:bottom w:val="single" w:sz="4" w:space="1" w:color="auto"/>
        </w:pBdr>
        <w:spacing w:after="120"/>
        <w:contextualSpacing w:val="0"/>
        <w:jc w:val="center"/>
        <w:rPr>
          <w:rFonts w:ascii="Arial" w:hAnsi="Arial" w:cs="Arial"/>
          <w:sz w:val="22"/>
          <w:szCs w:val="22"/>
        </w:rPr>
      </w:pPr>
    </w:p>
    <w:p w14:paraId="3C410CFC" w14:textId="77777777" w:rsidR="00451312" w:rsidRDefault="00451312" w:rsidP="00451312">
      <w:pPr>
        <w:pStyle w:val="Title"/>
        <w:pBdr>
          <w:bottom w:val="single" w:sz="4" w:space="1" w:color="auto"/>
        </w:pBdr>
        <w:spacing w:after="120"/>
        <w:contextualSpacing w:val="0"/>
        <w:jc w:val="center"/>
        <w:rPr>
          <w:rFonts w:ascii="Arial" w:hAnsi="Arial" w:cs="Arial"/>
          <w:sz w:val="22"/>
          <w:szCs w:val="22"/>
        </w:rPr>
      </w:pPr>
    </w:p>
    <w:p w14:paraId="49FFEE06" w14:textId="77777777" w:rsidR="00451312" w:rsidRDefault="00451312" w:rsidP="00451312">
      <w:pPr>
        <w:pStyle w:val="Title"/>
        <w:pBdr>
          <w:bottom w:val="single" w:sz="4" w:space="1" w:color="auto"/>
        </w:pBdr>
        <w:spacing w:after="120"/>
        <w:contextualSpacing w:val="0"/>
        <w:jc w:val="center"/>
        <w:rPr>
          <w:rFonts w:ascii="Arial" w:hAnsi="Arial" w:cs="Arial"/>
          <w:sz w:val="22"/>
          <w:szCs w:val="22"/>
        </w:rPr>
      </w:pPr>
    </w:p>
    <w:p w14:paraId="1756D973" w14:textId="77777777" w:rsidR="00451312" w:rsidRDefault="00451312" w:rsidP="00451312">
      <w:pPr>
        <w:pStyle w:val="Title"/>
        <w:pBdr>
          <w:bottom w:val="single" w:sz="4" w:space="1" w:color="auto"/>
        </w:pBdr>
        <w:spacing w:after="120"/>
        <w:contextualSpacing w:val="0"/>
        <w:jc w:val="center"/>
        <w:rPr>
          <w:rFonts w:ascii="Arial" w:hAnsi="Arial" w:cs="Arial"/>
          <w:sz w:val="22"/>
          <w:szCs w:val="22"/>
        </w:rPr>
      </w:pPr>
    </w:p>
    <w:p w14:paraId="2C38BB57" w14:textId="7A5B303F" w:rsidR="00451312" w:rsidRPr="00AE614A" w:rsidRDefault="00451312" w:rsidP="00451312">
      <w:pPr>
        <w:pStyle w:val="Title"/>
        <w:pBdr>
          <w:bottom w:val="single" w:sz="4" w:space="1" w:color="auto"/>
        </w:pBdr>
        <w:spacing w:after="120"/>
        <w:contextualSpacing w:val="0"/>
        <w:jc w:val="center"/>
        <w:rPr>
          <w:rFonts w:ascii="Arial" w:hAnsi="Arial" w:cs="Arial"/>
          <w:sz w:val="22"/>
          <w:szCs w:val="22"/>
        </w:rPr>
      </w:pPr>
      <w:r w:rsidRPr="00AE614A">
        <w:rPr>
          <w:rFonts w:ascii="Arial" w:hAnsi="Arial" w:cs="Arial"/>
          <w:sz w:val="22"/>
          <w:szCs w:val="22"/>
        </w:rPr>
        <w:t>FINAL REPORT</w:t>
      </w:r>
    </w:p>
    <w:p w14:paraId="1777C7F5" w14:textId="1A74A320" w:rsidR="00451312" w:rsidRPr="00451312" w:rsidRDefault="00850719" w:rsidP="00850719">
      <w:pPr>
        <w:pStyle w:val="Heading1"/>
      </w:pPr>
      <w:r w:rsidRPr="00451312">
        <w:rPr>
          <w:caps w:val="0"/>
        </w:rPr>
        <w:t>Revie</w:t>
      </w:r>
      <w:r>
        <w:rPr>
          <w:caps w:val="0"/>
        </w:rPr>
        <w:t>w a</w:t>
      </w:r>
      <w:r w:rsidRPr="00451312">
        <w:rPr>
          <w:caps w:val="0"/>
        </w:rPr>
        <w:t xml:space="preserve">nd Evaluation </w:t>
      </w:r>
      <w:r>
        <w:rPr>
          <w:caps w:val="0"/>
        </w:rPr>
        <w:t>of t</w:t>
      </w:r>
      <w:r w:rsidRPr="00451312">
        <w:rPr>
          <w:caps w:val="0"/>
        </w:rPr>
        <w:t xml:space="preserve">he Performance </w:t>
      </w:r>
      <w:r>
        <w:rPr>
          <w:caps w:val="0"/>
        </w:rPr>
        <w:t>o</w:t>
      </w:r>
      <w:r w:rsidRPr="00451312">
        <w:rPr>
          <w:caps w:val="0"/>
        </w:rPr>
        <w:t>f Sustainable Transport Infrastructure Improvement Program (S</w:t>
      </w:r>
      <w:r>
        <w:rPr>
          <w:caps w:val="0"/>
        </w:rPr>
        <w:t>TIIP</w:t>
      </w:r>
      <w:r w:rsidRPr="00451312">
        <w:rPr>
          <w:caps w:val="0"/>
        </w:rPr>
        <w:t xml:space="preserve">) </w:t>
      </w:r>
      <w:r>
        <w:rPr>
          <w:caps w:val="0"/>
        </w:rPr>
        <w:t>and t</w:t>
      </w:r>
      <w:r w:rsidRPr="00451312">
        <w:rPr>
          <w:caps w:val="0"/>
        </w:rPr>
        <w:t>he National Transport Fund (N</w:t>
      </w:r>
      <w:r>
        <w:rPr>
          <w:caps w:val="0"/>
        </w:rPr>
        <w:t>TF</w:t>
      </w:r>
      <w:r w:rsidRPr="00451312">
        <w:rPr>
          <w:caps w:val="0"/>
        </w:rPr>
        <w:t xml:space="preserve">) </w:t>
      </w:r>
      <w:r>
        <w:rPr>
          <w:caps w:val="0"/>
        </w:rPr>
        <w:t>i</w:t>
      </w:r>
      <w:r w:rsidRPr="00451312">
        <w:rPr>
          <w:caps w:val="0"/>
        </w:rPr>
        <w:t xml:space="preserve">n </w:t>
      </w:r>
      <w:r>
        <w:rPr>
          <w:caps w:val="0"/>
        </w:rPr>
        <w:t>t</w:t>
      </w:r>
      <w:r w:rsidRPr="00451312">
        <w:rPr>
          <w:caps w:val="0"/>
        </w:rPr>
        <w:t>he Solomon Islands</w:t>
      </w:r>
    </w:p>
    <w:p w14:paraId="693EC330" w14:textId="77777777" w:rsidR="00451312" w:rsidRDefault="00451312" w:rsidP="00451312">
      <w:pPr>
        <w:spacing w:after="120"/>
        <w:jc w:val="center"/>
        <w:rPr>
          <w:rFonts w:ascii="Arial" w:hAnsi="Arial" w:cs="Arial"/>
        </w:rPr>
      </w:pPr>
    </w:p>
    <w:p w14:paraId="27D309B1" w14:textId="77777777" w:rsidR="00451312" w:rsidRDefault="00451312" w:rsidP="00451312">
      <w:pPr>
        <w:spacing w:after="120"/>
        <w:jc w:val="center"/>
        <w:rPr>
          <w:rFonts w:ascii="Arial" w:hAnsi="Arial" w:cs="Arial"/>
        </w:rPr>
      </w:pPr>
      <w:r>
        <w:rPr>
          <w:rFonts w:ascii="Arial" w:hAnsi="Arial" w:cs="Arial"/>
        </w:rPr>
        <w:t>December 2022</w:t>
      </w:r>
    </w:p>
    <w:p w14:paraId="66278B70" w14:textId="79E0CE4A" w:rsidR="00451312" w:rsidRDefault="00451312" w:rsidP="00451312">
      <w:pPr>
        <w:spacing w:after="120"/>
        <w:jc w:val="center"/>
        <w:rPr>
          <w:rFonts w:ascii="Arial" w:hAnsi="Arial" w:cs="Arial"/>
        </w:rPr>
      </w:pPr>
    </w:p>
    <w:p w14:paraId="4056F1F5" w14:textId="628D0E42" w:rsidR="00451312" w:rsidRDefault="00451312" w:rsidP="00451312">
      <w:pPr>
        <w:spacing w:after="120"/>
        <w:jc w:val="center"/>
        <w:rPr>
          <w:rFonts w:ascii="Arial" w:hAnsi="Arial" w:cs="Arial"/>
        </w:rPr>
      </w:pPr>
    </w:p>
    <w:p w14:paraId="5868D40A" w14:textId="489B6A36" w:rsidR="00451312" w:rsidRDefault="00451312" w:rsidP="00451312">
      <w:pPr>
        <w:spacing w:after="120"/>
        <w:jc w:val="center"/>
        <w:rPr>
          <w:rFonts w:ascii="Arial" w:hAnsi="Arial" w:cs="Arial"/>
        </w:rPr>
      </w:pPr>
    </w:p>
    <w:p w14:paraId="0D4666A6" w14:textId="60DC974A" w:rsidR="00451312" w:rsidRDefault="00451312" w:rsidP="00451312">
      <w:pPr>
        <w:spacing w:after="120"/>
        <w:jc w:val="center"/>
        <w:rPr>
          <w:rFonts w:ascii="Arial" w:hAnsi="Arial" w:cs="Arial"/>
        </w:rPr>
      </w:pPr>
    </w:p>
    <w:p w14:paraId="09A4D970" w14:textId="14365237" w:rsidR="00451312" w:rsidRDefault="00451312" w:rsidP="00451312">
      <w:pPr>
        <w:spacing w:after="120"/>
        <w:jc w:val="center"/>
        <w:rPr>
          <w:rFonts w:ascii="Arial" w:hAnsi="Arial" w:cs="Arial"/>
        </w:rPr>
      </w:pPr>
    </w:p>
    <w:p w14:paraId="02FCC820" w14:textId="36961352" w:rsidR="00451312" w:rsidRDefault="00451312" w:rsidP="00451312">
      <w:pPr>
        <w:spacing w:after="120"/>
        <w:jc w:val="center"/>
        <w:rPr>
          <w:rFonts w:ascii="Arial" w:hAnsi="Arial" w:cs="Arial"/>
        </w:rPr>
      </w:pPr>
    </w:p>
    <w:p w14:paraId="36700443" w14:textId="02605629" w:rsidR="00451312" w:rsidRDefault="00451312" w:rsidP="00451312">
      <w:pPr>
        <w:spacing w:after="120"/>
        <w:jc w:val="center"/>
        <w:rPr>
          <w:rFonts w:ascii="Arial" w:hAnsi="Arial" w:cs="Arial"/>
        </w:rPr>
      </w:pPr>
    </w:p>
    <w:p w14:paraId="44D611E0" w14:textId="637893F2" w:rsidR="00451312" w:rsidRDefault="00451312" w:rsidP="00451312">
      <w:pPr>
        <w:spacing w:after="120"/>
        <w:jc w:val="center"/>
        <w:rPr>
          <w:rFonts w:ascii="Arial" w:hAnsi="Arial" w:cs="Arial"/>
        </w:rPr>
      </w:pPr>
    </w:p>
    <w:p w14:paraId="23D08607" w14:textId="11B28F97" w:rsidR="00451312" w:rsidRDefault="00451312" w:rsidP="00451312">
      <w:pPr>
        <w:spacing w:after="120"/>
        <w:jc w:val="center"/>
        <w:rPr>
          <w:rFonts w:ascii="Arial" w:hAnsi="Arial" w:cs="Arial"/>
        </w:rPr>
      </w:pPr>
    </w:p>
    <w:p w14:paraId="0A3B4D8E" w14:textId="201AEED2" w:rsidR="00451312" w:rsidRDefault="00451312" w:rsidP="00451312">
      <w:pPr>
        <w:spacing w:after="120"/>
        <w:jc w:val="center"/>
        <w:rPr>
          <w:rFonts w:ascii="Arial" w:hAnsi="Arial" w:cs="Arial"/>
        </w:rPr>
      </w:pPr>
    </w:p>
    <w:p w14:paraId="4448A48A" w14:textId="31DD0917" w:rsidR="00451312" w:rsidRDefault="00451312" w:rsidP="00451312">
      <w:pPr>
        <w:spacing w:after="120"/>
        <w:jc w:val="center"/>
        <w:rPr>
          <w:rFonts w:ascii="Arial" w:hAnsi="Arial" w:cs="Arial"/>
        </w:rPr>
      </w:pPr>
    </w:p>
    <w:p w14:paraId="07B291B9" w14:textId="688D1BEE" w:rsidR="00451312" w:rsidRDefault="00451312" w:rsidP="00451312">
      <w:pPr>
        <w:spacing w:after="120"/>
        <w:jc w:val="center"/>
        <w:rPr>
          <w:rFonts w:ascii="Arial" w:hAnsi="Arial" w:cs="Arial"/>
        </w:rPr>
      </w:pPr>
    </w:p>
    <w:p w14:paraId="08755C5F" w14:textId="19655300" w:rsidR="00451312" w:rsidRDefault="00451312" w:rsidP="00451312">
      <w:pPr>
        <w:spacing w:after="120"/>
        <w:jc w:val="center"/>
        <w:rPr>
          <w:rFonts w:ascii="Arial" w:hAnsi="Arial" w:cs="Arial"/>
        </w:rPr>
      </w:pPr>
    </w:p>
    <w:p w14:paraId="5F2DDA19" w14:textId="7D14ECA3" w:rsidR="00451312" w:rsidRDefault="00451312" w:rsidP="00451312">
      <w:pPr>
        <w:spacing w:after="120"/>
        <w:jc w:val="center"/>
        <w:rPr>
          <w:rFonts w:ascii="Arial" w:hAnsi="Arial" w:cs="Arial"/>
        </w:rPr>
      </w:pPr>
    </w:p>
    <w:p w14:paraId="26C71736" w14:textId="3ED23EF8" w:rsidR="00451312" w:rsidRDefault="00451312" w:rsidP="00451312">
      <w:pPr>
        <w:spacing w:after="120"/>
        <w:jc w:val="center"/>
        <w:rPr>
          <w:rFonts w:ascii="Arial" w:hAnsi="Arial" w:cs="Arial"/>
        </w:rPr>
      </w:pPr>
    </w:p>
    <w:p w14:paraId="22C68D75" w14:textId="362D816B" w:rsidR="00451312" w:rsidRDefault="00451312" w:rsidP="00451312">
      <w:pPr>
        <w:spacing w:after="120"/>
        <w:jc w:val="center"/>
        <w:rPr>
          <w:rFonts w:ascii="Arial" w:hAnsi="Arial" w:cs="Arial"/>
        </w:rPr>
      </w:pPr>
    </w:p>
    <w:p w14:paraId="0ACABD64" w14:textId="1ED05ECD" w:rsidR="00451312" w:rsidRDefault="00451312" w:rsidP="00451312">
      <w:pPr>
        <w:spacing w:after="120"/>
        <w:jc w:val="center"/>
        <w:rPr>
          <w:rFonts w:ascii="Arial" w:hAnsi="Arial" w:cs="Arial"/>
        </w:rPr>
      </w:pPr>
    </w:p>
    <w:p w14:paraId="3AD19E2A" w14:textId="16AD73DF" w:rsidR="00451312" w:rsidRDefault="00451312" w:rsidP="00451312">
      <w:pPr>
        <w:spacing w:after="120"/>
        <w:jc w:val="center"/>
        <w:rPr>
          <w:rFonts w:ascii="Arial" w:hAnsi="Arial" w:cs="Arial"/>
        </w:rPr>
      </w:pPr>
    </w:p>
    <w:p w14:paraId="1742F7D9" w14:textId="7F2AFE65" w:rsidR="00451312" w:rsidRDefault="00451312" w:rsidP="00451312">
      <w:pPr>
        <w:spacing w:after="120"/>
        <w:jc w:val="center"/>
        <w:rPr>
          <w:rFonts w:ascii="Arial" w:hAnsi="Arial" w:cs="Arial"/>
        </w:rPr>
      </w:pPr>
    </w:p>
    <w:p w14:paraId="0CAB045A" w14:textId="77777777" w:rsidR="00451312" w:rsidRPr="00451312" w:rsidRDefault="00451312" w:rsidP="00451312">
      <w:pPr>
        <w:spacing w:after="120"/>
        <w:jc w:val="center"/>
        <w:rPr>
          <w:rFonts w:ascii="Arial" w:hAnsi="Arial" w:cs="Arial"/>
        </w:rPr>
      </w:pPr>
    </w:p>
    <w:p w14:paraId="161D341D" w14:textId="77777777" w:rsidR="00451312" w:rsidRPr="00182830" w:rsidRDefault="00451312" w:rsidP="00451312">
      <w:pPr>
        <w:spacing w:after="120"/>
        <w:jc w:val="center"/>
        <w:rPr>
          <w:rFonts w:ascii="Arial" w:eastAsia="Times New Roman" w:hAnsi="Arial" w:cs="Arial"/>
          <w:b/>
          <w:color w:val="4472C4" w:themeColor="accent1"/>
          <w:sz w:val="20"/>
          <w:szCs w:val="20"/>
          <w:lang w:val="en-NZ"/>
        </w:rPr>
      </w:pPr>
      <w:r w:rsidRPr="00182830">
        <w:rPr>
          <w:rFonts w:ascii="Arial" w:hAnsi="Arial" w:cs="Arial"/>
          <w:color w:val="000000"/>
          <w:sz w:val="20"/>
          <w:szCs w:val="20"/>
        </w:rPr>
        <w:t>INTERNAL. This information is accessible to ADB Management and staff. It may be shared outside ADB with appropriate permission.</w:t>
      </w:r>
    </w:p>
    <w:p w14:paraId="5422A415" w14:textId="77777777" w:rsidR="00182830" w:rsidRDefault="00182830">
      <w:pPr>
        <w:spacing w:line="259" w:lineRule="auto"/>
        <w:jc w:val="left"/>
        <w:rPr>
          <w:rFonts w:ascii="Arial" w:hAnsi="Arial" w:cs="Arial"/>
          <w:b/>
          <w:lang w:val="en-GB"/>
        </w:rPr>
      </w:pPr>
      <w:r>
        <w:rPr>
          <w:rFonts w:ascii="Arial" w:hAnsi="Arial" w:cs="Arial"/>
          <w:b/>
          <w:lang w:val="en-GB"/>
        </w:rPr>
        <w:br w:type="page"/>
      </w:r>
    </w:p>
    <w:p w14:paraId="4D4C4D0E" w14:textId="5A564977" w:rsidR="00B63DE6" w:rsidRPr="00AE614A" w:rsidRDefault="006E18A9" w:rsidP="00AE614A">
      <w:pPr>
        <w:spacing w:after="120"/>
        <w:rPr>
          <w:rFonts w:ascii="Arial" w:hAnsi="Arial" w:cs="Arial"/>
          <w:b/>
          <w:lang w:val="en-GB"/>
        </w:rPr>
      </w:pPr>
      <w:r>
        <w:rPr>
          <w:rFonts w:ascii="Arial" w:hAnsi="Arial" w:cs="Arial"/>
          <w:b/>
          <w:lang w:val="en-GB"/>
        </w:rPr>
        <w:lastRenderedPageBreak/>
        <w:t>REVIEW</w:t>
      </w:r>
      <w:r w:rsidR="00B63DE6" w:rsidRPr="00AE614A">
        <w:rPr>
          <w:rFonts w:ascii="Arial" w:hAnsi="Arial" w:cs="Arial"/>
          <w:b/>
          <w:lang w:val="en-GB"/>
        </w:rPr>
        <w:t xml:space="preserve"> SUMMARY</w:t>
      </w:r>
    </w:p>
    <w:p w14:paraId="5CA0D886" w14:textId="77777777" w:rsidR="00843AE0" w:rsidRDefault="00843AE0" w:rsidP="00AE614A">
      <w:pPr>
        <w:spacing w:after="120"/>
        <w:rPr>
          <w:rFonts w:ascii="Arial" w:hAnsi="Arial" w:cs="Arial"/>
          <w:b/>
        </w:rPr>
      </w:pPr>
    </w:p>
    <w:p w14:paraId="0334EF13" w14:textId="63415683" w:rsidR="00B63DE6" w:rsidRPr="00AE614A" w:rsidRDefault="00B63DE6" w:rsidP="00AE614A">
      <w:pPr>
        <w:spacing w:after="120"/>
        <w:rPr>
          <w:rFonts w:ascii="Arial" w:hAnsi="Arial" w:cs="Arial"/>
          <w:b/>
        </w:rPr>
      </w:pPr>
      <w:r w:rsidRPr="00AE614A">
        <w:rPr>
          <w:rFonts w:ascii="Arial" w:hAnsi="Arial" w:cs="Arial"/>
          <w:b/>
        </w:rPr>
        <w:t>Background</w:t>
      </w:r>
    </w:p>
    <w:p w14:paraId="79BED582" w14:textId="08E8A269" w:rsidR="001C0C49" w:rsidRPr="00AE614A" w:rsidRDefault="00B63DE6" w:rsidP="00AE614A">
      <w:pPr>
        <w:spacing w:after="120"/>
        <w:rPr>
          <w:rFonts w:ascii="Arial" w:hAnsi="Arial" w:cs="Arial"/>
        </w:rPr>
      </w:pPr>
      <w:r w:rsidRPr="00AE614A">
        <w:rPr>
          <w:rFonts w:ascii="Arial" w:hAnsi="Arial" w:cs="Arial"/>
        </w:rPr>
        <w:t xml:space="preserve">Building on lessons learned from its Transport Sector Development Project (TSDP), the Asian Development Bank (ADB) </w:t>
      </w:r>
      <w:r w:rsidR="00FB5AAC" w:rsidRPr="00AE614A">
        <w:rPr>
          <w:rFonts w:ascii="Arial" w:hAnsi="Arial" w:cs="Arial"/>
        </w:rPr>
        <w:t xml:space="preserve">commenced implementation of the </w:t>
      </w:r>
      <w:r w:rsidR="000724CB" w:rsidRPr="00AE614A">
        <w:rPr>
          <w:rFonts w:ascii="Arial" w:hAnsi="Arial" w:cs="Arial"/>
        </w:rPr>
        <w:t xml:space="preserve">five-year </w:t>
      </w:r>
      <w:r w:rsidRPr="00AE614A">
        <w:rPr>
          <w:rFonts w:ascii="Arial" w:hAnsi="Arial" w:cs="Arial"/>
        </w:rPr>
        <w:t xml:space="preserve">Sustainable Transport Infrastructure Improvement Program (STIIP) in 2016. </w:t>
      </w:r>
      <w:r w:rsidR="00FB5AAC" w:rsidRPr="00AE614A">
        <w:rPr>
          <w:rFonts w:ascii="Arial" w:hAnsi="Arial" w:cs="Arial"/>
        </w:rPr>
        <w:t>STIIP closed on 30 June 2022, one year later than planned.</w:t>
      </w:r>
    </w:p>
    <w:p w14:paraId="57C8C2E2" w14:textId="77777777" w:rsidR="00E23D4F" w:rsidRDefault="00894324" w:rsidP="00AE614A">
      <w:pPr>
        <w:spacing w:after="120"/>
        <w:rPr>
          <w:rFonts w:ascii="Arial" w:hAnsi="Arial" w:cs="Arial"/>
          <w:lang w:val="en-GB"/>
        </w:rPr>
      </w:pPr>
      <w:r w:rsidRPr="00AE614A">
        <w:rPr>
          <w:rFonts w:ascii="Arial" w:hAnsi="Arial" w:cs="Arial"/>
        </w:rPr>
        <w:t>The STIIP</w:t>
      </w:r>
      <w:r w:rsidR="002802E2" w:rsidRPr="00AE614A">
        <w:rPr>
          <w:rFonts w:ascii="Arial" w:hAnsi="Arial" w:cs="Arial"/>
        </w:rPr>
        <w:t xml:space="preserve"> budget was USD78 million (approx. AUD115 million)</w:t>
      </w:r>
      <w:r w:rsidR="001A6B01" w:rsidRPr="00AE614A">
        <w:rPr>
          <w:rFonts w:ascii="Arial" w:hAnsi="Arial" w:cs="Arial"/>
        </w:rPr>
        <w:t xml:space="preserve"> with financing to be provided </w:t>
      </w:r>
      <w:r w:rsidR="0007165B" w:rsidRPr="00AE614A">
        <w:rPr>
          <w:rFonts w:ascii="Arial" w:hAnsi="Arial" w:cs="Arial"/>
        </w:rPr>
        <w:t xml:space="preserve">through: a results-based loan from the ADB (USD21 million); a grant from the </w:t>
      </w:r>
      <w:r w:rsidR="0007165B" w:rsidRPr="00AE614A">
        <w:rPr>
          <w:rFonts w:ascii="Arial" w:hAnsi="Arial" w:cs="Arial"/>
          <w:lang w:val="en-GB"/>
        </w:rPr>
        <w:t>Government of Australia (</w:t>
      </w:r>
      <w:r w:rsidR="007910B3" w:rsidRPr="00AE614A">
        <w:rPr>
          <w:rFonts w:ascii="Arial" w:hAnsi="Arial" w:cs="Arial"/>
          <w:lang w:val="en-GB"/>
        </w:rPr>
        <w:t xml:space="preserve">GOA; </w:t>
      </w:r>
      <w:r w:rsidR="00723004" w:rsidRPr="00AE614A">
        <w:rPr>
          <w:rFonts w:ascii="Arial" w:hAnsi="Arial" w:cs="Arial"/>
          <w:lang w:val="en-GB"/>
        </w:rPr>
        <w:t xml:space="preserve">USD 23 million); and </w:t>
      </w:r>
      <w:r w:rsidR="001C0C49" w:rsidRPr="00AE614A">
        <w:rPr>
          <w:rFonts w:ascii="Arial" w:hAnsi="Arial" w:cs="Arial"/>
          <w:lang w:val="en-GB"/>
        </w:rPr>
        <w:t>budget allocations from the Solomon Islands Government (</w:t>
      </w:r>
      <w:r w:rsidR="007910B3" w:rsidRPr="00AE614A">
        <w:rPr>
          <w:rFonts w:ascii="Arial" w:hAnsi="Arial" w:cs="Arial"/>
          <w:lang w:val="en-GB"/>
        </w:rPr>
        <w:t xml:space="preserve">SIG; </w:t>
      </w:r>
      <w:r w:rsidR="001C0C49" w:rsidRPr="00AE614A">
        <w:rPr>
          <w:rFonts w:ascii="Arial" w:hAnsi="Arial" w:cs="Arial"/>
          <w:lang w:val="en-GB"/>
        </w:rPr>
        <w:t>USD34 million).</w:t>
      </w:r>
      <w:r w:rsidRPr="00AE614A">
        <w:rPr>
          <w:rFonts w:ascii="Arial" w:hAnsi="Arial" w:cs="Arial"/>
          <w:lang w:val="en-GB"/>
        </w:rPr>
        <w:t xml:space="preserve"> </w:t>
      </w:r>
      <w:r w:rsidR="00D44B17">
        <w:rPr>
          <w:rFonts w:ascii="Arial" w:hAnsi="Arial" w:cs="Arial"/>
          <w:lang w:val="en-GB"/>
        </w:rPr>
        <w:t xml:space="preserve">The implementing partner was the </w:t>
      </w:r>
      <w:r w:rsidR="00D44B17" w:rsidRPr="00AE614A">
        <w:rPr>
          <w:rFonts w:ascii="Arial" w:hAnsi="Arial" w:cs="Arial"/>
          <w:lang w:val="en-GB"/>
        </w:rPr>
        <w:t>Ministry of Infrastructure Development (MID)</w:t>
      </w:r>
      <w:r w:rsidR="00164BA2">
        <w:rPr>
          <w:rFonts w:ascii="Arial" w:hAnsi="Arial" w:cs="Arial"/>
          <w:lang w:val="en-GB"/>
        </w:rPr>
        <w:t xml:space="preserve"> Central Project </w:t>
      </w:r>
      <w:r w:rsidR="00E23D4F">
        <w:rPr>
          <w:rFonts w:ascii="Arial" w:hAnsi="Arial" w:cs="Arial"/>
          <w:lang w:val="en-GB"/>
        </w:rPr>
        <w:t>Implementation Unit (CPIU).</w:t>
      </w:r>
    </w:p>
    <w:p w14:paraId="5C0B3CF4" w14:textId="08F95F21" w:rsidR="004B3D3D" w:rsidRPr="00AE614A" w:rsidRDefault="004B3D3D" w:rsidP="00AE614A">
      <w:pPr>
        <w:spacing w:after="120"/>
        <w:rPr>
          <w:rFonts w:ascii="Arial" w:hAnsi="Arial" w:cs="Arial"/>
        </w:rPr>
      </w:pPr>
      <w:r w:rsidRPr="00AE614A">
        <w:rPr>
          <w:rFonts w:ascii="Arial" w:hAnsi="Arial" w:cs="Arial"/>
          <w:lang w:val="en-GB"/>
        </w:rPr>
        <w:t xml:space="preserve">Funding was channelled through the </w:t>
      </w:r>
      <w:r w:rsidR="00DC30C1" w:rsidRPr="00AE614A">
        <w:rPr>
          <w:rFonts w:ascii="Arial" w:hAnsi="Arial" w:cs="Arial"/>
          <w:lang w:val="en-GB"/>
        </w:rPr>
        <w:t xml:space="preserve">Ministry of Finance and Treasury </w:t>
      </w:r>
      <w:r w:rsidR="00067295">
        <w:rPr>
          <w:rFonts w:ascii="Arial" w:hAnsi="Arial" w:cs="Arial"/>
          <w:lang w:val="en-GB"/>
        </w:rPr>
        <w:t xml:space="preserve">(MOFT) </w:t>
      </w:r>
      <w:r w:rsidR="00DC30C1" w:rsidRPr="00AE614A">
        <w:rPr>
          <w:rFonts w:ascii="Arial" w:hAnsi="Arial" w:cs="Arial"/>
          <w:lang w:val="en-GB"/>
        </w:rPr>
        <w:t xml:space="preserve">to the </w:t>
      </w:r>
      <w:r w:rsidRPr="00AE614A">
        <w:rPr>
          <w:rFonts w:ascii="Arial" w:hAnsi="Arial" w:cs="Arial"/>
          <w:lang w:val="en-GB"/>
        </w:rPr>
        <w:t>N</w:t>
      </w:r>
      <w:r w:rsidR="001A36E6" w:rsidRPr="00AE614A">
        <w:rPr>
          <w:rFonts w:ascii="Arial" w:hAnsi="Arial" w:cs="Arial"/>
          <w:lang w:val="en-GB"/>
        </w:rPr>
        <w:t xml:space="preserve">ational Transport </w:t>
      </w:r>
      <w:r w:rsidRPr="00AE614A">
        <w:rPr>
          <w:rFonts w:ascii="Arial" w:hAnsi="Arial" w:cs="Arial"/>
          <w:lang w:val="en-GB"/>
        </w:rPr>
        <w:t>F</w:t>
      </w:r>
      <w:r w:rsidR="001A36E6" w:rsidRPr="00AE614A">
        <w:rPr>
          <w:rFonts w:ascii="Arial" w:hAnsi="Arial" w:cs="Arial"/>
          <w:lang w:val="en-GB"/>
        </w:rPr>
        <w:t>und (NTF)</w:t>
      </w:r>
      <w:r w:rsidR="009B113B" w:rsidRPr="00AE614A">
        <w:rPr>
          <w:rFonts w:ascii="Arial" w:hAnsi="Arial" w:cs="Arial"/>
          <w:lang w:val="en-GB"/>
        </w:rPr>
        <w:t>,</w:t>
      </w:r>
      <w:r w:rsidR="009C122D" w:rsidRPr="00AE614A">
        <w:rPr>
          <w:rFonts w:ascii="Arial" w:hAnsi="Arial" w:cs="Arial"/>
          <w:lang w:val="en-GB"/>
        </w:rPr>
        <w:t xml:space="preserve"> the mechanism through which </w:t>
      </w:r>
      <w:r w:rsidR="001A36E6" w:rsidRPr="00AE614A">
        <w:rPr>
          <w:rFonts w:ascii="Arial" w:hAnsi="Arial" w:cs="Arial"/>
          <w:lang w:val="en-GB"/>
        </w:rPr>
        <w:t xml:space="preserve">the </w:t>
      </w:r>
      <w:r w:rsidR="00D9733E">
        <w:rPr>
          <w:rFonts w:ascii="Arial" w:hAnsi="Arial" w:cs="Arial"/>
          <w:lang w:val="en-GB"/>
        </w:rPr>
        <w:t xml:space="preserve">CPIU </w:t>
      </w:r>
      <w:r w:rsidR="009C122D" w:rsidRPr="00AE614A">
        <w:rPr>
          <w:rFonts w:ascii="Arial" w:hAnsi="Arial" w:cs="Arial"/>
          <w:lang w:val="en-GB"/>
        </w:rPr>
        <w:t>procured</w:t>
      </w:r>
      <w:r w:rsidR="009B113B" w:rsidRPr="00AE614A">
        <w:rPr>
          <w:rFonts w:ascii="Arial" w:hAnsi="Arial" w:cs="Arial"/>
          <w:lang w:val="en-GB"/>
        </w:rPr>
        <w:t xml:space="preserve"> transport infrastructure contracts</w:t>
      </w:r>
      <w:r w:rsidR="00586882">
        <w:rPr>
          <w:rFonts w:ascii="Arial" w:hAnsi="Arial" w:cs="Arial"/>
          <w:lang w:val="en-GB"/>
        </w:rPr>
        <w:t xml:space="preserve"> aligned to the priorities of the </w:t>
      </w:r>
      <w:r w:rsidR="00586882" w:rsidRPr="00293F4F">
        <w:rPr>
          <w:rFonts w:ascii="Arial" w:hAnsi="Arial" w:cs="Arial"/>
          <w:i/>
          <w:iCs/>
          <w:lang w:val="en-GB"/>
        </w:rPr>
        <w:t xml:space="preserve">National Transport Plan </w:t>
      </w:r>
      <w:r w:rsidR="000B1BAD" w:rsidRPr="00293F4F">
        <w:rPr>
          <w:rFonts w:ascii="Arial" w:hAnsi="Arial" w:cs="Arial"/>
          <w:i/>
          <w:iCs/>
          <w:lang w:val="en-GB"/>
        </w:rPr>
        <w:t>2017-2036</w:t>
      </w:r>
      <w:r w:rsidR="000B1BAD">
        <w:rPr>
          <w:rFonts w:ascii="Arial" w:hAnsi="Arial" w:cs="Arial"/>
          <w:lang w:val="en-GB"/>
        </w:rPr>
        <w:t xml:space="preserve"> </w:t>
      </w:r>
      <w:r w:rsidR="009A71F5">
        <w:rPr>
          <w:rFonts w:ascii="Arial" w:hAnsi="Arial" w:cs="Arial"/>
          <w:lang w:val="en-GB"/>
        </w:rPr>
        <w:t xml:space="preserve">(NTP) </w:t>
      </w:r>
      <w:r w:rsidR="00586882">
        <w:rPr>
          <w:rFonts w:ascii="Arial" w:hAnsi="Arial" w:cs="Arial"/>
          <w:lang w:val="en-GB"/>
        </w:rPr>
        <w:t xml:space="preserve">and </w:t>
      </w:r>
      <w:r w:rsidR="0036118E">
        <w:rPr>
          <w:rFonts w:ascii="Arial" w:hAnsi="Arial" w:cs="Arial"/>
          <w:lang w:val="en-GB"/>
        </w:rPr>
        <w:t xml:space="preserve">the </w:t>
      </w:r>
      <w:r w:rsidR="00586882" w:rsidRPr="0036118E">
        <w:rPr>
          <w:rFonts w:ascii="Arial" w:hAnsi="Arial" w:cs="Arial"/>
          <w:i/>
          <w:iCs/>
          <w:lang w:val="en-GB"/>
        </w:rPr>
        <w:t>Medium</w:t>
      </w:r>
      <w:r w:rsidR="005F2276">
        <w:rPr>
          <w:rFonts w:ascii="Arial" w:hAnsi="Arial" w:cs="Arial"/>
          <w:i/>
          <w:iCs/>
          <w:lang w:val="en-GB"/>
        </w:rPr>
        <w:t>-</w:t>
      </w:r>
      <w:r w:rsidR="00586882" w:rsidRPr="0036118E">
        <w:rPr>
          <w:rFonts w:ascii="Arial" w:hAnsi="Arial" w:cs="Arial"/>
          <w:i/>
          <w:iCs/>
          <w:lang w:val="en-GB"/>
        </w:rPr>
        <w:t>Term Transport Action Plan</w:t>
      </w:r>
      <w:r w:rsidR="0036118E">
        <w:rPr>
          <w:rFonts w:ascii="Arial" w:hAnsi="Arial" w:cs="Arial"/>
          <w:i/>
          <w:iCs/>
          <w:lang w:val="en-GB"/>
        </w:rPr>
        <w:t xml:space="preserve"> </w:t>
      </w:r>
      <w:r w:rsidR="0067030E">
        <w:rPr>
          <w:rFonts w:ascii="Arial" w:hAnsi="Arial" w:cs="Arial"/>
          <w:i/>
          <w:iCs/>
          <w:lang w:val="en-GB"/>
        </w:rPr>
        <w:t>2016-</w:t>
      </w:r>
      <w:r w:rsidR="0036118E">
        <w:rPr>
          <w:rFonts w:ascii="Arial" w:hAnsi="Arial" w:cs="Arial"/>
          <w:i/>
          <w:iCs/>
          <w:lang w:val="en-GB"/>
        </w:rPr>
        <w:t>2021</w:t>
      </w:r>
      <w:r w:rsidR="009A71F5">
        <w:rPr>
          <w:rFonts w:ascii="Arial" w:hAnsi="Arial" w:cs="Arial"/>
          <w:lang w:val="en-GB"/>
        </w:rPr>
        <w:t xml:space="preserve"> (MTTAP)</w:t>
      </w:r>
      <w:r w:rsidRPr="00AE614A">
        <w:rPr>
          <w:rFonts w:ascii="Arial" w:hAnsi="Arial" w:cs="Arial"/>
          <w:lang w:val="en-GB"/>
        </w:rPr>
        <w:t xml:space="preserve">. </w:t>
      </w:r>
      <w:r w:rsidR="00933BAD" w:rsidRPr="00AE614A">
        <w:rPr>
          <w:rFonts w:ascii="Arial" w:hAnsi="Arial" w:cs="Arial"/>
          <w:lang w:val="en-GB"/>
        </w:rPr>
        <w:t xml:space="preserve">The STIIP </w:t>
      </w:r>
      <w:r w:rsidR="0020185C" w:rsidRPr="00AE614A">
        <w:rPr>
          <w:rFonts w:ascii="Arial" w:hAnsi="Arial" w:cs="Arial"/>
          <w:lang w:val="en-GB"/>
        </w:rPr>
        <w:t xml:space="preserve">budget </w:t>
      </w:r>
      <w:r w:rsidR="00933BAD" w:rsidRPr="00AE614A">
        <w:rPr>
          <w:rFonts w:ascii="Arial" w:hAnsi="Arial" w:cs="Arial"/>
          <w:lang w:val="en-GB"/>
        </w:rPr>
        <w:t xml:space="preserve">included a </w:t>
      </w:r>
      <w:r w:rsidRPr="00AE614A">
        <w:rPr>
          <w:rFonts w:ascii="Arial" w:hAnsi="Arial" w:cs="Arial"/>
          <w:lang w:val="en-GB"/>
        </w:rPr>
        <w:t>technical assistance package (</w:t>
      </w:r>
      <w:r w:rsidRPr="00AE614A">
        <w:rPr>
          <w:rFonts w:ascii="Arial" w:hAnsi="Arial" w:cs="Arial"/>
        </w:rPr>
        <w:t>TA)</w:t>
      </w:r>
      <w:r w:rsidRPr="00AE614A">
        <w:rPr>
          <w:rFonts w:ascii="Arial" w:hAnsi="Arial" w:cs="Arial"/>
          <w:lang w:val="en-GB"/>
        </w:rPr>
        <w:t xml:space="preserve"> </w:t>
      </w:r>
      <w:r w:rsidR="00933BAD" w:rsidRPr="00AE614A">
        <w:rPr>
          <w:rFonts w:ascii="Arial" w:hAnsi="Arial" w:cs="Arial"/>
          <w:lang w:val="en-GB"/>
        </w:rPr>
        <w:t xml:space="preserve">for </w:t>
      </w:r>
      <w:r w:rsidR="00D9733E">
        <w:rPr>
          <w:rFonts w:ascii="Arial" w:hAnsi="Arial" w:cs="Arial"/>
        </w:rPr>
        <w:t>the CPIU</w:t>
      </w:r>
      <w:r w:rsidR="00933BAD" w:rsidRPr="00AE614A">
        <w:rPr>
          <w:rFonts w:ascii="Arial" w:hAnsi="Arial" w:cs="Arial"/>
        </w:rPr>
        <w:t xml:space="preserve">, and </w:t>
      </w:r>
      <w:r w:rsidR="0020185C" w:rsidRPr="00AE614A">
        <w:rPr>
          <w:rFonts w:ascii="Arial" w:hAnsi="Arial" w:cs="Arial"/>
        </w:rPr>
        <w:t xml:space="preserve">the </w:t>
      </w:r>
      <w:r w:rsidR="007910B3" w:rsidRPr="00AE614A">
        <w:rPr>
          <w:rFonts w:ascii="Arial" w:hAnsi="Arial" w:cs="Arial"/>
        </w:rPr>
        <w:t>GOA</w:t>
      </w:r>
      <w:r w:rsidR="0020185C" w:rsidRPr="00AE614A">
        <w:rPr>
          <w:rFonts w:ascii="Arial" w:hAnsi="Arial" w:cs="Arial"/>
        </w:rPr>
        <w:t xml:space="preserve"> complemented the TA with three additional advisers</w:t>
      </w:r>
      <w:r w:rsidR="00067295">
        <w:rPr>
          <w:rFonts w:ascii="Arial" w:hAnsi="Arial" w:cs="Arial"/>
        </w:rPr>
        <w:t xml:space="preserve"> (procurement adviser to </w:t>
      </w:r>
      <w:r w:rsidR="00C47D5E">
        <w:rPr>
          <w:rFonts w:ascii="Arial" w:hAnsi="Arial" w:cs="Arial"/>
        </w:rPr>
        <w:t>GOA</w:t>
      </w:r>
      <w:r w:rsidR="00067295">
        <w:rPr>
          <w:rFonts w:ascii="Arial" w:hAnsi="Arial" w:cs="Arial"/>
        </w:rPr>
        <w:t>, governance adviser to the NTF Secretariat, and finance specialist)</w:t>
      </w:r>
      <w:r w:rsidRPr="00AE614A">
        <w:rPr>
          <w:rFonts w:ascii="Arial" w:hAnsi="Arial" w:cs="Arial"/>
        </w:rPr>
        <w:t xml:space="preserve">. </w:t>
      </w:r>
    </w:p>
    <w:p w14:paraId="073981DD" w14:textId="6DA5A6C5" w:rsidR="00405A87" w:rsidRPr="00AE614A" w:rsidRDefault="001A36E6" w:rsidP="00AE614A">
      <w:pPr>
        <w:spacing w:after="120"/>
        <w:rPr>
          <w:rFonts w:ascii="Arial" w:hAnsi="Arial" w:cs="Arial"/>
        </w:rPr>
      </w:pPr>
      <w:r w:rsidRPr="00AE614A">
        <w:rPr>
          <w:rFonts w:ascii="Arial" w:hAnsi="Arial" w:cs="Arial"/>
        </w:rPr>
        <w:t xml:space="preserve">The goal of STIIP was to improve transport system efficiency and sustainability. </w:t>
      </w:r>
      <w:r w:rsidR="00AD5CD3" w:rsidRPr="00AE614A">
        <w:rPr>
          <w:rFonts w:ascii="Arial" w:hAnsi="Arial" w:cs="Arial"/>
        </w:rPr>
        <w:t>There were three e</w:t>
      </w:r>
      <w:r w:rsidR="000A3A4A" w:rsidRPr="00AE614A">
        <w:rPr>
          <w:rFonts w:ascii="Arial" w:hAnsi="Arial" w:cs="Arial"/>
        </w:rPr>
        <w:t>xpected out</w:t>
      </w:r>
      <w:r w:rsidR="00405A87" w:rsidRPr="00AE614A">
        <w:rPr>
          <w:rFonts w:ascii="Arial" w:hAnsi="Arial" w:cs="Arial"/>
        </w:rPr>
        <w:t>comes</w:t>
      </w:r>
      <w:r w:rsidRPr="00AE614A">
        <w:rPr>
          <w:rFonts w:ascii="Arial" w:hAnsi="Arial" w:cs="Arial"/>
        </w:rPr>
        <w:t xml:space="preserve">: </w:t>
      </w:r>
    </w:p>
    <w:p w14:paraId="252D180D" w14:textId="490B3021" w:rsidR="00405A87" w:rsidRPr="00AE614A" w:rsidRDefault="00D65CED" w:rsidP="00AE614A">
      <w:pPr>
        <w:pStyle w:val="ListParagraph"/>
        <w:numPr>
          <w:ilvl w:val="0"/>
          <w:numId w:val="16"/>
        </w:numPr>
        <w:spacing w:after="120"/>
        <w:ind w:left="1077"/>
        <w:contextualSpacing w:val="0"/>
        <w:rPr>
          <w:rFonts w:ascii="Arial" w:hAnsi="Arial" w:cs="Arial"/>
        </w:rPr>
      </w:pPr>
      <w:r w:rsidRPr="00AE614A">
        <w:rPr>
          <w:rFonts w:ascii="Arial" w:hAnsi="Arial" w:cs="Arial"/>
        </w:rPr>
        <w:t xml:space="preserve">Transport infrastructure rehabilitated and maintained with </w:t>
      </w:r>
      <w:r w:rsidR="005F2276">
        <w:rPr>
          <w:rFonts w:ascii="Arial" w:hAnsi="Arial" w:cs="Arial"/>
        </w:rPr>
        <w:t xml:space="preserve">improved </w:t>
      </w:r>
      <w:r w:rsidRPr="00AE614A">
        <w:rPr>
          <w:rFonts w:ascii="Arial" w:hAnsi="Arial" w:cs="Arial"/>
        </w:rPr>
        <w:t xml:space="preserve">access for all users </w:t>
      </w:r>
      <w:r w:rsidR="005F2276">
        <w:rPr>
          <w:rFonts w:ascii="Arial" w:hAnsi="Arial" w:cs="Arial"/>
        </w:rPr>
        <w:t>(</w:t>
      </w:r>
      <w:r w:rsidR="001877A1">
        <w:rPr>
          <w:rFonts w:ascii="Arial" w:hAnsi="Arial" w:cs="Arial"/>
        </w:rPr>
        <w:t xml:space="preserve">through improved </w:t>
      </w:r>
      <w:r w:rsidRPr="00AE614A">
        <w:rPr>
          <w:rFonts w:ascii="Arial" w:hAnsi="Arial" w:cs="Arial"/>
        </w:rPr>
        <w:t>safety, gender responsiveness, and climate and disaster resilience</w:t>
      </w:r>
      <w:r w:rsidR="005F2276">
        <w:rPr>
          <w:rFonts w:ascii="Arial" w:hAnsi="Arial" w:cs="Arial"/>
        </w:rPr>
        <w:t>).</w:t>
      </w:r>
    </w:p>
    <w:p w14:paraId="578B024F" w14:textId="1B31FAFC" w:rsidR="00D65CED" w:rsidRPr="00AE614A" w:rsidRDefault="008444FC" w:rsidP="00AE614A">
      <w:pPr>
        <w:pStyle w:val="ListParagraph"/>
        <w:numPr>
          <w:ilvl w:val="0"/>
          <w:numId w:val="16"/>
        </w:numPr>
        <w:spacing w:after="120"/>
        <w:ind w:left="1077"/>
        <w:contextualSpacing w:val="0"/>
        <w:rPr>
          <w:rFonts w:ascii="Arial" w:hAnsi="Arial" w:cs="Arial"/>
        </w:rPr>
      </w:pPr>
      <w:r w:rsidRPr="00AE614A">
        <w:rPr>
          <w:rFonts w:ascii="Arial" w:hAnsi="Arial" w:cs="Arial"/>
        </w:rPr>
        <w:t xml:space="preserve">Country systems strengthened to finance and implement the </w:t>
      </w:r>
      <w:r w:rsidR="00FA7501" w:rsidRPr="00AE614A">
        <w:rPr>
          <w:rFonts w:ascii="Arial" w:hAnsi="Arial" w:cs="Arial"/>
        </w:rPr>
        <w:t>NTP</w:t>
      </w:r>
      <w:r w:rsidR="005F2276">
        <w:rPr>
          <w:rFonts w:ascii="Arial" w:hAnsi="Arial" w:cs="Arial"/>
        </w:rPr>
        <w:t>.</w:t>
      </w:r>
    </w:p>
    <w:p w14:paraId="549D11FC" w14:textId="2E5E7625" w:rsidR="008444FC" w:rsidRPr="00AE614A" w:rsidRDefault="005D26E8" w:rsidP="00AE614A">
      <w:pPr>
        <w:pStyle w:val="ListParagraph"/>
        <w:numPr>
          <w:ilvl w:val="0"/>
          <w:numId w:val="16"/>
        </w:numPr>
        <w:spacing w:after="120"/>
        <w:ind w:left="1077"/>
        <w:contextualSpacing w:val="0"/>
        <w:rPr>
          <w:rFonts w:ascii="Arial" w:hAnsi="Arial" w:cs="Arial"/>
        </w:rPr>
      </w:pPr>
      <w:r w:rsidRPr="00AE614A">
        <w:rPr>
          <w:rFonts w:ascii="Arial" w:hAnsi="Arial" w:cs="Arial"/>
        </w:rPr>
        <w:t>MID’s management and supervision capacity strengthened.</w:t>
      </w:r>
    </w:p>
    <w:p w14:paraId="23A80C43" w14:textId="1F7CB481" w:rsidR="00B63DE6" w:rsidRPr="00AE614A" w:rsidRDefault="00B63DE6" w:rsidP="00AE614A">
      <w:pPr>
        <w:spacing w:after="120"/>
        <w:rPr>
          <w:rFonts w:ascii="Arial" w:hAnsi="Arial" w:cs="Arial"/>
          <w:bCs/>
        </w:rPr>
      </w:pPr>
      <w:r w:rsidRPr="00AE614A">
        <w:rPr>
          <w:rFonts w:ascii="Arial" w:hAnsi="Arial" w:cs="Arial"/>
          <w:bCs/>
        </w:rPr>
        <w:t xml:space="preserve">In early 2022, MID and development partners agreed to undertake a review (the Review) of the approach to infrastructure maintenance implemented under STIIP through the NTF. The review team was tasked </w:t>
      </w:r>
      <w:r w:rsidR="005F2276">
        <w:rPr>
          <w:rFonts w:ascii="Arial" w:hAnsi="Arial" w:cs="Arial"/>
          <w:bCs/>
        </w:rPr>
        <w:t>to</w:t>
      </w:r>
      <w:r w:rsidRPr="00AE614A">
        <w:rPr>
          <w:rFonts w:ascii="Arial" w:hAnsi="Arial" w:cs="Arial"/>
          <w:bCs/>
        </w:rPr>
        <w:t xml:space="preserve">: </w:t>
      </w:r>
    </w:p>
    <w:p w14:paraId="00EB3ACA" w14:textId="3F6F01C4" w:rsidR="00B63DE6" w:rsidRPr="00AE614A" w:rsidRDefault="00B63DE6" w:rsidP="00AE614A">
      <w:pPr>
        <w:pStyle w:val="ListParagraph"/>
        <w:numPr>
          <w:ilvl w:val="0"/>
          <w:numId w:val="12"/>
        </w:numPr>
        <w:spacing w:after="120"/>
        <w:contextualSpacing w:val="0"/>
        <w:rPr>
          <w:rFonts w:ascii="Arial" w:hAnsi="Arial" w:cs="Arial"/>
          <w:bCs/>
        </w:rPr>
      </w:pPr>
      <w:r w:rsidRPr="00AE614A">
        <w:rPr>
          <w:rFonts w:ascii="Arial" w:hAnsi="Arial" w:cs="Arial"/>
          <w:bCs/>
        </w:rPr>
        <w:t xml:space="preserve">assess the extent to which </w:t>
      </w:r>
      <w:r w:rsidR="007E6E74" w:rsidRPr="00AE614A">
        <w:rPr>
          <w:rFonts w:ascii="Arial" w:hAnsi="Arial" w:cs="Arial"/>
          <w:bCs/>
        </w:rPr>
        <w:t>the STIIP</w:t>
      </w:r>
      <w:r w:rsidRPr="00AE614A">
        <w:rPr>
          <w:rFonts w:ascii="Arial" w:hAnsi="Arial" w:cs="Arial"/>
          <w:bCs/>
        </w:rPr>
        <w:t xml:space="preserve"> </w:t>
      </w:r>
      <w:r w:rsidR="0087424E" w:rsidRPr="00AE614A">
        <w:rPr>
          <w:rFonts w:ascii="Arial" w:hAnsi="Arial" w:cs="Arial"/>
          <w:bCs/>
        </w:rPr>
        <w:t>goal</w:t>
      </w:r>
      <w:r w:rsidRPr="00AE614A">
        <w:rPr>
          <w:rFonts w:ascii="Arial" w:hAnsi="Arial" w:cs="Arial"/>
          <w:bCs/>
        </w:rPr>
        <w:t xml:space="preserve"> </w:t>
      </w:r>
      <w:r w:rsidR="0087424E" w:rsidRPr="00AE614A">
        <w:rPr>
          <w:rFonts w:ascii="Arial" w:hAnsi="Arial" w:cs="Arial"/>
          <w:bCs/>
        </w:rPr>
        <w:t xml:space="preserve">and </w:t>
      </w:r>
      <w:r w:rsidR="007E6E74" w:rsidRPr="00AE614A">
        <w:rPr>
          <w:rFonts w:ascii="Arial" w:hAnsi="Arial" w:cs="Arial"/>
          <w:bCs/>
        </w:rPr>
        <w:t xml:space="preserve">outcomes </w:t>
      </w:r>
      <w:r w:rsidR="0087424E" w:rsidRPr="00AE614A">
        <w:rPr>
          <w:rFonts w:ascii="Arial" w:hAnsi="Arial" w:cs="Arial"/>
          <w:bCs/>
        </w:rPr>
        <w:t>were</w:t>
      </w:r>
      <w:r w:rsidRPr="00AE614A">
        <w:rPr>
          <w:rFonts w:ascii="Arial" w:hAnsi="Arial" w:cs="Arial"/>
          <w:bCs/>
        </w:rPr>
        <w:t xml:space="preserve"> achieved</w:t>
      </w:r>
      <w:r w:rsidR="005F2276">
        <w:rPr>
          <w:rFonts w:ascii="Arial" w:hAnsi="Arial" w:cs="Arial"/>
          <w:bCs/>
        </w:rPr>
        <w:t>.</w:t>
      </w:r>
      <w:r w:rsidRPr="00AE614A">
        <w:rPr>
          <w:rFonts w:ascii="Arial" w:hAnsi="Arial" w:cs="Arial"/>
          <w:bCs/>
        </w:rPr>
        <w:t xml:space="preserve"> </w:t>
      </w:r>
    </w:p>
    <w:p w14:paraId="01701EDE" w14:textId="2BD959E6" w:rsidR="00B63DE6" w:rsidRPr="00AE614A" w:rsidRDefault="00B63DE6" w:rsidP="00AE614A">
      <w:pPr>
        <w:pStyle w:val="ListParagraph"/>
        <w:numPr>
          <w:ilvl w:val="0"/>
          <w:numId w:val="12"/>
        </w:numPr>
        <w:spacing w:after="120"/>
        <w:contextualSpacing w:val="0"/>
        <w:rPr>
          <w:rFonts w:ascii="Arial" w:hAnsi="Arial" w:cs="Arial"/>
          <w:bCs/>
        </w:rPr>
      </w:pPr>
      <w:r w:rsidRPr="00AE614A">
        <w:rPr>
          <w:rFonts w:ascii="Arial" w:hAnsi="Arial" w:cs="Arial"/>
          <w:bCs/>
        </w:rPr>
        <w:t>identify NTF system improvements attributed to STIIP</w:t>
      </w:r>
      <w:r w:rsidR="009F5D33" w:rsidRPr="00AE614A">
        <w:rPr>
          <w:rFonts w:ascii="Arial" w:hAnsi="Arial" w:cs="Arial"/>
          <w:bCs/>
        </w:rPr>
        <w:t xml:space="preserve">, and constraints that </w:t>
      </w:r>
      <w:r w:rsidR="005927EC" w:rsidRPr="00AE614A">
        <w:rPr>
          <w:rFonts w:ascii="Arial" w:hAnsi="Arial" w:cs="Arial"/>
          <w:bCs/>
        </w:rPr>
        <w:t>impacted the performance of STIIP</w:t>
      </w:r>
      <w:r w:rsidR="005F2276">
        <w:rPr>
          <w:rFonts w:ascii="Arial" w:hAnsi="Arial" w:cs="Arial"/>
          <w:bCs/>
        </w:rPr>
        <w:t>.</w:t>
      </w:r>
      <w:r w:rsidRPr="00AE614A">
        <w:rPr>
          <w:rFonts w:ascii="Arial" w:hAnsi="Arial" w:cs="Arial"/>
          <w:bCs/>
        </w:rPr>
        <w:t xml:space="preserve"> </w:t>
      </w:r>
    </w:p>
    <w:p w14:paraId="455CE95D" w14:textId="51DB1E7C" w:rsidR="00B63DE6" w:rsidRPr="00AE614A" w:rsidRDefault="005F2276" w:rsidP="00AE614A">
      <w:pPr>
        <w:pStyle w:val="ListParagraph"/>
        <w:numPr>
          <w:ilvl w:val="0"/>
          <w:numId w:val="12"/>
        </w:numPr>
        <w:spacing w:after="120"/>
        <w:contextualSpacing w:val="0"/>
        <w:rPr>
          <w:rFonts w:ascii="Arial" w:hAnsi="Arial" w:cs="Arial"/>
          <w:bCs/>
        </w:rPr>
      </w:pPr>
      <w:r>
        <w:rPr>
          <w:rFonts w:ascii="Arial" w:hAnsi="Arial" w:cs="Arial"/>
          <w:bCs/>
        </w:rPr>
        <w:t>identify lessons learned</w:t>
      </w:r>
      <w:r w:rsidR="00B63DE6" w:rsidRPr="00AE614A">
        <w:rPr>
          <w:rFonts w:ascii="Arial" w:hAnsi="Arial" w:cs="Arial"/>
          <w:bCs/>
        </w:rPr>
        <w:t xml:space="preserve"> for </w:t>
      </w:r>
      <w:r w:rsidR="00D33DF9" w:rsidRPr="00AE614A">
        <w:rPr>
          <w:rFonts w:ascii="Arial" w:hAnsi="Arial" w:cs="Arial"/>
          <w:bCs/>
        </w:rPr>
        <w:t xml:space="preserve">improved performance of the NTF for consideration by </w:t>
      </w:r>
      <w:r w:rsidR="007E1934" w:rsidRPr="00AE614A">
        <w:rPr>
          <w:rFonts w:ascii="Arial" w:hAnsi="Arial" w:cs="Arial"/>
          <w:bCs/>
        </w:rPr>
        <w:t>SIG</w:t>
      </w:r>
      <w:r w:rsidR="00165CDE">
        <w:rPr>
          <w:rFonts w:ascii="Arial" w:hAnsi="Arial" w:cs="Arial"/>
          <w:bCs/>
        </w:rPr>
        <w:t xml:space="preserve"> and development partners</w:t>
      </w:r>
      <w:r w:rsidR="00B63DE6" w:rsidRPr="00AE614A">
        <w:rPr>
          <w:rFonts w:ascii="Arial" w:hAnsi="Arial" w:cs="Arial"/>
          <w:bCs/>
        </w:rPr>
        <w:t xml:space="preserve">. </w:t>
      </w:r>
    </w:p>
    <w:p w14:paraId="18716FE7" w14:textId="77777777" w:rsidR="00B63DE6" w:rsidRPr="00AE614A" w:rsidRDefault="00B63DE6" w:rsidP="00AE614A">
      <w:pPr>
        <w:spacing w:after="120"/>
        <w:rPr>
          <w:rFonts w:ascii="Arial" w:hAnsi="Arial" w:cs="Arial"/>
          <w:b/>
        </w:rPr>
      </w:pPr>
    </w:p>
    <w:p w14:paraId="19843D9B" w14:textId="77777777" w:rsidR="00F41283" w:rsidRDefault="00F41283">
      <w:pPr>
        <w:spacing w:line="259" w:lineRule="auto"/>
        <w:jc w:val="left"/>
        <w:rPr>
          <w:rFonts w:ascii="Arial" w:hAnsi="Arial" w:cs="Arial"/>
          <w:b/>
        </w:rPr>
      </w:pPr>
      <w:r>
        <w:rPr>
          <w:rFonts w:ascii="Arial" w:hAnsi="Arial" w:cs="Arial"/>
          <w:b/>
        </w:rPr>
        <w:br w:type="page"/>
      </w:r>
    </w:p>
    <w:p w14:paraId="52DEAB10" w14:textId="6461DDBB" w:rsidR="00B63DE6" w:rsidRPr="00AE614A" w:rsidRDefault="00B63DE6" w:rsidP="00AE614A">
      <w:pPr>
        <w:spacing w:after="120"/>
        <w:rPr>
          <w:rFonts w:ascii="Arial" w:hAnsi="Arial" w:cs="Arial"/>
          <w:b/>
        </w:rPr>
      </w:pPr>
      <w:r w:rsidRPr="00AE614A">
        <w:rPr>
          <w:rFonts w:ascii="Arial" w:hAnsi="Arial" w:cs="Arial"/>
          <w:b/>
        </w:rPr>
        <w:lastRenderedPageBreak/>
        <w:t>Key Findings of the Review</w:t>
      </w:r>
    </w:p>
    <w:p w14:paraId="30DBA7A9" w14:textId="77777777" w:rsidR="00CE7BD4" w:rsidRPr="00AE614A" w:rsidRDefault="00CE7BD4" w:rsidP="00AE614A">
      <w:pPr>
        <w:spacing w:after="120"/>
        <w:rPr>
          <w:rFonts w:ascii="Arial" w:hAnsi="Arial" w:cs="Arial"/>
          <w:bCs/>
        </w:rPr>
      </w:pPr>
    </w:p>
    <w:p w14:paraId="70082625" w14:textId="69060F7B" w:rsidR="00B63DE6" w:rsidRPr="00AE614A" w:rsidRDefault="002638A6" w:rsidP="00AE614A">
      <w:pPr>
        <w:spacing w:after="120"/>
        <w:rPr>
          <w:rFonts w:ascii="Arial" w:hAnsi="Arial" w:cs="Arial"/>
        </w:rPr>
      </w:pPr>
      <w:r w:rsidRPr="00AE614A">
        <w:rPr>
          <w:rFonts w:ascii="Arial" w:hAnsi="Arial" w:cs="Arial"/>
          <w:b/>
          <w:bCs/>
        </w:rPr>
        <w:t>Outcome</w:t>
      </w:r>
      <w:r w:rsidR="00B63DE6" w:rsidRPr="00AE614A">
        <w:rPr>
          <w:rFonts w:ascii="Arial" w:hAnsi="Arial" w:cs="Arial"/>
          <w:b/>
          <w:bCs/>
        </w:rPr>
        <w:t xml:space="preserve"> 1: </w:t>
      </w:r>
      <w:r w:rsidRPr="00AE614A">
        <w:rPr>
          <w:rFonts w:ascii="Arial" w:hAnsi="Arial" w:cs="Arial"/>
          <w:b/>
          <w:bCs/>
        </w:rPr>
        <w:t>Transport infrastructure rehabilitated and maintained with access for all users, with safety, gender responsiveness, and climate and disaster resilience improved</w:t>
      </w:r>
    </w:p>
    <w:p w14:paraId="3ED88F35" w14:textId="0DF9197D" w:rsidR="00F212D7" w:rsidRDefault="00A313D0" w:rsidP="00AE614A">
      <w:pPr>
        <w:pStyle w:val="ADBPara"/>
        <w:numPr>
          <w:ilvl w:val="0"/>
          <w:numId w:val="0"/>
        </w:numPr>
        <w:spacing w:before="0"/>
        <w:rPr>
          <w:rFonts w:cs="Arial"/>
          <w:szCs w:val="22"/>
        </w:rPr>
      </w:pPr>
      <w:r w:rsidRPr="00AE614A">
        <w:rPr>
          <w:rFonts w:cs="Arial"/>
          <w:szCs w:val="22"/>
        </w:rPr>
        <w:t xml:space="preserve">Two of five performance indicators for this </w:t>
      </w:r>
      <w:r w:rsidR="00D010C7" w:rsidRPr="00AE614A">
        <w:rPr>
          <w:rFonts w:cs="Arial"/>
          <w:szCs w:val="22"/>
        </w:rPr>
        <w:t xml:space="preserve">outcome were met. </w:t>
      </w:r>
      <w:r w:rsidR="00F212D7" w:rsidRPr="00AE614A">
        <w:rPr>
          <w:rFonts w:cs="Arial"/>
          <w:szCs w:val="22"/>
        </w:rPr>
        <w:t xml:space="preserve">The length of unsealed and sealed roads maintained </w:t>
      </w:r>
      <w:r w:rsidR="00F00DC1" w:rsidRPr="00AE614A">
        <w:rPr>
          <w:rFonts w:cs="Arial"/>
          <w:szCs w:val="22"/>
        </w:rPr>
        <w:t>or</w:t>
      </w:r>
      <w:r w:rsidR="00F212D7" w:rsidRPr="00AE614A">
        <w:rPr>
          <w:rFonts w:cs="Arial"/>
          <w:szCs w:val="22"/>
        </w:rPr>
        <w:t xml:space="preserve"> rehabilitated </w:t>
      </w:r>
      <w:r w:rsidR="00F00DC1" w:rsidRPr="00AE614A">
        <w:rPr>
          <w:rFonts w:cs="Arial"/>
          <w:szCs w:val="22"/>
        </w:rPr>
        <w:t xml:space="preserve">under STIIP was </w:t>
      </w:r>
      <w:r w:rsidR="00F212D7" w:rsidRPr="00AE614A">
        <w:rPr>
          <w:rFonts w:cs="Arial"/>
          <w:szCs w:val="22"/>
        </w:rPr>
        <w:t xml:space="preserve">693km and 156km respectively. </w:t>
      </w:r>
      <w:r w:rsidR="00F00DC1" w:rsidRPr="00AE614A">
        <w:rPr>
          <w:rFonts w:cs="Arial"/>
          <w:szCs w:val="22"/>
        </w:rPr>
        <w:t xml:space="preserve">This exceeded the target, albeit late. </w:t>
      </w:r>
      <w:r w:rsidR="00CA6983" w:rsidRPr="00AE614A">
        <w:rPr>
          <w:rFonts w:cs="Arial"/>
          <w:szCs w:val="22"/>
        </w:rPr>
        <w:t xml:space="preserve">Funding constraints meant the length of unsealed roads upgraded from unsealed to sealed was 4.1km against the target 30km. </w:t>
      </w:r>
      <w:r w:rsidR="00F212D7" w:rsidRPr="00AE614A">
        <w:rPr>
          <w:rFonts w:cs="Arial"/>
          <w:szCs w:val="22"/>
        </w:rPr>
        <w:t>Only 36 bridges were actively maintained against the target of 130 by 2020. Only 15 wharves of the target 33 were maintained in 2020. During implementation funds were not available within NTF to maintain the bridges and wharves (to the target level)</w:t>
      </w:r>
      <w:r w:rsidR="005B27D2" w:rsidRPr="00AE614A">
        <w:rPr>
          <w:rFonts w:cs="Arial"/>
          <w:szCs w:val="22"/>
        </w:rPr>
        <w:t xml:space="preserve"> as the Government prioritised roads</w:t>
      </w:r>
      <w:r w:rsidR="00F212D7" w:rsidRPr="00AE614A">
        <w:rPr>
          <w:rFonts w:cs="Arial"/>
          <w:szCs w:val="22"/>
        </w:rPr>
        <w:t>. Funding constraints also explain why no wharves were reconstructed against the target of four by 2020. Six gender-responsive facilities were constructed by December 2021</w:t>
      </w:r>
      <w:r w:rsidR="00EE047A" w:rsidRPr="00AE614A">
        <w:rPr>
          <w:rFonts w:cs="Arial"/>
          <w:szCs w:val="22"/>
        </w:rPr>
        <w:t>,</w:t>
      </w:r>
      <w:r w:rsidR="00F212D7" w:rsidRPr="00AE614A">
        <w:rPr>
          <w:rFonts w:cs="Arial"/>
          <w:szCs w:val="22"/>
        </w:rPr>
        <w:t xml:space="preserve"> later than the 2019 target. None of the targeted 10 traffic calming and/or signage measures were implemente</w:t>
      </w:r>
      <w:r w:rsidR="00EE047A" w:rsidRPr="00AE614A">
        <w:rPr>
          <w:rFonts w:cs="Arial"/>
          <w:szCs w:val="22"/>
        </w:rPr>
        <w:t>d as planned.</w:t>
      </w:r>
    </w:p>
    <w:p w14:paraId="00E94708" w14:textId="77777777" w:rsidR="00407419" w:rsidRPr="00AE614A" w:rsidRDefault="00407419" w:rsidP="00AE614A">
      <w:pPr>
        <w:pStyle w:val="ADBPara"/>
        <w:numPr>
          <w:ilvl w:val="0"/>
          <w:numId w:val="0"/>
        </w:numPr>
        <w:spacing w:before="0"/>
        <w:rPr>
          <w:rFonts w:cs="Arial"/>
          <w:szCs w:val="22"/>
        </w:rPr>
      </w:pPr>
    </w:p>
    <w:p w14:paraId="5F45B3B4" w14:textId="01F2133C" w:rsidR="009638E9" w:rsidRPr="00AE614A" w:rsidRDefault="008C021A" w:rsidP="00AE614A">
      <w:pPr>
        <w:pStyle w:val="ADBPara"/>
        <w:numPr>
          <w:ilvl w:val="0"/>
          <w:numId w:val="0"/>
        </w:numPr>
        <w:spacing w:before="0"/>
        <w:rPr>
          <w:rFonts w:cs="Arial"/>
          <w:i/>
          <w:iCs/>
          <w:szCs w:val="22"/>
          <w:u w:val="single"/>
        </w:rPr>
      </w:pPr>
      <w:r w:rsidRPr="00AE614A">
        <w:rPr>
          <w:rFonts w:cs="Arial"/>
          <w:i/>
          <w:iCs/>
          <w:szCs w:val="22"/>
          <w:u w:val="single"/>
        </w:rPr>
        <w:t>Contract management</w:t>
      </w:r>
    </w:p>
    <w:p w14:paraId="6D715871" w14:textId="6F0FC0E2" w:rsidR="00611E8B" w:rsidRPr="00AE614A" w:rsidRDefault="00611E8B" w:rsidP="00611E8B">
      <w:pPr>
        <w:autoSpaceDE w:val="0"/>
        <w:autoSpaceDN w:val="0"/>
        <w:adjustRightInd w:val="0"/>
        <w:spacing w:after="120"/>
        <w:jc w:val="left"/>
        <w:rPr>
          <w:rFonts w:ascii="Arial" w:hAnsi="Arial" w:cs="Arial"/>
          <w:lang w:val="en-AU"/>
        </w:rPr>
      </w:pPr>
      <w:bookmarkStart w:id="0" w:name="_Hlk122336231"/>
      <w:r w:rsidRPr="00AE614A">
        <w:rPr>
          <w:rFonts w:ascii="Arial" w:hAnsi="Arial" w:cs="Arial"/>
          <w:lang w:val="en-AU"/>
        </w:rPr>
        <w:t xml:space="preserve">A total of </w:t>
      </w:r>
      <w:r w:rsidR="00A02A6A">
        <w:rPr>
          <w:rFonts w:ascii="Arial" w:hAnsi="Arial" w:cs="Arial"/>
          <w:lang w:val="en-AU"/>
        </w:rPr>
        <w:t>135</w:t>
      </w:r>
      <w:r w:rsidRPr="00AE614A">
        <w:rPr>
          <w:rFonts w:ascii="Arial" w:hAnsi="Arial" w:cs="Arial"/>
          <w:lang w:val="en-AU"/>
        </w:rPr>
        <w:t xml:space="preserve"> </w:t>
      </w:r>
      <w:r w:rsidR="00A02A6A">
        <w:rPr>
          <w:rFonts w:ascii="Arial" w:hAnsi="Arial" w:cs="Arial"/>
          <w:lang w:val="en-AU"/>
        </w:rPr>
        <w:t xml:space="preserve">projects </w:t>
      </w:r>
      <w:r w:rsidRPr="00AE614A">
        <w:rPr>
          <w:rFonts w:ascii="Arial" w:hAnsi="Arial" w:cs="Arial"/>
          <w:lang w:val="en-AU"/>
        </w:rPr>
        <w:t>were procured with NTF funding under STIIP between 2016 and 2022, with a total value of SBD</w:t>
      </w:r>
      <w:r w:rsidR="004C2D1B">
        <w:rPr>
          <w:rFonts w:ascii="Arial" w:hAnsi="Arial" w:cs="Arial"/>
          <w:lang w:val="en-AU"/>
        </w:rPr>
        <w:t>612</w:t>
      </w:r>
      <w:r w:rsidRPr="00AE614A">
        <w:rPr>
          <w:rFonts w:ascii="Arial" w:hAnsi="Arial" w:cs="Arial"/>
          <w:lang w:val="en-AU"/>
        </w:rPr>
        <w:t xml:space="preserve"> million (AUD1</w:t>
      </w:r>
      <w:r w:rsidR="004C2D1B">
        <w:rPr>
          <w:rFonts w:ascii="Arial" w:hAnsi="Arial" w:cs="Arial"/>
          <w:lang w:val="en-AU"/>
        </w:rPr>
        <w:t>11</w:t>
      </w:r>
      <w:r w:rsidRPr="00AE614A">
        <w:rPr>
          <w:rFonts w:ascii="Arial" w:hAnsi="Arial" w:cs="Arial"/>
          <w:lang w:val="en-AU"/>
        </w:rPr>
        <w:t xml:space="preserve"> million). </w:t>
      </w:r>
      <w:r w:rsidR="004C2D1B">
        <w:rPr>
          <w:rFonts w:ascii="Arial" w:hAnsi="Arial" w:cs="Arial"/>
          <w:lang w:val="en-AU"/>
        </w:rPr>
        <w:t>T</w:t>
      </w:r>
      <w:r w:rsidR="005F2276">
        <w:rPr>
          <w:rFonts w:ascii="Arial" w:hAnsi="Arial" w:cs="Arial"/>
          <w:lang w:val="en-AU"/>
        </w:rPr>
        <w:t>he total</w:t>
      </w:r>
      <w:r w:rsidRPr="00AE614A">
        <w:rPr>
          <w:rFonts w:ascii="Arial" w:hAnsi="Arial" w:cs="Arial"/>
        </w:rPr>
        <w:t xml:space="preserve"> actual funding </w:t>
      </w:r>
      <w:r w:rsidR="00A02A6A">
        <w:rPr>
          <w:rFonts w:ascii="Arial" w:hAnsi="Arial" w:cs="Arial"/>
        </w:rPr>
        <w:t>available in</w:t>
      </w:r>
      <w:r w:rsidRPr="00AE614A">
        <w:rPr>
          <w:rFonts w:ascii="Arial" w:hAnsi="Arial" w:cs="Arial"/>
        </w:rPr>
        <w:t xml:space="preserve"> the NTF </w:t>
      </w:r>
      <w:r w:rsidR="004C2D1B">
        <w:rPr>
          <w:rFonts w:ascii="Arial" w:hAnsi="Arial" w:cs="Arial"/>
        </w:rPr>
        <w:t>as at 30 June 2022</w:t>
      </w:r>
      <w:r w:rsidRPr="00AE614A">
        <w:rPr>
          <w:rFonts w:ascii="Arial" w:hAnsi="Arial" w:cs="Arial"/>
        </w:rPr>
        <w:t xml:space="preserve"> </w:t>
      </w:r>
      <w:r w:rsidR="004C2D1B">
        <w:rPr>
          <w:rFonts w:ascii="Arial" w:hAnsi="Arial" w:cs="Arial"/>
        </w:rPr>
        <w:t xml:space="preserve">was </w:t>
      </w:r>
      <w:r w:rsidRPr="00AE614A">
        <w:rPr>
          <w:rFonts w:ascii="Arial" w:hAnsi="Arial" w:cs="Arial"/>
        </w:rPr>
        <w:t>SBD</w:t>
      </w:r>
      <w:r w:rsidR="004C2D1B">
        <w:rPr>
          <w:rFonts w:ascii="Arial" w:hAnsi="Arial" w:cs="Arial"/>
        </w:rPr>
        <w:t>609.7</w:t>
      </w:r>
      <w:r w:rsidRPr="00AE614A">
        <w:rPr>
          <w:rFonts w:ascii="Arial" w:hAnsi="Arial" w:cs="Arial"/>
        </w:rPr>
        <w:t xml:space="preserve"> million</w:t>
      </w:r>
      <w:r w:rsidR="004C2D1B">
        <w:rPr>
          <w:rStyle w:val="FootnoteReference"/>
          <w:rFonts w:ascii="Arial" w:hAnsi="Arial" w:cs="Arial"/>
        </w:rPr>
        <w:footnoteReference w:id="1"/>
      </w:r>
      <w:r w:rsidR="004C2D1B">
        <w:rPr>
          <w:rFonts w:ascii="Arial" w:hAnsi="Arial" w:cs="Arial"/>
        </w:rPr>
        <w:t xml:space="preserve"> (including </w:t>
      </w:r>
      <w:r w:rsidR="004C2D1B" w:rsidRPr="00A02A6A">
        <w:rPr>
          <w:rFonts w:ascii="Arial" w:hAnsi="Arial" w:cs="Arial"/>
        </w:rPr>
        <w:t xml:space="preserve">SBD91.1 million </w:t>
      </w:r>
      <w:r w:rsidR="004C2D1B">
        <w:rPr>
          <w:rFonts w:ascii="Arial" w:hAnsi="Arial" w:cs="Arial"/>
        </w:rPr>
        <w:t xml:space="preserve">carried forward </w:t>
      </w:r>
      <w:r w:rsidR="004C2D1B" w:rsidRPr="00A02A6A">
        <w:rPr>
          <w:rFonts w:ascii="Arial" w:hAnsi="Arial" w:cs="Arial"/>
        </w:rPr>
        <w:t>from TSDP</w:t>
      </w:r>
      <w:r w:rsidR="004C2D1B">
        <w:rPr>
          <w:rFonts w:ascii="Arial" w:hAnsi="Arial" w:cs="Arial"/>
        </w:rPr>
        <w:t>)</w:t>
      </w:r>
      <w:r w:rsidRPr="00AE614A">
        <w:rPr>
          <w:rFonts w:ascii="Arial" w:hAnsi="Arial" w:cs="Arial"/>
        </w:rPr>
        <w:t xml:space="preserve">. </w:t>
      </w:r>
      <w:r w:rsidR="004C2D1B">
        <w:rPr>
          <w:rFonts w:ascii="Arial" w:hAnsi="Arial" w:cs="Arial"/>
        </w:rPr>
        <w:t>Total disbursements under STIIP amounted to SBD532 million</w:t>
      </w:r>
      <w:r w:rsidR="00E93F6F">
        <w:rPr>
          <w:rStyle w:val="FootnoteReference"/>
          <w:rFonts w:ascii="Arial" w:hAnsi="Arial" w:cs="Arial"/>
        </w:rPr>
        <w:footnoteReference w:id="2"/>
      </w:r>
      <w:r w:rsidR="004C2D1B">
        <w:rPr>
          <w:rFonts w:ascii="Arial" w:hAnsi="Arial" w:cs="Arial"/>
        </w:rPr>
        <w:t xml:space="preserve">. </w:t>
      </w:r>
      <w:r w:rsidRPr="00AE614A">
        <w:rPr>
          <w:rFonts w:ascii="Arial" w:hAnsi="Arial" w:cs="Arial"/>
        </w:rPr>
        <w:t xml:space="preserve">SIG contributed </w:t>
      </w:r>
      <w:r w:rsidR="00B34508">
        <w:rPr>
          <w:rFonts w:ascii="Arial" w:hAnsi="Arial" w:cs="Arial"/>
        </w:rPr>
        <w:t xml:space="preserve">SBD258.5 million </w:t>
      </w:r>
      <w:r w:rsidRPr="00AE614A">
        <w:rPr>
          <w:rFonts w:ascii="Arial" w:hAnsi="Arial" w:cs="Arial"/>
          <w:lang w:val="en-AU"/>
        </w:rPr>
        <w:t>(AUD</w:t>
      </w:r>
      <w:r w:rsidR="00B34508">
        <w:rPr>
          <w:rFonts w:ascii="Arial" w:hAnsi="Arial" w:cs="Arial"/>
          <w:lang w:val="en-AU"/>
        </w:rPr>
        <w:t>47</w:t>
      </w:r>
      <w:r w:rsidRPr="00AE614A">
        <w:rPr>
          <w:rFonts w:ascii="Arial" w:hAnsi="Arial" w:cs="Arial"/>
          <w:lang w:val="en-AU"/>
        </w:rPr>
        <w:t xml:space="preserve"> million), the ADB contributed </w:t>
      </w:r>
      <w:r w:rsidR="00B34508">
        <w:rPr>
          <w:rFonts w:ascii="Arial" w:hAnsi="Arial" w:cs="Arial"/>
          <w:lang w:val="en-AU"/>
        </w:rPr>
        <w:t>SBD164.5</w:t>
      </w:r>
      <w:r w:rsidRPr="00AE614A">
        <w:rPr>
          <w:rFonts w:ascii="Arial" w:hAnsi="Arial" w:cs="Arial"/>
          <w:lang w:val="en-AU"/>
        </w:rPr>
        <w:t xml:space="preserve"> million (AUD29.1 million), and GOA contributed </w:t>
      </w:r>
      <w:r w:rsidR="00B34508">
        <w:rPr>
          <w:rFonts w:ascii="Arial" w:hAnsi="Arial" w:cs="Arial"/>
          <w:lang w:val="en-AU"/>
        </w:rPr>
        <w:t>SBD109</w:t>
      </w:r>
      <w:r w:rsidRPr="00AE614A">
        <w:rPr>
          <w:rFonts w:ascii="Arial" w:hAnsi="Arial" w:cs="Arial"/>
          <w:lang w:val="en-AU"/>
        </w:rPr>
        <w:t xml:space="preserve"> million </w:t>
      </w:r>
      <w:r w:rsidR="00B34508">
        <w:rPr>
          <w:rFonts w:ascii="Arial" w:hAnsi="Arial" w:cs="Arial"/>
          <w:lang w:val="en-AU"/>
        </w:rPr>
        <w:t>(AUD19.7 million)</w:t>
      </w:r>
      <w:r w:rsidRPr="00AE614A">
        <w:rPr>
          <w:rStyle w:val="FootnoteReference"/>
          <w:rFonts w:ascii="Arial" w:hAnsi="Arial" w:cs="Arial"/>
          <w:lang w:val="en-AU"/>
        </w:rPr>
        <w:footnoteReference w:id="3"/>
      </w:r>
      <w:r w:rsidRPr="00AE614A">
        <w:rPr>
          <w:rFonts w:ascii="Arial" w:hAnsi="Arial" w:cs="Arial"/>
          <w:lang w:val="en-AU"/>
        </w:rPr>
        <w:t>.</w:t>
      </w:r>
      <w:r w:rsidR="004C2D1B">
        <w:rPr>
          <w:rFonts w:ascii="Arial" w:hAnsi="Arial" w:cs="Arial"/>
          <w:lang w:val="en-AU"/>
        </w:rPr>
        <w:t xml:space="preserve"> </w:t>
      </w:r>
    </w:p>
    <w:bookmarkEnd w:id="0"/>
    <w:p w14:paraId="305ADA71" w14:textId="5B51BE6C" w:rsidR="00611E8B" w:rsidRPr="00AE614A" w:rsidRDefault="00B34508" w:rsidP="00611E8B">
      <w:pPr>
        <w:autoSpaceDE w:val="0"/>
        <w:autoSpaceDN w:val="0"/>
        <w:adjustRightInd w:val="0"/>
        <w:spacing w:after="120"/>
        <w:jc w:val="left"/>
        <w:rPr>
          <w:rFonts w:ascii="Arial" w:hAnsi="Arial" w:cs="Arial"/>
        </w:rPr>
      </w:pPr>
      <w:r w:rsidRPr="00B34508">
        <w:rPr>
          <w:rFonts w:ascii="Arial" w:hAnsi="Arial" w:cs="Arial"/>
        </w:rPr>
        <w:t xml:space="preserve">The GOA contributions ceased in 2020 due to high levels of uncommitted funding in the NTF </w:t>
      </w:r>
      <w:r>
        <w:rPr>
          <w:rFonts w:ascii="Arial" w:hAnsi="Arial" w:cs="Arial"/>
        </w:rPr>
        <w:t>with</w:t>
      </w:r>
      <w:r w:rsidRPr="00B34508">
        <w:rPr>
          <w:rFonts w:ascii="Arial" w:hAnsi="Arial" w:cs="Arial"/>
        </w:rPr>
        <w:t xml:space="preserve"> only one year remaining on the program. </w:t>
      </w:r>
      <w:r w:rsidR="00611E8B" w:rsidRPr="00AE614A">
        <w:rPr>
          <w:rFonts w:ascii="Arial" w:hAnsi="Arial" w:cs="Arial"/>
        </w:rPr>
        <w:t xml:space="preserve">There were significant delays in delivering the works plan, in part due to a slow start-up and high turnover of consultants under the TA. </w:t>
      </w:r>
      <w:r w:rsidR="00611E8B" w:rsidRPr="00AE614A">
        <w:rPr>
          <w:rFonts w:ascii="Arial" w:hAnsi="Arial" w:cs="Arial"/>
          <w:lang w:val="en-AU"/>
        </w:rPr>
        <w:t>At program close, 2</w:t>
      </w:r>
      <w:r w:rsidR="00A02A6A">
        <w:rPr>
          <w:rFonts w:ascii="Arial" w:hAnsi="Arial" w:cs="Arial"/>
          <w:lang w:val="en-AU"/>
        </w:rPr>
        <w:t>9</w:t>
      </w:r>
      <w:r w:rsidR="00611E8B" w:rsidRPr="00AE614A">
        <w:rPr>
          <w:rFonts w:ascii="Arial" w:hAnsi="Arial" w:cs="Arial"/>
          <w:lang w:val="en-AU"/>
        </w:rPr>
        <w:t xml:space="preserve"> contracts were still active. </w:t>
      </w:r>
    </w:p>
    <w:p w14:paraId="2D185E34" w14:textId="7CA5B101" w:rsidR="00352AB7" w:rsidRPr="00AE614A" w:rsidRDefault="00F23811" w:rsidP="00AE614A">
      <w:pPr>
        <w:pStyle w:val="Default"/>
        <w:spacing w:after="120"/>
        <w:rPr>
          <w:rFonts w:ascii="Arial" w:hAnsi="Arial" w:cs="Arial"/>
          <w:sz w:val="22"/>
          <w:szCs w:val="22"/>
        </w:rPr>
      </w:pPr>
      <w:r w:rsidRPr="00AE614A">
        <w:rPr>
          <w:rFonts w:ascii="Arial" w:hAnsi="Arial" w:cs="Arial"/>
          <w:sz w:val="22"/>
          <w:szCs w:val="22"/>
        </w:rPr>
        <w:t xml:space="preserve">In summary, the contracted maintenance tasks did not deliver a serviceable year-round road condition level. </w:t>
      </w:r>
      <w:r w:rsidR="00352AB7" w:rsidRPr="00AE614A">
        <w:rPr>
          <w:rFonts w:ascii="Arial" w:hAnsi="Arial" w:cs="Arial"/>
          <w:sz w:val="22"/>
          <w:szCs w:val="22"/>
        </w:rPr>
        <w:t>Contract terms fixed the contractors to a prescribed work task list and set a regime involving frequency of task execution. Specifications called for maintenance task units only. Therefore, the contracted maintenance tasks did not and could not meet the actual maintenance needed, during the entire year, for the entire road length. The maintenance framework did not allow for peak increases or seasonal impacts on road sections and infrastructure – important considerations for drainage.</w:t>
      </w:r>
    </w:p>
    <w:p w14:paraId="7A929FF1" w14:textId="7A81132E" w:rsidR="00352AB7" w:rsidRPr="00AE614A" w:rsidRDefault="00352AB7" w:rsidP="00AE614A">
      <w:pPr>
        <w:pStyle w:val="Default"/>
        <w:spacing w:after="120"/>
        <w:rPr>
          <w:rFonts w:ascii="Arial" w:hAnsi="Arial" w:cs="Arial"/>
          <w:sz w:val="22"/>
          <w:szCs w:val="22"/>
        </w:rPr>
      </w:pPr>
      <w:r w:rsidRPr="00AE614A">
        <w:rPr>
          <w:rFonts w:ascii="Arial" w:hAnsi="Arial" w:cs="Arial"/>
          <w:sz w:val="22"/>
          <w:szCs w:val="22"/>
        </w:rPr>
        <w:t>No screening or pre-qualification of contractors was involved</w:t>
      </w:r>
      <w:r w:rsidR="00611E8B">
        <w:rPr>
          <w:rFonts w:ascii="Arial" w:hAnsi="Arial" w:cs="Arial"/>
          <w:sz w:val="22"/>
          <w:szCs w:val="22"/>
        </w:rPr>
        <w:t>,</w:t>
      </w:r>
      <w:r w:rsidRPr="00AE614A">
        <w:rPr>
          <w:rFonts w:ascii="Arial" w:hAnsi="Arial" w:cs="Arial"/>
          <w:sz w:val="22"/>
          <w:szCs w:val="22"/>
        </w:rPr>
        <w:t xml:space="preserve"> thus limiting the ability of the program to leave behind a small group of strong and capable road maintenance contractors. This appears to be an important value add opportunity lost over both TSDP and STIIP. </w:t>
      </w:r>
    </w:p>
    <w:p w14:paraId="69C8A3CC" w14:textId="77777777" w:rsidR="00407419" w:rsidRPr="00AE614A" w:rsidRDefault="00407419" w:rsidP="00AE614A">
      <w:pPr>
        <w:pStyle w:val="Default"/>
        <w:spacing w:after="120"/>
        <w:rPr>
          <w:rFonts w:ascii="Arial" w:hAnsi="Arial" w:cs="Arial"/>
          <w:sz w:val="22"/>
          <w:szCs w:val="22"/>
        </w:rPr>
      </w:pPr>
    </w:p>
    <w:p w14:paraId="13CD6D69" w14:textId="77777777" w:rsidR="00B34508" w:rsidRDefault="00B34508">
      <w:pPr>
        <w:spacing w:line="259" w:lineRule="auto"/>
        <w:jc w:val="left"/>
        <w:rPr>
          <w:rFonts w:ascii="Arial" w:eastAsia="Calibri" w:hAnsi="Arial" w:cs="Arial"/>
          <w:i/>
          <w:iCs/>
          <w:u w:val="single"/>
          <w:lang w:val="en-AU"/>
        </w:rPr>
      </w:pPr>
      <w:r>
        <w:rPr>
          <w:rFonts w:cs="Arial"/>
          <w:i/>
          <w:iCs/>
          <w:u w:val="single"/>
        </w:rPr>
        <w:br w:type="page"/>
      </w:r>
    </w:p>
    <w:p w14:paraId="7459C14E" w14:textId="6A031870" w:rsidR="008C7076" w:rsidRPr="00AE614A" w:rsidRDefault="008C7076" w:rsidP="00AE614A">
      <w:pPr>
        <w:pStyle w:val="ADBPara"/>
        <w:numPr>
          <w:ilvl w:val="0"/>
          <w:numId w:val="0"/>
        </w:numPr>
        <w:spacing w:before="0"/>
        <w:rPr>
          <w:rFonts w:cs="Arial"/>
          <w:i/>
          <w:iCs/>
          <w:szCs w:val="22"/>
          <w:u w:val="single"/>
        </w:rPr>
      </w:pPr>
      <w:r w:rsidRPr="00AE614A">
        <w:rPr>
          <w:rFonts w:cs="Arial"/>
          <w:i/>
          <w:iCs/>
          <w:szCs w:val="22"/>
          <w:u w:val="single"/>
        </w:rPr>
        <w:lastRenderedPageBreak/>
        <w:t>Safeguards</w:t>
      </w:r>
    </w:p>
    <w:p w14:paraId="68D3A3E8" w14:textId="3C680979" w:rsidR="00AA3B26" w:rsidRPr="00AE614A" w:rsidRDefault="005F2276" w:rsidP="00AA3B26">
      <w:pPr>
        <w:spacing w:after="120"/>
        <w:rPr>
          <w:rFonts w:ascii="Arial" w:hAnsi="Arial" w:cs="Arial"/>
        </w:rPr>
      </w:pPr>
      <w:r w:rsidRPr="00AE614A">
        <w:rPr>
          <w:rFonts w:ascii="Arial" w:hAnsi="Arial" w:cs="Arial"/>
        </w:rPr>
        <w:t>Most of</w:t>
      </w:r>
      <w:r w:rsidR="00AA3B26" w:rsidRPr="00AE614A">
        <w:rPr>
          <w:rFonts w:ascii="Arial" w:hAnsi="Arial" w:cs="Arial"/>
        </w:rPr>
        <w:t xml:space="preserve"> the </w:t>
      </w:r>
      <w:r>
        <w:rPr>
          <w:rFonts w:ascii="Arial" w:hAnsi="Arial" w:cs="Arial"/>
        </w:rPr>
        <w:t>135</w:t>
      </w:r>
      <w:r w:rsidR="00AA3B26">
        <w:rPr>
          <w:rFonts w:ascii="Arial" w:hAnsi="Arial" w:cs="Arial"/>
        </w:rPr>
        <w:t xml:space="preserve"> </w:t>
      </w:r>
      <w:r w:rsidR="00AA3B26" w:rsidRPr="00AE614A">
        <w:rPr>
          <w:rFonts w:ascii="Arial" w:hAnsi="Arial" w:cs="Arial"/>
        </w:rPr>
        <w:t xml:space="preserve">transport infrastructure projects procured through NTF under STIIP constituted road maintenance works. Only three involved significant rehabilitation or reconstruction activities. The environmental risks and impacts of the program were therefore low and manageable. </w:t>
      </w:r>
    </w:p>
    <w:p w14:paraId="67176016" w14:textId="77777777" w:rsidR="00A77F1A" w:rsidRPr="00AE614A" w:rsidRDefault="00CE7BD4" w:rsidP="00AE614A">
      <w:pPr>
        <w:pStyle w:val="ADBPara"/>
        <w:numPr>
          <w:ilvl w:val="0"/>
          <w:numId w:val="0"/>
        </w:numPr>
        <w:spacing w:before="0"/>
        <w:rPr>
          <w:rFonts w:cs="Arial"/>
          <w:szCs w:val="22"/>
        </w:rPr>
      </w:pPr>
      <w:r w:rsidRPr="00AE614A">
        <w:rPr>
          <w:rFonts w:cs="Arial"/>
          <w:szCs w:val="22"/>
        </w:rPr>
        <w:t xml:space="preserve">Through STIIP, MID engineers recognised the value to recruit community support and avoid environmental and social impacts. The grievance redress mechanism fostered improved working relationships between MID and target communities. The Safeguards Procedure Manual (SPM) was broadly considered an excellent tool to assist safeguards management by international partners and SIG. </w:t>
      </w:r>
    </w:p>
    <w:p w14:paraId="0F848E6A" w14:textId="721C1D2E" w:rsidR="004465AE" w:rsidRPr="00AE614A" w:rsidRDefault="00B90408" w:rsidP="00AE614A">
      <w:pPr>
        <w:pStyle w:val="ADBPara"/>
        <w:numPr>
          <w:ilvl w:val="0"/>
          <w:numId w:val="0"/>
        </w:numPr>
        <w:spacing w:before="0"/>
        <w:rPr>
          <w:rFonts w:cs="Arial"/>
          <w:szCs w:val="22"/>
        </w:rPr>
      </w:pPr>
      <w:r w:rsidRPr="00AE614A">
        <w:rPr>
          <w:rFonts w:cs="Arial"/>
          <w:szCs w:val="22"/>
        </w:rPr>
        <w:t>However, a persistent lack of coordination between the safeguards team and job managers (including procurement personnel) exacerbated non-conformance to safeguards procedures affecting environmental management.</w:t>
      </w:r>
      <w:r w:rsidR="00353455" w:rsidRPr="00AE614A">
        <w:rPr>
          <w:rFonts w:cs="Arial"/>
          <w:szCs w:val="22"/>
        </w:rPr>
        <w:t xml:space="preserve"> </w:t>
      </w:r>
      <w:r w:rsidR="00CE7BD4" w:rsidRPr="00AE614A">
        <w:rPr>
          <w:rFonts w:cs="Arial"/>
          <w:szCs w:val="22"/>
        </w:rPr>
        <w:t xml:space="preserve">The safeguards team was often not consulted during bid document preparation, and on occasion bid documents were released without the inclusion of safeguard requirements. Contracts were often executed with inappropriate safeguard conditions and/or inadequate budgets to service safeguards requirements. Frequently, construction commenced prior to the </w:t>
      </w:r>
      <w:r w:rsidR="005F2276">
        <w:rPr>
          <w:rFonts w:cs="Arial"/>
          <w:szCs w:val="22"/>
        </w:rPr>
        <w:t xml:space="preserve">preparation, review, and approval of </w:t>
      </w:r>
      <w:r w:rsidR="007A3FC2" w:rsidRPr="00AE614A">
        <w:rPr>
          <w:rFonts w:cs="Arial"/>
          <w:szCs w:val="22"/>
        </w:rPr>
        <w:t>construction environmental management plans (</w:t>
      </w:r>
      <w:r w:rsidR="00CE7BD4" w:rsidRPr="00AE614A">
        <w:rPr>
          <w:rFonts w:cs="Arial"/>
          <w:szCs w:val="22"/>
        </w:rPr>
        <w:t>CEMP</w:t>
      </w:r>
      <w:r w:rsidR="007A3FC2" w:rsidRPr="00AE614A">
        <w:rPr>
          <w:rFonts w:cs="Arial"/>
          <w:szCs w:val="22"/>
        </w:rPr>
        <w:t>)</w:t>
      </w:r>
      <w:r w:rsidR="00CE7BD4" w:rsidRPr="00AE614A">
        <w:rPr>
          <w:rFonts w:cs="Arial"/>
          <w:szCs w:val="22"/>
        </w:rPr>
        <w:t xml:space="preserve">. </w:t>
      </w:r>
    </w:p>
    <w:p w14:paraId="751BA314" w14:textId="2D6BE98E" w:rsidR="00A94294" w:rsidRPr="00AE614A" w:rsidRDefault="00A94294" w:rsidP="00AE614A">
      <w:pPr>
        <w:pStyle w:val="Default"/>
        <w:spacing w:after="120"/>
        <w:rPr>
          <w:rFonts w:ascii="Arial" w:hAnsi="Arial" w:cs="Arial"/>
          <w:sz w:val="22"/>
          <w:szCs w:val="22"/>
        </w:rPr>
      </w:pPr>
      <w:r w:rsidRPr="00AE614A">
        <w:rPr>
          <w:rFonts w:ascii="Arial" w:hAnsi="Arial" w:cs="Arial"/>
          <w:color w:val="auto"/>
          <w:sz w:val="22"/>
          <w:szCs w:val="22"/>
        </w:rPr>
        <w:t xml:space="preserve">Timely release of funds to pay invoices, and delayed contract variation approvals, were the most significant implementation constraints. </w:t>
      </w:r>
      <w:r w:rsidRPr="00AE614A">
        <w:rPr>
          <w:rFonts w:ascii="Arial" w:hAnsi="Arial" w:cs="Arial"/>
          <w:sz w:val="22"/>
          <w:szCs w:val="22"/>
        </w:rPr>
        <w:t xml:space="preserve">No imprest account was established to fund operational expenditure including </w:t>
      </w:r>
      <w:r w:rsidRPr="00AE614A" w:rsidDel="00E80CD6">
        <w:rPr>
          <w:rFonts w:ascii="Arial" w:hAnsi="Arial" w:cs="Arial"/>
          <w:sz w:val="22"/>
          <w:szCs w:val="22"/>
        </w:rPr>
        <w:t>travel</w:t>
      </w:r>
      <w:r w:rsidRPr="00AE614A">
        <w:rPr>
          <w:rFonts w:ascii="Arial" w:hAnsi="Arial" w:cs="Arial"/>
          <w:sz w:val="22"/>
          <w:szCs w:val="22"/>
        </w:rPr>
        <w:t xml:space="preserve"> and per diems for CPIU/MID resources for works scoping, safeguards management, works measurement and verification of contractor claims for payments. </w:t>
      </w:r>
      <w:r w:rsidRPr="00AE614A">
        <w:rPr>
          <w:rFonts w:ascii="Arial" w:hAnsi="Arial" w:cs="Arial"/>
          <w:color w:val="auto"/>
          <w:sz w:val="22"/>
          <w:szCs w:val="22"/>
        </w:rPr>
        <w:t xml:space="preserve">This constrained the supervision function and thereby negatively impacted the quality of works. It also led to </w:t>
      </w:r>
      <w:r w:rsidRPr="00AE614A">
        <w:rPr>
          <w:rFonts w:ascii="Arial" w:hAnsi="Arial" w:cs="Arial"/>
          <w:sz w:val="22"/>
          <w:szCs w:val="22"/>
        </w:rPr>
        <w:t xml:space="preserve">a concentration of activities on Guadalcanal as well as delays in project implementation and non-compliance with safeguards requirements. This impediment was first identified in a 2016 semi-annual monitoring </w:t>
      </w:r>
      <w:r w:rsidR="005F2276" w:rsidRPr="00AE614A">
        <w:rPr>
          <w:rFonts w:ascii="Arial" w:hAnsi="Arial" w:cs="Arial"/>
          <w:sz w:val="22"/>
          <w:szCs w:val="22"/>
        </w:rPr>
        <w:t>report,</w:t>
      </w:r>
      <w:r w:rsidRPr="00AE614A">
        <w:rPr>
          <w:rFonts w:ascii="Arial" w:hAnsi="Arial" w:cs="Arial"/>
          <w:sz w:val="22"/>
          <w:szCs w:val="22"/>
        </w:rPr>
        <w:t xml:space="preserve"> but no effective action was taken to remedy.</w:t>
      </w:r>
    </w:p>
    <w:p w14:paraId="35AE0661" w14:textId="77777777" w:rsidR="002E6318" w:rsidRPr="00AE614A" w:rsidRDefault="002E6318" w:rsidP="00AE614A">
      <w:pPr>
        <w:pStyle w:val="Default"/>
        <w:spacing w:after="120"/>
        <w:rPr>
          <w:rFonts w:ascii="Arial" w:hAnsi="Arial" w:cs="Arial"/>
          <w:sz w:val="22"/>
          <w:szCs w:val="22"/>
        </w:rPr>
      </w:pPr>
    </w:p>
    <w:p w14:paraId="79B254E8" w14:textId="08E57C0F" w:rsidR="006270AC" w:rsidRPr="00AE614A" w:rsidRDefault="006270AC" w:rsidP="00AE614A">
      <w:pPr>
        <w:pStyle w:val="ADBPara"/>
        <w:numPr>
          <w:ilvl w:val="0"/>
          <w:numId w:val="0"/>
        </w:numPr>
        <w:spacing w:before="0"/>
        <w:rPr>
          <w:rFonts w:cs="Arial"/>
          <w:i/>
          <w:iCs/>
          <w:szCs w:val="22"/>
          <w:u w:val="single"/>
        </w:rPr>
      </w:pPr>
      <w:r w:rsidRPr="00AE614A">
        <w:rPr>
          <w:rFonts w:cs="Arial"/>
          <w:i/>
          <w:iCs/>
          <w:szCs w:val="22"/>
          <w:u w:val="single"/>
        </w:rPr>
        <w:t>Climate</w:t>
      </w:r>
      <w:r w:rsidR="000C749C" w:rsidRPr="00AE614A">
        <w:rPr>
          <w:rFonts w:cs="Arial"/>
          <w:i/>
          <w:iCs/>
          <w:szCs w:val="22"/>
          <w:u w:val="single"/>
        </w:rPr>
        <w:t xml:space="preserve"> and disaster</w:t>
      </w:r>
      <w:r w:rsidRPr="00AE614A">
        <w:rPr>
          <w:rFonts w:cs="Arial"/>
          <w:i/>
          <w:iCs/>
          <w:szCs w:val="22"/>
          <w:u w:val="single"/>
        </w:rPr>
        <w:t xml:space="preserve"> resilience</w:t>
      </w:r>
    </w:p>
    <w:p w14:paraId="625B9008" w14:textId="64957255" w:rsidR="002E6318" w:rsidRPr="00AE614A" w:rsidRDefault="00425370" w:rsidP="00AE614A">
      <w:pPr>
        <w:pStyle w:val="ADBPara"/>
        <w:numPr>
          <w:ilvl w:val="0"/>
          <w:numId w:val="0"/>
        </w:numPr>
        <w:spacing w:before="0"/>
        <w:rPr>
          <w:rFonts w:cs="Arial"/>
          <w:szCs w:val="22"/>
        </w:rPr>
      </w:pPr>
      <w:r w:rsidRPr="00AE614A">
        <w:rPr>
          <w:rFonts w:cs="Arial"/>
          <w:szCs w:val="22"/>
        </w:rPr>
        <w:t>All NTF projects delivered under STIIP were screened for climate change risks. However, climate change adaptation issues were not specifically addressed in respect of road maintenance projects during STIIP, neither was this a requirement of the SPM. However, for the design of Tier 3 projects (new structures such as bridges, wharves and/or significant road rehabilitation projects), of which there were only three, the impacts of climate change and disaster resilience were addressed as part of the feasibility study designs.</w:t>
      </w:r>
      <w:r w:rsidRPr="00AE614A">
        <w:rPr>
          <w:rFonts w:cs="Arial"/>
          <w:szCs w:val="22"/>
          <w:vertAlign w:val="superscript"/>
        </w:rPr>
        <w:footnoteReference w:id="4"/>
      </w:r>
      <w:r w:rsidRPr="00AE614A">
        <w:rPr>
          <w:rFonts w:cs="Arial"/>
          <w:szCs w:val="22"/>
        </w:rPr>
        <w:t xml:space="preserve"> It is not clear the extent to which MID’s </w:t>
      </w:r>
      <w:r w:rsidRPr="00AE614A">
        <w:rPr>
          <w:rFonts w:cs="Arial"/>
          <w:i/>
          <w:iCs/>
          <w:szCs w:val="22"/>
        </w:rPr>
        <w:t>Climate Change Manual</w:t>
      </w:r>
      <w:r w:rsidRPr="00AE614A">
        <w:rPr>
          <w:rFonts w:cs="Arial"/>
          <w:szCs w:val="22"/>
        </w:rPr>
        <w:t xml:space="preserve"> was used during STIIP.</w:t>
      </w:r>
      <w:r w:rsidR="002E6318" w:rsidRPr="00AE614A">
        <w:rPr>
          <w:rFonts w:cs="Arial"/>
          <w:szCs w:val="22"/>
        </w:rPr>
        <w:t xml:space="preserve"> </w:t>
      </w:r>
      <w:r w:rsidR="00464512" w:rsidRPr="00AE614A">
        <w:rPr>
          <w:rFonts w:cs="Arial"/>
          <w:szCs w:val="22"/>
        </w:rPr>
        <w:t>Despite these challenges the CPIU safeguards team persisted to advance implementation as much as possible.</w:t>
      </w:r>
    </w:p>
    <w:p w14:paraId="451521DC" w14:textId="58A8E4BA" w:rsidR="00464512" w:rsidRPr="00AE614A" w:rsidRDefault="00464512" w:rsidP="00AE614A">
      <w:pPr>
        <w:pStyle w:val="ADBPara"/>
        <w:numPr>
          <w:ilvl w:val="0"/>
          <w:numId w:val="0"/>
        </w:numPr>
        <w:spacing w:before="0"/>
        <w:rPr>
          <w:rFonts w:cs="Arial"/>
          <w:szCs w:val="22"/>
        </w:rPr>
      </w:pPr>
      <w:r w:rsidRPr="00AE614A">
        <w:rPr>
          <w:rFonts w:cs="Arial"/>
          <w:szCs w:val="22"/>
        </w:rPr>
        <w:t xml:space="preserve"> </w:t>
      </w:r>
    </w:p>
    <w:p w14:paraId="3879495D" w14:textId="2A5B352A" w:rsidR="003D317F" w:rsidRPr="00AE614A" w:rsidRDefault="00AA1913" w:rsidP="00AE614A">
      <w:pPr>
        <w:spacing w:after="120"/>
        <w:rPr>
          <w:rFonts w:ascii="Arial" w:hAnsi="Arial" w:cs="Arial"/>
          <w:i/>
          <w:iCs/>
          <w:u w:val="single"/>
        </w:rPr>
      </w:pPr>
      <w:r w:rsidRPr="00AE614A">
        <w:rPr>
          <w:rFonts w:ascii="Arial" w:hAnsi="Arial" w:cs="Arial"/>
          <w:i/>
          <w:iCs/>
          <w:u w:val="single"/>
        </w:rPr>
        <w:t>Gender responsiveness</w:t>
      </w:r>
    </w:p>
    <w:p w14:paraId="3ACFDF7C" w14:textId="77777777" w:rsidR="007919CD" w:rsidRPr="00AE614A" w:rsidRDefault="00AA1913" w:rsidP="00AE614A">
      <w:pPr>
        <w:autoSpaceDE w:val="0"/>
        <w:autoSpaceDN w:val="0"/>
        <w:adjustRightInd w:val="0"/>
        <w:spacing w:after="120"/>
        <w:jc w:val="left"/>
        <w:rPr>
          <w:rFonts w:ascii="Arial" w:hAnsi="Arial" w:cs="Arial"/>
        </w:rPr>
      </w:pPr>
      <w:r w:rsidRPr="00AE614A">
        <w:rPr>
          <w:rFonts w:ascii="Arial" w:hAnsi="Arial" w:cs="Arial"/>
          <w:lang w:val="en-GB"/>
        </w:rPr>
        <w:t>The G</w:t>
      </w:r>
      <w:r w:rsidR="000C749C" w:rsidRPr="00AE614A">
        <w:rPr>
          <w:rFonts w:ascii="Arial" w:hAnsi="Arial" w:cs="Arial"/>
          <w:lang w:val="en-GB"/>
        </w:rPr>
        <w:t xml:space="preserve">ender </w:t>
      </w:r>
      <w:r w:rsidRPr="00AE614A">
        <w:rPr>
          <w:rFonts w:ascii="Arial" w:hAnsi="Arial" w:cs="Arial"/>
          <w:lang w:val="en-GB"/>
        </w:rPr>
        <w:t>A</w:t>
      </w:r>
      <w:r w:rsidR="000C749C" w:rsidRPr="00AE614A">
        <w:rPr>
          <w:rFonts w:ascii="Arial" w:hAnsi="Arial" w:cs="Arial"/>
          <w:lang w:val="en-GB"/>
        </w:rPr>
        <w:t xml:space="preserve">ction </w:t>
      </w:r>
      <w:r w:rsidRPr="00AE614A">
        <w:rPr>
          <w:rFonts w:ascii="Arial" w:hAnsi="Arial" w:cs="Arial"/>
          <w:lang w:val="en-GB"/>
        </w:rPr>
        <w:t>P</w:t>
      </w:r>
      <w:r w:rsidR="000C749C" w:rsidRPr="00AE614A">
        <w:rPr>
          <w:rFonts w:ascii="Arial" w:hAnsi="Arial" w:cs="Arial"/>
          <w:lang w:val="en-GB"/>
        </w:rPr>
        <w:t>lan</w:t>
      </w:r>
      <w:r w:rsidR="00C120ED" w:rsidRPr="00AE614A">
        <w:rPr>
          <w:rFonts w:ascii="Arial" w:hAnsi="Arial" w:cs="Arial"/>
          <w:lang w:val="en-GB"/>
        </w:rPr>
        <w:t xml:space="preserve"> (GAP)</w:t>
      </w:r>
      <w:r w:rsidRPr="00AE614A">
        <w:rPr>
          <w:rFonts w:ascii="Arial" w:hAnsi="Arial" w:cs="Arial"/>
          <w:lang w:val="en-GB"/>
        </w:rPr>
        <w:t xml:space="preserve"> </w:t>
      </w:r>
      <w:r w:rsidR="000C749C" w:rsidRPr="00AE614A">
        <w:rPr>
          <w:rFonts w:ascii="Arial" w:hAnsi="Arial" w:cs="Arial"/>
          <w:lang w:val="en-GB"/>
        </w:rPr>
        <w:t xml:space="preserve">for STIIP </w:t>
      </w:r>
      <w:r w:rsidR="00A77856" w:rsidRPr="00AE614A">
        <w:rPr>
          <w:rFonts w:ascii="Arial" w:hAnsi="Arial" w:cs="Arial"/>
          <w:lang w:val="en-GB"/>
        </w:rPr>
        <w:t>included 28 actions and 13 targets</w:t>
      </w:r>
      <w:r w:rsidR="0045203B" w:rsidRPr="00AE614A">
        <w:rPr>
          <w:rFonts w:ascii="Arial" w:hAnsi="Arial" w:cs="Arial"/>
          <w:lang w:val="en-GB"/>
        </w:rPr>
        <w:t xml:space="preserve"> </w:t>
      </w:r>
      <w:r w:rsidRPr="00AE614A">
        <w:rPr>
          <w:rFonts w:ascii="Arial" w:hAnsi="Arial" w:cs="Arial"/>
          <w:lang w:val="en-GB"/>
        </w:rPr>
        <w:t xml:space="preserve">to improve gender mainstreaming with project implementation. </w:t>
      </w:r>
      <w:r w:rsidR="007919CD" w:rsidRPr="00AE614A">
        <w:rPr>
          <w:rFonts w:ascii="Arial" w:hAnsi="Arial" w:cs="Arial"/>
        </w:rPr>
        <w:t xml:space="preserve">The Review team found that some targets outlined in the GAP were unrealistic given the local context and the absence of direct support. </w:t>
      </w:r>
    </w:p>
    <w:p w14:paraId="57F5E9A0" w14:textId="660E60E9" w:rsidR="005F66B8" w:rsidRPr="00AE614A" w:rsidRDefault="00F3011D" w:rsidP="00AE614A">
      <w:pPr>
        <w:spacing w:after="120"/>
        <w:rPr>
          <w:rFonts w:ascii="Arial" w:hAnsi="Arial" w:cs="Arial"/>
        </w:rPr>
      </w:pPr>
      <w:r w:rsidRPr="00AE614A">
        <w:rPr>
          <w:rFonts w:ascii="Arial" w:hAnsi="Arial" w:cs="Arial"/>
          <w:lang w:val="en-GB"/>
        </w:rPr>
        <w:lastRenderedPageBreak/>
        <w:t xml:space="preserve">At program close, </w:t>
      </w:r>
      <w:r w:rsidRPr="00AE614A">
        <w:rPr>
          <w:rFonts w:ascii="Arial" w:hAnsi="Arial" w:cs="Arial"/>
          <w:lang w:val="en-AU"/>
        </w:rPr>
        <w:t>80 percent of GAP activities (23</w:t>
      </w:r>
      <w:r w:rsidR="00277E29" w:rsidRPr="00AE614A">
        <w:rPr>
          <w:rFonts w:ascii="Arial" w:hAnsi="Arial" w:cs="Arial"/>
          <w:lang w:val="en-AU"/>
        </w:rPr>
        <w:t>)</w:t>
      </w:r>
      <w:r w:rsidRPr="00AE614A">
        <w:rPr>
          <w:rFonts w:ascii="Arial" w:hAnsi="Arial" w:cs="Arial"/>
          <w:lang w:val="en-AU"/>
        </w:rPr>
        <w:t xml:space="preserve"> </w:t>
      </w:r>
      <w:r w:rsidR="00277E29" w:rsidRPr="00AE614A">
        <w:rPr>
          <w:rFonts w:ascii="Arial" w:hAnsi="Arial" w:cs="Arial"/>
          <w:lang w:val="en-AU"/>
        </w:rPr>
        <w:t xml:space="preserve">had been </w:t>
      </w:r>
      <w:r w:rsidRPr="00AE614A">
        <w:rPr>
          <w:rFonts w:ascii="Arial" w:hAnsi="Arial" w:cs="Arial"/>
          <w:lang w:val="en-AU"/>
        </w:rPr>
        <w:t xml:space="preserve">completed </w:t>
      </w:r>
      <w:r w:rsidR="00277E29" w:rsidRPr="00AE614A">
        <w:rPr>
          <w:rFonts w:ascii="Arial" w:hAnsi="Arial" w:cs="Arial"/>
          <w:lang w:val="en-AU"/>
        </w:rPr>
        <w:t>and 9 targets had b</w:t>
      </w:r>
      <w:r w:rsidR="008974D8" w:rsidRPr="00AE614A">
        <w:rPr>
          <w:rFonts w:ascii="Arial" w:hAnsi="Arial" w:cs="Arial"/>
          <w:lang w:val="en-AU"/>
        </w:rPr>
        <w:t>e</w:t>
      </w:r>
      <w:r w:rsidR="00277E29" w:rsidRPr="00AE614A">
        <w:rPr>
          <w:rFonts w:ascii="Arial" w:hAnsi="Arial" w:cs="Arial"/>
          <w:lang w:val="en-AU"/>
        </w:rPr>
        <w:t xml:space="preserve">en </w:t>
      </w:r>
      <w:r w:rsidRPr="00AE614A">
        <w:rPr>
          <w:rFonts w:ascii="Arial" w:hAnsi="Arial" w:cs="Arial"/>
          <w:lang w:val="en-AU"/>
        </w:rPr>
        <w:t>achieved.</w:t>
      </w:r>
      <w:r w:rsidR="008974D8" w:rsidRPr="00AE614A">
        <w:rPr>
          <w:rFonts w:ascii="Arial" w:hAnsi="Arial" w:cs="Arial"/>
          <w:lang w:val="en-AU"/>
        </w:rPr>
        <w:t xml:space="preserve"> </w:t>
      </w:r>
      <w:r w:rsidR="007919CD" w:rsidRPr="00AE614A">
        <w:rPr>
          <w:rFonts w:ascii="Arial" w:hAnsi="Arial" w:cs="Arial"/>
          <w:lang w:val="en-GB"/>
        </w:rPr>
        <w:t>The guidelines established for the Community Advisory Committees (CAC) emphasised the need to pursue opinions, needs, and priorities of vulnerable individuals including women. The GAP promoted a balance in employment for road maintenance contracts between the labour workforce under STIIP. Furthermore, the NTP 3-Year Action Plan included gender as a key feature.</w:t>
      </w:r>
      <w:r w:rsidR="005F66B8" w:rsidRPr="00AE614A">
        <w:rPr>
          <w:rFonts w:ascii="Arial" w:hAnsi="Arial" w:cs="Arial"/>
          <w:lang w:val="en-GB"/>
        </w:rPr>
        <w:t xml:space="preserve"> </w:t>
      </w:r>
      <w:r w:rsidR="005F66B8" w:rsidRPr="00AE614A">
        <w:rPr>
          <w:rFonts w:ascii="Arial" w:hAnsi="Arial" w:cs="Arial"/>
        </w:rPr>
        <w:t xml:space="preserve">Forty percent of the LBES (road maintenance) </w:t>
      </w:r>
      <w:r w:rsidR="00141887" w:rsidRPr="00AE614A">
        <w:rPr>
          <w:rFonts w:ascii="Arial" w:hAnsi="Arial" w:cs="Arial"/>
        </w:rPr>
        <w:t xml:space="preserve">workforce </w:t>
      </w:r>
      <w:r w:rsidR="005F66B8" w:rsidRPr="00AE614A">
        <w:rPr>
          <w:rFonts w:ascii="Arial" w:hAnsi="Arial" w:cs="Arial"/>
        </w:rPr>
        <w:t>were women.</w:t>
      </w:r>
    </w:p>
    <w:p w14:paraId="676F4AB9" w14:textId="57B26C0D" w:rsidR="00AA1913" w:rsidRPr="00AE614A" w:rsidRDefault="00AB033F" w:rsidP="00AE614A">
      <w:pPr>
        <w:adjustRightInd w:val="0"/>
        <w:spacing w:after="120"/>
        <w:rPr>
          <w:rFonts w:ascii="Arial" w:hAnsi="Arial" w:cs="Arial"/>
          <w:lang w:val="en-GB"/>
        </w:rPr>
      </w:pPr>
      <w:r w:rsidRPr="00AE614A">
        <w:rPr>
          <w:rFonts w:ascii="Arial" w:hAnsi="Arial" w:cs="Arial"/>
          <w:lang w:val="en-GB"/>
        </w:rPr>
        <w:t>Six g</w:t>
      </w:r>
      <w:r w:rsidR="00AA1913" w:rsidRPr="00AE614A">
        <w:rPr>
          <w:rFonts w:ascii="Arial" w:hAnsi="Arial" w:cs="Arial"/>
          <w:lang w:val="en-GB"/>
        </w:rPr>
        <w:t>ender</w:t>
      </w:r>
      <w:r w:rsidRPr="00AE614A">
        <w:rPr>
          <w:rFonts w:ascii="Arial" w:hAnsi="Arial" w:cs="Arial"/>
          <w:lang w:val="en-GB"/>
        </w:rPr>
        <w:t>-</w:t>
      </w:r>
      <w:r w:rsidR="00AA1913" w:rsidRPr="00AE614A">
        <w:rPr>
          <w:rFonts w:ascii="Arial" w:hAnsi="Arial" w:cs="Arial"/>
          <w:lang w:val="en-GB"/>
        </w:rPr>
        <w:t xml:space="preserve">responsive </w:t>
      </w:r>
      <w:r w:rsidRPr="00AE614A">
        <w:rPr>
          <w:rFonts w:ascii="Arial" w:hAnsi="Arial" w:cs="Arial"/>
          <w:lang w:val="en-GB"/>
        </w:rPr>
        <w:t>i</w:t>
      </w:r>
      <w:r w:rsidR="00AA1913" w:rsidRPr="00AE614A">
        <w:rPr>
          <w:rFonts w:ascii="Arial" w:hAnsi="Arial" w:cs="Arial"/>
          <w:lang w:val="en-GB"/>
        </w:rPr>
        <w:t xml:space="preserve">nfrastructure </w:t>
      </w:r>
      <w:r w:rsidRPr="00AE614A">
        <w:rPr>
          <w:rFonts w:ascii="Arial" w:hAnsi="Arial" w:cs="Arial"/>
          <w:lang w:val="en-GB"/>
        </w:rPr>
        <w:t>projects were delivered under STIIP</w:t>
      </w:r>
      <w:r w:rsidR="00C120ED" w:rsidRPr="00AE614A">
        <w:rPr>
          <w:rFonts w:ascii="Arial" w:hAnsi="Arial" w:cs="Arial"/>
          <w:lang w:val="en-GB"/>
        </w:rPr>
        <w:t xml:space="preserve"> and </w:t>
      </w:r>
      <w:r w:rsidR="00AA1913" w:rsidRPr="00AE614A">
        <w:rPr>
          <w:rFonts w:ascii="Arial" w:hAnsi="Arial" w:cs="Arial"/>
          <w:lang w:val="en-GB"/>
        </w:rPr>
        <w:t>sought to provide safe and accessible space for various infrastructure inputs. This included safe waiting areas, separate male and female toilets, and improved access to water.</w:t>
      </w:r>
    </w:p>
    <w:p w14:paraId="08134CA0" w14:textId="77777777" w:rsidR="00AA1913" w:rsidRPr="00AE614A" w:rsidRDefault="00AA1913" w:rsidP="00AE614A">
      <w:pPr>
        <w:spacing w:after="120"/>
        <w:rPr>
          <w:rFonts w:ascii="Arial" w:hAnsi="Arial" w:cs="Arial"/>
          <w:i/>
          <w:iCs/>
          <w:u w:val="single"/>
        </w:rPr>
      </w:pPr>
    </w:p>
    <w:p w14:paraId="7FDB3C7C" w14:textId="393C5823" w:rsidR="00B63DE6" w:rsidRPr="00AE614A" w:rsidRDefault="00461961" w:rsidP="00AE614A">
      <w:pPr>
        <w:spacing w:after="120"/>
        <w:rPr>
          <w:rFonts w:ascii="Arial" w:hAnsi="Arial" w:cs="Arial"/>
          <w:b/>
          <w:bCs/>
        </w:rPr>
      </w:pPr>
      <w:r w:rsidRPr="00AE614A">
        <w:rPr>
          <w:rFonts w:ascii="Arial" w:hAnsi="Arial" w:cs="Arial"/>
          <w:b/>
          <w:bCs/>
        </w:rPr>
        <w:t>Outcome</w:t>
      </w:r>
      <w:r w:rsidR="00B63DE6" w:rsidRPr="00AE614A">
        <w:rPr>
          <w:rFonts w:ascii="Arial" w:hAnsi="Arial" w:cs="Arial"/>
          <w:b/>
          <w:bCs/>
        </w:rPr>
        <w:t xml:space="preserve"> 2: </w:t>
      </w:r>
      <w:r w:rsidRPr="00AE614A">
        <w:rPr>
          <w:rFonts w:ascii="Arial" w:hAnsi="Arial" w:cs="Arial"/>
          <w:b/>
          <w:bCs/>
        </w:rPr>
        <w:t xml:space="preserve">Country systems strengthened to finance and implement the </w:t>
      </w:r>
      <w:r w:rsidR="00B85303">
        <w:rPr>
          <w:rFonts w:ascii="Arial" w:hAnsi="Arial" w:cs="Arial"/>
          <w:b/>
          <w:bCs/>
        </w:rPr>
        <w:t>NTP</w:t>
      </w:r>
    </w:p>
    <w:p w14:paraId="4DDDF044" w14:textId="345F22A4" w:rsidR="005704C6" w:rsidRPr="00AE614A" w:rsidRDefault="00790E1B" w:rsidP="00AE614A">
      <w:pPr>
        <w:autoSpaceDE w:val="0"/>
        <w:autoSpaceDN w:val="0"/>
        <w:adjustRightInd w:val="0"/>
        <w:spacing w:after="120"/>
        <w:jc w:val="left"/>
        <w:rPr>
          <w:rFonts w:ascii="Arial" w:hAnsi="Arial" w:cs="Arial"/>
          <w:b/>
          <w:bCs/>
        </w:rPr>
      </w:pPr>
      <w:r w:rsidRPr="00AE614A">
        <w:rPr>
          <w:rFonts w:ascii="Arial" w:hAnsi="Arial" w:cs="Arial"/>
          <w:color w:val="201F1E"/>
          <w:lang w:val="en-AU"/>
        </w:rPr>
        <w:t xml:space="preserve">Five of the eight performance indicators were achieved for this outcome. </w:t>
      </w:r>
      <w:r w:rsidR="003F1455" w:rsidRPr="00AE614A">
        <w:rPr>
          <w:rFonts w:ascii="Arial" w:hAnsi="Arial" w:cs="Arial"/>
          <w:color w:val="201F1E"/>
          <w:lang w:val="en-AU"/>
        </w:rPr>
        <w:t xml:space="preserve">The Solomon Islands </w:t>
      </w:r>
      <w:r w:rsidR="002A7BA4" w:rsidRPr="00AE614A">
        <w:rPr>
          <w:rFonts w:ascii="Arial" w:hAnsi="Arial" w:cs="Arial"/>
          <w:color w:val="201F1E"/>
          <w:lang w:val="en-AU"/>
        </w:rPr>
        <w:t xml:space="preserve">Government </w:t>
      </w:r>
      <w:r w:rsidR="00B038E8" w:rsidRPr="00AE614A">
        <w:rPr>
          <w:rFonts w:ascii="Arial" w:hAnsi="Arial" w:cs="Arial"/>
          <w:color w:val="201F1E"/>
          <w:lang w:val="en-AU"/>
        </w:rPr>
        <w:t xml:space="preserve">(SIG) </w:t>
      </w:r>
      <w:r w:rsidR="002A7BA4" w:rsidRPr="00AE614A">
        <w:rPr>
          <w:rFonts w:ascii="Arial" w:hAnsi="Arial" w:cs="Arial"/>
          <w:color w:val="201F1E"/>
          <w:lang w:val="en-AU"/>
        </w:rPr>
        <w:t>contribut</w:t>
      </w:r>
      <w:r w:rsidR="003F1455" w:rsidRPr="00AE614A">
        <w:rPr>
          <w:rFonts w:ascii="Arial" w:hAnsi="Arial" w:cs="Arial"/>
          <w:color w:val="201F1E"/>
          <w:lang w:val="en-AU"/>
        </w:rPr>
        <w:t>ions</w:t>
      </w:r>
      <w:r w:rsidR="002A7BA4" w:rsidRPr="00AE614A">
        <w:rPr>
          <w:rFonts w:ascii="Arial" w:hAnsi="Arial" w:cs="Arial"/>
          <w:color w:val="201F1E"/>
          <w:lang w:val="en-AU"/>
        </w:rPr>
        <w:t xml:space="preserve"> </w:t>
      </w:r>
      <w:r w:rsidR="003F1455" w:rsidRPr="00AE614A">
        <w:rPr>
          <w:rFonts w:ascii="Arial" w:hAnsi="Arial" w:cs="Arial"/>
          <w:color w:val="201F1E"/>
          <w:lang w:val="en-AU"/>
        </w:rPr>
        <w:t>did not increase annually</w:t>
      </w:r>
      <w:r w:rsidR="00B038E8" w:rsidRPr="00AE614A">
        <w:rPr>
          <w:rFonts w:ascii="Arial" w:hAnsi="Arial" w:cs="Arial"/>
          <w:color w:val="201F1E"/>
          <w:lang w:val="en-AU"/>
        </w:rPr>
        <w:t xml:space="preserve"> over the life of the program which meant that </w:t>
      </w:r>
      <w:r w:rsidR="002A7BA4" w:rsidRPr="00AE614A">
        <w:rPr>
          <w:rFonts w:ascii="Arial" w:hAnsi="Arial" w:cs="Arial"/>
          <w:color w:val="201F1E"/>
          <w:lang w:val="en-AU"/>
        </w:rPr>
        <w:t xml:space="preserve">SIG did not leverage the available GOA incentive funding under </w:t>
      </w:r>
      <w:r w:rsidR="00D37C07" w:rsidRPr="00AE614A">
        <w:rPr>
          <w:rFonts w:ascii="Arial" w:hAnsi="Arial" w:cs="Arial"/>
          <w:color w:val="201F1E"/>
          <w:lang w:val="en-AU"/>
        </w:rPr>
        <w:t>its funding arrangement with SIG</w:t>
      </w:r>
      <w:r w:rsidR="002560D7" w:rsidRPr="00AE614A">
        <w:rPr>
          <w:rFonts w:ascii="Arial" w:hAnsi="Arial" w:cs="Arial"/>
          <w:color w:val="201F1E"/>
          <w:lang w:val="en-AU"/>
        </w:rPr>
        <w:t xml:space="preserve">. The </w:t>
      </w:r>
      <w:r w:rsidR="002A7BA4" w:rsidRPr="00AE614A">
        <w:rPr>
          <w:rFonts w:ascii="Arial" w:hAnsi="Arial" w:cs="Arial"/>
          <w:color w:val="201F1E"/>
          <w:lang w:val="en-AU"/>
        </w:rPr>
        <w:t>incentivised leverage was the primary ADB reasoning behind the use of the Results</w:t>
      </w:r>
      <w:r w:rsidR="002560D7" w:rsidRPr="00AE614A">
        <w:rPr>
          <w:rFonts w:ascii="Arial" w:hAnsi="Arial" w:cs="Arial"/>
          <w:color w:val="201F1E"/>
          <w:lang w:val="en-AU"/>
        </w:rPr>
        <w:t xml:space="preserve"> </w:t>
      </w:r>
      <w:r w:rsidR="002A7BA4" w:rsidRPr="00AE614A">
        <w:rPr>
          <w:rFonts w:ascii="Arial" w:hAnsi="Arial" w:cs="Arial"/>
          <w:color w:val="201F1E"/>
          <w:lang w:val="en-AU"/>
        </w:rPr>
        <w:t>Based Lending modality</w:t>
      </w:r>
      <w:r w:rsidR="002A7BA4" w:rsidRPr="00AE614A">
        <w:rPr>
          <w:rFonts w:ascii="Arial" w:hAnsi="Arial" w:cs="Arial"/>
          <w:color w:val="000000"/>
          <w:lang w:val="en-AU"/>
        </w:rPr>
        <w:t>.</w:t>
      </w:r>
      <w:r w:rsidR="002A7BA4" w:rsidRPr="00AE614A">
        <w:rPr>
          <w:rFonts w:ascii="Arial" w:hAnsi="Arial" w:cs="Arial"/>
          <w:b/>
          <w:bCs/>
          <w:color w:val="201F1E"/>
          <w:lang w:val="en-AU"/>
        </w:rPr>
        <w:t xml:space="preserve"> </w:t>
      </w:r>
      <w:r w:rsidR="002A7BA4" w:rsidRPr="00AE614A">
        <w:rPr>
          <w:rFonts w:ascii="Arial" w:hAnsi="Arial" w:cs="Arial"/>
          <w:color w:val="201F1E"/>
          <w:lang w:val="en-AU"/>
        </w:rPr>
        <w:t xml:space="preserve">In 2021 the </w:t>
      </w:r>
      <w:r w:rsidR="002560D7" w:rsidRPr="00AE614A">
        <w:rPr>
          <w:rFonts w:ascii="Arial" w:hAnsi="Arial" w:cs="Arial"/>
          <w:color w:val="201F1E"/>
          <w:lang w:val="en-AU"/>
        </w:rPr>
        <w:t xml:space="preserve">MTTAP </w:t>
      </w:r>
      <w:r w:rsidR="002A7BA4" w:rsidRPr="00AE614A">
        <w:rPr>
          <w:rFonts w:ascii="Arial" w:hAnsi="Arial" w:cs="Arial"/>
          <w:color w:val="201F1E"/>
          <w:lang w:val="en-AU"/>
        </w:rPr>
        <w:t>was revised and</w:t>
      </w:r>
      <w:r w:rsidR="002560D7" w:rsidRPr="00AE614A">
        <w:rPr>
          <w:rFonts w:ascii="Arial" w:hAnsi="Arial" w:cs="Arial"/>
          <w:color w:val="201F1E"/>
          <w:lang w:val="en-AU"/>
        </w:rPr>
        <w:t xml:space="preserve"> </w:t>
      </w:r>
      <w:r w:rsidR="002A7BA4" w:rsidRPr="00AE614A">
        <w:rPr>
          <w:rFonts w:ascii="Arial" w:hAnsi="Arial" w:cs="Arial"/>
          <w:color w:val="201F1E"/>
          <w:lang w:val="en-AU"/>
        </w:rPr>
        <w:t>secured Cabinet approval.</w:t>
      </w:r>
      <w:r w:rsidR="002A7BA4" w:rsidRPr="00AE614A">
        <w:rPr>
          <w:rFonts w:ascii="Arial" w:hAnsi="Arial" w:cs="Arial"/>
          <w:b/>
          <w:bCs/>
          <w:color w:val="201F1E"/>
          <w:lang w:val="en-AU"/>
        </w:rPr>
        <w:t xml:space="preserve"> </w:t>
      </w:r>
      <w:r w:rsidR="002A7BA4" w:rsidRPr="00AE614A">
        <w:rPr>
          <w:rFonts w:ascii="Arial" w:hAnsi="Arial" w:cs="Arial"/>
          <w:color w:val="201F1E"/>
          <w:lang w:val="en-AU"/>
        </w:rPr>
        <w:t>The SPM was adopted and used to screen projects under the program. In 2017 the Solomon Islands Transport Asset Management System</w:t>
      </w:r>
      <w:r w:rsidR="00FB11BA" w:rsidRPr="00AE614A">
        <w:rPr>
          <w:rFonts w:ascii="Arial" w:hAnsi="Arial" w:cs="Arial"/>
          <w:color w:val="201F1E"/>
          <w:lang w:val="en-AU"/>
        </w:rPr>
        <w:t xml:space="preserve"> </w:t>
      </w:r>
      <w:r w:rsidR="002A7BA4" w:rsidRPr="00AE614A">
        <w:rPr>
          <w:rFonts w:ascii="Arial" w:hAnsi="Arial" w:cs="Arial"/>
          <w:color w:val="201F1E"/>
          <w:lang w:val="en-AU"/>
        </w:rPr>
        <w:t>(SITAMS) was developed to record detailed information on infrastructure assets and their</w:t>
      </w:r>
      <w:r w:rsidR="00FB11BA" w:rsidRPr="00AE614A">
        <w:rPr>
          <w:rFonts w:ascii="Arial" w:hAnsi="Arial" w:cs="Arial"/>
          <w:color w:val="201F1E"/>
          <w:lang w:val="en-AU"/>
        </w:rPr>
        <w:t xml:space="preserve"> </w:t>
      </w:r>
      <w:r w:rsidR="002A7BA4" w:rsidRPr="00AE614A">
        <w:rPr>
          <w:rFonts w:ascii="Arial" w:hAnsi="Arial" w:cs="Arial"/>
          <w:color w:val="201F1E"/>
          <w:lang w:val="en-AU"/>
        </w:rPr>
        <w:t xml:space="preserve">condition. The road classification was completed in 2018 and registered in </w:t>
      </w:r>
      <w:r w:rsidR="00FB11BA" w:rsidRPr="00AE614A">
        <w:rPr>
          <w:rFonts w:ascii="Arial" w:hAnsi="Arial" w:cs="Arial"/>
          <w:color w:val="201F1E"/>
          <w:lang w:val="en-AU"/>
        </w:rPr>
        <w:t xml:space="preserve">the </w:t>
      </w:r>
      <w:r w:rsidR="002A7BA4" w:rsidRPr="00AE614A">
        <w:rPr>
          <w:rFonts w:ascii="Arial" w:hAnsi="Arial" w:cs="Arial"/>
          <w:color w:val="201F1E"/>
          <w:lang w:val="en-AU"/>
        </w:rPr>
        <w:t>SITAMS database.</w:t>
      </w:r>
      <w:r w:rsidR="00FB11BA" w:rsidRPr="00AE614A">
        <w:rPr>
          <w:rFonts w:ascii="Arial" w:hAnsi="Arial" w:cs="Arial"/>
          <w:color w:val="201F1E"/>
          <w:lang w:val="en-AU"/>
        </w:rPr>
        <w:t xml:space="preserve"> </w:t>
      </w:r>
      <w:r w:rsidR="002A7BA4" w:rsidRPr="00AE614A">
        <w:rPr>
          <w:rFonts w:ascii="Arial" w:hAnsi="Arial" w:cs="Arial"/>
          <w:color w:val="201F1E"/>
          <w:lang w:val="en-AU"/>
        </w:rPr>
        <w:t>All sub-projects were screened for climate change</w:t>
      </w:r>
      <w:r w:rsidR="00FB11BA" w:rsidRPr="00AE614A">
        <w:rPr>
          <w:rFonts w:ascii="Arial" w:hAnsi="Arial" w:cs="Arial"/>
          <w:color w:val="201F1E"/>
          <w:lang w:val="en-AU"/>
        </w:rPr>
        <w:t xml:space="preserve"> </w:t>
      </w:r>
      <w:r w:rsidR="002A7BA4" w:rsidRPr="00AE614A">
        <w:rPr>
          <w:rFonts w:ascii="Arial" w:hAnsi="Arial" w:cs="Arial"/>
          <w:color w:val="201F1E"/>
          <w:lang w:val="en-AU"/>
        </w:rPr>
        <w:t>risks.</w:t>
      </w:r>
      <w:r w:rsidR="00FB11BA" w:rsidRPr="00AE614A">
        <w:rPr>
          <w:rFonts w:ascii="Arial" w:hAnsi="Arial" w:cs="Arial"/>
          <w:color w:val="201F1E"/>
          <w:lang w:val="en-AU"/>
        </w:rPr>
        <w:t xml:space="preserve"> </w:t>
      </w:r>
      <w:r w:rsidR="002A7BA4" w:rsidRPr="00AE614A">
        <w:rPr>
          <w:rFonts w:ascii="Arial" w:hAnsi="Arial" w:cs="Arial"/>
          <w:color w:val="201F1E"/>
          <w:lang w:val="en-AU"/>
        </w:rPr>
        <w:t>The development of a system to analyse, track and</w:t>
      </w:r>
      <w:r w:rsidR="00FB11BA" w:rsidRPr="00AE614A">
        <w:rPr>
          <w:rFonts w:ascii="Arial" w:hAnsi="Arial" w:cs="Arial"/>
          <w:color w:val="201F1E"/>
          <w:lang w:val="en-AU"/>
        </w:rPr>
        <w:t xml:space="preserve"> </w:t>
      </w:r>
      <w:r w:rsidR="002A7BA4" w:rsidRPr="00AE614A">
        <w:rPr>
          <w:rFonts w:ascii="Arial" w:hAnsi="Arial" w:cs="Arial"/>
          <w:color w:val="201F1E"/>
          <w:lang w:val="en-AU"/>
        </w:rPr>
        <w:t>control unit rates of bid price (to achieve cost effectiveness) in place by 2017 was not achieved.</w:t>
      </w:r>
      <w:r w:rsidR="00F677E4" w:rsidRPr="00AE614A">
        <w:rPr>
          <w:rFonts w:ascii="Arial" w:hAnsi="Arial" w:cs="Arial"/>
          <w:color w:val="201F1E"/>
          <w:lang w:val="en-AU"/>
        </w:rPr>
        <w:t xml:space="preserve"> However, a</w:t>
      </w:r>
      <w:r w:rsidR="002A7BA4" w:rsidRPr="00AE614A">
        <w:rPr>
          <w:rFonts w:ascii="Arial" w:hAnsi="Arial" w:cs="Arial"/>
          <w:color w:val="201F1E"/>
          <w:lang w:val="en-AU"/>
        </w:rPr>
        <w:t xml:space="preserve"> schedule of rates (SOR) for bridge and road works </w:t>
      </w:r>
      <w:r w:rsidR="002A7BA4" w:rsidRPr="00AE614A">
        <w:rPr>
          <w:rFonts w:ascii="Arial" w:hAnsi="Arial" w:cs="Arial"/>
          <w:color w:val="000000"/>
          <w:lang w:val="en-AU"/>
        </w:rPr>
        <w:t>was ready for Cabinet endorsement at</w:t>
      </w:r>
      <w:r w:rsidR="00F677E4" w:rsidRPr="00AE614A">
        <w:rPr>
          <w:rFonts w:ascii="Arial" w:hAnsi="Arial" w:cs="Arial"/>
          <w:color w:val="000000"/>
          <w:lang w:val="en-AU"/>
        </w:rPr>
        <w:t xml:space="preserve"> </w:t>
      </w:r>
      <w:r w:rsidR="002A7BA4" w:rsidRPr="00AE614A">
        <w:rPr>
          <w:rFonts w:ascii="Arial" w:hAnsi="Arial" w:cs="Arial"/>
          <w:color w:val="000000"/>
          <w:lang w:val="en-AU"/>
        </w:rPr>
        <w:t>program close</w:t>
      </w:r>
      <w:r w:rsidR="002A7BA4" w:rsidRPr="00AE614A">
        <w:rPr>
          <w:rFonts w:ascii="Arial" w:hAnsi="Arial" w:cs="Arial"/>
          <w:color w:val="201F1E"/>
          <w:lang w:val="en-AU"/>
        </w:rPr>
        <w:t>.</w:t>
      </w:r>
      <w:r w:rsidR="002A7BA4" w:rsidRPr="00AE614A">
        <w:rPr>
          <w:rFonts w:ascii="Arial" w:hAnsi="Arial" w:cs="Arial"/>
          <w:b/>
          <w:bCs/>
          <w:color w:val="201F1E"/>
          <w:lang w:val="en-AU"/>
        </w:rPr>
        <w:t xml:space="preserve"> </w:t>
      </w:r>
      <w:r w:rsidR="002A7BA4" w:rsidRPr="00AE614A">
        <w:rPr>
          <w:rFonts w:ascii="Arial" w:hAnsi="Arial" w:cs="Arial"/>
          <w:color w:val="201F1E"/>
          <w:lang w:val="en-AU"/>
        </w:rPr>
        <w:t>Project account was maintained by MID and</w:t>
      </w:r>
      <w:r w:rsidR="00F677E4" w:rsidRPr="00AE614A">
        <w:rPr>
          <w:rFonts w:ascii="Arial" w:hAnsi="Arial" w:cs="Arial"/>
          <w:color w:val="201F1E"/>
          <w:lang w:val="en-AU"/>
        </w:rPr>
        <w:t xml:space="preserve"> </w:t>
      </w:r>
      <w:r w:rsidR="002A7BA4" w:rsidRPr="00AE614A">
        <w:rPr>
          <w:rFonts w:ascii="Arial" w:hAnsi="Arial" w:cs="Arial"/>
          <w:color w:val="201F1E"/>
          <w:lang w:val="en-AU"/>
        </w:rPr>
        <w:t>audited annually by independent auditor KPMG. The audited financial statements confirm the</w:t>
      </w:r>
      <w:r w:rsidR="005704C6" w:rsidRPr="00AE614A">
        <w:rPr>
          <w:rFonts w:ascii="Arial" w:hAnsi="Arial" w:cs="Arial"/>
          <w:color w:val="201F1E"/>
          <w:lang w:val="en-AU"/>
        </w:rPr>
        <w:t xml:space="preserve"> </w:t>
      </w:r>
      <w:r w:rsidR="002A7BA4" w:rsidRPr="00AE614A">
        <w:rPr>
          <w:rFonts w:ascii="Arial" w:hAnsi="Arial" w:cs="Arial"/>
          <w:color w:val="201F1E"/>
          <w:lang w:val="en-AU"/>
        </w:rPr>
        <w:t>funds were used in accordance with the agreement</w:t>
      </w:r>
      <w:r w:rsidR="005704C6" w:rsidRPr="00AE614A">
        <w:rPr>
          <w:rFonts w:ascii="Arial" w:hAnsi="Arial" w:cs="Arial"/>
          <w:color w:val="201F1E"/>
          <w:lang w:val="en-AU"/>
        </w:rPr>
        <w:t>s</w:t>
      </w:r>
      <w:r w:rsidR="002A7BA4" w:rsidRPr="00AE614A">
        <w:rPr>
          <w:rFonts w:ascii="Arial" w:hAnsi="Arial" w:cs="Arial"/>
          <w:color w:val="201F1E"/>
          <w:lang w:val="en-AU"/>
        </w:rPr>
        <w:t xml:space="preserve">. </w:t>
      </w:r>
      <w:r w:rsidR="005704C6" w:rsidRPr="00AE614A">
        <w:rPr>
          <w:rFonts w:ascii="Arial" w:hAnsi="Arial" w:cs="Arial"/>
          <w:color w:val="201F1E"/>
          <w:lang w:val="en-AU"/>
        </w:rPr>
        <w:t>Safety audits were completed in 2020 o</w:t>
      </w:r>
      <w:r w:rsidR="00120D11">
        <w:rPr>
          <w:rFonts w:ascii="Arial" w:hAnsi="Arial" w:cs="Arial"/>
          <w:color w:val="201F1E"/>
          <w:lang w:val="en-AU"/>
        </w:rPr>
        <w:t>n</w:t>
      </w:r>
      <w:r w:rsidR="005704C6" w:rsidRPr="00AE614A">
        <w:rPr>
          <w:rFonts w:ascii="Arial" w:hAnsi="Arial" w:cs="Arial"/>
          <w:color w:val="201F1E"/>
          <w:lang w:val="en-AU"/>
        </w:rPr>
        <w:t xml:space="preserve"> </w:t>
      </w:r>
      <w:r w:rsidR="002A7BA4" w:rsidRPr="00AE614A">
        <w:rPr>
          <w:rFonts w:ascii="Arial" w:hAnsi="Arial" w:cs="Arial"/>
          <w:color w:val="201F1E"/>
          <w:lang w:val="en-AU"/>
        </w:rPr>
        <w:t xml:space="preserve">137km of the 150km targeted length of road. </w:t>
      </w:r>
    </w:p>
    <w:p w14:paraId="530267AB" w14:textId="77777777" w:rsidR="00BB5593" w:rsidRPr="00AE614A" w:rsidRDefault="00BB5593" w:rsidP="00AE614A">
      <w:pPr>
        <w:autoSpaceDE w:val="0"/>
        <w:autoSpaceDN w:val="0"/>
        <w:adjustRightInd w:val="0"/>
        <w:spacing w:after="120"/>
        <w:jc w:val="left"/>
        <w:rPr>
          <w:rFonts w:ascii="Arial" w:hAnsi="Arial" w:cs="Arial"/>
          <w:color w:val="201F1E"/>
          <w:lang w:val="en-AU"/>
        </w:rPr>
      </w:pPr>
      <w:r w:rsidRPr="00AE614A">
        <w:rPr>
          <w:rFonts w:ascii="Arial" w:hAnsi="Arial" w:cs="Arial"/>
          <w:color w:val="201F1E"/>
          <w:lang w:val="en-AU"/>
        </w:rPr>
        <w:t>The Review team found that STIIP contributed to strengthening the systems of the government to develop, maintain and manage transport infrastructure and services in the country.</w:t>
      </w:r>
    </w:p>
    <w:p w14:paraId="0555179B" w14:textId="7F66E146" w:rsidR="002A7BA4" w:rsidRPr="00AE614A" w:rsidRDefault="002A7BA4" w:rsidP="00AE614A">
      <w:pPr>
        <w:spacing w:after="120"/>
        <w:rPr>
          <w:rFonts w:ascii="Arial" w:hAnsi="Arial" w:cs="Arial"/>
          <w:b/>
          <w:bCs/>
        </w:rPr>
      </w:pPr>
    </w:p>
    <w:p w14:paraId="7291EB58" w14:textId="0FEADDA1" w:rsidR="0072501E" w:rsidRPr="00AE614A" w:rsidRDefault="0072501E" w:rsidP="00AE614A">
      <w:pPr>
        <w:spacing w:after="120"/>
        <w:rPr>
          <w:rFonts w:ascii="Arial" w:hAnsi="Arial" w:cs="Arial"/>
          <w:bCs/>
          <w:i/>
          <w:iCs/>
          <w:u w:val="single"/>
        </w:rPr>
      </w:pPr>
      <w:r w:rsidRPr="00AE614A">
        <w:rPr>
          <w:rFonts w:ascii="Arial" w:hAnsi="Arial" w:cs="Arial"/>
          <w:bCs/>
          <w:i/>
          <w:iCs/>
          <w:u w:val="single"/>
        </w:rPr>
        <w:t>Financial management</w:t>
      </w:r>
      <w:r w:rsidR="003306C8" w:rsidRPr="00AE614A">
        <w:rPr>
          <w:rFonts w:ascii="Arial" w:hAnsi="Arial" w:cs="Arial"/>
          <w:bCs/>
          <w:i/>
          <w:iCs/>
          <w:u w:val="single"/>
        </w:rPr>
        <w:t xml:space="preserve"> </w:t>
      </w:r>
      <w:r w:rsidR="00763D5F" w:rsidRPr="00AE614A">
        <w:rPr>
          <w:rFonts w:ascii="Arial" w:hAnsi="Arial" w:cs="Arial"/>
          <w:bCs/>
          <w:i/>
          <w:iCs/>
          <w:u w:val="single"/>
        </w:rPr>
        <w:t>system</w:t>
      </w:r>
    </w:p>
    <w:p w14:paraId="3F0BFBB1" w14:textId="77777777" w:rsidR="00FD6550" w:rsidRPr="00AE614A" w:rsidRDefault="00FD6550" w:rsidP="00AE614A">
      <w:pPr>
        <w:spacing w:after="120"/>
        <w:rPr>
          <w:rFonts w:ascii="Arial" w:hAnsi="Arial" w:cs="Arial"/>
        </w:rPr>
      </w:pPr>
      <w:r w:rsidRPr="00AE614A">
        <w:rPr>
          <w:rFonts w:ascii="Arial" w:hAnsi="Arial" w:cs="Arial"/>
        </w:rPr>
        <w:t xml:space="preserve">Institutional constraints impacted the effectiveness of the financial management system. STIIP funded the MID recurrent budget directly, without an explicit agreement that STIIP management and supervision costs would be prioritised. MID’s recurrent budget had payment pressures from its other activities and institutional responsibilities, additional to STIIP. Due to recurrent budget shortfalls and long application procedures, funds for supervision operational expenses were not available in a timely manner – this was the root cause of significant payment delays. </w:t>
      </w:r>
    </w:p>
    <w:p w14:paraId="49C39150" w14:textId="360EC59E" w:rsidR="00FD6550" w:rsidRPr="00AE614A" w:rsidRDefault="00FD6550" w:rsidP="00AE614A">
      <w:pPr>
        <w:spacing w:after="120"/>
        <w:rPr>
          <w:rFonts w:ascii="Arial" w:hAnsi="Arial" w:cs="Arial"/>
        </w:rPr>
      </w:pPr>
      <w:r w:rsidRPr="00AE614A">
        <w:rPr>
          <w:rFonts w:ascii="Arial" w:hAnsi="Arial" w:cs="Arial"/>
        </w:rPr>
        <w:t xml:space="preserve">Both </w:t>
      </w:r>
      <w:r w:rsidR="00C47D5E">
        <w:rPr>
          <w:rFonts w:ascii="Arial" w:hAnsi="Arial" w:cs="Arial"/>
        </w:rPr>
        <w:t>GOA</w:t>
      </w:r>
      <w:r w:rsidRPr="00AE614A">
        <w:rPr>
          <w:rFonts w:ascii="Arial" w:hAnsi="Arial" w:cs="Arial"/>
        </w:rPr>
        <w:t xml:space="preserve"> and ADB funding arrangements with the Solomon Islands Government required the maintenance of accounts, preparation of annual financial statements, and auditing of financial statements, all of which were adhered to during implementation. An additional </w:t>
      </w:r>
      <w:r w:rsidR="00C47D5E">
        <w:rPr>
          <w:rFonts w:ascii="Arial" w:hAnsi="Arial" w:cs="Arial"/>
        </w:rPr>
        <w:t>GOA</w:t>
      </w:r>
      <w:r w:rsidRPr="00AE614A">
        <w:rPr>
          <w:rFonts w:ascii="Arial" w:hAnsi="Arial" w:cs="Arial"/>
        </w:rPr>
        <w:t xml:space="preserve"> condition deemed the MOFT internal audit division responsible for the NTF/STIIP internal audit, and for MID to engage a Fiduciary Expert to carry out a fiduciary and internal control review. The internal audit and fiduciary review did not take place. The audit reports for all years were unqualified.</w:t>
      </w:r>
    </w:p>
    <w:p w14:paraId="169A7876" w14:textId="77777777" w:rsidR="00FD6550" w:rsidRPr="00AE614A" w:rsidRDefault="00FD6550" w:rsidP="00AE614A">
      <w:pPr>
        <w:spacing w:after="120"/>
        <w:rPr>
          <w:rFonts w:ascii="Arial" w:hAnsi="Arial" w:cs="Arial"/>
        </w:rPr>
      </w:pPr>
    </w:p>
    <w:p w14:paraId="4577198B" w14:textId="275362F4" w:rsidR="00B50EA2" w:rsidRPr="00AE614A" w:rsidRDefault="00B50EA2" w:rsidP="00AE614A">
      <w:pPr>
        <w:pStyle w:val="ADBPara"/>
        <w:numPr>
          <w:ilvl w:val="0"/>
          <w:numId w:val="0"/>
        </w:numPr>
        <w:spacing w:before="0"/>
        <w:rPr>
          <w:rFonts w:cs="Arial"/>
          <w:i/>
          <w:iCs/>
          <w:szCs w:val="22"/>
          <w:u w:val="single"/>
        </w:rPr>
      </w:pPr>
      <w:r w:rsidRPr="00AE614A">
        <w:rPr>
          <w:rFonts w:cs="Arial"/>
          <w:i/>
          <w:iCs/>
          <w:szCs w:val="22"/>
          <w:u w:val="single"/>
        </w:rPr>
        <w:t>Procurement system</w:t>
      </w:r>
    </w:p>
    <w:p w14:paraId="24FAB9B3" w14:textId="1BC18558" w:rsidR="00592E66" w:rsidRPr="00AE614A" w:rsidRDefault="00023645" w:rsidP="00AE614A">
      <w:pPr>
        <w:spacing w:after="120"/>
        <w:rPr>
          <w:rFonts w:ascii="Arial" w:hAnsi="Arial" w:cs="Arial"/>
        </w:rPr>
      </w:pPr>
      <w:r w:rsidRPr="00AE614A">
        <w:rPr>
          <w:rFonts w:ascii="Arial" w:hAnsi="Arial" w:cs="Arial"/>
        </w:rPr>
        <w:lastRenderedPageBreak/>
        <w:t xml:space="preserve">STIIP relied upon SIG procurement systems. </w:t>
      </w:r>
      <w:r w:rsidR="00592E66" w:rsidRPr="00AE614A">
        <w:rPr>
          <w:rFonts w:ascii="Arial" w:hAnsi="Arial" w:cs="Arial"/>
        </w:rPr>
        <w:t xml:space="preserve">A Procurement and Contract Administration Manual (PCAM) </w:t>
      </w:r>
      <w:r w:rsidR="00887FF0" w:rsidRPr="00AE614A">
        <w:rPr>
          <w:rFonts w:ascii="Arial" w:hAnsi="Arial" w:cs="Arial"/>
        </w:rPr>
        <w:t xml:space="preserve">was developed in 2013 under the TSDP </w:t>
      </w:r>
      <w:r w:rsidR="00592E66" w:rsidRPr="00AE614A">
        <w:rPr>
          <w:rFonts w:ascii="Arial" w:hAnsi="Arial" w:cs="Arial"/>
        </w:rPr>
        <w:t>with associated standard bidding documents for the procurement of Works, Goods and Services, and sample bid evaluation reports.</w:t>
      </w:r>
      <w:r w:rsidR="00073D3B">
        <w:rPr>
          <w:rFonts w:ascii="Arial" w:hAnsi="Arial" w:cs="Arial"/>
        </w:rPr>
        <w:t xml:space="preserve"> GOA instituted a process throughout STIIP of issuing a ‘no objection letter’ (NOL) for the NTF procurement plan and contracts approved or amended. GOA was supported in its assessment and decision-making by a procurement adviser who had helped to develop the PCAM under the TSDP.</w:t>
      </w:r>
    </w:p>
    <w:p w14:paraId="77C979F6" w14:textId="5D216AD9" w:rsidR="004306F5" w:rsidRDefault="00DA16C1" w:rsidP="00AE614A">
      <w:pPr>
        <w:spacing w:after="120"/>
        <w:rPr>
          <w:rFonts w:ascii="Arial" w:hAnsi="Arial" w:cs="Arial"/>
        </w:rPr>
      </w:pPr>
      <w:r w:rsidRPr="00DA16C1">
        <w:rPr>
          <w:rFonts w:ascii="Arial" w:hAnsi="Arial" w:cs="Arial"/>
        </w:rPr>
        <w:t xml:space="preserve">The Review found that </w:t>
      </w:r>
      <w:r w:rsidR="00BE4543">
        <w:rPr>
          <w:rFonts w:ascii="Arial" w:hAnsi="Arial" w:cs="Arial"/>
        </w:rPr>
        <w:t>m</w:t>
      </w:r>
      <w:r w:rsidR="00BE4543" w:rsidRPr="002D469F">
        <w:rPr>
          <w:rFonts w:ascii="Arial" w:hAnsi="Arial" w:cs="Arial"/>
        </w:rPr>
        <w:t xml:space="preserve">any </w:t>
      </w:r>
      <w:r w:rsidR="00BE4543">
        <w:rPr>
          <w:rFonts w:ascii="Arial" w:hAnsi="Arial" w:cs="Arial"/>
        </w:rPr>
        <w:t xml:space="preserve">STIIP </w:t>
      </w:r>
      <w:r w:rsidR="00BE4543" w:rsidRPr="002D469F">
        <w:rPr>
          <w:rFonts w:ascii="Arial" w:hAnsi="Arial" w:cs="Arial"/>
        </w:rPr>
        <w:t>procurement</w:t>
      </w:r>
      <w:r w:rsidR="00BE4543">
        <w:rPr>
          <w:rFonts w:ascii="Arial" w:hAnsi="Arial" w:cs="Arial"/>
        </w:rPr>
        <w:t xml:space="preserve">s </w:t>
      </w:r>
      <w:r w:rsidR="00BE4543" w:rsidRPr="002D469F">
        <w:rPr>
          <w:rFonts w:ascii="Arial" w:hAnsi="Arial" w:cs="Arial"/>
        </w:rPr>
        <w:t>were delayed by</w:t>
      </w:r>
      <w:r w:rsidR="00BE4543">
        <w:rPr>
          <w:rFonts w:ascii="Arial" w:hAnsi="Arial" w:cs="Arial"/>
        </w:rPr>
        <w:t xml:space="preserve"> the</w:t>
      </w:r>
      <w:r w:rsidR="00BE4543" w:rsidRPr="002D469F">
        <w:rPr>
          <w:rFonts w:ascii="Arial" w:hAnsi="Arial" w:cs="Arial"/>
        </w:rPr>
        <w:t xml:space="preserve"> review</w:t>
      </w:r>
      <w:r w:rsidR="00BE4543">
        <w:rPr>
          <w:rFonts w:ascii="Arial" w:hAnsi="Arial" w:cs="Arial"/>
        </w:rPr>
        <w:t xml:space="preserve"> process undertaken by the Ministry of Finance and Treasury</w:t>
      </w:r>
      <w:r w:rsidR="00C70D67">
        <w:rPr>
          <w:rFonts w:ascii="Arial" w:hAnsi="Arial" w:cs="Arial"/>
        </w:rPr>
        <w:t xml:space="preserve"> (MOFT)</w:t>
      </w:r>
      <w:r w:rsidR="00BE4543" w:rsidRPr="002D469F">
        <w:rPr>
          <w:rFonts w:ascii="Arial" w:hAnsi="Arial" w:cs="Arial"/>
        </w:rPr>
        <w:t xml:space="preserve">. </w:t>
      </w:r>
      <w:r w:rsidR="00BE4543">
        <w:rPr>
          <w:rFonts w:ascii="Arial" w:hAnsi="Arial" w:cs="Arial"/>
        </w:rPr>
        <w:t xml:space="preserve">For proposed contract extensions, the </w:t>
      </w:r>
      <w:r w:rsidR="00BE4543" w:rsidRPr="002D469F">
        <w:rPr>
          <w:rFonts w:ascii="Arial" w:hAnsi="Arial" w:cs="Arial"/>
        </w:rPr>
        <w:t xml:space="preserve">MOFT </w:t>
      </w:r>
      <w:r w:rsidR="00BE4543">
        <w:rPr>
          <w:rFonts w:ascii="Arial" w:hAnsi="Arial" w:cs="Arial"/>
        </w:rPr>
        <w:t>review, performance evaluation and consideration took</w:t>
      </w:r>
      <w:r w:rsidR="00BE4543" w:rsidRPr="002D469F">
        <w:rPr>
          <w:rFonts w:ascii="Arial" w:hAnsi="Arial" w:cs="Arial"/>
        </w:rPr>
        <w:t xml:space="preserve"> 3-</w:t>
      </w:r>
      <w:r w:rsidR="00BE4543">
        <w:rPr>
          <w:rFonts w:ascii="Arial" w:hAnsi="Arial" w:cs="Arial"/>
        </w:rPr>
        <w:t xml:space="preserve">4 </w:t>
      </w:r>
      <w:r w:rsidR="00BE4543" w:rsidRPr="002D469F">
        <w:rPr>
          <w:rFonts w:ascii="Arial" w:hAnsi="Arial" w:cs="Arial"/>
        </w:rPr>
        <w:t>months</w:t>
      </w:r>
      <w:r w:rsidR="00BE4543">
        <w:rPr>
          <w:rFonts w:ascii="Arial" w:hAnsi="Arial" w:cs="Arial"/>
        </w:rPr>
        <w:t>.</w:t>
      </w:r>
      <w:r w:rsidR="00BE4543" w:rsidRPr="002D469F">
        <w:rPr>
          <w:rFonts w:ascii="Arial" w:hAnsi="Arial" w:cs="Arial"/>
        </w:rPr>
        <w:t xml:space="preserve"> After </w:t>
      </w:r>
      <w:r w:rsidR="00BE4543">
        <w:rPr>
          <w:rFonts w:ascii="Arial" w:hAnsi="Arial" w:cs="Arial"/>
        </w:rPr>
        <w:t>its review</w:t>
      </w:r>
      <w:r w:rsidR="00BE4543" w:rsidRPr="002D469F">
        <w:rPr>
          <w:rFonts w:ascii="Arial" w:hAnsi="Arial" w:cs="Arial"/>
        </w:rPr>
        <w:t xml:space="preserve">, MOFT agreed only to </w:t>
      </w:r>
      <w:r w:rsidR="00BE4543">
        <w:rPr>
          <w:rFonts w:ascii="Arial" w:hAnsi="Arial" w:cs="Arial"/>
        </w:rPr>
        <w:t xml:space="preserve">a </w:t>
      </w:r>
      <w:r w:rsidR="00BE4543" w:rsidRPr="002D469F">
        <w:rPr>
          <w:rFonts w:ascii="Arial" w:hAnsi="Arial" w:cs="Arial"/>
        </w:rPr>
        <w:t>6-month extension</w:t>
      </w:r>
      <w:r w:rsidR="00637A9F">
        <w:rPr>
          <w:rFonts w:ascii="Arial" w:hAnsi="Arial" w:cs="Arial"/>
        </w:rPr>
        <w:t xml:space="preserve"> after which time </w:t>
      </w:r>
      <w:r w:rsidR="00BE4543" w:rsidRPr="002D469F">
        <w:rPr>
          <w:rFonts w:ascii="Arial" w:hAnsi="Arial" w:cs="Arial"/>
        </w:rPr>
        <w:t>contracts ha</w:t>
      </w:r>
      <w:r w:rsidR="00BE4543">
        <w:rPr>
          <w:rFonts w:ascii="Arial" w:hAnsi="Arial" w:cs="Arial"/>
        </w:rPr>
        <w:t>d</w:t>
      </w:r>
      <w:r w:rsidR="00BE4543" w:rsidRPr="002D469F">
        <w:rPr>
          <w:rFonts w:ascii="Arial" w:hAnsi="Arial" w:cs="Arial"/>
        </w:rPr>
        <w:t xml:space="preserve"> to </w:t>
      </w:r>
      <w:r w:rsidR="00BE4543">
        <w:rPr>
          <w:rFonts w:ascii="Arial" w:hAnsi="Arial" w:cs="Arial"/>
        </w:rPr>
        <w:t>be re-tendered</w:t>
      </w:r>
      <w:r w:rsidR="00BE4543" w:rsidRPr="002D469F">
        <w:rPr>
          <w:rFonts w:ascii="Arial" w:hAnsi="Arial" w:cs="Arial"/>
        </w:rPr>
        <w:t xml:space="preserve">. </w:t>
      </w:r>
      <w:r w:rsidR="00BE4543">
        <w:rPr>
          <w:rFonts w:ascii="Arial" w:hAnsi="Arial" w:cs="Arial"/>
        </w:rPr>
        <w:t>Regarding the consultants’ and contractors’ performance evaluation</w:t>
      </w:r>
      <w:r w:rsidR="00BE4543" w:rsidRPr="002D469F">
        <w:rPr>
          <w:rFonts w:ascii="Arial" w:hAnsi="Arial" w:cs="Arial"/>
        </w:rPr>
        <w:t xml:space="preserve"> </w:t>
      </w:r>
      <w:r w:rsidR="00BE4543">
        <w:rPr>
          <w:rFonts w:ascii="Arial" w:hAnsi="Arial" w:cs="Arial"/>
        </w:rPr>
        <w:t xml:space="preserve">process, the </w:t>
      </w:r>
      <w:r w:rsidR="00BE4543" w:rsidRPr="002D469F">
        <w:rPr>
          <w:rFonts w:ascii="Arial" w:hAnsi="Arial" w:cs="Arial"/>
        </w:rPr>
        <w:t xml:space="preserve">CPIU noted that </w:t>
      </w:r>
      <w:r w:rsidR="00BE4543">
        <w:rPr>
          <w:rFonts w:ascii="Arial" w:hAnsi="Arial" w:cs="Arial"/>
        </w:rPr>
        <w:t>often MOFT had</w:t>
      </w:r>
      <w:r w:rsidR="00BE4543" w:rsidRPr="002D469F">
        <w:rPr>
          <w:rFonts w:ascii="Arial" w:hAnsi="Arial" w:cs="Arial"/>
        </w:rPr>
        <w:t xml:space="preserve"> </w:t>
      </w:r>
      <w:r w:rsidR="00BE4543">
        <w:rPr>
          <w:rFonts w:ascii="Arial" w:hAnsi="Arial" w:cs="Arial"/>
        </w:rPr>
        <w:t>no</w:t>
      </w:r>
      <w:r w:rsidR="00BE4543" w:rsidRPr="002D469F">
        <w:rPr>
          <w:rFonts w:ascii="Arial" w:hAnsi="Arial" w:cs="Arial"/>
        </w:rPr>
        <w:t xml:space="preserve"> comments</w:t>
      </w:r>
      <w:r w:rsidR="00BE4543">
        <w:rPr>
          <w:rFonts w:ascii="Arial" w:hAnsi="Arial" w:cs="Arial"/>
        </w:rPr>
        <w:t>, but held the documents for several months.</w:t>
      </w:r>
      <w:r w:rsidR="00403194">
        <w:rPr>
          <w:rFonts w:ascii="Arial" w:hAnsi="Arial" w:cs="Arial"/>
        </w:rPr>
        <w:t xml:space="preserve"> </w:t>
      </w:r>
      <w:r w:rsidR="00403194" w:rsidRPr="00AD0AFA">
        <w:rPr>
          <w:rFonts w:ascii="Arial" w:hAnsi="Arial" w:cs="Arial"/>
        </w:rPr>
        <w:t>In the September 2022</w:t>
      </w:r>
      <w:r w:rsidR="00403194" w:rsidRPr="006E41D9">
        <w:rPr>
          <w:rFonts w:ascii="Arial" w:hAnsi="Arial" w:cs="Arial"/>
        </w:rPr>
        <w:t xml:space="preserve"> </w:t>
      </w:r>
      <w:r w:rsidR="00403194" w:rsidRPr="00AD0AFA">
        <w:rPr>
          <w:rFonts w:ascii="Arial" w:hAnsi="Arial" w:cs="Arial"/>
        </w:rPr>
        <w:t xml:space="preserve">NTF Board meeting, CPIU </w:t>
      </w:r>
      <w:r w:rsidR="00403194">
        <w:rPr>
          <w:rFonts w:ascii="Arial" w:hAnsi="Arial" w:cs="Arial"/>
        </w:rPr>
        <w:t>recommended</w:t>
      </w:r>
      <w:r w:rsidR="00403194" w:rsidRPr="00AD0AFA">
        <w:rPr>
          <w:rFonts w:ascii="Arial" w:hAnsi="Arial" w:cs="Arial"/>
        </w:rPr>
        <w:t xml:space="preserve"> that MOFT be given a time </w:t>
      </w:r>
      <w:r w:rsidR="00403194">
        <w:rPr>
          <w:rFonts w:ascii="Arial" w:hAnsi="Arial" w:cs="Arial"/>
        </w:rPr>
        <w:t xml:space="preserve">limit </w:t>
      </w:r>
      <w:r w:rsidR="00403194" w:rsidRPr="00AD0AFA">
        <w:rPr>
          <w:rFonts w:ascii="Arial" w:hAnsi="Arial" w:cs="Arial"/>
        </w:rPr>
        <w:t xml:space="preserve">for their review and approval. CPIU has no </w:t>
      </w:r>
      <w:r w:rsidR="00403194">
        <w:rPr>
          <w:rFonts w:ascii="Arial" w:hAnsi="Arial" w:cs="Arial"/>
        </w:rPr>
        <w:t>authority</w:t>
      </w:r>
      <w:r w:rsidR="00403194" w:rsidRPr="00AD0AFA">
        <w:rPr>
          <w:rFonts w:ascii="Arial" w:hAnsi="Arial" w:cs="Arial"/>
        </w:rPr>
        <w:t xml:space="preserve"> to directly coordinate with MOFT</w:t>
      </w:r>
      <w:r w:rsidR="00403194">
        <w:rPr>
          <w:rFonts w:ascii="Arial" w:hAnsi="Arial" w:cs="Arial"/>
        </w:rPr>
        <w:t xml:space="preserve"> and c</w:t>
      </w:r>
      <w:r w:rsidR="00403194" w:rsidRPr="00AD0AFA">
        <w:rPr>
          <w:rFonts w:ascii="Arial" w:hAnsi="Arial" w:cs="Arial"/>
        </w:rPr>
        <w:t>an only make recommendations to MID.</w:t>
      </w:r>
    </w:p>
    <w:p w14:paraId="49EAFF7E" w14:textId="77777777" w:rsidR="00637A9F" w:rsidRDefault="00637A9F" w:rsidP="00637A9F">
      <w:pPr>
        <w:spacing w:after="120"/>
        <w:rPr>
          <w:rFonts w:ascii="Arial" w:hAnsi="Arial" w:cs="Arial"/>
        </w:rPr>
      </w:pPr>
      <w:r>
        <w:rPr>
          <w:rFonts w:ascii="Arial" w:hAnsi="Arial" w:cs="Arial"/>
        </w:rPr>
        <w:t>A</w:t>
      </w:r>
      <w:r w:rsidRPr="4F52FDA7">
        <w:rPr>
          <w:rFonts w:ascii="Arial" w:hAnsi="Arial" w:cs="Arial"/>
        </w:rPr>
        <w:t xml:space="preserve"> procurement audit </w:t>
      </w:r>
      <w:r>
        <w:rPr>
          <w:rFonts w:ascii="Arial" w:hAnsi="Arial" w:cs="Arial"/>
        </w:rPr>
        <w:t xml:space="preserve">undertaken between May 2021 and September 2022 </w:t>
      </w:r>
      <w:r w:rsidRPr="4F52FDA7">
        <w:rPr>
          <w:rFonts w:ascii="Arial" w:hAnsi="Arial" w:cs="Arial"/>
        </w:rPr>
        <w:t xml:space="preserve">highlighted that the </w:t>
      </w:r>
      <w:r>
        <w:rPr>
          <w:rFonts w:ascii="Arial" w:hAnsi="Arial" w:cs="Arial"/>
        </w:rPr>
        <w:t>PCAM</w:t>
      </w:r>
      <w:r w:rsidRPr="4F52FDA7">
        <w:rPr>
          <w:rFonts w:ascii="Arial" w:hAnsi="Arial" w:cs="Arial"/>
        </w:rPr>
        <w:t xml:space="preserve"> </w:t>
      </w:r>
      <w:r>
        <w:rPr>
          <w:rFonts w:ascii="Arial" w:hAnsi="Arial" w:cs="Arial"/>
        </w:rPr>
        <w:t>was</w:t>
      </w:r>
      <w:r w:rsidRPr="4F52FDA7">
        <w:rPr>
          <w:rFonts w:ascii="Arial" w:hAnsi="Arial" w:cs="Arial"/>
        </w:rPr>
        <w:t xml:space="preserve"> revised to make it contemporary in terms of international standards </w:t>
      </w:r>
      <w:r>
        <w:rPr>
          <w:rFonts w:ascii="Arial" w:hAnsi="Arial" w:cs="Arial"/>
        </w:rPr>
        <w:t>inc</w:t>
      </w:r>
      <w:r w:rsidRPr="4F52FDA7">
        <w:rPr>
          <w:rFonts w:ascii="Arial" w:hAnsi="Arial" w:cs="Arial"/>
        </w:rPr>
        <w:t>or</w:t>
      </w:r>
      <w:r>
        <w:rPr>
          <w:rFonts w:ascii="Arial" w:hAnsi="Arial" w:cs="Arial"/>
        </w:rPr>
        <w:t>porating</w:t>
      </w:r>
      <w:r w:rsidRPr="4F52FDA7">
        <w:rPr>
          <w:rFonts w:ascii="Arial" w:hAnsi="Arial" w:cs="Arial"/>
        </w:rPr>
        <w:t xml:space="preserve"> donor funded procurement principles and regulation. </w:t>
      </w:r>
      <w:r>
        <w:rPr>
          <w:rFonts w:ascii="Arial" w:hAnsi="Arial" w:cs="Arial"/>
        </w:rPr>
        <w:t>However, t</w:t>
      </w:r>
      <w:r w:rsidRPr="4F52FDA7">
        <w:rPr>
          <w:rFonts w:ascii="Arial" w:hAnsi="Arial" w:cs="Arial"/>
        </w:rPr>
        <w:t>he</w:t>
      </w:r>
      <w:r>
        <w:rPr>
          <w:rFonts w:ascii="Arial" w:hAnsi="Arial" w:cs="Arial"/>
        </w:rPr>
        <w:t xml:space="preserve"> audit observed that </w:t>
      </w:r>
      <w:r w:rsidRPr="4F52FDA7">
        <w:rPr>
          <w:rFonts w:ascii="Arial" w:hAnsi="Arial" w:cs="Arial"/>
        </w:rPr>
        <w:t xml:space="preserve">the procurement manual did not </w:t>
      </w:r>
      <w:r>
        <w:rPr>
          <w:rFonts w:ascii="Arial" w:hAnsi="Arial" w:cs="Arial"/>
        </w:rPr>
        <w:t xml:space="preserve">require users to </w:t>
      </w:r>
      <w:r w:rsidRPr="4F52FDA7">
        <w:rPr>
          <w:rFonts w:ascii="Arial" w:hAnsi="Arial" w:cs="Arial"/>
        </w:rPr>
        <w:t>consider</w:t>
      </w:r>
      <w:r>
        <w:rPr>
          <w:rFonts w:ascii="Arial" w:hAnsi="Arial" w:cs="Arial"/>
        </w:rPr>
        <w:t xml:space="preserve"> the cumulative value of existing and future contracts when assessing if the bidder satisfied the </w:t>
      </w:r>
      <w:r w:rsidRPr="4F52FDA7">
        <w:rPr>
          <w:rFonts w:ascii="Arial" w:hAnsi="Arial" w:cs="Arial"/>
        </w:rPr>
        <w:t xml:space="preserve">financial qualification criteria. For example, the </w:t>
      </w:r>
      <w:r>
        <w:rPr>
          <w:rFonts w:ascii="Arial" w:hAnsi="Arial" w:cs="Arial"/>
        </w:rPr>
        <w:t xml:space="preserve">STIIP </w:t>
      </w:r>
      <w:r w:rsidRPr="4F52FDA7">
        <w:rPr>
          <w:rFonts w:ascii="Arial" w:hAnsi="Arial" w:cs="Arial"/>
        </w:rPr>
        <w:t xml:space="preserve">Bid Evaluation Committee recommended </w:t>
      </w:r>
      <w:r>
        <w:rPr>
          <w:rFonts w:ascii="Arial" w:hAnsi="Arial" w:cs="Arial"/>
        </w:rPr>
        <w:t>the Central Tender Board</w:t>
      </w:r>
      <w:r w:rsidRPr="4F52FDA7">
        <w:rPr>
          <w:rFonts w:ascii="Arial" w:hAnsi="Arial" w:cs="Arial"/>
        </w:rPr>
        <w:t xml:space="preserve"> </w:t>
      </w:r>
      <w:r>
        <w:rPr>
          <w:rFonts w:ascii="Arial" w:hAnsi="Arial" w:cs="Arial"/>
        </w:rPr>
        <w:t xml:space="preserve">(CTB) </w:t>
      </w:r>
      <w:r w:rsidRPr="4F52FDA7">
        <w:rPr>
          <w:rFonts w:ascii="Arial" w:hAnsi="Arial" w:cs="Arial"/>
        </w:rPr>
        <w:t xml:space="preserve">to award the </w:t>
      </w:r>
      <w:r>
        <w:rPr>
          <w:rFonts w:ascii="Arial" w:hAnsi="Arial" w:cs="Arial"/>
        </w:rPr>
        <w:t xml:space="preserve">SBD 5.1 million </w:t>
      </w:r>
      <w:r w:rsidRPr="4F52FDA7">
        <w:rPr>
          <w:rFonts w:ascii="Arial" w:hAnsi="Arial" w:cs="Arial"/>
        </w:rPr>
        <w:t>North Malaita Drainage structures</w:t>
      </w:r>
      <w:r>
        <w:rPr>
          <w:rFonts w:ascii="Arial" w:hAnsi="Arial" w:cs="Arial"/>
        </w:rPr>
        <w:t xml:space="preserve"> contract</w:t>
      </w:r>
      <w:r w:rsidRPr="4F52FDA7">
        <w:rPr>
          <w:rFonts w:ascii="Arial" w:hAnsi="Arial" w:cs="Arial"/>
        </w:rPr>
        <w:t xml:space="preserve"> to </w:t>
      </w:r>
      <w:r>
        <w:rPr>
          <w:rFonts w:ascii="Arial" w:hAnsi="Arial" w:cs="Arial"/>
        </w:rPr>
        <w:t xml:space="preserve">a </w:t>
      </w:r>
      <w:r w:rsidRPr="4F52FDA7">
        <w:rPr>
          <w:rFonts w:ascii="Arial" w:hAnsi="Arial" w:cs="Arial"/>
        </w:rPr>
        <w:t xml:space="preserve">contractor </w:t>
      </w:r>
      <w:r>
        <w:rPr>
          <w:rFonts w:ascii="Arial" w:hAnsi="Arial" w:cs="Arial"/>
        </w:rPr>
        <w:t xml:space="preserve">that </w:t>
      </w:r>
      <w:r w:rsidRPr="4F52FDA7">
        <w:rPr>
          <w:rFonts w:ascii="Arial" w:hAnsi="Arial" w:cs="Arial"/>
        </w:rPr>
        <w:t xml:space="preserve">was </w:t>
      </w:r>
      <w:r>
        <w:rPr>
          <w:rFonts w:ascii="Arial" w:hAnsi="Arial" w:cs="Arial"/>
        </w:rPr>
        <w:t xml:space="preserve">deemed </w:t>
      </w:r>
      <w:r w:rsidRPr="4F52FDA7">
        <w:rPr>
          <w:rFonts w:ascii="Arial" w:hAnsi="Arial" w:cs="Arial"/>
        </w:rPr>
        <w:t xml:space="preserve">financially capable of doing only the awarded contract. </w:t>
      </w:r>
      <w:r>
        <w:rPr>
          <w:rFonts w:ascii="Arial" w:hAnsi="Arial" w:cs="Arial"/>
        </w:rPr>
        <w:t xml:space="preserve">The </w:t>
      </w:r>
      <w:r w:rsidRPr="4F52FDA7">
        <w:rPr>
          <w:rFonts w:ascii="Arial" w:hAnsi="Arial" w:cs="Arial"/>
        </w:rPr>
        <w:t xml:space="preserve">CTB </w:t>
      </w:r>
      <w:r>
        <w:rPr>
          <w:rFonts w:ascii="Arial" w:hAnsi="Arial" w:cs="Arial"/>
        </w:rPr>
        <w:t xml:space="preserve">in parallel </w:t>
      </w:r>
      <w:r w:rsidRPr="4F52FDA7">
        <w:rPr>
          <w:rFonts w:ascii="Arial" w:hAnsi="Arial" w:cs="Arial"/>
        </w:rPr>
        <w:t xml:space="preserve">awarded </w:t>
      </w:r>
      <w:r>
        <w:rPr>
          <w:rFonts w:ascii="Arial" w:hAnsi="Arial" w:cs="Arial"/>
        </w:rPr>
        <w:t xml:space="preserve">the same contractor the SBD 13.6 million </w:t>
      </w:r>
      <w:r w:rsidRPr="4F52FDA7">
        <w:rPr>
          <w:rFonts w:ascii="Arial" w:hAnsi="Arial" w:cs="Arial"/>
        </w:rPr>
        <w:t>SIG</w:t>
      </w:r>
      <w:r>
        <w:rPr>
          <w:rFonts w:ascii="Arial" w:hAnsi="Arial" w:cs="Arial"/>
        </w:rPr>
        <w:t>-</w:t>
      </w:r>
      <w:r w:rsidRPr="4F52FDA7">
        <w:rPr>
          <w:rFonts w:ascii="Arial" w:hAnsi="Arial" w:cs="Arial"/>
        </w:rPr>
        <w:t xml:space="preserve">funded Malu’u </w:t>
      </w:r>
      <w:r>
        <w:rPr>
          <w:rFonts w:ascii="Arial" w:hAnsi="Arial" w:cs="Arial"/>
        </w:rPr>
        <w:t>W</w:t>
      </w:r>
      <w:r w:rsidRPr="4F52FDA7">
        <w:rPr>
          <w:rFonts w:ascii="Arial" w:hAnsi="Arial" w:cs="Arial"/>
        </w:rPr>
        <w:t xml:space="preserve">harf </w:t>
      </w:r>
      <w:r>
        <w:rPr>
          <w:rFonts w:ascii="Arial" w:hAnsi="Arial" w:cs="Arial"/>
        </w:rPr>
        <w:t xml:space="preserve">(funded outside of the NTF procurement plan) </w:t>
      </w:r>
      <w:r w:rsidRPr="4F52FDA7">
        <w:rPr>
          <w:rFonts w:ascii="Arial" w:hAnsi="Arial" w:cs="Arial"/>
        </w:rPr>
        <w:t xml:space="preserve">contract without reassessing </w:t>
      </w:r>
      <w:r>
        <w:rPr>
          <w:rFonts w:ascii="Arial" w:hAnsi="Arial" w:cs="Arial"/>
        </w:rPr>
        <w:t>if the bidder could service the cash flow demands of the combined SBD 18.7 million contract values. When work stalled</w:t>
      </w:r>
      <w:r w:rsidRPr="4F52FDA7">
        <w:rPr>
          <w:rFonts w:ascii="Arial" w:hAnsi="Arial" w:cs="Arial"/>
        </w:rPr>
        <w:t>, the contractor</w:t>
      </w:r>
      <w:r>
        <w:rPr>
          <w:rFonts w:ascii="Arial" w:hAnsi="Arial" w:cs="Arial"/>
        </w:rPr>
        <w:t xml:space="preserve"> cited cash flow difficulties as the reason for </w:t>
      </w:r>
      <w:r w:rsidRPr="4F52FDA7">
        <w:rPr>
          <w:rFonts w:ascii="Arial" w:hAnsi="Arial" w:cs="Arial"/>
        </w:rPr>
        <w:t xml:space="preserve">unsatisfactory </w:t>
      </w:r>
      <w:r>
        <w:rPr>
          <w:rFonts w:ascii="Arial" w:hAnsi="Arial" w:cs="Arial"/>
        </w:rPr>
        <w:t>performance.</w:t>
      </w:r>
    </w:p>
    <w:p w14:paraId="62837F19" w14:textId="77777777" w:rsidR="00270068" w:rsidRDefault="00270068" w:rsidP="00AE614A">
      <w:pPr>
        <w:spacing w:after="120"/>
        <w:jc w:val="left"/>
        <w:rPr>
          <w:rFonts w:ascii="Arial" w:hAnsi="Arial" w:cs="Arial"/>
          <w:b/>
          <w:bCs/>
        </w:rPr>
      </w:pPr>
    </w:p>
    <w:p w14:paraId="2ACCA790" w14:textId="4EB72140" w:rsidR="00B63DE6" w:rsidRPr="00AE614A" w:rsidRDefault="00E67CB5" w:rsidP="00AE614A">
      <w:pPr>
        <w:spacing w:after="120"/>
        <w:jc w:val="left"/>
        <w:rPr>
          <w:rFonts w:ascii="Arial" w:hAnsi="Arial" w:cs="Arial"/>
          <w:b/>
          <w:bCs/>
        </w:rPr>
      </w:pPr>
      <w:r w:rsidRPr="00AE614A">
        <w:rPr>
          <w:rFonts w:ascii="Arial" w:hAnsi="Arial" w:cs="Arial"/>
          <w:b/>
          <w:bCs/>
        </w:rPr>
        <w:t>Outcome</w:t>
      </w:r>
      <w:r w:rsidR="00B63DE6" w:rsidRPr="00AE614A">
        <w:rPr>
          <w:rFonts w:ascii="Arial" w:hAnsi="Arial" w:cs="Arial"/>
          <w:b/>
          <w:bCs/>
        </w:rPr>
        <w:t xml:space="preserve"> 3: </w:t>
      </w:r>
      <w:r w:rsidR="00F2383F" w:rsidRPr="00AE614A">
        <w:rPr>
          <w:rFonts w:ascii="Arial" w:hAnsi="Arial" w:cs="Arial"/>
          <w:b/>
          <w:bCs/>
        </w:rPr>
        <w:t>I</w:t>
      </w:r>
      <w:r w:rsidR="00B63DE6" w:rsidRPr="00AE614A">
        <w:rPr>
          <w:rFonts w:ascii="Arial" w:hAnsi="Arial" w:cs="Arial"/>
          <w:b/>
          <w:bCs/>
        </w:rPr>
        <w:t xml:space="preserve">mprove knowledge and use of transport asset management systems to serve </w:t>
      </w:r>
      <w:r w:rsidR="00015B90" w:rsidRPr="00AE614A">
        <w:rPr>
          <w:rFonts w:ascii="Arial" w:hAnsi="Arial" w:cs="Arial"/>
          <w:b/>
          <w:bCs/>
        </w:rPr>
        <w:t xml:space="preserve">NTF </w:t>
      </w:r>
      <w:r w:rsidR="00B63DE6" w:rsidRPr="00AE614A">
        <w:rPr>
          <w:rFonts w:ascii="Arial" w:hAnsi="Arial" w:cs="Arial"/>
          <w:b/>
          <w:bCs/>
        </w:rPr>
        <w:t>decision making and budgeting</w:t>
      </w:r>
    </w:p>
    <w:p w14:paraId="3A519144" w14:textId="0151FA1B" w:rsidR="00B918D8" w:rsidRPr="00AE614A" w:rsidRDefault="001B385C" w:rsidP="00AE614A">
      <w:pPr>
        <w:autoSpaceDE w:val="0"/>
        <w:autoSpaceDN w:val="0"/>
        <w:adjustRightInd w:val="0"/>
        <w:spacing w:after="120"/>
        <w:jc w:val="left"/>
        <w:rPr>
          <w:rFonts w:ascii="Arial" w:hAnsi="Arial" w:cs="Arial"/>
          <w:color w:val="201F1E"/>
          <w:lang w:val="en-AU"/>
        </w:rPr>
      </w:pPr>
      <w:r w:rsidRPr="00AE614A">
        <w:rPr>
          <w:rFonts w:ascii="Arial" w:hAnsi="Arial" w:cs="Arial"/>
          <w:color w:val="000000"/>
          <w:lang w:val="en-AU"/>
        </w:rPr>
        <w:t>Of the seven</w:t>
      </w:r>
      <w:r w:rsidR="00E4471A" w:rsidRPr="00AE614A">
        <w:rPr>
          <w:rFonts w:ascii="Arial" w:hAnsi="Arial" w:cs="Arial"/>
          <w:color w:val="000000"/>
          <w:lang w:val="en-AU"/>
        </w:rPr>
        <w:t xml:space="preserve"> </w:t>
      </w:r>
      <w:r w:rsidR="008C7570" w:rsidRPr="00AE614A">
        <w:rPr>
          <w:rFonts w:ascii="Arial" w:hAnsi="Arial" w:cs="Arial"/>
          <w:color w:val="000000"/>
          <w:lang w:val="en-AU"/>
        </w:rPr>
        <w:t>targets</w:t>
      </w:r>
      <w:r w:rsidR="00E67CB5" w:rsidRPr="00AE614A">
        <w:rPr>
          <w:rFonts w:ascii="Arial" w:hAnsi="Arial" w:cs="Arial"/>
          <w:color w:val="000000"/>
          <w:lang w:val="en-AU"/>
        </w:rPr>
        <w:t xml:space="preserve"> for outcome 3</w:t>
      </w:r>
      <w:r w:rsidRPr="00AE614A">
        <w:rPr>
          <w:rFonts w:ascii="Arial" w:hAnsi="Arial" w:cs="Arial"/>
          <w:color w:val="000000"/>
          <w:lang w:val="en-AU"/>
        </w:rPr>
        <w:t xml:space="preserve">, </w:t>
      </w:r>
      <w:r w:rsidR="00E67CB5" w:rsidRPr="00AE614A">
        <w:rPr>
          <w:rFonts w:ascii="Arial" w:hAnsi="Arial" w:cs="Arial"/>
          <w:color w:val="000000"/>
          <w:lang w:val="en-AU"/>
        </w:rPr>
        <w:t>five were achieved</w:t>
      </w:r>
      <w:r w:rsidR="00E4471A" w:rsidRPr="00AE614A">
        <w:rPr>
          <w:rFonts w:ascii="Arial" w:hAnsi="Arial" w:cs="Arial"/>
          <w:color w:val="000000"/>
          <w:lang w:val="en-AU"/>
        </w:rPr>
        <w:t>. The targeted increase in total MID staff</w:t>
      </w:r>
      <w:r w:rsidR="00BE50D0" w:rsidRPr="00AE614A">
        <w:rPr>
          <w:rFonts w:ascii="Arial" w:hAnsi="Arial" w:cs="Arial"/>
          <w:color w:val="000000"/>
          <w:lang w:val="en-AU"/>
        </w:rPr>
        <w:t xml:space="preserve"> </w:t>
      </w:r>
      <w:r w:rsidR="00E4471A" w:rsidRPr="00AE614A">
        <w:rPr>
          <w:rFonts w:ascii="Arial" w:hAnsi="Arial" w:cs="Arial"/>
          <w:color w:val="000000"/>
          <w:lang w:val="en-AU"/>
        </w:rPr>
        <w:t>numbers in key core areas was achieved. SIG appointed and funded an additional procurement</w:t>
      </w:r>
      <w:r w:rsidR="00BE50D0" w:rsidRPr="00AE614A">
        <w:rPr>
          <w:rFonts w:ascii="Arial" w:hAnsi="Arial" w:cs="Arial"/>
          <w:color w:val="000000"/>
          <w:lang w:val="en-AU"/>
        </w:rPr>
        <w:t xml:space="preserve"> </w:t>
      </w:r>
      <w:r w:rsidR="00E4471A" w:rsidRPr="00AE614A">
        <w:rPr>
          <w:rFonts w:ascii="Arial" w:hAnsi="Arial" w:cs="Arial"/>
          <w:color w:val="000000"/>
          <w:lang w:val="en-AU"/>
        </w:rPr>
        <w:t>specialist and safeguards officer</w:t>
      </w:r>
      <w:r w:rsidR="00794FF3" w:rsidRPr="00AE614A">
        <w:rPr>
          <w:rFonts w:ascii="Arial" w:hAnsi="Arial" w:cs="Arial"/>
          <w:color w:val="000000"/>
          <w:lang w:val="en-AU"/>
        </w:rPr>
        <w:t xml:space="preserve">; the </w:t>
      </w:r>
      <w:r w:rsidR="00E4471A" w:rsidRPr="00AE614A">
        <w:rPr>
          <w:rFonts w:ascii="Arial" w:hAnsi="Arial" w:cs="Arial"/>
          <w:color w:val="000000"/>
          <w:lang w:val="en-AU"/>
        </w:rPr>
        <w:t>CPIU chief safeguards officer was redesignated</w:t>
      </w:r>
      <w:r w:rsidR="00BE50D0" w:rsidRPr="00AE614A">
        <w:rPr>
          <w:rFonts w:ascii="Arial" w:hAnsi="Arial" w:cs="Arial"/>
          <w:color w:val="000000"/>
          <w:lang w:val="en-AU"/>
        </w:rPr>
        <w:t xml:space="preserve"> </w:t>
      </w:r>
      <w:r w:rsidR="00E4471A" w:rsidRPr="00AE614A">
        <w:rPr>
          <w:rFonts w:ascii="Arial" w:hAnsi="Arial" w:cs="Arial"/>
          <w:color w:val="000000"/>
          <w:lang w:val="en-AU"/>
        </w:rPr>
        <w:t xml:space="preserve">as the monitoring </w:t>
      </w:r>
      <w:r w:rsidR="00AA1ABB" w:rsidRPr="00AE614A">
        <w:rPr>
          <w:rFonts w:ascii="Arial" w:hAnsi="Arial" w:cs="Arial"/>
          <w:color w:val="000000"/>
          <w:lang w:val="en-AU"/>
        </w:rPr>
        <w:t>and</w:t>
      </w:r>
      <w:r w:rsidR="00E4471A" w:rsidRPr="00AE614A">
        <w:rPr>
          <w:rFonts w:ascii="Arial" w:hAnsi="Arial" w:cs="Arial"/>
          <w:color w:val="000000"/>
          <w:lang w:val="en-AU"/>
        </w:rPr>
        <w:t xml:space="preserve"> evaluation officer in 2020. The road network and wharves inventoried,</w:t>
      </w:r>
      <w:r w:rsidR="00A27734" w:rsidRPr="00AE614A">
        <w:rPr>
          <w:rFonts w:ascii="Arial" w:hAnsi="Arial" w:cs="Arial"/>
          <w:color w:val="000000"/>
          <w:lang w:val="en-AU"/>
        </w:rPr>
        <w:t xml:space="preserve"> </w:t>
      </w:r>
      <w:r w:rsidR="00E4471A" w:rsidRPr="00AE614A">
        <w:rPr>
          <w:rFonts w:ascii="Arial" w:hAnsi="Arial" w:cs="Arial"/>
          <w:color w:val="000000"/>
          <w:lang w:val="en-AU"/>
        </w:rPr>
        <w:t>and condition surveyed target was achieved through the development of SITAMS in 2017.</w:t>
      </w:r>
      <w:r w:rsidR="009C04A6" w:rsidRPr="00AE614A">
        <w:rPr>
          <w:rStyle w:val="FootnoteReference"/>
          <w:rFonts w:ascii="Arial" w:hAnsi="Arial" w:cs="Arial"/>
          <w:color w:val="000000"/>
          <w:lang w:val="en-AU"/>
        </w:rPr>
        <w:footnoteReference w:id="5"/>
      </w:r>
      <w:r w:rsidRPr="00AE614A">
        <w:rPr>
          <w:rFonts w:ascii="Arial" w:hAnsi="Arial" w:cs="Arial"/>
          <w:color w:val="201F1E"/>
          <w:lang w:val="en-AU"/>
        </w:rPr>
        <w:t xml:space="preserve"> </w:t>
      </w:r>
      <w:r w:rsidRPr="00AE614A">
        <w:rPr>
          <w:rFonts w:ascii="Arial" w:hAnsi="Arial" w:cs="Arial"/>
          <w:color w:val="000000"/>
          <w:lang w:val="en-AU"/>
        </w:rPr>
        <w:t xml:space="preserve">The targeted reduction of annual </w:t>
      </w:r>
      <w:r w:rsidR="00D179D8" w:rsidRPr="00AE614A">
        <w:rPr>
          <w:rFonts w:ascii="Arial" w:hAnsi="Arial" w:cs="Arial"/>
          <w:color w:val="000000"/>
          <w:lang w:val="en-AU"/>
        </w:rPr>
        <w:t>labour-based equipment supported (</w:t>
      </w:r>
      <w:r w:rsidRPr="00AE614A">
        <w:rPr>
          <w:rFonts w:ascii="Arial" w:hAnsi="Arial" w:cs="Arial"/>
          <w:color w:val="000000"/>
          <w:lang w:val="en-AU"/>
        </w:rPr>
        <w:t>LBES</w:t>
      </w:r>
      <w:r w:rsidR="00D179D8" w:rsidRPr="00AE614A">
        <w:rPr>
          <w:rFonts w:ascii="Arial" w:hAnsi="Arial" w:cs="Arial"/>
          <w:color w:val="000000"/>
          <w:lang w:val="en-AU"/>
        </w:rPr>
        <w:t>)</w:t>
      </w:r>
      <w:r w:rsidRPr="00AE614A">
        <w:rPr>
          <w:rFonts w:ascii="Arial" w:hAnsi="Arial" w:cs="Arial"/>
          <w:color w:val="000000"/>
          <w:lang w:val="en-AU"/>
        </w:rPr>
        <w:t xml:space="preserve"> contracts was achieved. Only</w:t>
      </w:r>
      <w:r w:rsidR="00A27734" w:rsidRPr="00AE614A">
        <w:rPr>
          <w:rFonts w:ascii="Arial" w:hAnsi="Arial" w:cs="Arial"/>
          <w:color w:val="000000"/>
          <w:lang w:val="en-AU"/>
        </w:rPr>
        <w:t xml:space="preserve"> </w:t>
      </w:r>
      <w:r w:rsidRPr="00AE614A">
        <w:rPr>
          <w:rFonts w:ascii="Arial" w:hAnsi="Arial" w:cs="Arial"/>
          <w:color w:val="000000"/>
          <w:lang w:val="en-AU"/>
        </w:rPr>
        <w:t>27 LBES contracts were active in 2020 (compared to the 2014 baseline of 60 contracts). Although</w:t>
      </w:r>
      <w:r w:rsidR="00A27734" w:rsidRPr="00AE614A">
        <w:rPr>
          <w:rFonts w:ascii="Arial" w:hAnsi="Arial" w:cs="Arial"/>
          <w:color w:val="000000"/>
          <w:lang w:val="en-AU"/>
        </w:rPr>
        <w:t xml:space="preserve"> </w:t>
      </w:r>
      <w:r w:rsidRPr="00AE614A">
        <w:rPr>
          <w:rFonts w:ascii="Arial" w:hAnsi="Arial" w:cs="Arial"/>
          <w:color w:val="000000"/>
          <w:lang w:val="en-AU"/>
        </w:rPr>
        <w:t>this reduction was achieved without any review of coverage, the LBES projects were executed</w:t>
      </w:r>
      <w:r w:rsidR="00A27734" w:rsidRPr="00AE614A">
        <w:rPr>
          <w:rFonts w:ascii="Arial" w:hAnsi="Arial" w:cs="Arial"/>
          <w:color w:val="000000"/>
          <w:lang w:val="en-AU"/>
        </w:rPr>
        <w:t xml:space="preserve"> </w:t>
      </w:r>
      <w:r w:rsidRPr="00AE614A">
        <w:rPr>
          <w:rFonts w:ascii="Arial" w:hAnsi="Arial" w:cs="Arial"/>
          <w:color w:val="000000"/>
          <w:lang w:val="en-AU"/>
        </w:rPr>
        <w:t>in all provinces except Central Island and Choiseul. Annual</w:t>
      </w:r>
      <w:r w:rsidR="00A27734" w:rsidRPr="00AE614A">
        <w:rPr>
          <w:rFonts w:ascii="Arial" w:hAnsi="Arial" w:cs="Arial"/>
          <w:color w:val="000000"/>
          <w:lang w:val="en-AU"/>
        </w:rPr>
        <w:t xml:space="preserve"> </w:t>
      </w:r>
      <w:r w:rsidRPr="00AE614A">
        <w:rPr>
          <w:rFonts w:ascii="Arial" w:hAnsi="Arial" w:cs="Arial"/>
          <w:color w:val="000000"/>
          <w:lang w:val="en-AU"/>
        </w:rPr>
        <w:t xml:space="preserve">NTF disbursement rate targeting an annual minimum SDB94 million spend was achieved </w:t>
      </w:r>
      <w:r w:rsidR="00A27734" w:rsidRPr="00AE614A">
        <w:rPr>
          <w:rFonts w:ascii="Arial" w:hAnsi="Arial" w:cs="Arial"/>
          <w:color w:val="000000"/>
          <w:lang w:val="en-AU"/>
        </w:rPr>
        <w:t>–</w:t>
      </w:r>
      <w:r w:rsidRPr="00AE614A">
        <w:rPr>
          <w:rFonts w:ascii="Arial" w:hAnsi="Arial" w:cs="Arial"/>
          <w:color w:val="000000"/>
          <w:lang w:val="en-AU"/>
        </w:rPr>
        <w:t xml:space="preserve"> the</w:t>
      </w:r>
      <w:r w:rsidR="00A27734" w:rsidRPr="00AE614A">
        <w:rPr>
          <w:rFonts w:ascii="Arial" w:hAnsi="Arial" w:cs="Arial"/>
          <w:color w:val="000000"/>
          <w:lang w:val="en-AU"/>
        </w:rPr>
        <w:t xml:space="preserve"> </w:t>
      </w:r>
      <w:r w:rsidRPr="00AE614A">
        <w:rPr>
          <w:rFonts w:ascii="Arial" w:hAnsi="Arial" w:cs="Arial"/>
          <w:color w:val="000000"/>
          <w:lang w:val="en-AU"/>
        </w:rPr>
        <w:t>annual disbursement rate exceeded SBD100 million (target was SBD94 million by 2018) for the</w:t>
      </w:r>
      <w:r w:rsidR="00A27734" w:rsidRPr="00AE614A">
        <w:rPr>
          <w:rFonts w:ascii="Arial" w:hAnsi="Arial" w:cs="Arial"/>
          <w:color w:val="000000"/>
          <w:lang w:val="en-AU"/>
        </w:rPr>
        <w:t xml:space="preserve"> </w:t>
      </w:r>
      <w:r w:rsidRPr="00AE614A">
        <w:rPr>
          <w:rFonts w:ascii="Arial" w:hAnsi="Arial" w:cs="Arial"/>
          <w:color w:val="000000"/>
          <w:lang w:val="en-AU"/>
        </w:rPr>
        <w:lastRenderedPageBreak/>
        <w:t>2016-2020 program duration.</w:t>
      </w:r>
      <w:r w:rsidRPr="00AE614A">
        <w:rPr>
          <w:rFonts w:ascii="Arial" w:hAnsi="Arial" w:cs="Arial"/>
          <w:color w:val="201F1E"/>
          <w:lang w:val="en-AU"/>
        </w:rPr>
        <w:t xml:space="preserve"> </w:t>
      </w:r>
      <w:r w:rsidRPr="00AE614A">
        <w:rPr>
          <w:rFonts w:ascii="Arial" w:hAnsi="Arial" w:cs="Arial"/>
          <w:color w:val="000000"/>
          <w:lang w:val="en-AU"/>
        </w:rPr>
        <w:t>The targeted regular sampling</w:t>
      </w:r>
      <w:r w:rsidR="00E67CB5" w:rsidRPr="00AE614A">
        <w:rPr>
          <w:rFonts w:ascii="Arial" w:hAnsi="Arial" w:cs="Arial"/>
          <w:color w:val="000000"/>
          <w:lang w:val="en-AU"/>
        </w:rPr>
        <w:t xml:space="preserve"> </w:t>
      </w:r>
      <w:r w:rsidRPr="00AE614A">
        <w:rPr>
          <w:rFonts w:ascii="Arial" w:hAnsi="Arial" w:cs="Arial"/>
          <w:color w:val="000000"/>
          <w:lang w:val="en-AU"/>
        </w:rPr>
        <w:t>of verified sex aggregated data collected for institutional and program related information by 2017</w:t>
      </w:r>
      <w:r w:rsidR="00E67CB5" w:rsidRPr="00AE614A">
        <w:rPr>
          <w:rFonts w:ascii="Arial" w:hAnsi="Arial" w:cs="Arial"/>
          <w:color w:val="000000"/>
          <w:lang w:val="en-AU"/>
        </w:rPr>
        <w:t xml:space="preserve"> </w:t>
      </w:r>
      <w:r w:rsidRPr="00AE614A">
        <w:rPr>
          <w:rFonts w:ascii="Arial" w:hAnsi="Arial" w:cs="Arial"/>
          <w:color w:val="000000"/>
          <w:lang w:val="en-AU"/>
        </w:rPr>
        <w:t>was achieved.</w:t>
      </w:r>
      <w:r w:rsidR="00D5516C" w:rsidRPr="00AE614A">
        <w:rPr>
          <w:rStyle w:val="FootnoteReference"/>
          <w:rFonts w:ascii="Arial" w:hAnsi="Arial" w:cs="Arial"/>
          <w:color w:val="000000"/>
          <w:lang w:val="en-AU"/>
        </w:rPr>
        <w:footnoteReference w:id="6"/>
      </w:r>
      <w:r w:rsidRPr="00AE614A">
        <w:rPr>
          <w:rFonts w:ascii="Arial" w:hAnsi="Arial" w:cs="Arial"/>
          <w:color w:val="201F1E"/>
          <w:lang w:val="en-AU"/>
        </w:rPr>
        <w:t xml:space="preserve"> </w:t>
      </w:r>
    </w:p>
    <w:p w14:paraId="2E9AC1E5" w14:textId="02350963" w:rsidR="00417390" w:rsidRPr="00AE614A" w:rsidRDefault="00A75ACA" w:rsidP="00AE614A">
      <w:pPr>
        <w:spacing w:after="120"/>
        <w:rPr>
          <w:rFonts w:ascii="Arial" w:hAnsi="Arial" w:cs="Arial"/>
          <w:b/>
          <w:bCs/>
          <w:color w:val="000000"/>
          <w:lang w:val="en-AU"/>
        </w:rPr>
      </w:pPr>
      <w:r w:rsidRPr="00AE614A">
        <w:rPr>
          <w:rFonts w:ascii="Arial" w:hAnsi="Arial" w:cs="Arial"/>
          <w:color w:val="000000"/>
          <w:lang w:val="en-AU"/>
        </w:rPr>
        <w:t xml:space="preserve">Two </w:t>
      </w:r>
      <w:r w:rsidR="008C7570" w:rsidRPr="00AE614A">
        <w:rPr>
          <w:rFonts w:ascii="Arial" w:hAnsi="Arial" w:cs="Arial"/>
          <w:color w:val="000000"/>
          <w:lang w:val="en-AU"/>
        </w:rPr>
        <w:t>targets were not met.</w:t>
      </w:r>
      <w:r w:rsidRPr="00AE614A">
        <w:rPr>
          <w:rFonts w:ascii="Arial" w:hAnsi="Arial" w:cs="Arial"/>
          <w:color w:val="000000"/>
          <w:lang w:val="en-AU"/>
        </w:rPr>
        <w:t xml:space="preserve"> </w:t>
      </w:r>
      <w:r w:rsidR="00417390" w:rsidRPr="00AE614A">
        <w:rPr>
          <w:rFonts w:ascii="Arial" w:hAnsi="Arial" w:cs="Arial"/>
          <w:color w:val="000000"/>
          <w:lang w:val="en-AU"/>
        </w:rPr>
        <w:t xml:space="preserve">Data was not provided by MID to confirm the percentage of MID staff whose performance </w:t>
      </w:r>
      <w:r w:rsidR="008C7570" w:rsidRPr="00AE614A">
        <w:rPr>
          <w:rFonts w:ascii="Arial" w:hAnsi="Arial" w:cs="Arial"/>
          <w:color w:val="000000"/>
          <w:lang w:val="en-AU"/>
        </w:rPr>
        <w:t>had</w:t>
      </w:r>
      <w:r w:rsidR="00417390" w:rsidRPr="00AE614A">
        <w:rPr>
          <w:rFonts w:ascii="Arial" w:hAnsi="Arial" w:cs="Arial"/>
          <w:color w:val="000000"/>
          <w:lang w:val="en-AU"/>
        </w:rPr>
        <w:t xml:space="preserve"> been reviewed using the four-stage public service performance management process (target increase to 95% by 2020 from the 0% 2014 baseline).</w:t>
      </w:r>
      <w:r w:rsidR="00794FF3" w:rsidRPr="00AE614A">
        <w:rPr>
          <w:rFonts w:ascii="Arial" w:hAnsi="Arial" w:cs="Arial"/>
          <w:color w:val="000000"/>
          <w:lang w:val="en-AU"/>
        </w:rPr>
        <w:t xml:space="preserve"> Only 5.5km of the target 9km of LBES road upgrading was achieved by 2020.</w:t>
      </w:r>
    </w:p>
    <w:p w14:paraId="08FA9A06" w14:textId="77777777" w:rsidR="005B633E" w:rsidRPr="00AE614A" w:rsidRDefault="005B633E" w:rsidP="00AE614A">
      <w:pPr>
        <w:autoSpaceDE w:val="0"/>
        <w:autoSpaceDN w:val="0"/>
        <w:adjustRightInd w:val="0"/>
        <w:spacing w:after="120"/>
        <w:jc w:val="left"/>
        <w:rPr>
          <w:rFonts w:ascii="Arial" w:hAnsi="Arial" w:cs="Arial"/>
          <w:color w:val="000000"/>
          <w:lang w:val="en-AU"/>
        </w:rPr>
      </w:pPr>
      <w:r w:rsidRPr="00AE614A">
        <w:rPr>
          <w:rFonts w:ascii="Arial" w:hAnsi="Arial" w:cs="Arial"/>
          <w:color w:val="000000"/>
          <w:lang w:val="en-AU"/>
        </w:rPr>
        <w:t>The Review team found that STIIP did strengthen MID’s ability to manage and supervise infrastructure works.</w:t>
      </w:r>
    </w:p>
    <w:p w14:paraId="1A823659" w14:textId="428B0169" w:rsidR="00417390" w:rsidRDefault="00417390" w:rsidP="00AE614A">
      <w:pPr>
        <w:spacing w:after="120"/>
        <w:rPr>
          <w:rFonts w:ascii="Arial" w:hAnsi="Arial" w:cs="Arial"/>
          <w:lang w:val="en-GB"/>
        </w:rPr>
      </w:pPr>
    </w:p>
    <w:p w14:paraId="69C1F4DB" w14:textId="3A4859CE" w:rsidR="006A392A" w:rsidRPr="006A392A" w:rsidRDefault="006A392A" w:rsidP="00AE614A">
      <w:pPr>
        <w:spacing w:after="120"/>
        <w:rPr>
          <w:rFonts w:ascii="Arial" w:hAnsi="Arial" w:cs="Arial"/>
          <w:i/>
          <w:iCs/>
          <w:u w:val="single"/>
          <w:lang w:val="en-GB"/>
        </w:rPr>
      </w:pPr>
      <w:r>
        <w:rPr>
          <w:rFonts w:ascii="Arial" w:hAnsi="Arial" w:cs="Arial"/>
          <w:i/>
          <w:iCs/>
          <w:u w:val="single"/>
          <w:lang w:val="en-GB"/>
        </w:rPr>
        <w:t>Solomon Islands Transport Asset Management System (SITAMS)</w:t>
      </w:r>
    </w:p>
    <w:p w14:paraId="0AB687A5" w14:textId="65FE6732" w:rsidR="007159FC" w:rsidRPr="009C4BB6" w:rsidRDefault="007159FC" w:rsidP="002016A5">
      <w:pPr>
        <w:autoSpaceDE w:val="0"/>
        <w:autoSpaceDN w:val="0"/>
        <w:adjustRightInd w:val="0"/>
        <w:spacing w:after="120"/>
        <w:rPr>
          <w:rFonts w:ascii="Arial" w:hAnsi="Arial" w:cs="Arial"/>
          <w:color w:val="000000"/>
          <w:lang w:val="en-GB"/>
        </w:rPr>
      </w:pPr>
      <w:r w:rsidRPr="4F52FDA7">
        <w:rPr>
          <w:rFonts w:ascii="Arial" w:hAnsi="Arial" w:cs="Arial"/>
          <w:lang w:val="en-GB"/>
        </w:rPr>
        <w:t xml:space="preserve">The SITAMS was established to serve as the decision-making support tool for the planning, </w:t>
      </w:r>
      <w:r w:rsidR="0079333E" w:rsidRPr="4F52FDA7">
        <w:rPr>
          <w:rFonts w:ascii="Arial" w:hAnsi="Arial" w:cs="Arial"/>
          <w:lang w:val="en-GB"/>
        </w:rPr>
        <w:t>budgeting,</w:t>
      </w:r>
      <w:r w:rsidRPr="4F52FDA7">
        <w:rPr>
          <w:rFonts w:ascii="Arial" w:hAnsi="Arial" w:cs="Arial"/>
          <w:lang w:val="en-GB"/>
        </w:rPr>
        <w:t xml:space="preserve"> and management of the transport network.</w:t>
      </w:r>
      <w:r>
        <w:rPr>
          <w:rFonts w:ascii="Arial" w:hAnsi="Arial" w:cs="Arial"/>
          <w:lang w:val="en-GB"/>
        </w:rPr>
        <w:t xml:space="preserve"> </w:t>
      </w:r>
      <w:r w:rsidRPr="004B670B">
        <w:rPr>
          <w:rFonts w:ascii="Arial" w:hAnsi="Arial" w:cs="Arial"/>
          <w:color w:val="000000"/>
          <w:lang w:val="en-GB"/>
        </w:rPr>
        <w:t>The</w:t>
      </w:r>
      <w:r>
        <w:rPr>
          <w:rFonts w:ascii="Arial" w:hAnsi="Arial" w:cs="Arial"/>
          <w:b/>
          <w:bCs/>
          <w:color w:val="000000"/>
          <w:lang w:val="en-GB"/>
        </w:rPr>
        <w:t xml:space="preserve"> </w:t>
      </w:r>
      <w:r w:rsidRPr="009C4BB6">
        <w:rPr>
          <w:rFonts w:ascii="Arial" w:hAnsi="Arial" w:cs="Arial"/>
          <w:color w:val="000000"/>
          <w:lang w:val="en-GB"/>
        </w:rPr>
        <w:t xml:space="preserve">SITAMS database </w:t>
      </w:r>
      <w:r>
        <w:rPr>
          <w:rFonts w:ascii="Arial" w:hAnsi="Arial" w:cs="Arial"/>
          <w:color w:val="000000"/>
          <w:lang w:val="en-GB"/>
        </w:rPr>
        <w:t xml:space="preserve">contains </w:t>
      </w:r>
      <w:r w:rsidRPr="009C4BB6">
        <w:rPr>
          <w:rFonts w:ascii="Arial" w:hAnsi="Arial" w:cs="Arial"/>
          <w:color w:val="000000"/>
          <w:lang w:val="en-GB"/>
        </w:rPr>
        <w:t xml:space="preserve">information </w:t>
      </w:r>
      <w:r>
        <w:rPr>
          <w:rFonts w:ascii="Arial" w:hAnsi="Arial" w:cs="Arial"/>
          <w:color w:val="000000"/>
          <w:lang w:val="en-GB"/>
        </w:rPr>
        <w:t xml:space="preserve">on </w:t>
      </w:r>
      <w:r w:rsidRPr="009C4BB6">
        <w:rPr>
          <w:rFonts w:ascii="Arial" w:hAnsi="Arial" w:cs="Arial"/>
          <w:color w:val="000000"/>
          <w:lang w:val="en-GB"/>
        </w:rPr>
        <w:t xml:space="preserve">the location and condition of all roads, bridges, and culverts in the country. A nationwide survey of roads and bridges was carried out in 2014-2015, and a repeat survey was substantially completed in 2016. The </w:t>
      </w:r>
      <w:r>
        <w:rPr>
          <w:rFonts w:ascii="Arial" w:hAnsi="Arial" w:cs="Arial"/>
          <w:color w:val="000000"/>
          <w:lang w:val="en-GB"/>
        </w:rPr>
        <w:t>2016</w:t>
      </w:r>
      <w:r w:rsidRPr="009C4BB6">
        <w:rPr>
          <w:rFonts w:ascii="Arial" w:hAnsi="Arial" w:cs="Arial"/>
          <w:color w:val="000000"/>
          <w:lang w:val="en-GB"/>
        </w:rPr>
        <w:t xml:space="preserve"> survey capitalised on lessons learned, checked that no assets or information had been missed and identified changes in asset condition during the interim period. Regular re-surveys were </w:t>
      </w:r>
      <w:r>
        <w:rPr>
          <w:rFonts w:ascii="Arial" w:hAnsi="Arial" w:cs="Arial"/>
          <w:color w:val="000000"/>
          <w:lang w:val="en-GB"/>
        </w:rPr>
        <w:t xml:space="preserve">planned </w:t>
      </w:r>
      <w:r w:rsidRPr="009C4BB6">
        <w:rPr>
          <w:rFonts w:ascii="Arial" w:hAnsi="Arial" w:cs="Arial"/>
          <w:color w:val="000000"/>
          <w:lang w:val="en-GB"/>
        </w:rPr>
        <w:t>to be undertaken at two yearly intervals.</w:t>
      </w:r>
      <w:r>
        <w:rPr>
          <w:rFonts w:ascii="Arial" w:hAnsi="Arial" w:cs="Arial"/>
          <w:color w:val="000000"/>
          <w:lang w:val="en-GB"/>
        </w:rPr>
        <w:t xml:space="preserve"> However, these did not materiali</w:t>
      </w:r>
      <w:r w:rsidR="0063328A">
        <w:rPr>
          <w:rFonts w:ascii="Arial" w:hAnsi="Arial" w:cs="Arial"/>
          <w:color w:val="000000"/>
          <w:lang w:val="en-GB"/>
        </w:rPr>
        <w:t>s</w:t>
      </w:r>
      <w:r>
        <w:rPr>
          <w:rFonts w:ascii="Arial" w:hAnsi="Arial" w:cs="Arial"/>
          <w:color w:val="000000"/>
          <w:lang w:val="en-GB"/>
        </w:rPr>
        <w:t>e.</w:t>
      </w:r>
      <w:r w:rsidRPr="009C4BB6">
        <w:rPr>
          <w:rFonts w:ascii="Arial" w:hAnsi="Arial" w:cs="Arial"/>
          <w:color w:val="000000"/>
          <w:lang w:val="en-GB"/>
        </w:rPr>
        <w:t xml:space="preserve"> </w:t>
      </w:r>
      <w:r>
        <w:rPr>
          <w:rFonts w:ascii="Arial" w:hAnsi="Arial" w:cs="Arial"/>
          <w:color w:val="000000"/>
          <w:lang w:val="en-GB"/>
        </w:rPr>
        <w:t>T</w:t>
      </w:r>
      <w:r w:rsidRPr="009C4BB6">
        <w:rPr>
          <w:rFonts w:ascii="Arial" w:hAnsi="Arial" w:cs="Arial"/>
          <w:color w:val="000000"/>
          <w:lang w:val="en-GB"/>
        </w:rPr>
        <w:t xml:space="preserve">he </w:t>
      </w:r>
      <w:r>
        <w:rPr>
          <w:rFonts w:ascii="Arial" w:hAnsi="Arial" w:cs="Arial"/>
          <w:color w:val="000000"/>
          <w:lang w:val="en-GB"/>
        </w:rPr>
        <w:t xml:space="preserve">first </w:t>
      </w:r>
      <w:r w:rsidRPr="009C4BB6">
        <w:rPr>
          <w:rFonts w:ascii="Arial" w:hAnsi="Arial" w:cs="Arial"/>
          <w:color w:val="000000"/>
          <w:lang w:val="en-GB"/>
        </w:rPr>
        <w:t xml:space="preserve">road condition survey </w:t>
      </w:r>
      <w:r>
        <w:rPr>
          <w:rFonts w:ascii="Arial" w:hAnsi="Arial" w:cs="Arial"/>
          <w:color w:val="000000"/>
          <w:lang w:val="en-GB"/>
        </w:rPr>
        <w:t xml:space="preserve">update since 2016 </w:t>
      </w:r>
      <w:r w:rsidRPr="009C4BB6">
        <w:rPr>
          <w:rFonts w:ascii="Arial" w:hAnsi="Arial" w:cs="Arial"/>
          <w:color w:val="000000"/>
          <w:lang w:val="en-GB"/>
        </w:rPr>
        <w:t xml:space="preserve">(funded by NTF) is ongoing and expected to be complete by Dec 2022. </w:t>
      </w:r>
    </w:p>
    <w:p w14:paraId="177E6D41" w14:textId="248A7EB2" w:rsidR="007159FC" w:rsidRDefault="007159FC" w:rsidP="002016A5">
      <w:pPr>
        <w:autoSpaceDE w:val="0"/>
        <w:autoSpaceDN w:val="0"/>
        <w:adjustRightInd w:val="0"/>
        <w:spacing w:after="120"/>
        <w:rPr>
          <w:rFonts w:ascii="Arial" w:hAnsi="Arial" w:cs="Arial"/>
          <w:color w:val="000000"/>
          <w:lang w:val="en-GB"/>
        </w:rPr>
      </w:pPr>
      <w:r w:rsidRPr="00E51806">
        <w:rPr>
          <w:rFonts w:ascii="Arial" w:hAnsi="Arial" w:cs="Arial"/>
          <w:color w:val="000000"/>
          <w:lang w:val="en-GB"/>
        </w:rPr>
        <w:t xml:space="preserve">In SITAMS the condition of each surveyed item is rated on a scale of 1 to 5. Condition 1 </w:t>
      </w:r>
      <w:r>
        <w:rPr>
          <w:rFonts w:ascii="Arial" w:hAnsi="Arial" w:cs="Arial"/>
          <w:color w:val="000000"/>
          <w:lang w:val="en-GB"/>
        </w:rPr>
        <w:t xml:space="preserve">represents very </w:t>
      </w:r>
      <w:r w:rsidRPr="00E51806">
        <w:rPr>
          <w:rFonts w:ascii="Arial" w:hAnsi="Arial" w:cs="Arial"/>
          <w:color w:val="000000"/>
          <w:lang w:val="en-GB"/>
        </w:rPr>
        <w:t xml:space="preserve">good condition and a 5 indicates it has deteriorated to a very poor state. Infrastructure </w:t>
      </w:r>
      <w:r>
        <w:rPr>
          <w:rFonts w:ascii="Arial" w:hAnsi="Arial" w:cs="Arial"/>
          <w:color w:val="000000"/>
          <w:lang w:val="en-GB"/>
        </w:rPr>
        <w:t xml:space="preserve">with </w:t>
      </w:r>
      <w:r w:rsidRPr="00E51806">
        <w:rPr>
          <w:rFonts w:ascii="Arial" w:hAnsi="Arial" w:cs="Arial"/>
          <w:color w:val="000000"/>
          <w:lang w:val="en-GB"/>
        </w:rPr>
        <w:t xml:space="preserve">a condition rating of 3 (Average) </w:t>
      </w:r>
      <w:r>
        <w:rPr>
          <w:rFonts w:ascii="Arial" w:hAnsi="Arial" w:cs="Arial"/>
          <w:color w:val="000000"/>
          <w:lang w:val="en-GB"/>
        </w:rPr>
        <w:t xml:space="preserve">is </w:t>
      </w:r>
      <w:r w:rsidRPr="00E51806">
        <w:rPr>
          <w:rFonts w:ascii="Arial" w:hAnsi="Arial" w:cs="Arial"/>
          <w:color w:val="000000"/>
          <w:lang w:val="en-GB"/>
        </w:rPr>
        <w:t>described as “maintainable”</w:t>
      </w:r>
      <w:r>
        <w:rPr>
          <w:rFonts w:ascii="Arial" w:hAnsi="Arial" w:cs="Arial"/>
          <w:color w:val="000000"/>
          <w:lang w:val="en-GB"/>
        </w:rPr>
        <w:t xml:space="preserve"> </w:t>
      </w:r>
      <w:r w:rsidRPr="00E51806">
        <w:rPr>
          <w:rFonts w:ascii="Arial" w:hAnsi="Arial" w:cs="Arial"/>
          <w:color w:val="000000"/>
          <w:lang w:val="en-GB"/>
        </w:rPr>
        <w:t xml:space="preserve">using typical routine or periodic maintenance treatments. Infrastructure with a </w:t>
      </w:r>
      <w:r w:rsidR="00290D62">
        <w:rPr>
          <w:rFonts w:ascii="Arial" w:hAnsi="Arial" w:cs="Arial"/>
          <w:color w:val="000000"/>
          <w:lang w:val="en-GB"/>
        </w:rPr>
        <w:t>c</w:t>
      </w:r>
      <w:r w:rsidRPr="00E51806">
        <w:rPr>
          <w:rFonts w:ascii="Arial" w:hAnsi="Arial" w:cs="Arial"/>
          <w:color w:val="000000"/>
          <w:lang w:val="en-GB"/>
        </w:rPr>
        <w:t>ondition rating of 4 or 5 requires substantial heavy engineering works (rehabilitation or upgrading) to get it to a “maintainable” condition.</w:t>
      </w:r>
    </w:p>
    <w:p w14:paraId="702B3BA5" w14:textId="7EA0AA5D" w:rsidR="004C1DBA" w:rsidRPr="009C5A43" w:rsidRDefault="004C1DBA" w:rsidP="002016A5">
      <w:pPr>
        <w:autoSpaceDE w:val="0"/>
        <w:autoSpaceDN w:val="0"/>
        <w:adjustRightInd w:val="0"/>
        <w:spacing w:after="120"/>
        <w:rPr>
          <w:rFonts w:ascii="Arial" w:hAnsi="Arial" w:cs="Arial"/>
          <w:color w:val="000000"/>
          <w:lang w:val="en-GB"/>
        </w:rPr>
      </w:pPr>
      <w:r w:rsidRPr="004C1DBA">
        <w:rPr>
          <w:rFonts w:ascii="Arial" w:hAnsi="Arial" w:cs="Arial"/>
          <w:color w:val="000000"/>
          <w:lang w:val="en-GB"/>
        </w:rPr>
        <w:t xml:space="preserve">At program close a total of 1523 km of road, 441 bridges, 2016 culverts, 91 wharves and 40 airfields </w:t>
      </w:r>
      <w:r>
        <w:rPr>
          <w:rFonts w:ascii="Arial" w:hAnsi="Arial" w:cs="Arial"/>
          <w:color w:val="000000"/>
          <w:lang w:val="en-GB"/>
        </w:rPr>
        <w:t>we</w:t>
      </w:r>
      <w:r w:rsidRPr="004C1DBA">
        <w:rPr>
          <w:rFonts w:ascii="Arial" w:hAnsi="Arial" w:cs="Arial"/>
          <w:color w:val="000000"/>
          <w:lang w:val="en-GB"/>
        </w:rPr>
        <w:t>re registered in the SITAMS database.</w:t>
      </w:r>
    </w:p>
    <w:p w14:paraId="120CA8DB" w14:textId="77777777" w:rsidR="007159FC" w:rsidRPr="00AE614A" w:rsidRDefault="007159FC" w:rsidP="002016A5">
      <w:pPr>
        <w:spacing w:after="120"/>
        <w:rPr>
          <w:rFonts w:ascii="Arial" w:hAnsi="Arial" w:cs="Arial"/>
          <w:lang w:val="en-GB"/>
        </w:rPr>
      </w:pPr>
    </w:p>
    <w:p w14:paraId="6674D2EC" w14:textId="7CEE4024" w:rsidR="00B63DE6" w:rsidRPr="00AE614A" w:rsidRDefault="005E448C" w:rsidP="00AE614A">
      <w:pPr>
        <w:spacing w:after="120"/>
        <w:rPr>
          <w:rFonts w:ascii="Arial" w:hAnsi="Arial" w:cs="Arial"/>
          <w:bCs/>
          <w:i/>
          <w:iCs/>
          <w:u w:val="single"/>
        </w:rPr>
      </w:pPr>
      <w:r w:rsidRPr="00AE614A">
        <w:rPr>
          <w:rFonts w:ascii="Arial" w:hAnsi="Arial" w:cs="Arial"/>
          <w:bCs/>
          <w:i/>
          <w:iCs/>
          <w:u w:val="single"/>
        </w:rPr>
        <w:t>NTF Governance</w:t>
      </w:r>
    </w:p>
    <w:p w14:paraId="51C1D12A" w14:textId="77777777" w:rsidR="004A3757" w:rsidRPr="00AE614A" w:rsidRDefault="00511AA4" w:rsidP="00AE614A">
      <w:pPr>
        <w:autoSpaceDE w:val="0"/>
        <w:autoSpaceDN w:val="0"/>
        <w:adjustRightInd w:val="0"/>
        <w:spacing w:after="120"/>
        <w:jc w:val="left"/>
        <w:rPr>
          <w:rFonts w:ascii="Arial" w:hAnsi="Arial" w:cs="Arial"/>
        </w:rPr>
      </w:pPr>
      <w:r w:rsidRPr="00AE614A">
        <w:rPr>
          <w:rFonts w:ascii="Arial" w:hAnsi="Arial" w:cs="Arial"/>
          <w:lang w:val="en-AU"/>
        </w:rPr>
        <w:t>The NTF was governed by a Board of seven members</w:t>
      </w:r>
      <w:r w:rsidR="00973D06" w:rsidRPr="00AE614A">
        <w:rPr>
          <w:rFonts w:ascii="Arial" w:hAnsi="Arial" w:cs="Arial"/>
          <w:lang w:val="en-AU"/>
        </w:rPr>
        <w:t xml:space="preserve">, including two development partner representatives, </w:t>
      </w:r>
      <w:r w:rsidR="00973D06" w:rsidRPr="00AE614A">
        <w:rPr>
          <w:rFonts w:ascii="Arial" w:hAnsi="Arial" w:cs="Arial"/>
        </w:rPr>
        <w:t xml:space="preserve">the Secretariat (comprising </w:t>
      </w:r>
      <w:r w:rsidR="00CC7A80" w:rsidRPr="00AE614A">
        <w:rPr>
          <w:rFonts w:ascii="Arial" w:hAnsi="Arial" w:cs="Arial"/>
        </w:rPr>
        <w:t>three</w:t>
      </w:r>
      <w:r w:rsidR="00973D06" w:rsidRPr="00AE614A">
        <w:rPr>
          <w:rFonts w:ascii="Arial" w:hAnsi="Arial" w:cs="Arial"/>
        </w:rPr>
        <w:t xml:space="preserve"> people) and </w:t>
      </w:r>
      <w:r w:rsidR="00CC7A80" w:rsidRPr="00AE614A">
        <w:rPr>
          <w:rFonts w:ascii="Arial" w:hAnsi="Arial" w:cs="Arial"/>
        </w:rPr>
        <w:t xml:space="preserve">a </w:t>
      </w:r>
      <w:r w:rsidR="00973D06" w:rsidRPr="00AE614A">
        <w:rPr>
          <w:rFonts w:ascii="Arial" w:hAnsi="Arial" w:cs="Arial"/>
        </w:rPr>
        <w:t>T</w:t>
      </w:r>
      <w:r w:rsidR="00CC7A80" w:rsidRPr="00AE614A">
        <w:rPr>
          <w:rFonts w:ascii="Arial" w:hAnsi="Arial" w:cs="Arial"/>
        </w:rPr>
        <w:t xml:space="preserve">echnical </w:t>
      </w:r>
      <w:r w:rsidR="00973D06" w:rsidRPr="00AE614A">
        <w:rPr>
          <w:rFonts w:ascii="Arial" w:hAnsi="Arial" w:cs="Arial"/>
        </w:rPr>
        <w:t>W</w:t>
      </w:r>
      <w:r w:rsidR="00CC7A80" w:rsidRPr="00AE614A">
        <w:rPr>
          <w:rFonts w:ascii="Arial" w:hAnsi="Arial" w:cs="Arial"/>
        </w:rPr>
        <w:t xml:space="preserve">orking </w:t>
      </w:r>
      <w:r w:rsidR="00973D06" w:rsidRPr="00AE614A">
        <w:rPr>
          <w:rFonts w:ascii="Arial" w:hAnsi="Arial" w:cs="Arial"/>
        </w:rPr>
        <w:t>G</w:t>
      </w:r>
      <w:r w:rsidR="00CC7A80" w:rsidRPr="00AE614A">
        <w:rPr>
          <w:rFonts w:ascii="Arial" w:hAnsi="Arial" w:cs="Arial"/>
        </w:rPr>
        <w:t>roup (TWG)</w:t>
      </w:r>
      <w:r w:rsidR="00973D06" w:rsidRPr="00AE614A">
        <w:rPr>
          <w:rFonts w:ascii="Arial" w:hAnsi="Arial" w:cs="Arial"/>
        </w:rPr>
        <w:t xml:space="preserve"> (comprising </w:t>
      </w:r>
      <w:r w:rsidR="00CC7A80" w:rsidRPr="00AE614A">
        <w:rPr>
          <w:rFonts w:ascii="Arial" w:hAnsi="Arial" w:cs="Arial"/>
        </w:rPr>
        <w:t>seven</w:t>
      </w:r>
      <w:r w:rsidR="00973D06" w:rsidRPr="00AE614A">
        <w:rPr>
          <w:rFonts w:ascii="Arial" w:hAnsi="Arial" w:cs="Arial"/>
        </w:rPr>
        <w:t xml:space="preserve"> </w:t>
      </w:r>
      <w:r w:rsidR="00CC7A80" w:rsidRPr="00AE614A">
        <w:rPr>
          <w:rFonts w:ascii="Arial" w:hAnsi="Arial" w:cs="Arial"/>
        </w:rPr>
        <w:t xml:space="preserve">people, </w:t>
      </w:r>
      <w:r w:rsidR="00973D06" w:rsidRPr="00AE614A">
        <w:rPr>
          <w:rFonts w:ascii="Arial" w:hAnsi="Arial" w:cs="Arial"/>
        </w:rPr>
        <w:t xml:space="preserve">including two development partner representatives). </w:t>
      </w:r>
    </w:p>
    <w:p w14:paraId="5C3947F5" w14:textId="716AFA08" w:rsidR="00973D06" w:rsidRPr="00AE614A" w:rsidRDefault="00846F0C" w:rsidP="00AE614A">
      <w:pPr>
        <w:autoSpaceDE w:val="0"/>
        <w:autoSpaceDN w:val="0"/>
        <w:adjustRightInd w:val="0"/>
        <w:spacing w:after="120"/>
        <w:jc w:val="left"/>
        <w:rPr>
          <w:rFonts w:ascii="Arial" w:hAnsi="Arial" w:cs="Arial"/>
          <w:lang w:val="en-AU"/>
        </w:rPr>
      </w:pPr>
      <w:r w:rsidRPr="00AE614A">
        <w:rPr>
          <w:rFonts w:ascii="Arial" w:hAnsi="Arial" w:cs="Arial"/>
        </w:rPr>
        <w:t xml:space="preserve">There were no </w:t>
      </w:r>
      <w:r w:rsidR="00E02B2C" w:rsidRPr="00AE614A">
        <w:rPr>
          <w:rFonts w:ascii="Arial" w:hAnsi="Arial" w:cs="Arial"/>
        </w:rPr>
        <w:t xml:space="preserve">government officers </w:t>
      </w:r>
      <w:r w:rsidRPr="00AE614A">
        <w:rPr>
          <w:rFonts w:ascii="Arial" w:hAnsi="Arial" w:cs="Arial"/>
        </w:rPr>
        <w:t>working full-time on NTF matters; representati</w:t>
      </w:r>
      <w:r w:rsidR="008B2B95" w:rsidRPr="00AE614A">
        <w:rPr>
          <w:rFonts w:ascii="Arial" w:hAnsi="Arial" w:cs="Arial"/>
        </w:rPr>
        <w:t>on</w:t>
      </w:r>
      <w:r w:rsidRPr="00AE614A">
        <w:rPr>
          <w:rFonts w:ascii="Arial" w:hAnsi="Arial" w:cs="Arial"/>
        </w:rPr>
        <w:t xml:space="preserve"> on these committees </w:t>
      </w:r>
      <w:r w:rsidR="008B2B95" w:rsidRPr="00AE614A">
        <w:rPr>
          <w:rFonts w:ascii="Arial" w:hAnsi="Arial" w:cs="Arial"/>
        </w:rPr>
        <w:t>was only one of their responsibilities.</w:t>
      </w:r>
      <w:r w:rsidR="004A3757" w:rsidRPr="00AE614A">
        <w:rPr>
          <w:rFonts w:ascii="Arial" w:hAnsi="Arial" w:cs="Arial"/>
        </w:rPr>
        <w:t xml:space="preserve"> T</w:t>
      </w:r>
      <w:r w:rsidR="00973D06" w:rsidRPr="00AE614A">
        <w:rPr>
          <w:rFonts w:ascii="Arial" w:hAnsi="Arial" w:cs="Arial"/>
        </w:rPr>
        <w:t xml:space="preserve">he NTF was not able (did not have authority) to deploy officers to check on works progress and serve their critical roles to advance variation approvals or address issues to enable disbursements. The NTF tried to convert several positions into permanent roles with limited success. </w:t>
      </w:r>
    </w:p>
    <w:p w14:paraId="0BE449BA" w14:textId="2544D80F" w:rsidR="007D4F9F" w:rsidRPr="00AE614A" w:rsidRDefault="006364EA" w:rsidP="00AE614A">
      <w:pPr>
        <w:autoSpaceDE w:val="0"/>
        <w:autoSpaceDN w:val="0"/>
        <w:adjustRightInd w:val="0"/>
        <w:spacing w:after="120"/>
        <w:jc w:val="left"/>
        <w:rPr>
          <w:rFonts w:ascii="Arial" w:hAnsi="Arial" w:cs="Arial"/>
          <w:lang w:val="en-GB"/>
        </w:rPr>
      </w:pPr>
      <w:r w:rsidRPr="00AE614A">
        <w:rPr>
          <w:rFonts w:ascii="Arial" w:hAnsi="Arial" w:cs="Arial"/>
          <w:lang w:val="en-AU"/>
        </w:rPr>
        <w:t>The CPIU submitted quarterly reports. The TWG and NTF Board meetings were conducted quarterly to update Board members on pertinent financial and technical issues as they related to annual work plan progress.</w:t>
      </w:r>
      <w:r w:rsidR="00474742" w:rsidRPr="00AE614A">
        <w:rPr>
          <w:rFonts w:ascii="Arial" w:hAnsi="Arial" w:cs="Arial"/>
          <w:lang w:val="en-AU"/>
        </w:rPr>
        <w:t xml:space="preserve"> </w:t>
      </w:r>
      <w:r w:rsidRPr="00AE614A">
        <w:rPr>
          <w:rFonts w:ascii="Arial" w:hAnsi="Arial" w:cs="Arial"/>
          <w:lang w:val="en-AU"/>
        </w:rPr>
        <w:t xml:space="preserve">A GOA-funded </w:t>
      </w:r>
      <w:r w:rsidR="00073D3B">
        <w:rPr>
          <w:rFonts w:ascii="Arial" w:hAnsi="Arial" w:cs="Arial"/>
          <w:lang w:val="en-AU"/>
        </w:rPr>
        <w:t xml:space="preserve">governance </w:t>
      </w:r>
      <w:r w:rsidRPr="00AE614A">
        <w:rPr>
          <w:rFonts w:ascii="Arial" w:hAnsi="Arial" w:cs="Arial"/>
          <w:lang w:val="en-AU"/>
        </w:rPr>
        <w:t>adviser worked with two MID officers to manage the Secretariat duties for both</w:t>
      </w:r>
      <w:r w:rsidR="007F76E6" w:rsidRPr="00AE614A">
        <w:rPr>
          <w:rFonts w:ascii="Arial" w:hAnsi="Arial" w:cs="Arial"/>
          <w:lang w:val="en-AU"/>
        </w:rPr>
        <w:t xml:space="preserve"> </w:t>
      </w:r>
      <w:r w:rsidRPr="00AE614A">
        <w:rPr>
          <w:rFonts w:ascii="Arial" w:hAnsi="Arial" w:cs="Arial"/>
          <w:lang w:val="en-AU"/>
        </w:rPr>
        <w:t>groups. ADB review missions documented the status of the action items relating to technical</w:t>
      </w:r>
      <w:r w:rsidR="007F76E6" w:rsidRPr="00AE614A">
        <w:rPr>
          <w:rFonts w:ascii="Arial" w:hAnsi="Arial" w:cs="Arial"/>
          <w:lang w:val="en-AU"/>
        </w:rPr>
        <w:t xml:space="preserve"> </w:t>
      </w:r>
      <w:r w:rsidRPr="00AE614A">
        <w:rPr>
          <w:rFonts w:ascii="Arial" w:hAnsi="Arial" w:cs="Arial"/>
          <w:lang w:val="en-AU"/>
        </w:rPr>
        <w:t>aspects, capacity development, fiduciary, procurement, safeguards and NTF/NTP. Over the life</w:t>
      </w:r>
      <w:r w:rsidR="007F76E6" w:rsidRPr="00AE614A">
        <w:rPr>
          <w:rFonts w:ascii="Arial" w:hAnsi="Arial" w:cs="Arial"/>
          <w:lang w:val="en-AU"/>
        </w:rPr>
        <w:t xml:space="preserve"> </w:t>
      </w:r>
      <w:r w:rsidRPr="00AE614A">
        <w:rPr>
          <w:rFonts w:ascii="Arial" w:hAnsi="Arial" w:cs="Arial"/>
          <w:lang w:val="en-AU"/>
        </w:rPr>
        <w:t>of the program ADB fielded nine review missions.</w:t>
      </w:r>
    </w:p>
    <w:p w14:paraId="2487E831" w14:textId="16430D1D" w:rsidR="0013471B" w:rsidRPr="00AE614A" w:rsidRDefault="0040619E" w:rsidP="00AE614A">
      <w:pPr>
        <w:spacing w:after="120"/>
        <w:rPr>
          <w:rFonts w:ascii="Arial" w:hAnsi="Arial" w:cs="Arial"/>
        </w:rPr>
      </w:pPr>
      <w:r w:rsidRPr="00AE614A">
        <w:rPr>
          <w:rFonts w:ascii="Arial" w:hAnsi="Arial" w:cs="Arial"/>
        </w:rPr>
        <w:lastRenderedPageBreak/>
        <w:t xml:space="preserve">The Review team found significant evidence </w:t>
      </w:r>
      <w:r w:rsidR="00FB6D8A" w:rsidRPr="00AE614A">
        <w:rPr>
          <w:rFonts w:ascii="Arial" w:hAnsi="Arial" w:cs="Arial"/>
        </w:rPr>
        <w:t xml:space="preserve">throughout the life of STIIP of decisions being made but not actioned, or decisions not being made. </w:t>
      </w:r>
      <w:r w:rsidR="007B380B" w:rsidRPr="00AE614A">
        <w:rPr>
          <w:rFonts w:ascii="Arial" w:hAnsi="Arial" w:cs="Arial"/>
        </w:rPr>
        <w:t xml:space="preserve">The lack of data available in SITAMS led to </w:t>
      </w:r>
      <w:r w:rsidR="001C4F5D" w:rsidRPr="00AE614A">
        <w:rPr>
          <w:rFonts w:ascii="Arial" w:hAnsi="Arial" w:cs="Arial"/>
        </w:rPr>
        <w:t>the prioritisation of projects for STIIP based on affordability</w:t>
      </w:r>
      <w:r w:rsidR="00CF3ACC" w:rsidRPr="00AE614A">
        <w:rPr>
          <w:rFonts w:ascii="Arial" w:hAnsi="Arial" w:cs="Arial"/>
        </w:rPr>
        <w:t xml:space="preserve">, rather than cost-benefit analyses. </w:t>
      </w:r>
    </w:p>
    <w:p w14:paraId="0CE3761F" w14:textId="7BF753FC" w:rsidR="0013471B" w:rsidRPr="00AE614A" w:rsidRDefault="0013471B" w:rsidP="00AE614A">
      <w:pPr>
        <w:spacing w:after="120"/>
        <w:rPr>
          <w:rFonts w:ascii="Arial" w:hAnsi="Arial" w:cs="Arial"/>
        </w:rPr>
      </w:pPr>
      <w:r w:rsidRPr="00AE614A">
        <w:rPr>
          <w:rFonts w:ascii="Arial" w:hAnsi="Arial" w:cs="Arial"/>
        </w:rPr>
        <w:t xml:space="preserve">Prioritisation relied on a multi-criteria assessment of projects above SBD 14 million. </w:t>
      </w:r>
      <w:r w:rsidR="00A12E83" w:rsidRPr="00AE614A">
        <w:rPr>
          <w:rFonts w:ascii="Arial" w:hAnsi="Arial" w:cs="Arial"/>
        </w:rPr>
        <w:t>Pre-screening eliminated projects that did not serve overall socio-economic development strategies; projects that were not affordable; and projects unlikely to be ready for implementation within 5-7 year</w:t>
      </w:r>
      <w:r w:rsidR="00236894" w:rsidRPr="00AE614A">
        <w:rPr>
          <w:rFonts w:ascii="Arial" w:hAnsi="Arial" w:cs="Arial"/>
        </w:rPr>
        <w:t>s</w:t>
      </w:r>
      <w:r w:rsidR="00A12E83" w:rsidRPr="00AE614A">
        <w:rPr>
          <w:rFonts w:ascii="Arial" w:hAnsi="Arial" w:cs="Arial"/>
        </w:rPr>
        <w:t>.</w:t>
      </w:r>
    </w:p>
    <w:p w14:paraId="1D6AC803" w14:textId="026A1D09" w:rsidR="0013471B" w:rsidRPr="00AE614A" w:rsidRDefault="0013471B" w:rsidP="00AE614A">
      <w:pPr>
        <w:spacing w:after="120"/>
        <w:rPr>
          <w:rFonts w:ascii="Arial" w:hAnsi="Arial" w:cs="Arial"/>
          <w:bCs/>
        </w:rPr>
      </w:pPr>
    </w:p>
    <w:p w14:paraId="3BE897D8" w14:textId="5E6812B8" w:rsidR="005F0F32" w:rsidRPr="00AE614A" w:rsidRDefault="005F0F32" w:rsidP="00AE614A">
      <w:pPr>
        <w:spacing w:after="120"/>
        <w:rPr>
          <w:rFonts w:ascii="Arial" w:hAnsi="Arial" w:cs="Arial"/>
          <w:bCs/>
          <w:i/>
          <w:iCs/>
          <w:u w:val="single"/>
        </w:rPr>
      </w:pPr>
      <w:r w:rsidRPr="00AE614A">
        <w:rPr>
          <w:rFonts w:ascii="Arial" w:hAnsi="Arial" w:cs="Arial"/>
          <w:bCs/>
          <w:i/>
          <w:iCs/>
          <w:u w:val="single"/>
        </w:rPr>
        <w:t>Capacity Development</w:t>
      </w:r>
    </w:p>
    <w:p w14:paraId="12AA16A5" w14:textId="77777777" w:rsidR="004B030F" w:rsidRDefault="00340B95" w:rsidP="007259E2">
      <w:pPr>
        <w:spacing w:after="120"/>
        <w:rPr>
          <w:rFonts w:ascii="Arial" w:hAnsi="Arial" w:cs="Arial"/>
        </w:rPr>
      </w:pPr>
      <w:r>
        <w:rPr>
          <w:rFonts w:ascii="Arial" w:hAnsi="Arial" w:cs="Arial"/>
        </w:rPr>
        <w:t xml:space="preserve">The Director </w:t>
      </w:r>
      <w:r w:rsidRPr="4F52FDA7">
        <w:rPr>
          <w:rFonts w:ascii="Arial" w:hAnsi="Arial" w:cs="Arial"/>
        </w:rPr>
        <w:t xml:space="preserve">CPIU </w:t>
      </w:r>
      <w:r>
        <w:rPr>
          <w:rFonts w:ascii="Arial" w:hAnsi="Arial" w:cs="Arial"/>
        </w:rPr>
        <w:t>was</w:t>
      </w:r>
      <w:r w:rsidRPr="4F52FDA7">
        <w:rPr>
          <w:rFonts w:ascii="Arial" w:hAnsi="Arial" w:cs="Arial"/>
        </w:rPr>
        <w:t xml:space="preserve"> responsible for the</w:t>
      </w:r>
      <w:r>
        <w:rPr>
          <w:rFonts w:ascii="Arial" w:hAnsi="Arial" w:cs="Arial"/>
        </w:rPr>
        <w:t xml:space="preserve"> </w:t>
      </w:r>
      <w:r w:rsidRPr="4F52FDA7">
        <w:rPr>
          <w:rFonts w:ascii="Arial" w:hAnsi="Arial" w:cs="Arial"/>
        </w:rPr>
        <w:t xml:space="preserve">implementation of </w:t>
      </w:r>
      <w:r>
        <w:rPr>
          <w:rFonts w:ascii="Arial" w:hAnsi="Arial" w:cs="Arial"/>
        </w:rPr>
        <w:t>STIIP</w:t>
      </w:r>
      <w:r w:rsidRPr="4F52FDA7">
        <w:rPr>
          <w:rFonts w:ascii="Arial" w:hAnsi="Arial" w:cs="Arial"/>
        </w:rPr>
        <w:t xml:space="preserve">. The Director </w:t>
      </w:r>
      <w:r>
        <w:rPr>
          <w:rFonts w:ascii="Arial" w:hAnsi="Arial" w:cs="Arial"/>
        </w:rPr>
        <w:t>was</w:t>
      </w:r>
      <w:r w:rsidRPr="4F52FDA7">
        <w:rPr>
          <w:rFonts w:ascii="Arial" w:hAnsi="Arial" w:cs="Arial"/>
        </w:rPr>
        <w:t xml:space="preserve"> supported by </w:t>
      </w:r>
      <w:r>
        <w:rPr>
          <w:rFonts w:ascii="Arial" w:hAnsi="Arial" w:cs="Arial"/>
        </w:rPr>
        <w:t>three</w:t>
      </w:r>
      <w:r w:rsidRPr="4F52FDA7">
        <w:rPr>
          <w:rFonts w:ascii="Arial" w:hAnsi="Arial" w:cs="Arial"/>
        </w:rPr>
        <w:t xml:space="preserve"> </w:t>
      </w:r>
      <w:r>
        <w:rPr>
          <w:rFonts w:ascii="Arial" w:hAnsi="Arial" w:cs="Arial"/>
        </w:rPr>
        <w:t>d</w:t>
      </w:r>
      <w:r w:rsidRPr="4F52FDA7">
        <w:rPr>
          <w:rFonts w:ascii="Arial" w:hAnsi="Arial" w:cs="Arial"/>
        </w:rPr>
        <w:t xml:space="preserve">eputy </w:t>
      </w:r>
      <w:r>
        <w:rPr>
          <w:rFonts w:ascii="Arial" w:hAnsi="Arial" w:cs="Arial"/>
        </w:rPr>
        <w:t>d</w:t>
      </w:r>
      <w:r w:rsidRPr="4F52FDA7">
        <w:rPr>
          <w:rFonts w:ascii="Arial" w:hAnsi="Arial" w:cs="Arial"/>
        </w:rPr>
        <w:t>irectors</w:t>
      </w:r>
      <w:r>
        <w:rPr>
          <w:rFonts w:ascii="Arial" w:hAnsi="Arial" w:cs="Arial"/>
        </w:rPr>
        <w:t xml:space="preserve"> and </w:t>
      </w:r>
      <w:r w:rsidRPr="4F52FDA7">
        <w:rPr>
          <w:rFonts w:ascii="Arial" w:hAnsi="Arial" w:cs="Arial"/>
        </w:rPr>
        <w:t xml:space="preserve">three </w:t>
      </w:r>
      <w:r>
        <w:rPr>
          <w:rFonts w:ascii="Arial" w:hAnsi="Arial" w:cs="Arial"/>
        </w:rPr>
        <w:t xml:space="preserve">regional managers, covering </w:t>
      </w:r>
      <w:r w:rsidRPr="4F52FDA7">
        <w:rPr>
          <w:rFonts w:ascii="Arial" w:hAnsi="Arial" w:cs="Arial"/>
        </w:rPr>
        <w:t>three regions</w:t>
      </w:r>
      <w:r>
        <w:rPr>
          <w:rFonts w:ascii="Arial" w:hAnsi="Arial" w:cs="Arial"/>
        </w:rPr>
        <w:t xml:space="preserve"> and nine provinces</w:t>
      </w:r>
      <w:r w:rsidRPr="4F52FDA7">
        <w:rPr>
          <w:rFonts w:ascii="Arial" w:hAnsi="Arial" w:cs="Arial"/>
        </w:rPr>
        <w:t xml:space="preserve">. </w:t>
      </w:r>
      <w:r>
        <w:rPr>
          <w:rFonts w:ascii="Arial" w:hAnsi="Arial" w:cs="Arial"/>
        </w:rPr>
        <w:t>T</w:t>
      </w:r>
      <w:r w:rsidRPr="4F52FDA7">
        <w:rPr>
          <w:rFonts w:ascii="Arial" w:hAnsi="Arial" w:cs="Arial"/>
        </w:rPr>
        <w:t xml:space="preserve">he </w:t>
      </w:r>
      <w:r w:rsidR="00CD08F7">
        <w:rPr>
          <w:rFonts w:ascii="Arial" w:hAnsi="Arial" w:cs="Arial"/>
        </w:rPr>
        <w:t xml:space="preserve">CPIU </w:t>
      </w:r>
      <w:r w:rsidRPr="4F52FDA7">
        <w:rPr>
          <w:rFonts w:ascii="Arial" w:hAnsi="Arial" w:cs="Arial"/>
        </w:rPr>
        <w:t xml:space="preserve">Director </w:t>
      </w:r>
      <w:r>
        <w:rPr>
          <w:rFonts w:ascii="Arial" w:hAnsi="Arial" w:cs="Arial"/>
        </w:rPr>
        <w:t>was</w:t>
      </w:r>
      <w:r w:rsidRPr="4F52FDA7">
        <w:rPr>
          <w:rFonts w:ascii="Arial" w:hAnsi="Arial" w:cs="Arial"/>
        </w:rPr>
        <w:t xml:space="preserve"> required to manage the staff of the Procurement Unit, Safeguards Unit, Asset Management Unit and Laboratory. </w:t>
      </w:r>
    </w:p>
    <w:p w14:paraId="64E14887" w14:textId="18D81743" w:rsidR="00254773" w:rsidRDefault="00C16169" w:rsidP="007259E2">
      <w:pPr>
        <w:autoSpaceDE w:val="0"/>
        <w:autoSpaceDN w:val="0"/>
        <w:adjustRightInd w:val="0"/>
        <w:spacing w:after="120"/>
        <w:jc w:val="left"/>
        <w:rPr>
          <w:rFonts w:ascii="Arial" w:hAnsi="Arial" w:cs="Arial"/>
          <w:lang w:val="en-AU"/>
        </w:rPr>
      </w:pPr>
      <w:r>
        <w:rPr>
          <w:rFonts w:ascii="Arial" w:hAnsi="Arial" w:cs="Arial"/>
          <w:lang w:val="en-AU"/>
        </w:rPr>
        <w:t>The TA initially identified four international consultant positions – a program lead, a management accounting and operations specialist, a procurement and contract management</w:t>
      </w:r>
      <w:r w:rsidR="00120D11">
        <w:rPr>
          <w:rFonts w:ascii="Arial" w:hAnsi="Arial" w:cs="Arial"/>
          <w:lang w:val="en-AU"/>
        </w:rPr>
        <w:t xml:space="preserve"> </w:t>
      </w:r>
      <w:r>
        <w:rPr>
          <w:rFonts w:ascii="Arial" w:hAnsi="Arial" w:cs="Arial"/>
          <w:lang w:val="en-AU"/>
        </w:rPr>
        <w:t>specialist, and a safeguards specialist. During the early stage of the program consultant turnover was high, and this compromised the ability of the TA to develop investment momentum and achieve</w:t>
      </w:r>
      <w:r w:rsidR="00254773">
        <w:rPr>
          <w:rFonts w:ascii="Arial" w:hAnsi="Arial" w:cs="Arial"/>
          <w:lang w:val="en-AU"/>
        </w:rPr>
        <w:t xml:space="preserve"> </w:t>
      </w:r>
      <w:r>
        <w:rPr>
          <w:rFonts w:ascii="Arial" w:hAnsi="Arial" w:cs="Arial"/>
          <w:lang w:val="en-AU"/>
        </w:rPr>
        <w:t>sustainable capacity improvements. Four additional consultants</w:t>
      </w:r>
      <w:r w:rsidR="00254773">
        <w:rPr>
          <w:rFonts w:ascii="Arial" w:hAnsi="Arial" w:cs="Arial"/>
          <w:lang w:val="en-AU"/>
        </w:rPr>
        <w:t xml:space="preserve"> were engaged –</w:t>
      </w:r>
      <w:r>
        <w:rPr>
          <w:rFonts w:ascii="Arial" w:hAnsi="Arial" w:cs="Arial"/>
          <w:lang w:val="en-AU"/>
        </w:rPr>
        <w:t xml:space="preserve"> a national gender specialist, a</w:t>
      </w:r>
      <w:r w:rsidR="00254773">
        <w:rPr>
          <w:rFonts w:ascii="Arial" w:hAnsi="Arial" w:cs="Arial"/>
          <w:lang w:val="en-AU"/>
        </w:rPr>
        <w:t xml:space="preserve"> </w:t>
      </w:r>
      <w:r>
        <w:rPr>
          <w:rFonts w:ascii="Arial" w:hAnsi="Arial" w:cs="Arial"/>
          <w:lang w:val="en-AU"/>
        </w:rPr>
        <w:t>national accounting consultant, an international technical audit consultant, and an international</w:t>
      </w:r>
      <w:r w:rsidR="00254773">
        <w:rPr>
          <w:rFonts w:ascii="Arial" w:hAnsi="Arial" w:cs="Arial"/>
          <w:lang w:val="en-AU"/>
        </w:rPr>
        <w:t xml:space="preserve"> </w:t>
      </w:r>
      <w:r>
        <w:rPr>
          <w:rFonts w:ascii="Arial" w:hAnsi="Arial" w:cs="Arial"/>
          <w:lang w:val="en-AU"/>
        </w:rPr>
        <w:t>procurement audit consultant.</w:t>
      </w:r>
      <w:r w:rsidR="006B3EF9">
        <w:rPr>
          <w:rFonts w:ascii="Arial" w:hAnsi="Arial" w:cs="Arial"/>
          <w:lang w:val="en-AU"/>
        </w:rPr>
        <w:t xml:space="preserve"> </w:t>
      </w:r>
      <w:r w:rsidR="0079333E">
        <w:rPr>
          <w:rFonts w:ascii="Arial" w:hAnsi="Arial" w:cs="Arial"/>
          <w:lang w:val="en-AU"/>
        </w:rPr>
        <w:t>By</w:t>
      </w:r>
      <w:r w:rsidR="006B3EF9">
        <w:rPr>
          <w:rFonts w:ascii="Arial" w:hAnsi="Arial" w:cs="Arial"/>
          <w:lang w:val="en-AU"/>
        </w:rPr>
        <w:t xml:space="preserve"> 26 August 2022 the TA had</w:t>
      </w:r>
      <w:r w:rsidR="007259E2">
        <w:rPr>
          <w:rFonts w:ascii="Arial" w:hAnsi="Arial" w:cs="Arial"/>
          <w:lang w:val="en-AU"/>
        </w:rPr>
        <w:t xml:space="preserve"> </w:t>
      </w:r>
      <w:r w:rsidR="006B3EF9">
        <w:rPr>
          <w:rFonts w:ascii="Arial" w:hAnsi="Arial" w:cs="Arial"/>
          <w:lang w:val="en-AU"/>
        </w:rPr>
        <w:t xml:space="preserve">awarded contracts amounting to </w:t>
      </w:r>
      <w:r w:rsidR="00184994">
        <w:rPr>
          <w:rFonts w:ascii="Arial" w:hAnsi="Arial" w:cs="Arial"/>
          <w:lang w:val="en-AU"/>
        </w:rPr>
        <w:t>USD</w:t>
      </w:r>
      <w:r w:rsidR="006B3EF9">
        <w:rPr>
          <w:rFonts w:ascii="Arial" w:hAnsi="Arial" w:cs="Arial"/>
          <w:lang w:val="en-AU"/>
        </w:rPr>
        <w:t>4.45 million (</w:t>
      </w:r>
      <w:r w:rsidR="00184994">
        <w:rPr>
          <w:rFonts w:ascii="Arial" w:hAnsi="Arial" w:cs="Arial"/>
          <w:lang w:val="en-AU"/>
        </w:rPr>
        <w:t>AUD</w:t>
      </w:r>
      <w:r w:rsidR="000A654F">
        <w:rPr>
          <w:rFonts w:ascii="Arial" w:hAnsi="Arial" w:cs="Arial"/>
          <w:lang w:val="en-AU"/>
        </w:rPr>
        <w:t>6.6 million</w:t>
      </w:r>
      <w:r w:rsidR="006B3EF9">
        <w:rPr>
          <w:rFonts w:ascii="Arial" w:hAnsi="Arial" w:cs="Arial"/>
          <w:lang w:val="en-AU"/>
        </w:rPr>
        <w:t>).</w:t>
      </w:r>
    </w:p>
    <w:p w14:paraId="38CAB708" w14:textId="50E9B605" w:rsidR="00340B95" w:rsidRDefault="008D5350" w:rsidP="007259E2">
      <w:pPr>
        <w:spacing w:after="120"/>
        <w:rPr>
          <w:rFonts w:ascii="Arial" w:hAnsi="Arial" w:cs="Arial"/>
        </w:rPr>
      </w:pPr>
      <w:r>
        <w:rPr>
          <w:rFonts w:ascii="Arial" w:hAnsi="Arial" w:cs="Arial"/>
        </w:rPr>
        <w:t xml:space="preserve">The NTF procurement plan included consulting fees for </w:t>
      </w:r>
      <w:r w:rsidR="00340B95" w:rsidRPr="4F52FDA7">
        <w:rPr>
          <w:rFonts w:ascii="Arial" w:hAnsi="Arial" w:cs="Arial"/>
        </w:rPr>
        <w:t xml:space="preserve">Bridge </w:t>
      </w:r>
      <w:r w:rsidR="00340B95">
        <w:rPr>
          <w:rFonts w:ascii="Arial" w:hAnsi="Arial" w:cs="Arial"/>
        </w:rPr>
        <w:t xml:space="preserve">and </w:t>
      </w:r>
      <w:r w:rsidR="00340B95" w:rsidRPr="4F52FDA7">
        <w:rPr>
          <w:rFonts w:ascii="Arial" w:hAnsi="Arial" w:cs="Arial"/>
        </w:rPr>
        <w:t>Wharf Design Engineer</w:t>
      </w:r>
      <w:r w:rsidR="00340B95">
        <w:rPr>
          <w:rFonts w:ascii="Arial" w:hAnsi="Arial" w:cs="Arial"/>
        </w:rPr>
        <w:t>s</w:t>
      </w:r>
      <w:r w:rsidR="00340B95" w:rsidRPr="4F52FDA7">
        <w:rPr>
          <w:rFonts w:ascii="Arial" w:hAnsi="Arial" w:cs="Arial"/>
        </w:rPr>
        <w:t xml:space="preserve">, </w:t>
      </w:r>
      <w:r w:rsidR="00371CA9">
        <w:rPr>
          <w:rFonts w:ascii="Arial" w:hAnsi="Arial" w:cs="Arial"/>
        </w:rPr>
        <w:t xml:space="preserve">a </w:t>
      </w:r>
      <w:r w:rsidR="00340B95" w:rsidRPr="4F52FDA7">
        <w:rPr>
          <w:rFonts w:ascii="Arial" w:hAnsi="Arial" w:cs="Arial"/>
        </w:rPr>
        <w:t>Hydraulics Engineer, Transport Economist and Climate Change Specialist</w:t>
      </w:r>
      <w:r w:rsidR="00340B95">
        <w:rPr>
          <w:rFonts w:ascii="Arial" w:hAnsi="Arial" w:cs="Arial"/>
        </w:rPr>
        <w:t>s</w:t>
      </w:r>
      <w:r w:rsidR="00340B95" w:rsidRPr="4F52FDA7">
        <w:rPr>
          <w:rFonts w:ascii="Arial" w:hAnsi="Arial" w:cs="Arial"/>
        </w:rPr>
        <w:t xml:space="preserve"> to assist CPIU in preparation of feasibility studies, detail designs, environmental safeguards</w:t>
      </w:r>
      <w:r w:rsidR="00340B95">
        <w:rPr>
          <w:rFonts w:ascii="Arial" w:hAnsi="Arial" w:cs="Arial"/>
        </w:rPr>
        <w:t xml:space="preserve"> and</w:t>
      </w:r>
      <w:r w:rsidR="00340B95" w:rsidRPr="4F52FDA7">
        <w:rPr>
          <w:rFonts w:ascii="Arial" w:hAnsi="Arial" w:cs="Arial"/>
        </w:rPr>
        <w:t xml:space="preserve"> social safeguards of projects </w:t>
      </w:r>
      <w:r w:rsidR="00F8357B">
        <w:rPr>
          <w:rFonts w:ascii="Arial" w:hAnsi="Arial" w:cs="Arial"/>
        </w:rPr>
        <w:t>as required</w:t>
      </w:r>
      <w:r w:rsidR="00340B95" w:rsidRPr="4F52FDA7">
        <w:rPr>
          <w:rFonts w:ascii="Arial" w:hAnsi="Arial" w:cs="Arial"/>
        </w:rPr>
        <w:t xml:space="preserve">. </w:t>
      </w:r>
      <w:r w:rsidR="00340B95">
        <w:rPr>
          <w:rFonts w:ascii="Arial" w:hAnsi="Arial" w:cs="Arial"/>
        </w:rPr>
        <w:t xml:space="preserve">In May 2019 MID </w:t>
      </w:r>
      <w:r w:rsidR="00340B95" w:rsidRPr="4F52FDA7">
        <w:rPr>
          <w:rFonts w:ascii="Arial" w:hAnsi="Arial" w:cs="Arial"/>
        </w:rPr>
        <w:t xml:space="preserve">recruited a consulting firm </w:t>
      </w:r>
      <w:r w:rsidR="00340B95">
        <w:rPr>
          <w:rFonts w:ascii="Arial" w:hAnsi="Arial" w:cs="Arial"/>
        </w:rPr>
        <w:t xml:space="preserve">to support </w:t>
      </w:r>
      <w:r w:rsidR="0089438F">
        <w:rPr>
          <w:rFonts w:ascii="Arial" w:hAnsi="Arial" w:cs="Arial"/>
        </w:rPr>
        <w:t>the CPIU</w:t>
      </w:r>
      <w:r w:rsidR="00340B95">
        <w:rPr>
          <w:rFonts w:ascii="Arial" w:hAnsi="Arial" w:cs="Arial"/>
        </w:rPr>
        <w:t>. The consulting firm contract closed on 30 June 2022.</w:t>
      </w:r>
      <w:r w:rsidR="0089438F">
        <w:rPr>
          <w:rFonts w:ascii="Arial" w:hAnsi="Arial" w:cs="Arial"/>
        </w:rPr>
        <w:t xml:space="preserve"> I</w:t>
      </w:r>
      <w:r w:rsidR="00340B95" w:rsidRPr="4F52FDA7">
        <w:rPr>
          <w:rFonts w:ascii="Arial" w:hAnsi="Arial" w:cs="Arial"/>
        </w:rPr>
        <w:t xml:space="preserve">n 2018 the CPIU </w:t>
      </w:r>
      <w:r w:rsidR="00E653C5">
        <w:rPr>
          <w:rFonts w:ascii="Arial" w:hAnsi="Arial" w:cs="Arial"/>
        </w:rPr>
        <w:t xml:space="preserve">also </w:t>
      </w:r>
      <w:r w:rsidR="00340B95" w:rsidRPr="4F52FDA7">
        <w:rPr>
          <w:rFonts w:ascii="Arial" w:hAnsi="Arial" w:cs="Arial"/>
        </w:rPr>
        <w:t>recruited a safeguards officer and in 2020 two Procurement Officers.</w:t>
      </w:r>
    </w:p>
    <w:p w14:paraId="717AE874" w14:textId="4370482B" w:rsidR="00FD7369" w:rsidRPr="00AE614A" w:rsidRDefault="00FD7369" w:rsidP="00AE614A">
      <w:pPr>
        <w:spacing w:after="120"/>
        <w:rPr>
          <w:rFonts w:ascii="Arial" w:hAnsi="Arial" w:cs="Arial"/>
        </w:rPr>
      </w:pPr>
      <w:r w:rsidRPr="00AE614A">
        <w:rPr>
          <w:rFonts w:ascii="Arial" w:hAnsi="Arial" w:cs="Arial"/>
        </w:rPr>
        <w:t>The TA package included training on road condition assessment, road maintenance requirements, procurement, contract management</w:t>
      </w:r>
      <w:r w:rsidR="00166EA1" w:rsidRPr="00AE614A">
        <w:rPr>
          <w:rFonts w:ascii="Arial" w:hAnsi="Arial" w:cs="Arial"/>
        </w:rPr>
        <w:t xml:space="preserve">, </w:t>
      </w:r>
      <w:r w:rsidRPr="00AE614A">
        <w:rPr>
          <w:rFonts w:ascii="Arial" w:hAnsi="Arial" w:cs="Arial"/>
        </w:rPr>
        <w:t xml:space="preserve">gender responsiveness and environmental and social safeguards compliance. Field-based training was provided to contractors and engineers on contract management, including supervision and quality control. </w:t>
      </w:r>
    </w:p>
    <w:p w14:paraId="0C474F9E" w14:textId="7634A288" w:rsidR="00C91650" w:rsidRPr="00C91650" w:rsidRDefault="00C91650" w:rsidP="00AE614A">
      <w:pPr>
        <w:spacing w:after="120"/>
        <w:rPr>
          <w:rFonts w:ascii="Arial" w:hAnsi="Arial" w:cs="Arial"/>
          <w:b/>
          <w:bCs/>
          <w:sz w:val="20"/>
          <w:szCs w:val="20"/>
        </w:rPr>
      </w:pPr>
      <w:r w:rsidRPr="00C91650">
        <w:rPr>
          <w:rFonts w:ascii="Arial" w:hAnsi="Arial" w:cs="Arial"/>
          <w:b/>
          <w:bCs/>
          <w:sz w:val="20"/>
          <w:szCs w:val="20"/>
        </w:rPr>
        <w:t xml:space="preserve">Contract management </w:t>
      </w:r>
      <w:r w:rsidR="000E25BB">
        <w:rPr>
          <w:rFonts w:ascii="Arial" w:hAnsi="Arial" w:cs="Arial"/>
          <w:b/>
          <w:bCs/>
          <w:sz w:val="20"/>
          <w:szCs w:val="20"/>
        </w:rPr>
        <w:t>capacity</w:t>
      </w:r>
    </w:p>
    <w:p w14:paraId="0C4A0A1E" w14:textId="70551D06" w:rsidR="00166EA1" w:rsidRPr="00AE614A" w:rsidRDefault="00166EA1" w:rsidP="00AE614A">
      <w:pPr>
        <w:spacing w:after="120"/>
        <w:rPr>
          <w:rFonts w:ascii="Arial" w:hAnsi="Arial" w:cs="Arial"/>
        </w:rPr>
      </w:pPr>
      <w:r w:rsidRPr="00AE614A">
        <w:rPr>
          <w:rFonts w:ascii="Arial" w:hAnsi="Arial" w:cs="Arial"/>
        </w:rPr>
        <w:t xml:space="preserve">On-the-job training was provided on procurement of works, goods, and consulting services. This continued throughout STIIP implementation and covered public procurement regulations. A focus on donor funded procurement procedures included training: on sample TOR preparation; the development of expression of interest evaluation criteria; requests for proposal; evaluation of bids and bid evaluation report preparation; to contract award and the compilation of full contract documents. </w:t>
      </w:r>
    </w:p>
    <w:p w14:paraId="3FD63F76" w14:textId="77777777" w:rsidR="00AE614A" w:rsidRPr="00AE614A" w:rsidRDefault="00AE614A" w:rsidP="00AE614A">
      <w:pPr>
        <w:spacing w:after="120"/>
        <w:rPr>
          <w:rFonts w:ascii="Arial" w:hAnsi="Arial" w:cs="Arial"/>
        </w:rPr>
      </w:pPr>
      <w:r w:rsidRPr="00AE614A">
        <w:rPr>
          <w:rFonts w:ascii="Arial" w:hAnsi="Arial" w:cs="Arial"/>
        </w:rPr>
        <w:t xml:space="preserve">The CPIU Training Plan was updated regularly to align with CPIU’s requirements. </w:t>
      </w:r>
      <w:r w:rsidRPr="00AE614A">
        <w:rPr>
          <w:rFonts w:ascii="Arial" w:hAnsi="Arial" w:cs="Arial"/>
          <w:color w:val="000000" w:themeColor="text1"/>
        </w:rPr>
        <w:t xml:space="preserve">The STIIP Q2 QPR of 2022 noted that </w:t>
      </w:r>
      <w:r w:rsidRPr="00AE614A">
        <w:rPr>
          <w:rFonts w:ascii="Arial" w:hAnsi="Arial" w:cs="Arial"/>
        </w:rPr>
        <w:t xml:space="preserve">MID’s contract management capacity had improved through training programs. Site visits conducted by the TA consultants with CPIU engineers, asset managers, and the safeguards team had helped MID resources to assess road conditions and develop scopes of maintenance works. </w:t>
      </w:r>
    </w:p>
    <w:p w14:paraId="46EB15CD" w14:textId="14F54DBA" w:rsidR="00AE614A" w:rsidRPr="00AE614A" w:rsidRDefault="00AE614A" w:rsidP="00AE614A">
      <w:pPr>
        <w:spacing w:after="120"/>
        <w:rPr>
          <w:rFonts w:ascii="Arial" w:hAnsi="Arial" w:cs="Arial"/>
        </w:rPr>
      </w:pPr>
      <w:r w:rsidRPr="00AE614A">
        <w:rPr>
          <w:rFonts w:ascii="Arial" w:hAnsi="Arial" w:cs="Arial"/>
        </w:rPr>
        <w:t xml:space="preserve">During training a variation progress tracking register was developed to ensure timely tracking of process approvals for requests for time/cost extensions. Contract management training led to demonstrable reductions in the time it took to process contractor payments. The time taken for CPIU processing of invoices reduced to 5 weeks in Q2 2022 from previous quarters (Q2 2021:6.2 </w:t>
      </w:r>
      <w:r w:rsidRPr="00AE614A">
        <w:rPr>
          <w:rFonts w:ascii="Arial" w:hAnsi="Arial" w:cs="Arial"/>
        </w:rPr>
        <w:lastRenderedPageBreak/>
        <w:t xml:space="preserve">weeks, Q4 2020: 10 weeks, and Q2 2020: 7.6 weeks) against the 4-week target </w:t>
      </w:r>
      <w:r w:rsidR="00EF3D43">
        <w:rPr>
          <w:rFonts w:ascii="Arial" w:hAnsi="Arial" w:cs="Arial"/>
        </w:rPr>
        <w:t xml:space="preserve">set by </w:t>
      </w:r>
      <w:r w:rsidR="0014721E">
        <w:rPr>
          <w:rFonts w:ascii="Arial" w:hAnsi="Arial" w:cs="Arial"/>
        </w:rPr>
        <w:t xml:space="preserve">the </w:t>
      </w:r>
      <w:r w:rsidR="0014721E" w:rsidRPr="00096C64">
        <w:rPr>
          <w:rFonts w:ascii="Arial" w:hAnsi="Arial" w:cs="Arial"/>
          <w:lang w:eastAsia="en-PH"/>
        </w:rPr>
        <w:t>International Federation of Consulting Engineers</w:t>
      </w:r>
      <w:r w:rsidR="0014721E">
        <w:rPr>
          <w:rFonts w:ascii="Arial" w:hAnsi="Arial" w:cs="Arial"/>
        </w:rPr>
        <w:t xml:space="preserve"> (</w:t>
      </w:r>
      <w:r w:rsidR="00EF3D43">
        <w:rPr>
          <w:rFonts w:ascii="Arial" w:hAnsi="Arial" w:cs="Arial"/>
        </w:rPr>
        <w:t>FIDIC</w:t>
      </w:r>
      <w:r w:rsidR="0014721E">
        <w:rPr>
          <w:rFonts w:ascii="Arial" w:hAnsi="Arial" w:cs="Arial"/>
        </w:rPr>
        <w:t>)</w:t>
      </w:r>
      <w:r w:rsidRPr="00AE614A">
        <w:rPr>
          <w:rFonts w:ascii="Arial" w:hAnsi="Arial" w:cs="Arial"/>
        </w:rPr>
        <w:t xml:space="preserve">. </w:t>
      </w:r>
    </w:p>
    <w:p w14:paraId="7872710F" w14:textId="20FB6BEB" w:rsidR="005F263F" w:rsidRPr="00C91650" w:rsidRDefault="005F263F" w:rsidP="00AE614A">
      <w:pPr>
        <w:spacing w:after="120"/>
        <w:rPr>
          <w:rFonts w:ascii="Arial" w:hAnsi="Arial" w:cs="Arial"/>
          <w:b/>
          <w:bCs/>
          <w:sz w:val="20"/>
          <w:szCs w:val="20"/>
        </w:rPr>
      </w:pPr>
      <w:r w:rsidRPr="00C91650">
        <w:rPr>
          <w:rFonts w:ascii="Arial" w:hAnsi="Arial" w:cs="Arial"/>
          <w:b/>
          <w:bCs/>
          <w:sz w:val="20"/>
          <w:szCs w:val="20"/>
        </w:rPr>
        <w:t>Financial management</w:t>
      </w:r>
      <w:r w:rsidR="000E25BB">
        <w:rPr>
          <w:rFonts w:ascii="Arial" w:hAnsi="Arial" w:cs="Arial"/>
          <w:b/>
          <w:bCs/>
          <w:sz w:val="20"/>
          <w:szCs w:val="20"/>
        </w:rPr>
        <w:t xml:space="preserve"> capacity</w:t>
      </w:r>
    </w:p>
    <w:p w14:paraId="756C2BA8" w14:textId="02CE55DA" w:rsidR="005F0F32" w:rsidRPr="00AE614A" w:rsidRDefault="005F0F32" w:rsidP="00AE614A">
      <w:pPr>
        <w:spacing w:after="120"/>
        <w:rPr>
          <w:rFonts w:ascii="Arial" w:hAnsi="Arial" w:cs="Arial"/>
        </w:rPr>
      </w:pPr>
      <w:r w:rsidRPr="00AE614A">
        <w:rPr>
          <w:rFonts w:ascii="Arial" w:hAnsi="Arial" w:cs="Arial"/>
        </w:rPr>
        <w:t xml:space="preserve">In general, financial management capacity in Solomon Islands is low with a limited number of qualified and experienced accountants and bookkeepers. This was highlighted </w:t>
      </w:r>
      <w:r w:rsidR="00393F3F">
        <w:rPr>
          <w:rFonts w:ascii="Arial" w:hAnsi="Arial" w:cs="Arial"/>
        </w:rPr>
        <w:t xml:space="preserve">in the </w:t>
      </w:r>
      <w:r w:rsidRPr="00AE614A">
        <w:rPr>
          <w:rFonts w:ascii="Arial" w:hAnsi="Arial" w:cs="Arial"/>
        </w:rPr>
        <w:t>STIIP design</w:t>
      </w:r>
      <w:r w:rsidR="00393F3F">
        <w:rPr>
          <w:rFonts w:ascii="Arial" w:hAnsi="Arial" w:cs="Arial"/>
        </w:rPr>
        <w:t xml:space="preserve"> document</w:t>
      </w:r>
      <w:r w:rsidRPr="00AE614A">
        <w:rPr>
          <w:rFonts w:ascii="Arial" w:hAnsi="Arial" w:cs="Arial"/>
        </w:rPr>
        <w:t xml:space="preserve">. </w:t>
      </w:r>
      <w:r w:rsidR="00393F3F">
        <w:rPr>
          <w:rFonts w:ascii="Arial" w:hAnsi="Arial" w:cs="Arial"/>
        </w:rPr>
        <w:t xml:space="preserve">These risks were to be mitigated by </w:t>
      </w:r>
      <w:r w:rsidRPr="00AE614A">
        <w:rPr>
          <w:rFonts w:ascii="Arial" w:hAnsi="Arial" w:cs="Arial"/>
        </w:rPr>
        <w:t xml:space="preserve">continued staff training by the </w:t>
      </w:r>
      <w:r w:rsidR="00393F3F">
        <w:rPr>
          <w:rFonts w:ascii="Arial" w:hAnsi="Arial" w:cs="Arial"/>
        </w:rPr>
        <w:t>GOA</w:t>
      </w:r>
      <w:r w:rsidRPr="00AE614A">
        <w:rPr>
          <w:rFonts w:ascii="Arial" w:hAnsi="Arial" w:cs="Arial"/>
        </w:rPr>
        <w:t xml:space="preserve"> financial management advisor on accounting and internal controls and the preparation of NTF financial statements, and rigorous training on financial management and accounting procedures to upgrade staff capacity in MOFT and MID. The CPIU was staffed with a national financial management specialist in 2021. A financial and management accounting specialist was appointed under the TA but did not provide financial management training, possibly owing to the lack of counterpart staff in place at the time.</w:t>
      </w:r>
      <w:r w:rsidR="00542CE2">
        <w:rPr>
          <w:rFonts w:ascii="Arial" w:hAnsi="Arial" w:cs="Arial"/>
        </w:rPr>
        <w:t xml:space="preserve"> The Australian-funded financial management specialist provided capacity support to the senior accountant and financial controller but was de-mobilised in 2020 due to COVID-19 which made training activities more challenging. Nevertheless, a final report from the adviser reported that the capacity of the senior accountant improved under her tutelage. The financial controller had been making progress but was replaced by a financial controller who was less </w:t>
      </w:r>
      <w:r w:rsidR="0022743E">
        <w:rPr>
          <w:rFonts w:ascii="Arial" w:hAnsi="Arial" w:cs="Arial"/>
        </w:rPr>
        <w:t>engaged</w:t>
      </w:r>
      <w:r w:rsidR="00542CE2">
        <w:rPr>
          <w:rFonts w:ascii="Arial" w:hAnsi="Arial" w:cs="Arial"/>
        </w:rPr>
        <w:t xml:space="preserve">. </w:t>
      </w:r>
    </w:p>
    <w:p w14:paraId="51D3C377" w14:textId="77777777" w:rsidR="005F0F32" w:rsidRPr="00AE614A" w:rsidRDefault="005F0F32" w:rsidP="00AE614A">
      <w:pPr>
        <w:spacing w:after="120"/>
        <w:rPr>
          <w:rFonts w:ascii="Arial" w:hAnsi="Arial" w:cs="Arial"/>
          <w:highlight w:val="yellow"/>
        </w:rPr>
      </w:pPr>
      <w:r w:rsidRPr="00AE614A">
        <w:rPr>
          <w:rFonts w:ascii="Arial" w:hAnsi="Arial" w:cs="Arial"/>
        </w:rPr>
        <w:t xml:space="preserve">MID was to commit an Accountant for NTF invoice processing. However, that position remained vacant and other MID staff were assigned on an ad-hoc basis to process invoices. These MID employees also processed payments for non-STIIP projects, further delaying the processing of NTF invoices. </w:t>
      </w:r>
    </w:p>
    <w:p w14:paraId="58B985E1" w14:textId="26032C90" w:rsidR="00951CC2" w:rsidRPr="00AE614A" w:rsidRDefault="005F0F32" w:rsidP="00AE614A">
      <w:pPr>
        <w:spacing w:after="120"/>
        <w:rPr>
          <w:rFonts w:ascii="Arial" w:hAnsi="Arial" w:cs="Arial"/>
          <w:bCs/>
          <w:i/>
          <w:iCs/>
        </w:rPr>
      </w:pPr>
      <w:r w:rsidRPr="00AE614A">
        <w:rPr>
          <w:rFonts w:ascii="Arial" w:hAnsi="Arial" w:cs="Arial"/>
        </w:rPr>
        <w:t>An internal audit consultant was engaged by ADB concurrent to this Review. The key findings made by the internal auditor included: (i) MID finance staff ha</w:t>
      </w:r>
      <w:r w:rsidR="00671AE1">
        <w:rPr>
          <w:rFonts w:ascii="Arial" w:hAnsi="Arial" w:cs="Arial"/>
        </w:rPr>
        <w:t>d</w:t>
      </w:r>
      <w:r w:rsidRPr="00AE614A">
        <w:rPr>
          <w:rFonts w:ascii="Arial" w:hAnsi="Arial" w:cs="Arial"/>
        </w:rPr>
        <w:t xml:space="preserve"> limited proficiency in accounting and financial tasks since most </w:t>
      </w:r>
      <w:r w:rsidR="00671AE1">
        <w:rPr>
          <w:rFonts w:ascii="Arial" w:hAnsi="Arial" w:cs="Arial"/>
        </w:rPr>
        <w:t xml:space="preserve">were </w:t>
      </w:r>
      <w:r w:rsidRPr="00AE614A">
        <w:rPr>
          <w:rFonts w:ascii="Arial" w:hAnsi="Arial" w:cs="Arial"/>
        </w:rPr>
        <w:t>not qualified accountants; (ii) CPIU depend</w:t>
      </w:r>
      <w:r w:rsidR="00671AE1">
        <w:rPr>
          <w:rFonts w:ascii="Arial" w:hAnsi="Arial" w:cs="Arial"/>
        </w:rPr>
        <w:t>ed</w:t>
      </w:r>
      <w:r w:rsidRPr="00AE614A">
        <w:rPr>
          <w:rFonts w:ascii="Arial" w:hAnsi="Arial" w:cs="Arial"/>
        </w:rPr>
        <w:t xml:space="preserve"> on program-funded staff rather than in-house resources; (iii) neither MID </w:t>
      </w:r>
      <w:r w:rsidR="00671AE1">
        <w:rPr>
          <w:rFonts w:ascii="Arial" w:hAnsi="Arial" w:cs="Arial"/>
        </w:rPr>
        <w:t>n</w:t>
      </w:r>
      <w:r w:rsidRPr="00AE614A">
        <w:rPr>
          <w:rFonts w:ascii="Arial" w:hAnsi="Arial" w:cs="Arial"/>
        </w:rPr>
        <w:t>or CPIU maintain</w:t>
      </w:r>
      <w:r w:rsidR="00671AE1">
        <w:rPr>
          <w:rFonts w:ascii="Arial" w:hAnsi="Arial" w:cs="Arial"/>
        </w:rPr>
        <w:t>ed</w:t>
      </w:r>
      <w:r w:rsidRPr="00AE614A">
        <w:rPr>
          <w:rFonts w:ascii="Arial" w:hAnsi="Arial" w:cs="Arial"/>
        </w:rPr>
        <w:t xml:space="preserve"> a fixed asset register to keep track of ministry assets</w:t>
      </w:r>
      <w:r w:rsidR="00EF12D7">
        <w:rPr>
          <w:rFonts w:ascii="Arial" w:hAnsi="Arial" w:cs="Arial"/>
        </w:rPr>
        <w:t>;</w:t>
      </w:r>
      <w:r w:rsidRPr="00AE614A">
        <w:rPr>
          <w:rFonts w:ascii="Arial" w:hAnsi="Arial" w:cs="Arial"/>
        </w:rPr>
        <w:t xml:space="preserve"> and (iv) ongoing delays in imprest retirements </w:t>
      </w:r>
      <w:r w:rsidR="00671AE1">
        <w:rPr>
          <w:rFonts w:ascii="Arial" w:hAnsi="Arial" w:cs="Arial"/>
        </w:rPr>
        <w:t xml:space="preserve">were </w:t>
      </w:r>
      <w:r w:rsidRPr="00AE614A">
        <w:rPr>
          <w:rFonts w:ascii="Arial" w:hAnsi="Arial" w:cs="Arial"/>
        </w:rPr>
        <w:t xml:space="preserve">the main cause of </w:t>
      </w:r>
      <w:r w:rsidR="00671AE1">
        <w:rPr>
          <w:rFonts w:ascii="Arial" w:hAnsi="Arial" w:cs="Arial"/>
        </w:rPr>
        <w:t xml:space="preserve">project </w:t>
      </w:r>
      <w:r w:rsidRPr="00AE614A">
        <w:rPr>
          <w:rFonts w:ascii="Arial" w:hAnsi="Arial" w:cs="Arial"/>
        </w:rPr>
        <w:t>implementation delays.</w:t>
      </w:r>
    </w:p>
    <w:p w14:paraId="31C58AC9" w14:textId="77777777" w:rsidR="005F0F32" w:rsidRPr="00AE614A" w:rsidRDefault="005F0F32" w:rsidP="00AE614A">
      <w:pPr>
        <w:spacing w:after="120"/>
        <w:rPr>
          <w:rFonts w:ascii="Arial" w:hAnsi="Arial" w:cs="Arial"/>
          <w:bCs/>
        </w:rPr>
      </w:pPr>
    </w:p>
    <w:p w14:paraId="67F3CB3F" w14:textId="45EB693D" w:rsidR="00D33B4B" w:rsidRPr="00AE614A" w:rsidRDefault="00D33B4B" w:rsidP="00270068">
      <w:pPr>
        <w:spacing w:line="259" w:lineRule="auto"/>
        <w:jc w:val="left"/>
        <w:rPr>
          <w:rFonts w:ascii="Arial" w:hAnsi="Arial" w:cs="Arial"/>
          <w:b/>
        </w:rPr>
      </w:pPr>
      <w:r w:rsidRPr="00AE614A">
        <w:rPr>
          <w:rFonts w:ascii="Arial" w:hAnsi="Arial" w:cs="Arial"/>
          <w:b/>
        </w:rPr>
        <w:t>Conclusion</w:t>
      </w:r>
    </w:p>
    <w:p w14:paraId="03B4825C" w14:textId="3397B526" w:rsidR="00966197" w:rsidRPr="00AE614A" w:rsidRDefault="008F2351" w:rsidP="00AE614A">
      <w:pPr>
        <w:pStyle w:val="Default"/>
        <w:spacing w:after="120"/>
        <w:rPr>
          <w:rFonts w:ascii="Arial" w:hAnsi="Arial" w:cs="Arial"/>
          <w:sz w:val="22"/>
          <w:szCs w:val="22"/>
        </w:rPr>
      </w:pPr>
      <w:r w:rsidRPr="00AE614A">
        <w:rPr>
          <w:rFonts w:ascii="Arial" w:hAnsi="Arial" w:cs="Arial"/>
          <w:sz w:val="22"/>
          <w:szCs w:val="22"/>
        </w:rPr>
        <w:t>Judging the effectiveness of many of the Output 2 systems and Output 3 capacity building initiatives implemented under STIIP require</w:t>
      </w:r>
      <w:r w:rsidR="000B5AEB">
        <w:rPr>
          <w:rFonts w:ascii="Arial" w:hAnsi="Arial" w:cs="Arial"/>
          <w:sz w:val="22"/>
          <w:szCs w:val="22"/>
        </w:rPr>
        <w:t>s</w:t>
      </w:r>
      <w:r w:rsidRPr="00AE614A">
        <w:rPr>
          <w:rFonts w:ascii="Arial" w:hAnsi="Arial" w:cs="Arial"/>
          <w:sz w:val="22"/>
          <w:szCs w:val="22"/>
        </w:rPr>
        <w:t xml:space="preserve"> an understanding of how well the established systems </w:t>
      </w:r>
      <w:r w:rsidR="00A65A4B" w:rsidRPr="00AE614A">
        <w:rPr>
          <w:rFonts w:ascii="Arial" w:hAnsi="Arial" w:cs="Arial"/>
          <w:sz w:val="22"/>
          <w:szCs w:val="22"/>
        </w:rPr>
        <w:t>would</w:t>
      </w:r>
      <w:r w:rsidRPr="00AE614A">
        <w:rPr>
          <w:rFonts w:ascii="Arial" w:hAnsi="Arial" w:cs="Arial"/>
          <w:sz w:val="22"/>
          <w:szCs w:val="22"/>
        </w:rPr>
        <w:t xml:space="preserve"> be utili</w:t>
      </w:r>
      <w:r w:rsidR="00A65A4B" w:rsidRPr="00AE614A">
        <w:rPr>
          <w:rFonts w:ascii="Arial" w:hAnsi="Arial" w:cs="Arial"/>
          <w:sz w:val="22"/>
          <w:szCs w:val="22"/>
        </w:rPr>
        <w:t>s</w:t>
      </w:r>
      <w:r w:rsidRPr="00AE614A">
        <w:rPr>
          <w:rFonts w:ascii="Arial" w:hAnsi="Arial" w:cs="Arial"/>
          <w:sz w:val="22"/>
          <w:szCs w:val="22"/>
        </w:rPr>
        <w:t xml:space="preserve">ed going forward, and how much knowledge </w:t>
      </w:r>
      <w:r w:rsidR="00A65A4B" w:rsidRPr="00AE614A">
        <w:rPr>
          <w:rFonts w:ascii="Arial" w:hAnsi="Arial" w:cs="Arial"/>
          <w:sz w:val="22"/>
          <w:szCs w:val="22"/>
        </w:rPr>
        <w:t xml:space="preserve">had </w:t>
      </w:r>
      <w:r w:rsidRPr="00AE614A">
        <w:rPr>
          <w:rFonts w:ascii="Arial" w:hAnsi="Arial" w:cs="Arial"/>
          <w:sz w:val="22"/>
          <w:szCs w:val="22"/>
        </w:rPr>
        <w:t>been transferred. This Review emphasi</w:t>
      </w:r>
      <w:r w:rsidR="00572C7F" w:rsidRPr="00AE614A">
        <w:rPr>
          <w:rFonts w:ascii="Arial" w:hAnsi="Arial" w:cs="Arial"/>
          <w:sz w:val="22"/>
          <w:szCs w:val="22"/>
        </w:rPr>
        <w:t>s</w:t>
      </w:r>
      <w:r w:rsidRPr="00AE614A">
        <w:rPr>
          <w:rFonts w:ascii="Arial" w:hAnsi="Arial" w:cs="Arial"/>
          <w:sz w:val="22"/>
          <w:szCs w:val="22"/>
        </w:rPr>
        <w:t>e</w:t>
      </w:r>
      <w:r w:rsidR="00572C7F" w:rsidRPr="00AE614A">
        <w:rPr>
          <w:rFonts w:ascii="Arial" w:hAnsi="Arial" w:cs="Arial"/>
          <w:sz w:val="22"/>
          <w:szCs w:val="22"/>
        </w:rPr>
        <w:t>d</w:t>
      </w:r>
      <w:r w:rsidRPr="00AE614A">
        <w:rPr>
          <w:rFonts w:ascii="Arial" w:hAnsi="Arial" w:cs="Arial"/>
          <w:sz w:val="22"/>
          <w:szCs w:val="22"/>
        </w:rPr>
        <w:t xml:space="preserve"> the strategic value of SITAMS and the production of the MTTAP.  Consultations concluded that the capacity building support was well received and valuable. </w:t>
      </w:r>
    </w:p>
    <w:p w14:paraId="50433D69" w14:textId="3F2725F2" w:rsidR="008F2351" w:rsidRPr="00AE614A" w:rsidRDefault="00215113" w:rsidP="00AE614A">
      <w:pPr>
        <w:pStyle w:val="Default"/>
        <w:spacing w:after="120"/>
        <w:rPr>
          <w:rFonts w:ascii="Arial" w:hAnsi="Arial" w:cs="Arial"/>
          <w:sz w:val="22"/>
          <w:szCs w:val="22"/>
        </w:rPr>
      </w:pPr>
      <w:r w:rsidRPr="00AE614A">
        <w:rPr>
          <w:rFonts w:ascii="Arial" w:hAnsi="Arial" w:cs="Arial"/>
          <w:sz w:val="22"/>
          <w:szCs w:val="22"/>
        </w:rPr>
        <w:t>A forthcoming project completion report by the</w:t>
      </w:r>
      <w:r w:rsidR="008F2351" w:rsidRPr="00AE614A">
        <w:rPr>
          <w:rFonts w:ascii="Arial" w:hAnsi="Arial" w:cs="Arial"/>
          <w:sz w:val="22"/>
          <w:szCs w:val="22"/>
        </w:rPr>
        <w:t xml:space="preserve"> ADB </w:t>
      </w:r>
      <w:r w:rsidRPr="00AE614A">
        <w:rPr>
          <w:rFonts w:ascii="Arial" w:hAnsi="Arial" w:cs="Arial"/>
          <w:sz w:val="22"/>
          <w:szCs w:val="22"/>
        </w:rPr>
        <w:t xml:space="preserve">will endeavour to </w:t>
      </w:r>
      <w:r w:rsidR="008F2351" w:rsidRPr="00AE614A">
        <w:rPr>
          <w:rFonts w:ascii="Arial" w:hAnsi="Arial" w:cs="Arial"/>
          <w:sz w:val="22"/>
          <w:szCs w:val="22"/>
        </w:rPr>
        <w:t xml:space="preserve">assess </w:t>
      </w:r>
      <w:r w:rsidRPr="00AE614A">
        <w:rPr>
          <w:rFonts w:ascii="Arial" w:hAnsi="Arial" w:cs="Arial"/>
          <w:sz w:val="22"/>
          <w:szCs w:val="22"/>
        </w:rPr>
        <w:t>whether</w:t>
      </w:r>
      <w:r w:rsidR="008F2351" w:rsidRPr="00AE614A">
        <w:rPr>
          <w:rFonts w:ascii="Arial" w:hAnsi="Arial" w:cs="Arial"/>
          <w:sz w:val="22"/>
          <w:szCs w:val="22"/>
        </w:rPr>
        <w:t xml:space="preserve"> SITAMS has been leveraged to identify the relative economic benefits of maintenance investment options, and whether this is being used to prioriti</w:t>
      </w:r>
      <w:r w:rsidRPr="00AE614A">
        <w:rPr>
          <w:rFonts w:ascii="Arial" w:hAnsi="Arial" w:cs="Arial"/>
          <w:sz w:val="22"/>
          <w:szCs w:val="22"/>
        </w:rPr>
        <w:t>s</w:t>
      </w:r>
      <w:r w:rsidR="008F2351" w:rsidRPr="00AE614A">
        <w:rPr>
          <w:rFonts w:ascii="Arial" w:hAnsi="Arial" w:cs="Arial"/>
          <w:sz w:val="22"/>
          <w:szCs w:val="22"/>
        </w:rPr>
        <w:t>e asset maintenance expenditure. There is an underlying development partner expectation that program</w:t>
      </w:r>
      <w:r w:rsidR="000629FE" w:rsidRPr="00AE614A">
        <w:rPr>
          <w:rFonts w:ascii="Arial" w:hAnsi="Arial" w:cs="Arial"/>
          <w:sz w:val="22"/>
          <w:szCs w:val="22"/>
        </w:rPr>
        <w:t>s like STIIP</w:t>
      </w:r>
      <w:r w:rsidR="008F2351" w:rsidRPr="00AE614A">
        <w:rPr>
          <w:rFonts w:ascii="Arial" w:hAnsi="Arial" w:cs="Arial"/>
          <w:sz w:val="22"/>
          <w:szCs w:val="22"/>
        </w:rPr>
        <w:t xml:space="preserve"> lead to self-sufficien</w:t>
      </w:r>
      <w:r w:rsidR="000629FE" w:rsidRPr="00AE614A">
        <w:rPr>
          <w:rFonts w:ascii="Arial" w:hAnsi="Arial" w:cs="Arial"/>
          <w:sz w:val="22"/>
          <w:szCs w:val="22"/>
        </w:rPr>
        <w:t>cy by partner government institutions</w:t>
      </w:r>
      <w:r w:rsidR="008F2351" w:rsidRPr="00AE614A">
        <w:rPr>
          <w:rFonts w:ascii="Arial" w:hAnsi="Arial" w:cs="Arial"/>
          <w:sz w:val="22"/>
          <w:szCs w:val="22"/>
        </w:rPr>
        <w:t>. An over-emphasis on this expectation might be to the detriment of developing valuable new projects to consolidate institutional development progress and promot</w:t>
      </w:r>
      <w:r w:rsidR="00B02AE7" w:rsidRPr="00AE614A">
        <w:rPr>
          <w:rFonts w:ascii="Arial" w:hAnsi="Arial" w:cs="Arial"/>
          <w:sz w:val="22"/>
          <w:szCs w:val="22"/>
        </w:rPr>
        <w:t>ing</w:t>
      </w:r>
      <w:r w:rsidR="008F2351" w:rsidRPr="00AE614A">
        <w:rPr>
          <w:rFonts w:ascii="Arial" w:hAnsi="Arial" w:cs="Arial"/>
          <w:sz w:val="22"/>
          <w:szCs w:val="22"/>
        </w:rPr>
        <w:t xml:space="preserve"> the important maintenance of the country’s infrastructure asset base.</w:t>
      </w:r>
    </w:p>
    <w:p w14:paraId="5BE77F77" w14:textId="15CE3842" w:rsidR="00A82901" w:rsidRDefault="00A82901" w:rsidP="00AE614A">
      <w:pPr>
        <w:pStyle w:val="Default"/>
        <w:spacing w:after="120"/>
        <w:rPr>
          <w:rFonts w:ascii="Arial" w:hAnsi="Arial" w:cs="Arial"/>
          <w:sz w:val="22"/>
          <w:szCs w:val="22"/>
        </w:rPr>
      </w:pPr>
      <w:r w:rsidRPr="00AE614A">
        <w:rPr>
          <w:rFonts w:ascii="Arial" w:hAnsi="Arial" w:cs="Arial"/>
          <w:sz w:val="22"/>
          <w:szCs w:val="22"/>
        </w:rPr>
        <w:t xml:space="preserve">Responsibility for the efficient and effective implementation of STIIP rested with the </w:t>
      </w:r>
      <w:r w:rsidR="002D72BD" w:rsidRPr="00AE614A">
        <w:rPr>
          <w:rFonts w:ascii="Arial" w:hAnsi="Arial" w:cs="Arial"/>
          <w:sz w:val="22"/>
          <w:szCs w:val="22"/>
        </w:rPr>
        <w:t>CPIU within MID</w:t>
      </w:r>
      <w:r w:rsidRPr="00AE614A">
        <w:rPr>
          <w:rFonts w:ascii="Arial" w:hAnsi="Arial" w:cs="Arial"/>
          <w:sz w:val="22"/>
          <w:szCs w:val="22"/>
        </w:rPr>
        <w:t>. STIIP deliver</w:t>
      </w:r>
      <w:r w:rsidR="002E7AAC" w:rsidRPr="00AE614A">
        <w:rPr>
          <w:rFonts w:ascii="Arial" w:hAnsi="Arial" w:cs="Arial"/>
          <w:sz w:val="22"/>
          <w:szCs w:val="22"/>
        </w:rPr>
        <w:t>ed</w:t>
      </w:r>
      <w:r w:rsidRPr="00AE614A">
        <w:rPr>
          <w:rFonts w:ascii="Arial" w:hAnsi="Arial" w:cs="Arial"/>
          <w:sz w:val="22"/>
          <w:szCs w:val="22"/>
        </w:rPr>
        <w:t xml:space="preserve"> </w:t>
      </w:r>
      <w:r w:rsidR="00EF12D7" w:rsidRPr="00AE614A">
        <w:rPr>
          <w:rFonts w:ascii="Arial" w:hAnsi="Arial" w:cs="Arial"/>
          <w:sz w:val="22"/>
          <w:szCs w:val="22"/>
        </w:rPr>
        <w:t>several</w:t>
      </w:r>
      <w:r w:rsidRPr="00AE614A">
        <w:rPr>
          <w:rFonts w:ascii="Arial" w:hAnsi="Arial" w:cs="Arial"/>
          <w:sz w:val="22"/>
          <w:szCs w:val="22"/>
        </w:rPr>
        <w:t xml:space="preserve"> important NTP objectives but fell short in numerous areas.  </w:t>
      </w:r>
      <w:r w:rsidR="00457793" w:rsidRPr="00AE614A">
        <w:rPr>
          <w:rFonts w:ascii="Arial" w:hAnsi="Arial" w:cs="Arial"/>
          <w:sz w:val="22"/>
          <w:szCs w:val="22"/>
        </w:rPr>
        <w:t>A</w:t>
      </w:r>
      <w:r w:rsidRPr="00AE614A">
        <w:rPr>
          <w:rFonts w:ascii="Arial" w:hAnsi="Arial" w:cs="Arial"/>
          <w:sz w:val="22"/>
          <w:szCs w:val="22"/>
        </w:rPr>
        <w:t xml:space="preserve"> significant number of the physical </w:t>
      </w:r>
      <w:r w:rsidR="00CF7590" w:rsidRPr="00AE614A">
        <w:rPr>
          <w:rFonts w:ascii="Arial" w:hAnsi="Arial" w:cs="Arial"/>
          <w:sz w:val="22"/>
          <w:szCs w:val="22"/>
        </w:rPr>
        <w:t>Outcome</w:t>
      </w:r>
      <w:r w:rsidRPr="00AE614A">
        <w:rPr>
          <w:rFonts w:ascii="Arial" w:hAnsi="Arial" w:cs="Arial"/>
          <w:sz w:val="22"/>
          <w:szCs w:val="22"/>
        </w:rPr>
        <w:t xml:space="preserve"> 1 (transport infrastructure rehabilitation and maintenance) works deliverables were not achieved </w:t>
      </w:r>
      <w:r w:rsidR="00457793" w:rsidRPr="00AE614A">
        <w:rPr>
          <w:rFonts w:ascii="Arial" w:hAnsi="Arial" w:cs="Arial"/>
          <w:sz w:val="22"/>
          <w:szCs w:val="22"/>
        </w:rPr>
        <w:t xml:space="preserve">as a direct result of insufficient </w:t>
      </w:r>
      <w:r w:rsidRPr="00AE614A">
        <w:rPr>
          <w:rFonts w:ascii="Arial" w:hAnsi="Arial" w:cs="Arial"/>
          <w:sz w:val="22"/>
          <w:szCs w:val="22"/>
        </w:rPr>
        <w:t xml:space="preserve">funding for maintenance works. </w:t>
      </w:r>
      <w:r w:rsidR="00081D67" w:rsidRPr="00AE614A">
        <w:rPr>
          <w:rFonts w:ascii="Arial" w:hAnsi="Arial" w:cs="Arial"/>
          <w:sz w:val="22"/>
          <w:szCs w:val="22"/>
        </w:rPr>
        <w:t xml:space="preserve">This </w:t>
      </w:r>
      <w:r w:rsidRPr="00AE614A">
        <w:rPr>
          <w:rFonts w:ascii="Arial" w:hAnsi="Arial" w:cs="Arial"/>
          <w:sz w:val="22"/>
          <w:szCs w:val="22"/>
        </w:rPr>
        <w:t xml:space="preserve">does not reflect on either the performance of the CPIU, or the efficacy </w:t>
      </w:r>
      <w:r w:rsidRPr="00AE614A">
        <w:rPr>
          <w:rFonts w:ascii="Arial" w:hAnsi="Arial" w:cs="Arial"/>
          <w:sz w:val="22"/>
          <w:szCs w:val="22"/>
        </w:rPr>
        <w:lastRenderedPageBreak/>
        <w:t xml:space="preserve">of the NTF nor its enabling administrative arrangements. Many of the </w:t>
      </w:r>
      <w:r w:rsidR="00CF7590" w:rsidRPr="00AE614A">
        <w:rPr>
          <w:rFonts w:ascii="Arial" w:hAnsi="Arial" w:cs="Arial"/>
          <w:sz w:val="22"/>
          <w:szCs w:val="22"/>
        </w:rPr>
        <w:t>Outcome</w:t>
      </w:r>
      <w:r w:rsidRPr="00AE614A">
        <w:rPr>
          <w:rFonts w:ascii="Arial" w:hAnsi="Arial" w:cs="Arial"/>
          <w:sz w:val="22"/>
          <w:szCs w:val="22"/>
        </w:rPr>
        <w:t xml:space="preserve"> 2 and </w:t>
      </w:r>
      <w:r w:rsidR="00CF7590" w:rsidRPr="00AE614A">
        <w:rPr>
          <w:rFonts w:ascii="Arial" w:hAnsi="Arial" w:cs="Arial"/>
          <w:sz w:val="22"/>
          <w:szCs w:val="22"/>
        </w:rPr>
        <w:t>Outcome</w:t>
      </w:r>
      <w:r w:rsidRPr="00AE614A">
        <w:rPr>
          <w:rFonts w:ascii="Arial" w:hAnsi="Arial" w:cs="Arial"/>
          <w:sz w:val="22"/>
          <w:szCs w:val="22"/>
        </w:rPr>
        <w:t xml:space="preserve"> 3 </w:t>
      </w:r>
      <w:r w:rsidR="00CF7590" w:rsidRPr="00AE614A">
        <w:rPr>
          <w:rFonts w:ascii="Arial" w:hAnsi="Arial" w:cs="Arial"/>
          <w:sz w:val="22"/>
          <w:szCs w:val="22"/>
        </w:rPr>
        <w:t>targets</w:t>
      </w:r>
      <w:r w:rsidRPr="00AE614A">
        <w:rPr>
          <w:rFonts w:ascii="Arial" w:hAnsi="Arial" w:cs="Arial"/>
          <w:sz w:val="22"/>
          <w:szCs w:val="22"/>
        </w:rPr>
        <w:t xml:space="preserve"> were </w:t>
      </w:r>
      <w:r w:rsidR="00CF7590" w:rsidRPr="00AE614A">
        <w:rPr>
          <w:rFonts w:ascii="Arial" w:hAnsi="Arial" w:cs="Arial"/>
          <w:sz w:val="22"/>
          <w:szCs w:val="22"/>
        </w:rPr>
        <w:t>achieved</w:t>
      </w:r>
      <w:r w:rsidRPr="00AE614A">
        <w:rPr>
          <w:rFonts w:ascii="Arial" w:hAnsi="Arial" w:cs="Arial"/>
          <w:sz w:val="22"/>
          <w:szCs w:val="22"/>
        </w:rPr>
        <w:t>.</w:t>
      </w:r>
    </w:p>
    <w:p w14:paraId="7007716C" w14:textId="77777777" w:rsidR="008443BA" w:rsidRPr="001A3068" w:rsidRDefault="008443BA" w:rsidP="008443BA">
      <w:pPr>
        <w:spacing w:after="120"/>
        <w:rPr>
          <w:rFonts w:ascii="Arial" w:hAnsi="Arial" w:cs="Arial"/>
        </w:rPr>
      </w:pPr>
      <w:r w:rsidRPr="4F52FDA7">
        <w:rPr>
          <w:rFonts w:ascii="Arial" w:hAnsi="Arial" w:cs="Arial"/>
        </w:rPr>
        <w:t>The nature of the challenges that confronted STIIP implementation are documented in multiple ADB Aide Memoires and QPR</w:t>
      </w:r>
      <w:r>
        <w:rPr>
          <w:rFonts w:ascii="Arial" w:hAnsi="Arial" w:cs="Arial"/>
        </w:rPr>
        <w:t>s</w:t>
      </w:r>
      <w:r w:rsidRPr="4F52FDA7">
        <w:rPr>
          <w:rFonts w:ascii="Arial" w:hAnsi="Arial" w:cs="Arial"/>
        </w:rPr>
        <w:t xml:space="preserve"> prepared during STIIP implementation. Several problems persisted across the entire project value chain including:</w:t>
      </w:r>
    </w:p>
    <w:p w14:paraId="689738D7" w14:textId="77777777" w:rsidR="008443BA" w:rsidRPr="001A3068" w:rsidRDefault="008443BA" w:rsidP="008443BA">
      <w:pPr>
        <w:pStyle w:val="ListParagraph"/>
        <w:numPr>
          <w:ilvl w:val="0"/>
          <w:numId w:val="18"/>
        </w:numPr>
        <w:spacing w:after="120"/>
        <w:ind w:left="720" w:hanging="720"/>
        <w:contextualSpacing w:val="0"/>
        <w:rPr>
          <w:rFonts w:ascii="Arial" w:hAnsi="Arial" w:cs="Arial"/>
        </w:rPr>
      </w:pPr>
      <w:r>
        <w:rPr>
          <w:rFonts w:ascii="Arial" w:hAnsi="Arial" w:cs="Arial"/>
        </w:rPr>
        <w:t>p</w:t>
      </w:r>
      <w:r w:rsidRPr="001A3068">
        <w:rPr>
          <w:rFonts w:ascii="Arial" w:hAnsi="Arial" w:cs="Arial"/>
        </w:rPr>
        <w:t xml:space="preserve">roject </w:t>
      </w:r>
      <w:r>
        <w:rPr>
          <w:rFonts w:ascii="Arial" w:hAnsi="Arial" w:cs="Arial"/>
        </w:rPr>
        <w:t>s</w:t>
      </w:r>
      <w:r w:rsidRPr="001A3068">
        <w:rPr>
          <w:rFonts w:ascii="Arial" w:hAnsi="Arial" w:cs="Arial"/>
        </w:rPr>
        <w:t>coping – underestimation of the scale and cost of maintenance works meant that project funds were sometimes exhausted before works were completed.</w:t>
      </w:r>
    </w:p>
    <w:p w14:paraId="0C6C6CA5" w14:textId="77777777" w:rsidR="008443BA" w:rsidRPr="001A3068" w:rsidRDefault="008443BA" w:rsidP="008443BA">
      <w:pPr>
        <w:pStyle w:val="ListParagraph"/>
        <w:numPr>
          <w:ilvl w:val="0"/>
          <w:numId w:val="18"/>
        </w:numPr>
        <w:spacing w:after="120"/>
        <w:ind w:left="720" w:hanging="720"/>
        <w:contextualSpacing w:val="0"/>
        <w:rPr>
          <w:rFonts w:ascii="Arial" w:hAnsi="Arial" w:cs="Arial"/>
        </w:rPr>
      </w:pPr>
      <w:r>
        <w:rPr>
          <w:rFonts w:ascii="Arial" w:hAnsi="Arial" w:cs="Arial"/>
        </w:rPr>
        <w:t>p</w:t>
      </w:r>
      <w:r w:rsidRPr="001A3068">
        <w:rPr>
          <w:rFonts w:ascii="Arial" w:hAnsi="Arial" w:cs="Arial"/>
        </w:rPr>
        <w:t xml:space="preserve">roject </w:t>
      </w:r>
      <w:r>
        <w:rPr>
          <w:rFonts w:ascii="Arial" w:hAnsi="Arial" w:cs="Arial"/>
        </w:rPr>
        <w:t>d</w:t>
      </w:r>
      <w:r w:rsidRPr="001A3068">
        <w:rPr>
          <w:rFonts w:ascii="Arial" w:hAnsi="Arial" w:cs="Arial"/>
        </w:rPr>
        <w:t>esign – disagreement over project design proposals, combined with a lack of capacity within MID to properly undertake design work, resulted in major project delays.</w:t>
      </w:r>
    </w:p>
    <w:p w14:paraId="3690B5EE" w14:textId="77777777" w:rsidR="008443BA" w:rsidRPr="001A3068" w:rsidRDefault="008443BA" w:rsidP="008443BA">
      <w:pPr>
        <w:pStyle w:val="ListParagraph"/>
        <w:numPr>
          <w:ilvl w:val="0"/>
          <w:numId w:val="18"/>
        </w:numPr>
        <w:spacing w:after="120"/>
        <w:ind w:left="720" w:hanging="720"/>
        <w:contextualSpacing w:val="0"/>
        <w:rPr>
          <w:rFonts w:ascii="Arial" w:hAnsi="Arial" w:cs="Arial"/>
        </w:rPr>
      </w:pPr>
      <w:r>
        <w:rPr>
          <w:rFonts w:ascii="Arial" w:hAnsi="Arial" w:cs="Arial"/>
        </w:rPr>
        <w:t>p</w:t>
      </w:r>
      <w:r w:rsidRPr="001A3068">
        <w:rPr>
          <w:rFonts w:ascii="Arial" w:hAnsi="Arial" w:cs="Arial"/>
        </w:rPr>
        <w:t>rocurement – cumbersome and inflexible procurement procedures</w:t>
      </w:r>
      <w:r>
        <w:rPr>
          <w:rFonts w:ascii="Arial" w:hAnsi="Arial" w:cs="Arial"/>
        </w:rPr>
        <w:t xml:space="preserve">, combined with </w:t>
      </w:r>
      <w:r w:rsidRPr="001A3068">
        <w:rPr>
          <w:rFonts w:ascii="Arial" w:hAnsi="Arial" w:cs="Arial"/>
        </w:rPr>
        <w:t>a shortage of experienced procurement personnel</w:t>
      </w:r>
      <w:r>
        <w:rPr>
          <w:rFonts w:ascii="Arial" w:hAnsi="Arial" w:cs="Arial"/>
        </w:rPr>
        <w:t>,</w:t>
      </w:r>
      <w:r w:rsidRPr="001A3068">
        <w:rPr>
          <w:rFonts w:ascii="Arial" w:hAnsi="Arial" w:cs="Arial"/>
        </w:rPr>
        <w:t xml:space="preserve"> significantly slowed the contracting process.</w:t>
      </w:r>
    </w:p>
    <w:p w14:paraId="68A049F1" w14:textId="77777777" w:rsidR="008443BA" w:rsidRPr="001A3068" w:rsidRDefault="008443BA" w:rsidP="008443BA">
      <w:pPr>
        <w:pStyle w:val="ListParagraph"/>
        <w:numPr>
          <w:ilvl w:val="0"/>
          <w:numId w:val="18"/>
        </w:numPr>
        <w:spacing w:after="120"/>
        <w:ind w:left="720" w:hanging="720"/>
        <w:contextualSpacing w:val="0"/>
        <w:rPr>
          <w:rFonts w:ascii="Arial" w:hAnsi="Arial" w:cs="Arial"/>
        </w:rPr>
      </w:pPr>
      <w:r>
        <w:rPr>
          <w:rFonts w:ascii="Arial" w:hAnsi="Arial" w:cs="Arial"/>
        </w:rPr>
        <w:t>c</w:t>
      </w:r>
      <w:r w:rsidRPr="001A3068">
        <w:rPr>
          <w:rFonts w:ascii="Arial" w:hAnsi="Arial" w:cs="Arial"/>
        </w:rPr>
        <w:t xml:space="preserve">onstruction / </w:t>
      </w:r>
      <w:r>
        <w:rPr>
          <w:rFonts w:ascii="Arial" w:hAnsi="Arial" w:cs="Arial"/>
        </w:rPr>
        <w:t>m</w:t>
      </w:r>
      <w:r w:rsidRPr="001A3068">
        <w:rPr>
          <w:rFonts w:ascii="Arial" w:hAnsi="Arial" w:cs="Arial"/>
        </w:rPr>
        <w:t>aintenance – some contractors were unable to adequately deliver the services required while absent or conflicting operations protocols, regulations and standards sometimes hindered project progress.</w:t>
      </w:r>
    </w:p>
    <w:p w14:paraId="6841A4A0" w14:textId="77777777" w:rsidR="008443BA" w:rsidRPr="001A3068" w:rsidRDefault="008443BA" w:rsidP="008443BA">
      <w:pPr>
        <w:pStyle w:val="ListParagraph"/>
        <w:numPr>
          <w:ilvl w:val="0"/>
          <w:numId w:val="18"/>
        </w:numPr>
        <w:spacing w:after="120"/>
        <w:ind w:left="720" w:hanging="720"/>
        <w:contextualSpacing w:val="0"/>
        <w:rPr>
          <w:rFonts w:ascii="Arial" w:hAnsi="Arial" w:cs="Arial"/>
        </w:rPr>
      </w:pPr>
      <w:r>
        <w:rPr>
          <w:rFonts w:ascii="Arial" w:hAnsi="Arial" w:cs="Arial"/>
        </w:rPr>
        <w:t>p</w:t>
      </w:r>
      <w:r w:rsidRPr="001A3068">
        <w:rPr>
          <w:rFonts w:ascii="Arial" w:hAnsi="Arial" w:cs="Arial"/>
        </w:rPr>
        <w:t xml:space="preserve">roject </w:t>
      </w:r>
      <w:r>
        <w:rPr>
          <w:rFonts w:ascii="Arial" w:hAnsi="Arial" w:cs="Arial"/>
        </w:rPr>
        <w:t>d</w:t>
      </w:r>
      <w:r w:rsidRPr="001A3068">
        <w:rPr>
          <w:rFonts w:ascii="Arial" w:hAnsi="Arial" w:cs="Arial"/>
        </w:rPr>
        <w:t>elivery – the failure to provide adequate funds for day-to-day operational needs a</w:t>
      </w:r>
      <w:r>
        <w:rPr>
          <w:rFonts w:ascii="Arial" w:hAnsi="Arial" w:cs="Arial"/>
        </w:rPr>
        <w:t xml:space="preserve">nd </w:t>
      </w:r>
      <w:r w:rsidRPr="001A3068">
        <w:rPr>
          <w:rFonts w:ascii="Arial" w:hAnsi="Arial" w:cs="Arial"/>
        </w:rPr>
        <w:t>project preparation activities severely hindered effective project delivery.</w:t>
      </w:r>
    </w:p>
    <w:p w14:paraId="3955748D" w14:textId="77777777" w:rsidR="008443BA" w:rsidRPr="001A3068" w:rsidRDefault="008443BA" w:rsidP="008443BA">
      <w:pPr>
        <w:pStyle w:val="ListParagraph"/>
        <w:numPr>
          <w:ilvl w:val="0"/>
          <w:numId w:val="18"/>
        </w:numPr>
        <w:spacing w:after="120"/>
        <w:ind w:left="720" w:hanging="720"/>
        <w:contextualSpacing w:val="0"/>
        <w:rPr>
          <w:rFonts w:ascii="Arial" w:hAnsi="Arial" w:cs="Arial"/>
        </w:rPr>
      </w:pPr>
      <w:r w:rsidRPr="4F52FDA7">
        <w:rPr>
          <w:rFonts w:ascii="Arial" w:hAnsi="Arial" w:cs="Arial"/>
        </w:rPr>
        <w:t>supervision – inadequate or absent project oversight meant that poor quality work was not checked and remediated</w:t>
      </w:r>
      <w:r>
        <w:rPr>
          <w:rFonts w:ascii="Arial" w:hAnsi="Arial" w:cs="Arial"/>
        </w:rPr>
        <w:t>; this l</w:t>
      </w:r>
      <w:r w:rsidRPr="4F52FDA7">
        <w:rPr>
          <w:rFonts w:ascii="Arial" w:hAnsi="Arial" w:cs="Arial"/>
        </w:rPr>
        <w:t>ack of oversight was most commonly the result of lack of funding for travel.</w:t>
      </w:r>
    </w:p>
    <w:p w14:paraId="1E652AAE" w14:textId="77777777" w:rsidR="008443BA" w:rsidRDefault="008443BA" w:rsidP="008443BA">
      <w:pPr>
        <w:pStyle w:val="ListParagraph"/>
        <w:numPr>
          <w:ilvl w:val="0"/>
          <w:numId w:val="18"/>
        </w:numPr>
        <w:spacing w:after="120"/>
        <w:ind w:left="720" w:hanging="720"/>
        <w:contextualSpacing w:val="0"/>
        <w:rPr>
          <w:rFonts w:ascii="Arial" w:hAnsi="Arial" w:cs="Arial"/>
        </w:rPr>
      </w:pPr>
      <w:r>
        <w:rPr>
          <w:rFonts w:ascii="Arial" w:hAnsi="Arial" w:cs="Arial"/>
        </w:rPr>
        <w:t>c</w:t>
      </w:r>
      <w:r w:rsidRPr="001A3068">
        <w:rPr>
          <w:rFonts w:ascii="Arial" w:hAnsi="Arial" w:cs="Arial"/>
        </w:rPr>
        <w:t xml:space="preserve">ontract </w:t>
      </w:r>
      <w:r>
        <w:rPr>
          <w:rFonts w:ascii="Arial" w:hAnsi="Arial" w:cs="Arial"/>
        </w:rPr>
        <w:t>m</w:t>
      </w:r>
      <w:r w:rsidRPr="001A3068">
        <w:rPr>
          <w:rFonts w:ascii="Arial" w:hAnsi="Arial" w:cs="Arial"/>
        </w:rPr>
        <w:t xml:space="preserve">anagement – delays in processing contracts had multiple knock-on effects including stalling project progress, occasionally halting project progress when contracts had expired before works were completed, creating funding shortfalls as ongoing deterioration in road conditions meant that additional, unforeseen works </w:t>
      </w:r>
      <w:r>
        <w:rPr>
          <w:rFonts w:ascii="Arial" w:hAnsi="Arial" w:cs="Arial"/>
        </w:rPr>
        <w:t>were required</w:t>
      </w:r>
      <w:r w:rsidRPr="001A3068">
        <w:rPr>
          <w:rFonts w:ascii="Arial" w:hAnsi="Arial" w:cs="Arial"/>
        </w:rPr>
        <w:t>.</w:t>
      </w:r>
    </w:p>
    <w:p w14:paraId="2A230671" w14:textId="77777777" w:rsidR="008443BA" w:rsidRPr="000D2DE3" w:rsidRDefault="008443BA" w:rsidP="008443BA">
      <w:pPr>
        <w:pStyle w:val="ListParagraph"/>
        <w:numPr>
          <w:ilvl w:val="0"/>
          <w:numId w:val="18"/>
        </w:numPr>
        <w:spacing w:after="120"/>
        <w:ind w:left="720" w:hanging="720"/>
        <w:contextualSpacing w:val="0"/>
        <w:rPr>
          <w:rFonts w:ascii="Arial" w:hAnsi="Arial" w:cs="Arial"/>
        </w:rPr>
      </w:pPr>
      <w:r>
        <w:rPr>
          <w:rFonts w:ascii="Arial" w:hAnsi="Arial" w:cs="Arial"/>
        </w:rPr>
        <w:t xml:space="preserve">project coordination – </w:t>
      </w:r>
      <w:r w:rsidRPr="4F52FDA7">
        <w:rPr>
          <w:rFonts w:ascii="Arial" w:hAnsi="Arial" w:cs="Arial"/>
        </w:rPr>
        <w:t xml:space="preserve">coordination between the safeguards team and engineers/job managers and procurement staff was </w:t>
      </w:r>
      <w:r>
        <w:rPr>
          <w:rFonts w:ascii="Arial" w:hAnsi="Arial" w:cs="Arial"/>
        </w:rPr>
        <w:t xml:space="preserve">reportedly </w:t>
      </w:r>
      <w:r w:rsidRPr="4F52FDA7">
        <w:rPr>
          <w:rFonts w:ascii="Arial" w:hAnsi="Arial" w:cs="Arial"/>
        </w:rPr>
        <w:t xml:space="preserve">weak.  The safeguards manager was not consulted during tender preparation leading to consistently lower than required cost </w:t>
      </w:r>
      <w:r>
        <w:rPr>
          <w:rFonts w:ascii="Arial" w:hAnsi="Arial" w:cs="Arial"/>
        </w:rPr>
        <w:t xml:space="preserve">provisions in the Bills of Quantity (BOQ) </w:t>
      </w:r>
      <w:r w:rsidRPr="4F52FDA7">
        <w:rPr>
          <w:rFonts w:ascii="Arial" w:hAnsi="Arial" w:cs="Arial"/>
        </w:rPr>
        <w:t>for safeguards compliance.  The result was that contracts were often signed with inappropriate environmental conditions and lower than adequate budgets to meet the cost of environmental compliance. This led to contractors under resourcing their environmental management tasks</w:t>
      </w:r>
      <w:r>
        <w:rPr>
          <w:rFonts w:ascii="Arial" w:hAnsi="Arial" w:cs="Arial"/>
        </w:rPr>
        <w:t>,</w:t>
      </w:r>
      <w:r w:rsidRPr="4F52FDA7">
        <w:rPr>
          <w:rFonts w:ascii="Arial" w:hAnsi="Arial" w:cs="Arial"/>
        </w:rPr>
        <w:t xml:space="preserve"> and typically resulted in poor quality construction environmental management plans (CEMP) which may not have been implemented in full.</w:t>
      </w:r>
    </w:p>
    <w:p w14:paraId="1CBADD7E" w14:textId="3B4DEF7E" w:rsidR="008443BA" w:rsidRPr="0073379D" w:rsidRDefault="008443BA" w:rsidP="008443BA">
      <w:pPr>
        <w:pStyle w:val="ListParagraph"/>
        <w:numPr>
          <w:ilvl w:val="0"/>
          <w:numId w:val="18"/>
        </w:numPr>
        <w:spacing w:after="120"/>
        <w:ind w:left="720" w:hanging="720"/>
        <w:contextualSpacing w:val="0"/>
        <w:rPr>
          <w:rFonts w:ascii="Arial" w:hAnsi="Arial" w:cs="Arial"/>
        </w:rPr>
      </w:pPr>
      <w:r w:rsidRPr="4F52FDA7">
        <w:rPr>
          <w:rFonts w:ascii="Arial" w:hAnsi="Arial" w:cs="Arial"/>
        </w:rPr>
        <w:t xml:space="preserve">poor quality environmental management plans </w:t>
      </w:r>
      <w:r>
        <w:rPr>
          <w:rFonts w:ascii="Arial" w:hAnsi="Arial" w:cs="Arial"/>
        </w:rPr>
        <w:t xml:space="preserve">– </w:t>
      </w:r>
      <w:r w:rsidRPr="4F52FDA7">
        <w:rPr>
          <w:rFonts w:ascii="Arial" w:hAnsi="Arial" w:cs="Arial"/>
        </w:rPr>
        <w:t>CEMPs were either too general and required significant review by the safeguards team before approval, or job managers approved contractor mobili</w:t>
      </w:r>
      <w:r w:rsidR="0063328A">
        <w:rPr>
          <w:rFonts w:ascii="Arial" w:hAnsi="Arial" w:cs="Arial"/>
        </w:rPr>
        <w:t>s</w:t>
      </w:r>
      <w:r w:rsidRPr="4F52FDA7">
        <w:rPr>
          <w:rFonts w:ascii="Arial" w:hAnsi="Arial" w:cs="Arial"/>
        </w:rPr>
        <w:t>ation without a CEMP in place.  The former is linked to insufficient budget allocated to safeguards and the team not being able to provide training or support to contractors during CEMP development</w:t>
      </w:r>
      <w:r>
        <w:rPr>
          <w:rFonts w:ascii="Arial" w:hAnsi="Arial" w:cs="Arial"/>
        </w:rPr>
        <w:t>,</w:t>
      </w:r>
      <w:r w:rsidRPr="4F52FDA7">
        <w:rPr>
          <w:rFonts w:ascii="Arial" w:hAnsi="Arial" w:cs="Arial"/>
        </w:rPr>
        <w:t xml:space="preserve"> while the latter was often a case of job managers and contractors seemingly unaware of the requirement.  T</w:t>
      </w:r>
      <w:r>
        <w:rPr>
          <w:rFonts w:ascii="Arial" w:hAnsi="Arial" w:cs="Arial"/>
        </w:rPr>
        <w:t>his further demonstrates</w:t>
      </w:r>
      <w:r w:rsidRPr="4F52FDA7">
        <w:rPr>
          <w:rFonts w:ascii="Arial" w:hAnsi="Arial" w:cs="Arial"/>
        </w:rPr>
        <w:t xml:space="preserve"> internal coordination weakness with</w:t>
      </w:r>
      <w:r>
        <w:rPr>
          <w:rFonts w:ascii="Arial" w:hAnsi="Arial" w:cs="Arial"/>
        </w:rPr>
        <w:t>i</w:t>
      </w:r>
      <w:r w:rsidRPr="4F52FDA7">
        <w:rPr>
          <w:rFonts w:ascii="Arial" w:hAnsi="Arial" w:cs="Arial"/>
        </w:rPr>
        <w:t>n the CPIU</w:t>
      </w:r>
      <w:r>
        <w:rPr>
          <w:rFonts w:ascii="Arial" w:hAnsi="Arial" w:cs="Arial"/>
        </w:rPr>
        <w:t>.</w:t>
      </w:r>
    </w:p>
    <w:p w14:paraId="78AF877F" w14:textId="77777777" w:rsidR="00A44725" w:rsidRPr="00A44725" w:rsidRDefault="00A44725" w:rsidP="00A44725">
      <w:pPr>
        <w:autoSpaceDE w:val="0"/>
        <w:autoSpaceDN w:val="0"/>
        <w:adjustRightInd w:val="0"/>
        <w:spacing w:after="120"/>
        <w:jc w:val="left"/>
        <w:rPr>
          <w:rFonts w:ascii="Arial" w:hAnsi="Arial" w:cs="Arial"/>
        </w:rPr>
      </w:pPr>
      <w:r w:rsidRPr="00A44725">
        <w:rPr>
          <w:rFonts w:ascii="Arial" w:hAnsi="Arial" w:cs="Arial"/>
        </w:rPr>
        <w:t>The COVID-19 pandemic impacted program delivery both by diverting financial resources away from infrastructure spending and causing mobilisation delays. As many of the problems that impacted the effectiveness and efficiency of program delivery were evident long before the health crisis ensued, it is difficult to ascertain the degree to which a greater proportion of program outputs would have been delivered absent the health crisis.</w:t>
      </w:r>
    </w:p>
    <w:p w14:paraId="421C7BF0" w14:textId="2FC57CE1" w:rsidR="00207FEA" w:rsidRDefault="008443BA" w:rsidP="00AA695C">
      <w:pPr>
        <w:spacing w:after="120"/>
        <w:rPr>
          <w:rFonts w:ascii="Arial" w:hAnsi="Arial" w:cs="Arial"/>
        </w:rPr>
      </w:pPr>
      <w:r w:rsidRPr="4F52FDA7">
        <w:rPr>
          <w:rFonts w:ascii="Arial" w:hAnsi="Arial" w:cs="Arial"/>
        </w:rPr>
        <w:lastRenderedPageBreak/>
        <w:t xml:space="preserve">The </w:t>
      </w:r>
      <w:r>
        <w:rPr>
          <w:rFonts w:ascii="Arial" w:hAnsi="Arial" w:cs="Arial"/>
        </w:rPr>
        <w:t xml:space="preserve">STIIP may be judged a qualified success. Many of its </w:t>
      </w:r>
      <w:r w:rsidR="00FB459B">
        <w:rPr>
          <w:rFonts w:ascii="Arial" w:hAnsi="Arial" w:cs="Arial"/>
        </w:rPr>
        <w:t xml:space="preserve">Outcome </w:t>
      </w:r>
      <w:r>
        <w:rPr>
          <w:rFonts w:ascii="Arial" w:hAnsi="Arial" w:cs="Arial"/>
        </w:rPr>
        <w:t xml:space="preserve">2 and 3 targets were achieved while </w:t>
      </w:r>
      <w:r w:rsidR="00FB459B">
        <w:rPr>
          <w:rFonts w:ascii="Arial" w:hAnsi="Arial" w:cs="Arial"/>
        </w:rPr>
        <w:t xml:space="preserve">Outcome </w:t>
      </w:r>
      <w:r>
        <w:rPr>
          <w:rFonts w:ascii="Arial" w:hAnsi="Arial" w:cs="Arial"/>
        </w:rPr>
        <w:t xml:space="preserve">1 </w:t>
      </w:r>
      <w:r w:rsidR="000D23E1">
        <w:rPr>
          <w:rFonts w:ascii="Arial" w:hAnsi="Arial" w:cs="Arial"/>
        </w:rPr>
        <w:t>targets</w:t>
      </w:r>
      <w:r>
        <w:rPr>
          <w:rFonts w:ascii="Arial" w:hAnsi="Arial" w:cs="Arial"/>
        </w:rPr>
        <w:t xml:space="preserve"> were not</w:t>
      </w:r>
      <w:r w:rsidR="0019711B">
        <w:rPr>
          <w:rFonts w:ascii="Arial" w:hAnsi="Arial" w:cs="Arial"/>
        </w:rPr>
        <w:t>,</w:t>
      </w:r>
      <w:r>
        <w:rPr>
          <w:rFonts w:ascii="Arial" w:hAnsi="Arial" w:cs="Arial"/>
        </w:rPr>
        <w:t xml:space="preserve"> due</w:t>
      </w:r>
      <w:r w:rsidR="00207FEA">
        <w:rPr>
          <w:rFonts w:ascii="Arial" w:hAnsi="Arial" w:cs="Arial"/>
        </w:rPr>
        <w:t xml:space="preserve"> partly</w:t>
      </w:r>
      <w:r>
        <w:rPr>
          <w:rFonts w:ascii="Arial" w:hAnsi="Arial" w:cs="Arial"/>
        </w:rPr>
        <w:t xml:space="preserve"> to fund</w:t>
      </w:r>
      <w:r w:rsidR="000D23E1">
        <w:rPr>
          <w:rFonts w:ascii="Arial" w:hAnsi="Arial" w:cs="Arial"/>
        </w:rPr>
        <w:t>ing</w:t>
      </w:r>
      <w:r>
        <w:rPr>
          <w:rFonts w:ascii="Arial" w:hAnsi="Arial" w:cs="Arial"/>
        </w:rPr>
        <w:t xml:space="preserve"> shortages</w:t>
      </w:r>
      <w:r>
        <w:rPr>
          <w:rStyle w:val="FootnoteReference"/>
          <w:rFonts w:ascii="Arial" w:hAnsi="Arial" w:cs="Arial"/>
        </w:rPr>
        <w:footnoteReference w:id="7"/>
      </w:r>
      <w:r>
        <w:rPr>
          <w:rFonts w:ascii="Arial" w:hAnsi="Arial" w:cs="Arial"/>
        </w:rPr>
        <w:t xml:space="preserve">. </w:t>
      </w:r>
      <w:r w:rsidR="00207FEA">
        <w:rPr>
          <w:rFonts w:ascii="Arial" w:hAnsi="Arial" w:cs="Arial"/>
        </w:rPr>
        <w:t>A</w:t>
      </w:r>
      <w:r w:rsidR="00207FEA" w:rsidRPr="001A3068">
        <w:rPr>
          <w:rFonts w:ascii="Arial" w:hAnsi="Arial" w:cs="Arial"/>
        </w:rPr>
        <w:t xml:space="preserve"> significant proportion o</w:t>
      </w:r>
      <w:r w:rsidR="00207FEA">
        <w:rPr>
          <w:rFonts w:ascii="Arial" w:hAnsi="Arial" w:cs="Arial"/>
        </w:rPr>
        <w:t>f</w:t>
      </w:r>
      <w:r w:rsidR="00207FEA" w:rsidRPr="001A3068">
        <w:rPr>
          <w:rFonts w:ascii="Arial" w:hAnsi="Arial" w:cs="Arial"/>
        </w:rPr>
        <w:t xml:space="preserve"> the works outputs were not </w:t>
      </w:r>
      <w:r w:rsidR="00EF12D7" w:rsidRPr="001A3068">
        <w:rPr>
          <w:rFonts w:ascii="Arial" w:hAnsi="Arial" w:cs="Arial"/>
        </w:rPr>
        <w:t>reali</w:t>
      </w:r>
      <w:r w:rsidR="00EF12D7">
        <w:rPr>
          <w:rFonts w:ascii="Arial" w:hAnsi="Arial" w:cs="Arial"/>
        </w:rPr>
        <w:t>s</w:t>
      </w:r>
      <w:r w:rsidR="00EF12D7" w:rsidRPr="001A3068">
        <w:rPr>
          <w:rFonts w:ascii="Arial" w:hAnsi="Arial" w:cs="Arial"/>
        </w:rPr>
        <w:t>ed,</w:t>
      </w:r>
      <w:r w:rsidR="00207FEA" w:rsidRPr="001A3068">
        <w:rPr>
          <w:rFonts w:ascii="Arial" w:hAnsi="Arial" w:cs="Arial"/>
        </w:rPr>
        <w:t xml:space="preserve"> and some other objectives were also not achieved. </w:t>
      </w:r>
      <w:r w:rsidR="00207FEA">
        <w:rPr>
          <w:rFonts w:ascii="Arial" w:hAnsi="Arial" w:cs="Arial"/>
        </w:rPr>
        <w:t>While budget availability limited the extent of physical work possible,</w:t>
      </w:r>
      <w:r w:rsidR="00207FEA" w:rsidRPr="001A3068">
        <w:rPr>
          <w:rFonts w:ascii="Arial" w:hAnsi="Arial" w:cs="Arial"/>
        </w:rPr>
        <w:t xml:space="preserve"> the fundamental problem was human capacity – either insufficient human resources were available to undertake necessary activities</w:t>
      </w:r>
      <w:r w:rsidR="00207FEA">
        <w:rPr>
          <w:rFonts w:ascii="Arial" w:hAnsi="Arial" w:cs="Arial"/>
        </w:rPr>
        <w:t xml:space="preserve"> in a timely manner,</w:t>
      </w:r>
      <w:r w:rsidR="00207FEA" w:rsidRPr="001A3068">
        <w:rPr>
          <w:rFonts w:ascii="Arial" w:hAnsi="Arial" w:cs="Arial"/>
        </w:rPr>
        <w:t xml:space="preserve"> or existing </w:t>
      </w:r>
      <w:r w:rsidR="00443303">
        <w:rPr>
          <w:rFonts w:ascii="Arial" w:hAnsi="Arial" w:cs="Arial"/>
        </w:rPr>
        <w:t>staff</w:t>
      </w:r>
      <w:r w:rsidR="00207FEA" w:rsidRPr="001A3068">
        <w:rPr>
          <w:rFonts w:ascii="Arial" w:hAnsi="Arial" w:cs="Arial"/>
        </w:rPr>
        <w:t xml:space="preserve"> did not possess the skills and knowledge to work effectively</w:t>
      </w:r>
      <w:r w:rsidR="00207FEA">
        <w:rPr>
          <w:rFonts w:ascii="Arial" w:hAnsi="Arial" w:cs="Arial"/>
        </w:rPr>
        <w:t xml:space="preserve">. This </w:t>
      </w:r>
      <w:r w:rsidR="00207FEA" w:rsidRPr="001A3068">
        <w:rPr>
          <w:rFonts w:ascii="Arial" w:hAnsi="Arial" w:cs="Arial"/>
        </w:rPr>
        <w:t xml:space="preserve">combined with </w:t>
      </w:r>
      <w:r w:rsidR="002B3E8F">
        <w:rPr>
          <w:rFonts w:ascii="Arial" w:hAnsi="Arial" w:cs="Arial"/>
        </w:rPr>
        <w:t xml:space="preserve">system-related </w:t>
      </w:r>
      <w:r w:rsidR="00207FEA" w:rsidRPr="001A3068">
        <w:rPr>
          <w:rFonts w:ascii="Arial" w:hAnsi="Arial" w:cs="Arial"/>
        </w:rPr>
        <w:t>impediments</w:t>
      </w:r>
      <w:r w:rsidR="00207FEA">
        <w:rPr>
          <w:rFonts w:ascii="Arial" w:hAnsi="Arial" w:cs="Arial"/>
        </w:rPr>
        <w:t xml:space="preserve"> </w:t>
      </w:r>
      <w:r w:rsidR="004D71A2">
        <w:rPr>
          <w:rFonts w:ascii="Arial" w:hAnsi="Arial" w:cs="Arial"/>
        </w:rPr>
        <w:t>(</w:t>
      </w:r>
      <w:r w:rsidR="004D71A2" w:rsidRPr="001A3068">
        <w:rPr>
          <w:rFonts w:ascii="Arial" w:hAnsi="Arial" w:cs="Arial"/>
        </w:rPr>
        <w:t>poor project design, cumbersome procurement processes, contract mismanagement, delays and/or failure by SIG to provide operational expense funding</w:t>
      </w:r>
      <w:r w:rsidR="004D71A2">
        <w:rPr>
          <w:rFonts w:ascii="Arial" w:hAnsi="Arial" w:cs="Arial"/>
        </w:rPr>
        <w:t>,</w:t>
      </w:r>
      <w:r w:rsidR="004D71A2" w:rsidRPr="001A3068">
        <w:rPr>
          <w:rFonts w:ascii="Arial" w:hAnsi="Arial" w:cs="Arial"/>
        </w:rPr>
        <w:t xml:space="preserve"> and</w:t>
      </w:r>
      <w:r w:rsidR="004D71A2">
        <w:rPr>
          <w:rFonts w:ascii="Arial" w:hAnsi="Arial" w:cs="Arial"/>
        </w:rPr>
        <w:t xml:space="preserve"> broad</w:t>
      </w:r>
      <w:r w:rsidR="004D71A2" w:rsidRPr="001A3068">
        <w:rPr>
          <w:rFonts w:ascii="Arial" w:hAnsi="Arial" w:cs="Arial"/>
        </w:rPr>
        <w:t xml:space="preserve"> inflexibility in funding protocols</w:t>
      </w:r>
      <w:r w:rsidR="004D71A2">
        <w:rPr>
          <w:rFonts w:ascii="Arial" w:hAnsi="Arial" w:cs="Arial"/>
        </w:rPr>
        <w:t>)</w:t>
      </w:r>
      <w:r w:rsidR="004D71A2" w:rsidRPr="001A3068">
        <w:rPr>
          <w:rFonts w:ascii="Arial" w:hAnsi="Arial" w:cs="Arial"/>
        </w:rPr>
        <w:t xml:space="preserve"> </w:t>
      </w:r>
      <w:r w:rsidR="00207FEA" w:rsidRPr="001A3068">
        <w:rPr>
          <w:rFonts w:ascii="Arial" w:hAnsi="Arial" w:cs="Arial"/>
        </w:rPr>
        <w:t>resulted</w:t>
      </w:r>
      <w:r w:rsidR="00207FEA">
        <w:rPr>
          <w:rFonts w:ascii="Arial" w:hAnsi="Arial" w:cs="Arial"/>
        </w:rPr>
        <w:t xml:space="preserve"> in </w:t>
      </w:r>
      <w:r w:rsidR="00207FEA" w:rsidRPr="001A3068">
        <w:rPr>
          <w:rFonts w:ascii="Arial" w:hAnsi="Arial" w:cs="Arial"/>
        </w:rPr>
        <w:t>multiple project delays and associated cost overruns/funding shortages.</w:t>
      </w:r>
    </w:p>
    <w:p w14:paraId="2D2715A9" w14:textId="11112DC8" w:rsidR="001B5B43" w:rsidRPr="00AE614A" w:rsidRDefault="00EF65FE" w:rsidP="00AE614A">
      <w:pPr>
        <w:pStyle w:val="Default"/>
        <w:spacing w:after="120"/>
        <w:rPr>
          <w:rFonts w:ascii="Arial" w:hAnsi="Arial" w:cs="Arial"/>
          <w:sz w:val="22"/>
          <w:szCs w:val="22"/>
        </w:rPr>
      </w:pPr>
      <w:r>
        <w:rPr>
          <w:rFonts w:ascii="Arial" w:hAnsi="Arial" w:cs="Arial"/>
          <w:sz w:val="22"/>
          <w:szCs w:val="22"/>
        </w:rPr>
        <w:t xml:space="preserve">Some of the notable </w:t>
      </w:r>
      <w:r w:rsidR="00C40B9F">
        <w:rPr>
          <w:rFonts w:ascii="Arial" w:hAnsi="Arial" w:cs="Arial"/>
          <w:sz w:val="22"/>
          <w:szCs w:val="22"/>
        </w:rPr>
        <w:t>successes of STIIP include</w:t>
      </w:r>
      <w:r w:rsidR="00423BE5" w:rsidRPr="00AE614A">
        <w:rPr>
          <w:rFonts w:ascii="Arial" w:hAnsi="Arial" w:cs="Arial"/>
          <w:sz w:val="22"/>
          <w:szCs w:val="22"/>
        </w:rPr>
        <w:t>:</w:t>
      </w:r>
    </w:p>
    <w:p w14:paraId="32B94CCC" w14:textId="43BAB016" w:rsidR="002E237B" w:rsidRPr="002E237B" w:rsidRDefault="002E237B" w:rsidP="00AE614A">
      <w:pPr>
        <w:pStyle w:val="ListParagraph"/>
        <w:numPr>
          <w:ilvl w:val="0"/>
          <w:numId w:val="15"/>
        </w:numPr>
        <w:spacing w:after="120"/>
        <w:ind w:left="714" w:hanging="357"/>
        <w:contextualSpacing w:val="0"/>
        <w:rPr>
          <w:rFonts w:ascii="Arial" w:hAnsi="Arial" w:cs="Arial"/>
        </w:rPr>
      </w:pPr>
      <w:r>
        <w:rPr>
          <w:rFonts w:ascii="Arial" w:hAnsi="Arial" w:cs="Arial"/>
        </w:rPr>
        <w:t>A</w:t>
      </w:r>
      <w:r w:rsidRPr="001A3068">
        <w:rPr>
          <w:rFonts w:ascii="Arial" w:hAnsi="Arial" w:cs="Arial"/>
        </w:rPr>
        <w:t>lignment between STIIP and the NTP</w:t>
      </w:r>
      <w:r>
        <w:rPr>
          <w:rFonts w:ascii="Arial" w:hAnsi="Arial" w:cs="Arial"/>
        </w:rPr>
        <w:t xml:space="preserve"> was good</w:t>
      </w:r>
      <w:r w:rsidRPr="001A3068">
        <w:rPr>
          <w:rFonts w:ascii="Arial" w:hAnsi="Arial" w:cs="Arial"/>
        </w:rPr>
        <w:t>. The program design was well-intentioned with a balance of seeking to undertake important maintenance and rehabilitation works included in the NTP</w:t>
      </w:r>
      <w:r w:rsidRPr="000D2DE3">
        <w:rPr>
          <w:rStyle w:val="FootnoteReference"/>
          <w:rFonts w:ascii="Arial" w:hAnsi="Arial" w:cs="Arial"/>
        </w:rPr>
        <w:footnoteReference w:id="8"/>
      </w:r>
      <w:r w:rsidRPr="001A3068">
        <w:rPr>
          <w:rFonts w:ascii="Arial" w:hAnsi="Arial" w:cs="Arial"/>
        </w:rPr>
        <w:t xml:space="preserve"> and the MTTAP</w:t>
      </w:r>
      <w:r w:rsidR="0019711B">
        <w:rPr>
          <w:rFonts w:ascii="Arial" w:hAnsi="Arial" w:cs="Arial"/>
        </w:rPr>
        <w:t>,</w:t>
      </w:r>
      <w:r w:rsidR="00D21DC8">
        <w:rPr>
          <w:rFonts w:ascii="Arial" w:hAnsi="Arial" w:cs="Arial"/>
        </w:rPr>
        <w:t xml:space="preserve"> </w:t>
      </w:r>
      <w:r w:rsidRPr="001A3068">
        <w:rPr>
          <w:rFonts w:ascii="Arial" w:hAnsi="Arial" w:cs="Arial"/>
        </w:rPr>
        <w:t xml:space="preserve">together with important country system and MID capacity enhancement. </w:t>
      </w:r>
    </w:p>
    <w:p w14:paraId="4859E532" w14:textId="78D5876D" w:rsidR="00A010AF" w:rsidRPr="00AE614A" w:rsidRDefault="006F27CF" w:rsidP="00AE614A">
      <w:pPr>
        <w:pStyle w:val="ListParagraph"/>
        <w:numPr>
          <w:ilvl w:val="0"/>
          <w:numId w:val="15"/>
        </w:numPr>
        <w:spacing w:after="120"/>
        <w:ind w:left="714" w:hanging="357"/>
        <w:contextualSpacing w:val="0"/>
        <w:rPr>
          <w:rFonts w:ascii="Arial" w:hAnsi="Arial" w:cs="Arial"/>
        </w:rPr>
      </w:pPr>
      <w:r w:rsidRPr="00AE614A">
        <w:rPr>
          <w:rFonts w:ascii="Arial" w:hAnsi="Arial" w:cs="Arial"/>
          <w:lang w:val="en-GB"/>
        </w:rPr>
        <w:t xml:space="preserve">With support from the ADB, MID </w:t>
      </w:r>
      <w:r w:rsidR="00A010AF" w:rsidRPr="00AE614A">
        <w:rPr>
          <w:rFonts w:ascii="Arial" w:hAnsi="Arial" w:cs="Arial"/>
          <w:lang w:val="en-GB"/>
        </w:rPr>
        <w:t xml:space="preserve">developed a comprehensive environmental and social management system (ESMS) for the transport sector. The ESMS is based on the </w:t>
      </w:r>
      <w:r w:rsidR="000C43B0" w:rsidRPr="00AE614A">
        <w:rPr>
          <w:rFonts w:ascii="Arial" w:hAnsi="Arial" w:cs="Arial"/>
          <w:lang w:val="en-GB"/>
        </w:rPr>
        <w:t>Safeguards Procedures Manual (</w:t>
      </w:r>
      <w:r w:rsidR="00A010AF" w:rsidRPr="00AE614A">
        <w:rPr>
          <w:rFonts w:ascii="Arial" w:hAnsi="Arial" w:cs="Arial"/>
          <w:lang w:val="en-GB"/>
        </w:rPr>
        <w:t>SPM</w:t>
      </w:r>
      <w:r w:rsidR="000C43B0" w:rsidRPr="00AE614A">
        <w:rPr>
          <w:rFonts w:ascii="Arial" w:hAnsi="Arial" w:cs="Arial"/>
          <w:lang w:val="en-GB"/>
        </w:rPr>
        <w:t>)</w:t>
      </w:r>
      <w:r w:rsidR="00A010AF" w:rsidRPr="00AE614A">
        <w:rPr>
          <w:rFonts w:ascii="Arial" w:hAnsi="Arial" w:cs="Arial"/>
          <w:lang w:val="en-GB"/>
        </w:rPr>
        <w:t xml:space="preserve"> which sets out the procedures and processes to assist with project implementation. </w:t>
      </w:r>
      <w:bookmarkStart w:id="1" w:name="_Toc115631955"/>
      <w:bookmarkStart w:id="2" w:name="_Toc118124481"/>
      <w:bookmarkStart w:id="3" w:name="_Toc118136048"/>
      <w:bookmarkStart w:id="4" w:name="_Toc118145116"/>
      <w:r w:rsidR="00A010AF" w:rsidRPr="00AE614A">
        <w:rPr>
          <w:rFonts w:ascii="Arial" w:hAnsi="Arial" w:cs="Arial"/>
          <w:lang w:val="en-GB"/>
        </w:rPr>
        <w:t>The SPM was prepared by MID to guide the performance of its environmental and social safeguards management duties.</w:t>
      </w:r>
      <w:bookmarkEnd w:id="1"/>
      <w:bookmarkEnd w:id="2"/>
      <w:bookmarkEnd w:id="3"/>
      <w:bookmarkEnd w:id="4"/>
      <w:r w:rsidR="00532A4F" w:rsidRPr="00AE614A">
        <w:rPr>
          <w:rFonts w:ascii="Arial" w:hAnsi="Arial" w:cs="Arial"/>
          <w:lang w:val="en-GB"/>
        </w:rPr>
        <w:t xml:space="preserve"> </w:t>
      </w:r>
      <w:r w:rsidR="00A010AF" w:rsidRPr="00AE614A">
        <w:rPr>
          <w:rFonts w:ascii="Arial" w:hAnsi="Arial" w:cs="Arial"/>
          <w:lang w:val="en-GB"/>
        </w:rPr>
        <w:t>The SPM is based on good international industry practice and complies with the requirements of both the country safeguard systems and development partners’ safeguard policies.</w:t>
      </w:r>
    </w:p>
    <w:p w14:paraId="1749000E" w14:textId="77777777" w:rsidR="003D1ABD" w:rsidRDefault="00B93DC7" w:rsidP="00AE614A">
      <w:pPr>
        <w:pStyle w:val="ListParagraph"/>
        <w:numPr>
          <w:ilvl w:val="0"/>
          <w:numId w:val="15"/>
        </w:numPr>
        <w:spacing w:after="120"/>
        <w:ind w:left="714" w:hanging="357"/>
        <w:contextualSpacing w:val="0"/>
        <w:rPr>
          <w:rFonts w:ascii="Arial" w:hAnsi="Arial" w:cs="Arial"/>
        </w:rPr>
      </w:pPr>
      <w:r w:rsidRPr="00AE614A">
        <w:rPr>
          <w:rFonts w:ascii="Arial" w:hAnsi="Arial" w:cs="Arial"/>
        </w:rPr>
        <w:t>The CAC was the main tool for village communities to express the issues and challenges experienced during implementation of activities. The CAC engaged communities early on and supported management and resolution of grievances in an efficient manner. The CAC supported better communication with village communities and tribal leaders which enhanced their understanding of the core outcomes of the works.</w:t>
      </w:r>
    </w:p>
    <w:p w14:paraId="6693E762" w14:textId="24D6CBD0" w:rsidR="003D1ABD" w:rsidRPr="003D1ABD" w:rsidRDefault="003D1ABD" w:rsidP="003D1ABD">
      <w:pPr>
        <w:pStyle w:val="ListParagraph"/>
        <w:numPr>
          <w:ilvl w:val="0"/>
          <w:numId w:val="15"/>
        </w:numPr>
        <w:autoSpaceDE w:val="0"/>
        <w:autoSpaceDN w:val="0"/>
        <w:adjustRightInd w:val="0"/>
        <w:spacing w:after="120"/>
        <w:rPr>
          <w:rFonts w:ascii="Arial" w:hAnsi="Arial" w:cs="Arial"/>
        </w:rPr>
      </w:pPr>
      <w:r w:rsidRPr="003D1ABD">
        <w:rPr>
          <w:rFonts w:ascii="Arial" w:hAnsi="Arial" w:cs="Arial"/>
          <w:lang w:val="en-GB"/>
        </w:rPr>
        <w:t xml:space="preserve">A significant STIIP improvement involved the introduction of the </w:t>
      </w:r>
      <w:r w:rsidRPr="003D1ABD">
        <w:rPr>
          <w:rFonts w:ascii="Arial" w:hAnsi="Arial" w:cs="Arial"/>
        </w:rPr>
        <w:t>Solomon Islands Transport Asset Management System (SITAMS)</w:t>
      </w:r>
      <w:r>
        <w:rPr>
          <w:rFonts w:ascii="Arial" w:hAnsi="Arial" w:cs="Arial"/>
        </w:rPr>
        <w:t xml:space="preserve"> in 2017</w:t>
      </w:r>
      <w:r w:rsidRPr="003D1ABD">
        <w:rPr>
          <w:rFonts w:ascii="Arial" w:hAnsi="Arial" w:cs="Arial"/>
          <w:lang w:val="en-GB"/>
        </w:rPr>
        <w:t>.</w:t>
      </w:r>
    </w:p>
    <w:p w14:paraId="4694A022" w14:textId="77777777" w:rsidR="00A45A5E" w:rsidRPr="00A45A5E" w:rsidRDefault="00A45A5E" w:rsidP="00A45A5E">
      <w:pPr>
        <w:spacing w:after="120"/>
        <w:rPr>
          <w:rFonts w:ascii="Arial" w:hAnsi="Arial" w:cs="Arial"/>
        </w:rPr>
      </w:pPr>
      <w:r w:rsidRPr="00A45A5E">
        <w:rPr>
          <w:rFonts w:ascii="Arial" w:hAnsi="Arial" w:cs="Arial"/>
        </w:rPr>
        <w:t>Despite many years of development partner support directed at the country’s transport sector, the implementation risk for these kinds of investment programs remains substantial. Even though the CPIU is now equipped with operations processes and procedure manuals, which it seeks to apply in a proper fashion, there isn’t a consistent level of capacity within CPIU to effectively support and implement programs of this kind without considerable and costly consultant support.</w:t>
      </w:r>
    </w:p>
    <w:p w14:paraId="434FA20F" w14:textId="77777777" w:rsidR="00221CA5" w:rsidRDefault="00221CA5" w:rsidP="00A45A5E">
      <w:pPr>
        <w:spacing w:after="120"/>
        <w:rPr>
          <w:rFonts w:ascii="Arial" w:hAnsi="Arial" w:cs="Arial"/>
          <w:b/>
          <w:bCs/>
        </w:rPr>
      </w:pPr>
    </w:p>
    <w:p w14:paraId="5E29C618" w14:textId="2A8C5C25" w:rsidR="007075ED" w:rsidRPr="00221CA5" w:rsidRDefault="007A4EB0" w:rsidP="00A45A5E">
      <w:pPr>
        <w:spacing w:after="120"/>
        <w:rPr>
          <w:rFonts w:ascii="Arial" w:hAnsi="Arial" w:cs="Arial"/>
          <w:b/>
          <w:bCs/>
        </w:rPr>
      </w:pPr>
      <w:r>
        <w:rPr>
          <w:rFonts w:ascii="Arial" w:hAnsi="Arial" w:cs="Arial"/>
          <w:b/>
          <w:bCs/>
        </w:rPr>
        <w:t>Lessons Learned</w:t>
      </w:r>
    </w:p>
    <w:p w14:paraId="2CB28EDA" w14:textId="5F3D57AF" w:rsidR="00221CA5" w:rsidRDefault="007A4EB0" w:rsidP="00A45A5E">
      <w:pPr>
        <w:spacing w:after="120"/>
        <w:rPr>
          <w:rFonts w:ascii="Arial" w:hAnsi="Arial" w:cs="Arial"/>
        </w:rPr>
      </w:pPr>
      <w:r>
        <w:rPr>
          <w:rFonts w:ascii="Arial" w:hAnsi="Arial" w:cs="Arial"/>
        </w:rPr>
        <w:t xml:space="preserve">Table 1 outlines </w:t>
      </w:r>
      <w:r w:rsidR="00221CA5">
        <w:rPr>
          <w:rFonts w:ascii="Arial" w:hAnsi="Arial" w:cs="Arial"/>
        </w:rPr>
        <w:t>7</w:t>
      </w:r>
      <w:r w:rsidR="00B95E6E">
        <w:rPr>
          <w:rFonts w:ascii="Arial" w:hAnsi="Arial" w:cs="Arial"/>
        </w:rPr>
        <w:t>6</w:t>
      </w:r>
      <w:r w:rsidR="00221CA5">
        <w:rPr>
          <w:rFonts w:ascii="Arial" w:hAnsi="Arial" w:cs="Arial"/>
        </w:rPr>
        <w:t xml:space="preserve"> </w:t>
      </w:r>
      <w:r w:rsidR="00AB1DCC">
        <w:rPr>
          <w:rFonts w:ascii="Arial" w:hAnsi="Arial" w:cs="Arial"/>
        </w:rPr>
        <w:t>lessons learned</w:t>
      </w:r>
      <w:r w:rsidR="00221CA5">
        <w:rPr>
          <w:rFonts w:ascii="Arial" w:hAnsi="Arial" w:cs="Arial"/>
        </w:rPr>
        <w:t xml:space="preserve"> </w:t>
      </w:r>
      <w:r w:rsidR="00AB1DCC">
        <w:rPr>
          <w:rFonts w:ascii="Arial" w:hAnsi="Arial" w:cs="Arial"/>
        </w:rPr>
        <w:t xml:space="preserve">from STIIP </w:t>
      </w:r>
      <w:r w:rsidR="00221CA5">
        <w:rPr>
          <w:rFonts w:ascii="Arial" w:hAnsi="Arial" w:cs="Arial"/>
        </w:rPr>
        <w:t xml:space="preserve">for the Solomon Islands Government </w:t>
      </w:r>
      <w:r w:rsidR="00AB1DCC">
        <w:rPr>
          <w:rFonts w:ascii="Arial" w:hAnsi="Arial" w:cs="Arial"/>
        </w:rPr>
        <w:t xml:space="preserve">(SIG) </w:t>
      </w:r>
      <w:r w:rsidR="00221CA5">
        <w:rPr>
          <w:rFonts w:ascii="Arial" w:hAnsi="Arial" w:cs="Arial"/>
        </w:rPr>
        <w:t xml:space="preserve">and development partners to consider </w:t>
      </w:r>
      <w:r w:rsidR="006B597D">
        <w:rPr>
          <w:rFonts w:ascii="Arial" w:hAnsi="Arial" w:cs="Arial"/>
        </w:rPr>
        <w:t>in future transport infrastructure project</w:t>
      </w:r>
      <w:r w:rsidR="00AB1DCC">
        <w:rPr>
          <w:rFonts w:ascii="Arial" w:hAnsi="Arial" w:cs="Arial"/>
        </w:rPr>
        <w:t xml:space="preserve"> designs</w:t>
      </w:r>
      <w:r w:rsidR="006B597D">
        <w:rPr>
          <w:rFonts w:ascii="Arial" w:hAnsi="Arial" w:cs="Arial"/>
        </w:rPr>
        <w:t>.</w:t>
      </w:r>
      <w:r w:rsidR="00AB1DCC">
        <w:rPr>
          <w:rFonts w:ascii="Arial" w:hAnsi="Arial" w:cs="Arial"/>
        </w:rPr>
        <w:t xml:space="preserve"> </w:t>
      </w:r>
      <w:r w:rsidR="007F5C22">
        <w:rPr>
          <w:rFonts w:ascii="Arial" w:hAnsi="Arial" w:cs="Arial"/>
        </w:rPr>
        <w:t xml:space="preserve">Many of these </w:t>
      </w:r>
      <w:r w:rsidR="00AB1DCC">
        <w:rPr>
          <w:rFonts w:ascii="Arial" w:hAnsi="Arial" w:cs="Arial"/>
        </w:rPr>
        <w:t xml:space="preserve">can be considered recommendations for </w:t>
      </w:r>
      <w:r w:rsidR="007F5C22">
        <w:rPr>
          <w:rFonts w:ascii="Arial" w:hAnsi="Arial" w:cs="Arial"/>
        </w:rPr>
        <w:t>SIG to action to improve the CPIU in its ongoing capacity to deliver transport infrastructure and associated maintenance.</w:t>
      </w:r>
    </w:p>
    <w:p w14:paraId="3FCE3130" w14:textId="52439007" w:rsidR="00B93DC7" w:rsidRDefault="00A71793" w:rsidP="009C09AE">
      <w:pPr>
        <w:spacing w:after="120"/>
        <w:rPr>
          <w:rFonts w:ascii="Arial" w:hAnsi="Arial" w:cs="Arial"/>
        </w:rPr>
      </w:pPr>
      <w:r>
        <w:rPr>
          <w:rFonts w:ascii="Arial" w:hAnsi="Arial" w:cs="Arial"/>
        </w:rPr>
        <w:t>Importantly for development partners, m</w:t>
      </w:r>
      <w:r w:rsidR="00C1607C">
        <w:rPr>
          <w:rFonts w:ascii="Arial" w:hAnsi="Arial" w:cs="Arial"/>
        </w:rPr>
        <w:t xml:space="preserve">any of the shortcomings of STIIP may have been overcome – and can be addressed in similar future programs – by ensuring that sufficient </w:t>
      </w:r>
      <w:r w:rsidR="00C1607C">
        <w:rPr>
          <w:rFonts w:ascii="Arial" w:hAnsi="Arial" w:cs="Arial"/>
        </w:rPr>
        <w:lastRenderedPageBreak/>
        <w:t>resourcing and capacity-building of key roles, and sufficient operational funding is made available to enable consistent and efficient project management and supervision.</w:t>
      </w:r>
    </w:p>
    <w:p w14:paraId="31DB5D82" w14:textId="77777777" w:rsidR="00CA22CA" w:rsidRDefault="00CA22CA" w:rsidP="009C09AE">
      <w:pPr>
        <w:spacing w:after="120"/>
        <w:rPr>
          <w:rFonts w:ascii="Arial" w:hAnsi="Arial" w:cs="Arial"/>
        </w:rPr>
        <w:sectPr w:rsidR="00CA22CA" w:rsidSect="00AA388F">
          <w:footerReference w:type="default" r:id="rId8"/>
          <w:footerReference w:type="first" r:id="rId9"/>
          <w:pgSz w:w="12240" w:h="15840"/>
          <w:pgMar w:top="1440" w:right="1440" w:bottom="1440" w:left="1440" w:header="708" w:footer="708" w:gutter="0"/>
          <w:cols w:space="708"/>
          <w:titlePg/>
          <w:docGrid w:linePitch="360"/>
        </w:sectPr>
      </w:pPr>
    </w:p>
    <w:p w14:paraId="37F2CDF4" w14:textId="09F39238" w:rsidR="00CA22CA" w:rsidRPr="007A4EB0" w:rsidRDefault="007A4EB0" w:rsidP="009C09AE">
      <w:pPr>
        <w:spacing w:after="120"/>
        <w:rPr>
          <w:rFonts w:ascii="Arial" w:hAnsi="Arial" w:cs="Arial"/>
          <w:b/>
          <w:bCs/>
        </w:rPr>
      </w:pPr>
      <w:r w:rsidRPr="007A4EB0">
        <w:rPr>
          <w:rFonts w:ascii="Arial" w:hAnsi="Arial" w:cs="Arial"/>
          <w:b/>
          <w:bCs/>
        </w:rPr>
        <w:lastRenderedPageBreak/>
        <w:t xml:space="preserve">Table 1: </w:t>
      </w:r>
      <w:r>
        <w:rPr>
          <w:rFonts w:ascii="Arial" w:hAnsi="Arial" w:cs="Arial"/>
          <w:b/>
          <w:bCs/>
        </w:rPr>
        <w:t xml:space="preserve">Lessons Learned from STIIP </w:t>
      </w:r>
      <w:r w:rsidRPr="007A4EB0">
        <w:rPr>
          <w:rFonts w:ascii="Arial" w:hAnsi="Arial" w:cs="Arial"/>
          <w:b/>
          <w:bCs/>
        </w:rPr>
        <w:t xml:space="preserve">for the Solomon Islands Government </w:t>
      </w:r>
      <w:r w:rsidR="00246C17">
        <w:rPr>
          <w:rFonts w:ascii="Arial" w:hAnsi="Arial" w:cs="Arial"/>
          <w:b/>
          <w:bCs/>
        </w:rPr>
        <w:t xml:space="preserve">(SIG) </w:t>
      </w:r>
      <w:r w:rsidRPr="007A4EB0">
        <w:rPr>
          <w:rFonts w:ascii="Arial" w:hAnsi="Arial" w:cs="Arial"/>
          <w:b/>
          <w:bCs/>
        </w:rPr>
        <w:t>and Development Partners</w:t>
      </w:r>
      <w:r w:rsidR="00246C17">
        <w:rPr>
          <w:rFonts w:ascii="Arial" w:hAnsi="Arial" w:cs="Arial"/>
          <w:b/>
          <w:bCs/>
        </w:rPr>
        <w:t xml:space="preserve"> (DP)</w:t>
      </w:r>
    </w:p>
    <w:p w14:paraId="3515EA3C" w14:textId="24C7DA3D" w:rsidR="007A4EB0" w:rsidRDefault="007A4EB0" w:rsidP="009C09AE">
      <w:pPr>
        <w:spacing w:after="120"/>
        <w:rPr>
          <w:rFonts w:ascii="Arial" w:hAnsi="Arial" w:cs="Arial"/>
        </w:rPr>
      </w:pPr>
    </w:p>
    <w:tbl>
      <w:tblPr>
        <w:tblW w:w="0" w:type="auto"/>
        <w:tblCellMar>
          <w:top w:w="57" w:type="dxa"/>
          <w:bottom w:w="57" w:type="dxa"/>
        </w:tblCellMar>
        <w:tblLook w:val="04A0" w:firstRow="1" w:lastRow="0" w:firstColumn="1" w:lastColumn="0" w:noHBand="0" w:noVBand="1"/>
      </w:tblPr>
      <w:tblGrid>
        <w:gridCol w:w="506"/>
        <w:gridCol w:w="2082"/>
        <w:gridCol w:w="8915"/>
        <w:gridCol w:w="1447"/>
      </w:tblGrid>
      <w:tr w:rsidR="003D39BF" w:rsidRPr="007A4EB0" w14:paraId="3AE7DBBD" w14:textId="77777777" w:rsidTr="003D39BF">
        <w:trPr>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91E99B2" w14:textId="3C16DDEB" w:rsidR="003D39BF" w:rsidRPr="003D39BF" w:rsidRDefault="003D39BF" w:rsidP="000C49F9">
            <w:pPr>
              <w:spacing w:after="0"/>
              <w:jc w:val="center"/>
              <w:rPr>
                <w:rFonts w:ascii="Arial" w:eastAsia="Times New Roman" w:hAnsi="Arial" w:cs="Arial"/>
                <w:b/>
                <w:bCs/>
                <w:color w:val="000000"/>
                <w:sz w:val="18"/>
                <w:szCs w:val="18"/>
                <w:lang w:val="en-AU" w:eastAsia="en-AU"/>
              </w:rPr>
            </w:pPr>
            <w:r w:rsidRPr="003D39BF">
              <w:rPr>
                <w:rFonts w:ascii="Arial" w:eastAsia="Times New Roman" w:hAnsi="Arial" w:cs="Arial"/>
                <w:b/>
                <w:bCs/>
                <w:color w:val="000000"/>
                <w:sz w:val="18"/>
                <w:szCs w:val="18"/>
                <w:lang w:val="en-AU" w:eastAsia="en-AU"/>
              </w:rPr>
              <w:t>No.</w:t>
            </w:r>
          </w:p>
        </w:tc>
        <w:tc>
          <w:tcPr>
            <w:tcW w:w="0" w:type="auto"/>
            <w:tcBorders>
              <w:top w:val="single" w:sz="4" w:space="0" w:color="auto"/>
              <w:left w:val="nil"/>
              <w:bottom w:val="single" w:sz="4" w:space="0" w:color="auto"/>
              <w:right w:val="single" w:sz="4" w:space="0" w:color="auto"/>
            </w:tcBorders>
            <w:shd w:val="clear" w:color="auto" w:fill="auto"/>
          </w:tcPr>
          <w:p w14:paraId="35FB26D1" w14:textId="069C8CD3" w:rsidR="003D39BF" w:rsidRPr="003D39BF" w:rsidRDefault="003D39BF" w:rsidP="000C49F9">
            <w:pPr>
              <w:spacing w:after="0"/>
              <w:jc w:val="left"/>
              <w:rPr>
                <w:rFonts w:ascii="Arial" w:eastAsia="Times New Roman" w:hAnsi="Arial" w:cs="Arial"/>
                <w:b/>
                <w:bCs/>
                <w:color w:val="000000"/>
                <w:sz w:val="18"/>
                <w:szCs w:val="18"/>
                <w:lang w:eastAsia="en-AU"/>
              </w:rPr>
            </w:pPr>
            <w:r w:rsidRPr="003D39BF">
              <w:rPr>
                <w:rFonts w:ascii="Arial" w:eastAsia="Times New Roman" w:hAnsi="Arial" w:cs="Arial"/>
                <w:b/>
                <w:bCs/>
                <w:color w:val="000000"/>
                <w:sz w:val="18"/>
                <w:szCs w:val="18"/>
                <w:lang w:eastAsia="en-AU"/>
              </w:rPr>
              <w:t>Indicator</w:t>
            </w:r>
          </w:p>
        </w:tc>
        <w:tc>
          <w:tcPr>
            <w:tcW w:w="0" w:type="auto"/>
            <w:tcBorders>
              <w:top w:val="single" w:sz="4" w:space="0" w:color="auto"/>
              <w:left w:val="nil"/>
              <w:bottom w:val="single" w:sz="4" w:space="0" w:color="auto"/>
              <w:right w:val="single" w:sz="4" w:space="0" w:color="auto"/>
            </w:tcBorders>
            <w:shd w:val="clear" w:color="auto" w:fill="auto"/>
          </w:tcPr>
          <w:p w14:paraId="7F0D0201" w14:textId="12BE06A5" w:rsidR="003D39BF" w:rsidRPr="003D39BF" w:rsidRDefault="003D39BF" w:rsidP="000C49F9">
            <w:pPr>
              <w:spacing w:after="0"/>
              <w:jc w:val="left"/>
              <w:rPr>
                <w:rFonts w:ascii="Arial" w:eastAsia="Symbol" w:hAnsi="Arial" w:cs="Symbol"/>
                <w:b/>
                <w:bCs/>
                <w:color w:val="000000"/>
                <w:sz w:val="18"/>
                <w:szCs w:val="18"/>
                <w:lang w:eastAsia="en-AU"/>
              </w:rPr>
            </w:pPr>
            <w:r w:rsidRPr="003D39BF">
              <w:rPr>
                <w:rFonts w:ascii="Arial" w:eastAsia="Symbol" w:hAnsi="Arial" w:cs="Symbol"/>
                <w:b/>
                <w:bCs/>
                <w:color w:val="000000"/>
                <w:sz w:val="18"/>
                <w:szCs w:val="18"/>
                <w:lang w:eastAsia="en-AU"/>
              </w:rPr>
              <w:t>Lessons learned</w:t>
            </w:r>
          </w:p>
        </w:tc>
        <w:tc>
          <w:tcPr>
            <w:tcW w:w="0" w:type="auto"/>
            <w:tcBorders>
              <w:top w:val="single" w:sz="4" w:space="0" w:color="auto"/>
              <w:left w:val="nil"/>
              <w:bottom w:val="single" w:sz="4" w:space="0" w:color="auto"/>
              <w:right w:val="single" w:sz="4" w:space="0" w:color="auto"/>
            </w:tcBorders>
            <w:shd w:val="clear" w:color="auto" w:fill="auto"/>
            <w:noWrap/>
          </w:tcPr>
          <w:p w14:paraId="3112D7A6" w14:textId="7E6270A6" w:rsidR="003D39BF" w:rsidRPr="003D39BF" w:rsidRDefault="003D39BF" w:rsidP="000C49F9">
            <w:pPr>
              <w:spacing w:after="0"/>
              <w:jc w:val="left"/>
              <w:rPr>
                <w:rFonts w:ascii="Arial" w:eastAsia="Times New Roman" w:hAnsi="Arial" w:cs="Arial"/>
                <w:b/>
                <w:bCs/>
                <w:color w:val="000000"/>
                <w:sz w:val="18"/>
                <w:szCs w:val="18"/>
                <w:lang w:val="en-AU" w:eastAsia="en-AU"/>
              </w:rPr>
            </w:pPr>
            <w:r w:rsidRPr="003D39BF">
              <w:rPr>
                <w:rFonts w:ascii="Arial" w:eastAsia="Times New Roman" w:hAnsi="Arial" w:cs="Arial"/>
                <w:b/>
                <w:bCs/>
                <w:color w:val="000000"/>
                <w:sz w:val="18"/>
                <w:szCs w:val="18"/>
                <w:lang w:val="en-AU" w:eastAsia="en-AU"/>
              </w:rPr>
              <w:t>Responsibility</w:t>
            </w:r>
          </w:p>
        </w:tc>
      </w:tr>
      <w:tr w:rsidR="000C49F9" w:rsidRPr="007A4EB0" w14:paraId="2946ED89" w14:textId="77777777" w:rsidTr="001415C0">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17BE4DC"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w:t>
            </w:r>
          </w:p>
        </w:tc>
        <w:tc>
          <w:tcPr>
            <w:tcW w:w="0" w:type="auto"/>
            <w:tcBorders>
              <w:top w:val="single" w:sz="4" w:space="0" w:color="auto"/>
              <w:left w:val="nil"/>
              <w:bottom w:val="single" w:sz="4" w:space="0" w:color="auto"/>
              <w:right w:val="single" w:sz="4" w:space="0" w:color="auto"/>
            </w:tcBorders>
            <w:shd w:val="clear" w:color="auto" w:fill="auto"/>
            <w:hideMark/>
          </w:tcPr>
          <w:p w14:paraId="290798E0"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NTF Operational Framework</w:t>
            </w:r>
          </w:p>
        </w:tc>
        <w:tc>
          <w:tcPr>
            <w:tcW w:w="0" w:type="auto"/>
            <w:tcBorders>
              <w:top w:val="single" w:sz="4" w:space="0" w:color="auto"/>
              <w:left w:val="nil"/>
              <w:bottom w:val="single" w:sz="4" w:space="0" w:color="auto"/>
              <w:right w:val="single" w:sz="4" w:space="0" w:color="auto"/>
            </w:tcBorders>
            <w:shd w:val="clear" w:color="auto" w:fill="auto"/>
            <w:hideMark/>
          </w:tcPr>
          <w:p w14:paraId="238091C2" w14:textId="148FC00A"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NTF is becoming increasingly marginali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ed by the development community and unless significant reform and new resources are directed at enhancing NTF’s capability (much as was described in the 2014 Joint NTF Review) the most pragmatic approach may be for NTF to cease operation</w:t>
            </w:r>
          </w:p>
        </w:tc>
        <w:tc>
          <w:tcPr>
            <w:tcW w:w="0" w:type="auto"/>
            <w:tcBorders>
              <w:top w:val="single" w:sz="4" w:space="0" w:color="auto"/>
              <w:left w:val="nil"/>
              <w:bottom w:val="single" w:sz="4" w:space="0" w:color="auto"/>
              <w:right w:val="single" w:sz="4" w:space="0" w:color="auto"/>
            </w:tcBorders>
            <w:shd w:val="clear" w:color="auto" w:fill="auto"/>
            <w:noWrap/>
            <w:hideMark/>
          </w:tcPr>
          <w:p w14:paraId="166484CA"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F1734A0"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113646F"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w:t>
            </w:r>
          </w:p>
        </w:tc>
        <w:tc>
          <w:tcPr>
            <w:tcW w:w="0" w:type="auto"/>
            <w:tcBorders>
              <w:top w:val="nil"/>
              <w:left w:val="nil"/>
              <w:bottom w:val="single" w:sz="4" w:space="0" w:color="auto"/>
              <w:right w:val="single" w:sz="4" w:space="0" w:color="auto"/>
            </w:tcBorders>
            <w:shd w:val="clear" w:color="auto" w:fill="auto"/>
            <w:hideMark/>
          </w:tcPr>
          <w:p w14:paraId="0000AAA1" w14:textId="5DEB891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 xml:space="preserve">Sector </w:t>
            </w:r>
            <w:r w:rsidR="001415C0" w:rsidRPr="007A4EB0">
              <w:rPr>
                <w:rFonts w:ascii="Arial" w:eastAsia="Times New Roman" w:hAnsi="Arial" w:cs="Arial"/>
                <w:color w:val="000000"/>
                <w:sz w:val="18"/>
                <w:szCs w:val="18"/>
                <w:lang w:eastAsia="en-AU"/>
              </w:rPr>
              <w:t>Sustainability</w:t>
            </w:r>
            <w:r w:rsidRPr="007A4EB0">
              <w:rPr>
                <w:rFonts w:ascii="Arial" w:eastAsia="Times New Roman" w:hAnsi="Arial" w:cs="Arial"/>
                <w:color w:val="000000"/>
                <w:sz w:val="18"/>
                <w:szCs w:val="18"/>
                <w:lang w:eastAsia="en-AU"/>
              </w:rPr>
              <w:t xml:space="preserve"> – Human Resources</w:t>
            </w:r>
          </w:p>
        </w:tc>
        <w:tc>
          <w:tcPr>
            <w:tcW w:w="0" w:type="auto"/>
            <w:tcBorders>
              <w:top w:val="nil"/>
              <w:left w:val="nil"/>
              <w:bottom w:val="single" w:sz="4" w:space="0" w:color="auto"/>
              <w:right w:val="single" w:sz="4" w:space="0" w:color="auto"/>
            </w:tcBorders>
            <w:shd w:val="clear" w:color="auto" w:fill="auto"/>
            <w:hideMark/>
          </w:tcPr>
          <w:p w14:paraId="349E8DB9" w14:textId="0877329F" w:rsidR="007A4EB0" w:rsidRPr="007A4EB0" w:rsidRDefault="000C49F9" w:rsidP="000C49F9">
            <w:pPr>
              <w:spacing w:after="0"/>
              <w:jc w:val="left"/>
              <w:rPr>
                <w:rFonts w:ascii="Arial" w:eastAsia="Times New Roman" w:hAnsi="Arial" w:cs="Arial"/>
                <w:color w:val="000000"/>
                <w:sz w:val="18"/>
                <w:szCs w:val="18"/>
                <w:lang w:val="en-AU" w:eastAsia="en-AU"/>
              </w:rPr>
            </w:pPr>
            <w:r>
              <w:rPr>
                <w:rFonts w:ascii="Arial" w:eastAsia="Symbol" w:hAnsi="Arial" w:cs="Symbol"/>
                <w:color w:val="000000"/>
                <w:sz w:val="18"/>
                <w:szCs w:val="18"/>
                <w:lang w:eastAsia="en-AU"/>
              </w:rPr>
              <w:t>W</w:t>
            </w:r>
            <w:r w:rsidR="007A4EB0" w:rsidRPr="007A4EB0">
              <w:rPr>
                <w:rFonts w:ascii="Arial" w:eastAsia="Symbol" w:hAnsi="Arial" w:cs="Symbol"/>
                <w:color w:val="000000"/>
                <w:sz w:val="18"/>
                <w:szCs w:val="18"/>
                <w:lang w:eastAsia="en-AU"/>
              </w:rPr>
              <w:t>hile training and capacity building can go some way towards addressing shortages in appropriately qualified human resources, it should be accepted that significant levels of national and international consulting support will be required for the foreseeable future to help assure the number one priority of effective and efficient project delivery</w:t>
            </w:r>
          </w:p>
        </w:tc>
        <w:tc>
          <w:tcPr>
            <w:tcW w:w="0" w:type="auto"/>
            <w:tcBorders>
              <w:top w:val="nil"/>
              <w:left w:val="nil"/>
              <w:bottom w:val="single" w:sz="4" w:space="0" w:color="auto"/>
              <w:right w:val="single" w:sz="4" w:space="0" w:color="auto"/>
            </w:tcBorders>
            <w:shd w:val="clear" w:color="auto" w:fill="auto"/>
            <w:noWrap/>
            <w:hideMark/>
          </w:tcPr>
          <w:p w14:paraId="41AFC4A1"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6E7D7CFC"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84A9354"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w:t>
            </w:r>
          </w:p>
        </w:tc>
        <w:tc>
          <w:tcPr>
            <w:tcW w:w="0" w:type="auto"/>
            <w:tcBorders>
              <w:top w:val="nil"/>
              <w:left w:val="nil"/>
              <w:bottom w:val="single" w:sz="4" w:space="0" w:color="auto"/>
              <w:right w:val="single" w:sz="4" w:space="0" w:color="auto"/>
            </w:tcBorders>
            <w:shd w:val="clear" w:color="auto" w:fill="auto"/>
            <w:hideMark/>
          </w:tcPr>
          <w:p w14:paraId="3002AFA5" w14:textId="30597EDA"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 xml:space="preserve">Sector </w:t>
            </w:r>
            <w:r w:rsidR="001415C0" w:rsidRPr="007A4EB0">
              <w:rPr>
                <w:rFonts w:ascii="Arial" w:eastAsia="Times New Roman" w:hAnsi="Arial" w:cs="Arial"/>
                <w:color w:val="000000"/>
                <w:sz w:val="18"/>
                <w:szCs w:val="18"/>
                <w:lang w:eastAsia="en-AU"/>
              </w:rPr>
              <w:t>Sustainability</w:t>
            </w:r>
            <w:r w:rsidRPr="007A4EB0">
              <w:rPr>
                <w:rFonts w:ascii="Arial" w:eastAsia="Times New Roman" w:hAnsi="Arial" w:cs="Arial"/>
                <w:color w:val="000000"/>
                <w:sz w:val="18"/>
                <w:szCs w:val="18"/>
                <w:lang w:eastAsia="en-AU"/>
              </w:rPr>
              <w:t xml:space="preserve"> – Financial Resources</w:t>
            </w:r>
          </w:p>
        </w:tc>
        <w:tc>
          <w:tcPr>
            <w:tcW w:w="0" w:type="auto"/>
            <w:tcBorders>
              <w:top w:val="nil"/>
              <w:left w:val="nil"/>
              <w:bottom w:val="single" w:sz="4" w:space="0" w:color="auto"/>
              <w:right w:val="single" w:sz="4" w:space="0" w:color="auto"/>
            </w:tcBorders>
            <w:shd w:val="clear" w:color="auto" w:fill="auto"/>
            <w:hideMark/>
          </w:tcPr>
          <w:p w14:paraId="72191445" w14:textId="24F3D549"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Introducing a fuel levy (that would impact on all road users)</w:t>
            </w:r>
            <w:r w:rsidR="00EF12D7">
              <w:rPr>
                <w:rFonts w:ascii="Arial" w:eastAsia="Symbol" w:hAnsi="Arial" w:cs="Symbol"/>
                <w:color w:val="000000"/>
                <w:sz w:val="18"/>
                <w:szCs w:val="18"/>
                <w:lang w:eastAsia="en-AU"/>
              </w:rPr>
              <w:t>,</w:t>
            </w:r>
            <w:r w:rsidRPr="007A4EB0">
              <w:rPr>
                <w:rFonts w:ascii="Arial" w:eastAsia="Symbol" w:hAnsi="Arial" w:cs="Symbol"/>
                <w:color w:val="000000"/>
                <w:sz w:val="18"/>
                <w:szCs w:val="18"/>
                <w:lang w:eastAsia="en-AU"/>
              </w:rPr>
              <w:t xml:space="preserve"> and a truck</w:t>
            </w:r>
            <w:r w:rsidR="00EF12D7">
              <w:rPr>
                <w:rFonts w:ascii="Arial" w:eastAsia="Symbol" w:hAnsi="Arial" w:cs="Symbol"/>
                <w:color w:val="000000"/>
                <w:sz w:val="18"/>
                <w:szCs w:val="18"/>
                <w:lang w:eastAsia="en-AU"/>
              </w:rPr>
              <w:t xml:space="preserve"> </w:t>
            </w:r>
            <w:r w:rsidRPr="007A4EB0">
              <w:rPr>
                <w:rFonts w:ascii="Arial" w:eastAsia="Symbol" w:hAnsi="Arial" w:cs="Symbol"/>
                <w:color w:val="000000"/>
                <w:sz w:val="18"/>
                <w:szCs w:val="18"/>
                <w:lang w:eastAsia="en-AU"/>
              </w:rPr>
              <w:t>weight</w:t>
            </w:r>
            <w:r w:rsidR="00EF12D7">
              <w:rPr>
                <w:rFonts w:ascii="Arial" w:eastAsia="Symbol" w:hAnsi="Arial" w:cs="Symbol"/>
                <w:color w:val="000000"/>
                <w:sz w:val="18"/>
                <w:szCs w:val="18"/>
                <w:lang w:eastAsia="en-AU"/>
              </w:rPr>
              <w:t>-</w:t>
            </w:r>
            <w:r w:rsidRPr="007A4EB0">
              <w:rPr>
                <w:rFonts w:ascii="Arial" w:eastAsia="Symbol" w:hAnsi="Arial" w:cs="Symbol"/>
                <w:color w:val="000000"/>
                <w:sz w:val="18"/>
                <w:szCs w:val="18"/>
                <w:lang w:eastAsia="en-AU"/>
              </w:rPr>
              <w:t xml:space="preserve">linked fee (that would be targeted at heavy load vehicles) should be considered to secure certainty for road maintenance funding. </w:t>
            </w:r>
          </w:p>
        </w:tc>
        <w:tc>
          <w:tcPr>
            <w:tcW w:w="0" w:type="auto"/>
            <w:tcBorders>
              <w:top w:val="nil"/>
              <w:left w:val="nil"/>
              <w:bottom w:val="single" w:sz="4" w:space="0" w:color="auto"/>
              <w:right w:val="single" w:sz="4" w:space="0" w:color="auto"/>
            </w:tcBorders>
            <w:shd w:val="clear" w:color="auto" w:fill="auto"/>
            <w:noWrap/>
            <w:hideMark/>
          </w:tcPr>
          <w:p w14:paraId="472B9845"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47DCDEDC"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5F30BB4B"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w:t>
            </w:r>
          </w:p>
        </w:tc>
        <w:tc>
          <w:tcPr>
            <w:tcW w:w="0" w:type="auto"/>
            <w:tcBorders>
              <w:top w:val="nil"/>
              <w:left w:val="nil"/>
              <w:bottom w:val="single" w:sz="4" w:space="0" w:color="auto"/>
              <w:right w:val="single" w:sz="4" w:space="0" w:color="auto"/>
            </w:tcBorders>
            <w:shd w:val="clear" w:color="auto" w:fill="auto"/>
            <w:hideMark/>
          </w:tcPr>
          <w:p w14:paraId="6B8E0DE0" w14:textId="590FA1D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 xml:space="preserve">Sector </w:t>
            </w:r>
            <w:r w:rsidR="001415C0" w:rsidRPr="007A4EB0">
              <w:rPr>
                <w:rFonts w:ascii="Arial" w:eastAsia="Times New Roman" w:hAnsi="Arial" w:cs="Arial"/>
                <w:color w:val="000000"/>
                <w:sz w:val="18"/>
                <w:szCs w:val="18"/>
                <w:lang w:val="en-AU" w:eastAsia="en-AU"/>
              </w:rPr>
              <w:t>Sustainability</w:t>
            </w:r>
            <w:r w:rsidRPr="007A4EB0">
              <w:rPr>
                <w:rFonts w:ascii="Arial" w:eastAsia="Times New Roman" w:hAnsi="Arial" w:cs="Arial"/>
                <w:color w:val="000000"/>
                <w:sz w:val="18"/>
                <w:szCs w:val="18"/>
                <w:lang w:val="en-AU" w:eastAsia="en-AU"/>
              </w:rPr>
              <w:t xml:space="preserve"> – Financial Resources</w:t>
            </w:r>
          </w:p>
        </w:tc>
        <w:tc>
          <w:tcPr>
            <w:tcW w:w="0" w:type="auto"/>
            <w:tcBorders>
              <w:top w:val="nil"/>
              <w:left w:val="nil"/>
              <w:bottom w:val="single" w:sz="4" w:space="0" w:color="auto"/>
              <w:right w:val="single" w:sz="4" w:space="0" w:color="auto"/>
            </w:tcBorders>
            <w:shd w:val="clear" w:color="auto" w:fill="auto"/>
            <w:hideMark/>
          </w:tcPr>
          <w:p w14:paraId="43B73E37" w14:textId="4552CA4C"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All donor projects involving transport capital expenditure should include a maintenance funding component covering at least an initial </w:t>
            </w:r>
            <w:r w:rsidR="00EF12D7" w:rsidRPr="007A4EB0">
              <w:rPr>
                <w:rFonts w:ascii="Arial" w:eastAsia="Symbol" w:hAnsi="Arial" w:cs="Symbol"/>
                <w:color w:val="000000"/>
                <w:sz w:val="18"/>
                <w:szCs w:val="18"/>
                <w:lang w:eastAsia="en-AU"/>
              </w:rPr>
              <w:t>3</w:t>
            </w:r>
            <w:r w:rsidR="00EF12D7">
              <w:rPr>
                <w:rFonts w:ascii="Arial" w:eastAsia="Symbol" w:hAnsi="Arial" w:cs="Symbol"/>
                <w:color w:val="000000"/>
                <w:sz w:val="18"/>
                <w:szCs w:val="18"/>
                <w:lang w:eastAsia="en-AU"/>
              </w:rPr>
              <w:t>–5-year</w:t>
            </w:r>
            <w:r w:rsidRPr="007A4EB0">
              <w:rPr>
                <w:rFonts w:ascii="Arial" w:eastAsia="Symbol" w:hAnsi="Arial" w:cs="Symbol"/>
                <w:color w:val="000000"/>
                <w:sz w:val="18"/>
                <w:szCs w:val="18"/>
                <w:lang w:eastAsia="en-AU"/>
              </w:rPr>
              <w:t xml:space="preserve"> period following construction completion. This maxim is already being widely implemented. For example, the new ADB funded LMCP has a considerable amount of financing allocated to national priority capital works, which comes with the post construction performance-based maintenance by the works contractor.</w:t>
            </w:r>
          </w:p>
        </w:tc>
        <w:tc>
          <w:tcPr>
            <w:tcW w:w="0" w:type="auto"/>
            <w:tcBorders>
              <w:top w:val="nil"/>
              <w:left w:val="nil"/>
              <w:bottom w:val="single" w:sz="4" w:space="0" w:color="auto"/>
              <w:right w:val="single" w:sz="4" w:space="0" w:color="auto"/>
            </w:tcBorders>
            <w:shd w:val="clear" w:color="auto" w:fill="auto"/>
            <w:noWrap/>
            <w:hideMark/>
          </w:tcPr>
          <w:p w14:paraId="67DA96ED"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0B0C038C"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7F5E72D0"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w:t>
            </w:r>
          </w:p>
        </w:tc>
        <w:tc>
          <w:tcPr>
            <w:tcW w:w="0" w:type="auto"/>
            <w:tcBorders>
              <w:top w:val="nil"/>
              <w:left w:val="nil"/>
              <w:bottom w:val="single" w:sz="4" w:space="0" w:color="auto"/>
              <w:right w:val="single" w:sz="4" w:space="0" w:color="auto"/>
            </w:tcBorders>
            <w:shd w:val="clear" w:color="auto" w:fill="auto"/>
            <w:hideMark/>
          </w:tcPr>
          <w:p w14:paraId="65678E0C" w14:textId="2BBF32D1"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 xml:space="preserve">Sector </w:t>
            </w:r>
            <w:r w:rsidR="001415C0" w:rsidRPr="007A4EB0">
              <w:rPr>
                <w:rFonts w:ascii="Arial" w:eastAsia="Times New Roman" w:hAnsi="Arial" w:cs="Arial"/>
                <w:color w:val="000000"/>
                <w:sz w:val="18"/>
                <w:szCs w:val="18"/>
                <w:lang w:val="en-AU" w:eastAsia="en-AU"/>
              </w:rPr>
              <w:t>Sustainability</w:t>
            </w:r>
            <w:r w:rsidRPr="007A4EB0">
              <w:rPr>
                <w:rFonts w:ascii="Arial" w:eastAsia="Times New Roman" w:hAnsi="Arial" w:cs="Arial"/>
                <w:color w:val="000000"/>
                <w:sz w:val="18"/>
                <w:szCs w:val="18"/>
                <w:lang w:val="en-AU" w:eastAsia="en-AU"/>
              </w:rPr>
              <w:t xml:space="preserve"> – Financial Resources</w:t>
            </w:r>
          </w:p>
        </w:tc>
        <w:tc>
          <w:tcPr>
            <w:tcW w:w="0" w:type="auto"/>
            <w:tcBorders>
              <w:top w:val="nil"/>
              <w:left w:val="nil"/>
              <w:bottom w:val="single" w:sz="4" w:space="0" w:color="auto"/>
              <w:right w:val="single" w:sz="4" w:space="0" w:color="auto"/>
            </w:tcBorders>
            <w:shd w:val="clear" w:color="auto" w:fill="auto"/>
            <w:hideMark/>
          </w:tcPr>
          <w:p w14:paraId="50C13F32" w14:textId="63697A85"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The lack of effective works supervision during much of the course of STIIP has been highlighted as a key issue hindering effective program delivery.  Projects of this nature ought therefore to include funding for an </w:t>
            </w:r>
            <w:r w:rsidR="000C49F9">
              <w:rPr>
                <w:rFonts w:ascii="Arial" w:eastAsia="Symbol" w:hAnsi="Arial" w:cs="Symbol"/>
                <w:color w:val="000000"/>
                <w:sz w:val="18"/>
                <w:szCs w:val="18"/>
                <w:lang w:eastAsia="en-AU"/>
              </w:rPr>
              <w:t>O</w:t>
            </w:r>
            <w:r w:rsidRPr="007A4EB0">
              <w:rPr>
                <w:rFonts w:ascii="Arial" w:eastAsia="Symbol" w:hAnsi="Arial" w:cs="Symbol"/>
                <w:color w:val="000000"/>
                <w:sz w:val="18"/>
                <w:szCs w:val="18"/>
                <w:lang w:eastAsia="en-AU"/>
              </w:rPr>
              <w:t>wners</w:t>
            </w:r>
            <w:r w:rsidR="000C49F9">
              <w:rPr>
                <w:rFonts w:ascii="Arial" w:eastAsia="Symbol" w:hAnsi="Arial" w:cs="Symbol"/>
                <w:color w:val="000000"/>
                <w:sz w:val="18"/>
                <w:szCs w:val="18"/>
                <w:lang w:eastAsia="en-AU"/>
              </w:rPr>
              <w:t>’</w:t>
            </w:r>
            <w:r w:rsidRPr="007A4EB0">
              <w:rPr>
                <w:rFonts w:ascii="Arial" w:eastAsia="Symbol" w:hAnsi="Arial" w:cs="Symbol"/>
                <w:color w:val="000000"/>
                <w:sz w:val="18"/>
                <w:szCs w:val="18"/>
                <w:lang w:eastAsia="en-AU"/>
              </w:rPr>
              <w:t xml:space="preserve"> </w:t>
            </w:r>
            <w:r w:rsidR="000C49F9">
              <w:rPr>
                <w:rFonts w:ascii="Arial" w:eastAsia="Symbol" w:hAnsi="Arial" w:cs="Symbol"/>
                <w:color w:val="000000"/>
                <w:sz w:val="18"/>
                <w:szCs w:val="18"/>
                <w:lang w:eastAsia="en-AU"/>
              </w:rPr>
              <w:t>E</w:t>
            </w:r>
            <w:r w:rsidRPr="007A4EB0">
              <w:rPr>
                <w:rFonts w:ascii="Arial" w:eastAsia="Symbol" w:hAnsi="Arial" w:cs="Symbol"/>
                <w:color w:val="000000"/>
                <w:sz w:val="18"/>
                <w:szCs w:val="18"/>
                <w:lang w:eastAsia="en-AU"/>
              </w:rPr>
              <w:t>ngineer charged with monitoring project progress.</w:t>
            </w:r>
          </w:p>
        </w:tc>
        <w:tc>
          <w:tcPr>
            <w:tcW w:w="0" w:type="auto"/>
            <w:tcBorders>
              <w:top w:val="nil"/>
              <w:left w:val="nil"/>
              <w:bottom w:val="single" w:sz="4" w:space="0" w:color="auto"/>
              <w:right w:val="single" w:sz="4" w:space="0" w:color="auto"/>
            </w:tcBorders>
            <w:shd w:val="clear" w:color="auto" w:fill="auto"/>
            <w:noWrap/>
            <w:hideMark/>
          </w:tcPr>
          <w:p w14:paraId="20A23D0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1A50DF84"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6F0C8B4"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w:t>
            </w:r>
          </w:p>
        </w:tc>
        <w:tc>
          <w:tcPr>
            <w:tcW w:w="0" w:type="auto"/>
            <w:tcBorders>
              <w:top w:val="nil"/>
              <w:left w:val="nil"/>
              <w:bottom w:val="single" w:sz="4" w:space="0" w:color="auto"/>
              <w:right w:val="single" w:sz="4" w:space="0" w:color="auto"/>
            </w:tcBorders>
            <w:shd w:val="clear" w:color="auto" w:fill="auto"/>
            <w:hideMark/>
          </w:tcPr>
          <w:p w14:paraId="3E50A018" w14:textId="13EFE251"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 xml:space="preserve">Sector </w:t>
            </w:r>
            <w:r w:rsidR="001415C0" w:rsidRPr="007A4EB0">
              <w:rPr>
                <w:rFonts w:ascii="Arial" w:eastAsia="Times New Roman" w:hAnsi="Arial" w:cs="Arial"/>
                <w:color w:val="000000"/>
                <w:sz w:val="18"/>
                <w:szCs w:val="18"/>
                <w:lang w:val="en-AU" w:eastAsia="en-AU"/>
              </w:rPr>
              <w:t>Sustainability</w:t>
            </w:r>
            <w:r w:rsidRPr="007A4EB0">
              <w:rPr>
                <w:rFonts w:ascii="Arial" w:eastAsia="Times New Roman" w:hAnsi="Arial" w:cs="Arial"/>
                <w:color w:val="000000"/>
                <w:sz w:val="18"/>
                <w:szCs w:val="18"/>
                <w:lang w:val="en-AU" w:eastAsia="en-AU"/>
              </w:rPr>
              <w:t xml:space="preserve"> – Financial Resources</w:t>
            </w:r>
          </w:p>
        </w:tc>
        <w:tc>
          <w:tcPr>
            <w:tcW w:w="0" w:type="auto"/>
            <w:tcBorders>
              <w:top w:val="nil"/>
              <w:left w:val="nil"/>
              <w:bottom w:val="single" w:sz="4" w:space="0" w:color="auto"/>
              <w:right w:val="single" w:sz="4" w:space="0" w:color="auto"/>
            </w:tcBorders>
            <w:shd w:val="clear" w:color="auto" w:fill="auto"/>
            <w:hideMark/>
          </w:tcPr>
          <w:p w14:paraId="361A987A" w14:textId="23B84F89"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Linked to the previous point, STIIP output measures were principally quantitative in nature and did not directly consider product quality. Consider how relevant quality indicators could be incorporated into design and monitoring frameworks (DMFs).</w:t>
            </w:r>
          </w:p>
        </w:tc>
        <w:tc>
          <w:tcPr>
            <w:tcW w:w="0" w:type="auto"/>
            <w:tcBorders>
              <w:top w:val="nil"/>
              <w:left w:val="nil"/>
              <w:bottom w:val="single" w:sz="4" w:space="0" w:color="auto"/>
              <w:right w:val="single" w:sz="4" w:space="0" w:color="auto"/>
            </w:tcBorders>
            <w:shd w:val="clear" w:color="auto" w:fill="auto"/>
            <w:noWrap/>
            <w:hideMark/>
          </w:tcPr>
          <w:p w14:paraId="35585F68"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55AEB10F"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B9B906A"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7</w:t>
            </w:r>
          </w:p>
        </w:tc>
        <w:tc>
          <w:tcPr>
            <w:tcW w:w="0" w:type="auto"/>
            <w:tcBorders>
              <w:top w:val="nil"/>
              <w:left w:val="nil"/>
              <w:bottom w:val="single" w:sz="4" w:space="0" w:color="auto"/>
              <w:right w:val="single" w:sz="4" w:space="0" w:color="auto"/>
            </w:tcBorders>
            <w:shd w:val="clear" w:color="auto" w:fill="auto"/>
            <w:hideMark/>
          </w:tcPr>
          <w:p w14:paraId="09FFF499" w14:textId="32ADB519"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 xml:space="preserve">Sector </w:t>
            </w:r>
            <w:r w:rsidR="001415C0" w:rsidRPr="007A4EB0">
              <w:rPr>
                <w:rFonts w:ascii="Arial" w:eastAsia="Times New Roman" w:hAnsi="Arial" w:cs="Arial"/>
                <w:color w:val="000000"/>
                <w:sz w:val="18"/>
                <w:szCs w:val="18"/>
                <w:lang w:val="en-AU" w:eastAsia="en-AU"/>
              </w:rPr>
              <w:t>Sustainability</w:t>
            </w:r>
            <w:r w:rsidRPr="007A4EB0">
              <w:rPr>
                <w:rFonts w:ascii="Arial" w:eastAsia="Times New Roman" w:hAnsi="Arial" w:cs="Arial"/>
                <w:color w:val="000000"/>
                <w:sz w:val="18"/>
                <w:szCs w:val="18"/>
                <w:lang w:val="en-AU" w:eastAsia="en-AU"/>
              </w:rPr>
              <w:t xml:space="preserve"> – Financial Resources</w:t>
            </w:r>
          </w:p>
        </w:tc>
        <w:tc>
          <w:tcPr>
            <w:tcW w:w="0" w:type="auto"/>
            <w:tcBorders>
              <w:top w:val="nil"/>
              <w:left w:val="nil"/>
              <w:bottom w:val="single" w:sz="4" w:space="0" w:color="auto"/>
              <w:right w:val="single" w:sz="4" w:space="0" w:color="auto"/>
            </w:tcBorders>
            <w:shd w:val="clear" w:color="auto" w:fill="auto"/>
            <w:hideMark/>
          </w:tcPr>
          <w:p w14:paraId="3B574D00" w14:textId="0B7F42E5"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As discussed at length above in the context of project sustainability, limitations on the availability and capability of human resources have been and, given the context of the Pacific Region, will always likely be a challenge.  This challenge is compounded by the number of development projects undertaken in parallel thereby stretching already very thin resource capacity. Perhaps the most pragmatic approach is to try and maximi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e project efficiency and effectiveness by increasing (not decreasing) reliance on external support.  This increased reliance on external support require effective coordination to ensure continuity in the provision of key resources and to help minimi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e resourcing overlaps and/or conflicts.</w:t>
            </w:r>
          </w:p>
        </w:tc>
        <w:tc>
          <w:tcPr>
            <w:tcW w:w="0" w:type="auto"/>
            <w:tcBorders>
              <w:top w:val="nil"/>
              <w:left w:val="nil"/>
              <w:bottom w:val="single" w:sz="4" w:space="0" w:color="auto"/>
              <w:right w:val="single" w:sz="4" w:space="0" w:color="auto"/>
            </w:tcBorders>
            <w:shd w:val="clear" w:color="auto" w:fill="auto"/>
            <w:noWrap/>
            <w:hideMark/>
          </w:tcPr>
          <w:p w14:paraId="1F31D46A"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2966127D"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9CB8263"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8</w:t>
            </w:r>
          </w:p>
        </w:tc>
        <w:tc>
          <w:tcPr>
            <w:tcW w:w="0" w:type="auto"/>
            <w:tcBorders>
              <w:top w:val="nil"/>
              <w:left w:val="nil"/>
              <w:bottom w:val="single" w:sz="4" w:space="0" w:color="auto"/>
              <w:right w:val="single" w:sz="4" w:space="0" w:color="auto"/>
            </w:tcBorders>
            <w:shd w:val="clear" w:color="auto" w:fill="auto"/>
            <w:hideMark/>
          </w:tcPr>
          <w:p w14:paraId="7F55E60E" w14:textId="5566AAA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 xml:space="preserve">Sector </w:t>
            </w:r>
            <w:r w:rsidR="000C49F9" w:rsidRPr="007A4EB0">
              <w:rPr>
                <w:rFonts w:ascii="Arial" w:eastAsia="Times New Roman" w:hAnsi="Arial" w:cs="Arial"/>
                <w:color w:val="000000"/>
                <w:sz w:val="18"/>
                <w:szCs w:val="18"/>
                <w:lang w:val="en-AU" w:eastAsia="en-AU"/>
              </w:rPr>
              <w:t>Sustainability</w:t>
            </w:r>
            <w:r w:rsidRPr="007A4EB0">
              <w:rPr>
                <w:rFonts w:ascii="Arial" w:eastAsia="Times New Roman" w:hAnsi="Arial" w:cs="Arial"/>
                <w:color w:val="000000"/>
                <w:sz w:val="18"/>
                <w:szCs w:val="18"/>
                <w:lang w:val="en-AU" w:eastAsia="en-AU"/>
              </w:rPr>
              <w:t xml:space="preserve"> – Financial Resources</w:t>
            </w:r>
          </w:p>
        </w:tc>
        <w:tc>
          <w:tcPr>
            <w:tcW w:w="0" w:type="auto"/>
            <w:tcBorders>
              <w:top w:val="nil"/>
              <w:left w:val="nil"/>
              <w:bottom w:val="single" w:sz="4" w:space="0" w:color="auto"/>
              <w:right w:val="single" w:sz="4" w:space="0" w:color="auto"/>
            </w:tcBorders>
            <w:shd w:val="clear" w:color="auto" w:fill="auto"/>
            <w:hideMark/>
          </w:tcPr>
          <w:p w14:paraId="1D679BFA" w14:textId="4E95B68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Linked to the previous point, a greater degree of human capacity assessment should be undertaken as part of all project scoping exercises to better identify gaps that can be addressed by dedicated training (potentially organi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 xml:space="preserve">ed and managed through existing educational establishments), the recruitment of external support or a combination of the two. The number of staff positions within NTF did not increase as expected during TSDP. This contributed to delays that could have been dealt with as STIIP got underway. The lack of project design capability within MID also resulted in significant project delay. </w:t>
            </w:r>
            <w:r w:rsidR="00EF12D7" w:rsidRPr="007A4EB0">
              <w:rPr>
                <w:rFonts w:ascii="Arial" w:eastAsia="Symbol" w:hAnsi="Arial" w:cs="Symbol"/>
                <w:color w:val="000000"/>
                <w:sz w:val="18"/>
                <w:szCs w:val="18"/>
                <w:lang w:eastAsia="en-AU"/>
              </w:rPr>
              <w:t>Both</w:t>
            </w:r>
            <w:r w:rsidRPr="007A4EB0">
              <w:rPr>
                <w:rFonts w:ascii="Arial" w:eastAsia="Symbol" w:hAnsi="Arial" w:cs="Symbol"/>
                <w:color w:val="000000"/>
                <w:sz w:val="18"/>
                <w:szCs w:val="18"/>
                <w:lang w:eastAsia="en-AU"/>
              </w:rPr>
              <w:t xml:space="preserve"> inadequacies were foreseeable and appropriate capacity should have been added.</w:t>
            </w:r>
          </w:p>
        </w:tc>
        <w:tc>
          <w:tcPr>
            <w:tcW w:w="0" w:type="auto"/>
            <w:tcBorders>
              <w:top w:val="nil"/>
              <w:left w:val="nil"/>
              <w:bottom w:val="single" w:sz="4" w:space="0" w:color="auto"/>
              <w:right w:val="single" w:sz="4" w:space="0" w:color="auto"/>
            </w:tcBorders>
            <w:shd w:val="clear" w:color="auto" w:fill="auto"/>
            <w:noWrap/>
            <w:hideMark/>
          </w:tcPr>
          <w:p w14:paraId="2AD78716"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78D49D08"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BE0016D"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lastRenderedPageBreak/>
              <w:t>9</w:t>
            </w:r>
          </w:p>
        </w:tc>
        <w:tc>
          <w:tcPr>
            <w:tcW w:w="0" w:type="auto"/>
            <w:tcBorders>
              <w:top w:val="nil"/>
              <w:left w:val="nil"/>
              <w:bottom w:val="single" w:sz="4" w:space="0" w:color="auto"/>
              <w:right w:val="single" w:sz="4" w:space="0" w:color="auto"/>
            </w:tcBorders>
            <w:shd w:val="clear" w:color="auto" w:fill="auto"/>
            <w:hideMark/>
          </w:tcPr>
          <w:p w14:paraId="6BA39F64" w14:textId="64EF72B2"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 xml:space="preserve">Sector </w:t>
            </w:r>
            <w:r w:rsidR="000C49F9" w:rsidRPr="007A4EB0">
              <w:rPr>
                <w:rFonts w:ascii="Arial" w:eastAsia="Times New Roman" w:hAnsi="Arial" w:cs="Arial"/>
                <w:color w:val="000000"/>
                <w:sz w:val="18"/>
                <w:szCs w:val="18"/>
                <w:lang w:val="en-AU" w:eastAsia="en-AU"/>
              </w:rPr>
              <w:t>Sustainability</w:t>
            </w:r>
            <w:r w:rsidRPr="007A4EB0">
              <w:rPr>
                <w:rFonts w:ascii="Arial" w:eastAsia="Times New Roman" w:hAnsi="Arial" w:cs="Arial"/>
                <w:color w:val="000000"/>
                <w:sz w:val="18"/>
                <w:szCs w:val="18"/>
                <w:lang w:val="en-AU" w:eastAsia="en-AU"/>
              </w:rPr>
              <w:t xml:space="preserve"> – Financial Resources</w:t>
            </w:r>
          </w:p>
        </w:tc>
        <w:tc>
          <w:tcPr>
            <w:tcW w:w="0" w:type="auto"/>
            <w:tcBorders>
              <w:top w:val="nil"/>
              <w:left w:val="nil"/>
              <w:bottom w:val="single" w:sz="4" w:space="0" w:color="auto"/>
              <w:right w:val="single" w:sz="4" w:space="0" w:color="auto"/>
            </w:tcBorders>
            <w:shd w:val="clear" w:color="auto" w:fill="auto"/>
            <w:hideMark/>
          </w:tcPr>
          <w:p w14:paraId="7F26B5A3" w14:textId="589DAF25"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Another project scoping related issue concerns the failure to plan for adequate quantities of materials.  Experienced regional consultants should be utili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ed in the project design phase to ensure that such issues are properly considered.  In addition, appropriate project appraisal software (HDM4) and design software (12D) should be utili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ed by CPIU engineers and planners.</w:t>
            </w:r>
          </w:p>
        </w:tc>
        <w:tc>
          <w:tcPr>
            <w:tcW w:w="0" w:type="auto"/>
            <w:tcBorders>
              <w:top w:val="nil"/>
              <w:left w:val="nil"/>
              <w:bottom w:val="single" w:sz="4" w:space="0" w:color="auto"/>
              <w:right w:val="single" w:sz="4" w:space="0" w:color="auto"/>
            </w:tcBorders>
            <w:shd w:val="clear" w:color="auto" w:fill="auto"/>
            <w:noWrap/>
            <w:hideMark/>
          </w:tcPr>
          <w:p w14:paraId="0B13273A"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F3760CB"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F992841"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10</w:t>
            </w:r>
          </w:p>
        </w:tc>
        <w:tc>
          <w:tcPr>
            <w:tcW w:w="0" w:type="auto"/>
            <w:tcBorders>
              <w:top w:val="nil"/>
              <w:left w:val="nil"/>
              <w:bottom w:val="single" w:sz="4" w:space="0" w:color="auto"/>
              <w:right w:val="single" w:sz="4" w:space="0" w:color="auto"/>
            </w:tcBorders>
            <w:shd w:val="clear" w:color="auto" w:fill="auto"/>
            <w:hideMark/>
          </w:tcPr>
          <w:p w14:paraId="01AA1245" w14:textId="2A8C24E1"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 xml:space="preserve">Sector </w:t>
            </w:r>
            <w:r w:rsidR="000C49F9" w:rsidRPr="007A4EB0">
              <w:rPr>
                <w:rFonts w:ascii="Arial" w:eastAsia="Times New Roman" w:hAnsi="Arial" w:cs="Arial"/>
                <w:color w:val="000000"/>
                <w:sz w:val="18"/>
                <w:szCs w:val="18"/>
                <w:lang w:val="en-AU" w:eastAsia="en-AU"/>
              </w:rPr>
              <w:t>Sustainability</w:t>
            </w:r>
            <w:r w:rsidRPr="007A4EB0">
              <w:rPr>
                <w:rFonts w:ascii="Arial" w:eastAsia="Times New Roman" w:hAnsi="Arial" w:cs="Arial"/>
                <w:color w:val="000000"/>
                <w:sz w:val="18"/>
                <w:szCs w:val="18"/>
                <w:lang w:val="en-AU" w:eastAsia="en-AU"/>
              </w:rPr>
              <w:t xml:space="preserve"> – Financial Resources</w:t>
            </w:r>
          </w:p>
        </w:tc>
        <w:tc>
          <w:tcPr>
            <w:tcW w:w="0" w:type="auto"/>
            <w:tcBorders>
              <w:top w:val="nil"/>
              <w:left w:val="nil"/>
              <w:bottom w:val="single" w:sz="4" w:space="0" w:color="auto"/>
              <w:right w:val="single" w:sz="4" w:space="0" w:color="auto"/>
            </w:tcBorders>
            <w:shd w:val="clear" w:color="auto" w:fill="auto"/>
            <w:hideMark/>
          </w:tcPr>
          <w:p w14:paraId="748B8D92" w14:textId="644B7750" w:rsidR="007A4EB0" w:rsidRPr="007A4EB0" w:rsidRDefault="00EF12D7"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If</w:t>
            </w:r>
            <w:r w:rsidR="007A4EB0" w:rsidRPr="007A4EB0">
              <w:rPr>
                <w:rFonts w:ascii="Arial" w:eastAsia="Symbol" w:hAnsi="Arial" w:cs="Symbol"/>
                <w:color w:val="000000"/>
                <w:sz w:val="18"/>
                <w:szCs w:val="18"/>
                <w:lang w:eastAsia="en-AU"/>
              </w:rPr>
              <w:t xml:space="preserve"> the NTF continues, greater flexibility is required in how it is allowed to utili</w:t>
            </w:r>
            <w:r w:rsidR="0063328A">
              <w:rPr>
                <w:rFonts w:ascii="Arial" w:eastAsia="Symbol" w:hAnsi="Arial" w:cs="Symbol"/>
                <w:color w:val="000000"/>
                <w:sz w:val="18"/>
                <w:szCs w:val="18"/>
                <w:lang w:eastAsia="en-AU"/>
              </w:rPr>
              <w:t>s</w:t>
            </w:r>
            <w:r w:rsidR="007A4EB0" w:rsidRPr="007A4EB0">
              <w:rPr>
                <w:rFonts w:ascii="Arial" w:eastAsia="Symbol" w:hAnsi="Arial" w:cs="Symbol"/>
                <w:color w:val="000000"/>
                <w:sz w:val="18"/>
                <w:szCs w:val="18"/>
                <w:lang w:eastAsia="en-AU"/>
              </w:rPr>
              <w:t>e its funding (as well as the need to streamline the entire process). The NTF Procedures Manual requires modification to enable more rapid funds reallocation to respond to challenges as they arise, particularly contract modifications.</w:t>
            </w:r>
          </w:p>
        </w:tc>
        <w:tc>
          <w:tcPr>
            <w:tcW w:w="0" w:type="auto"/>
            <w:tcBorders>
              <w:top w:val="nil"/>
              <w:left w:val="nil"/>
              <w:bottom w:val="single" w:sz="4" w:space="0" w:color="auto"/>
              <w:right w:val="single" w:sz="4" w:space="0" w:color="auto"/>
            </w:tcBorders>
            <w:shd w:val="clear" w:color="auto" w:fill="auto"/>
            <w:noWrap/>
            <w:hideMark/>
          </w:tcPr>
          <w:p w14:paraId="28C31633"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15F2F276"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A892369"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11</w:t>
            </w:r>
          </w:p>
        </w:tc>
        <w:tc>
          <w:tcPr>
            <w:tcW w:w="0" w:type="auto"/>
            <w:tcBorders>
              <w:top w:val="nil"/>
              <w:left w:val="nil"/>
              <w:bottom w:val="single" w:sz="4" w:space="0" w:color="auto"/>
              <w:right w:val="single" w:sz="4" w:space="0" w:color="auto"/>
            </w:tcBorders>
            <w:shd w:val="clear" w:color="auto" w:fill="auto"/>
            <w:hideMark/>
          </w:tcPr>
          <w:p w14:paraId="2A2060E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Program Design</w:t>
            </w:r>
          </w:p>
        </w:tc>
        <w:tc>
          <w:tcPr>
            <w:tcW w:w="0" w:type="auto"/>
            <w:tcBorders>
              <w:top w:val="nil"/>
              <w:left w:val="nil"/>
              <w:bottom w:val="single" w:sz="4" w:space="0" w:color="auto"/>
              <w:right w:val="single" w:sz="4" w:space="0" w:color="auto"/>
            </w:tcBorders>
            <w:shd w:val="clear" w:color="auto" w:fill="auto"/>
            <w:hideMark/>
          </w:tcPr>
          <w:p w14:paraId="3732CED2" w14:textId="3E2D363E"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Disbursement Linked Indicators (DLI) need closer alignment with the DMF indicators to avoid sending conflicting signals on priorities. The September 2018 ADB mission acknowledged some DLIs may not have been entirely appropriate. SIG asked for changes to four DLIs citing changes in government policies, inconsistencies in the project documents, and the need to address impracticability in some DLI definitions and targets.  As was later noted in relation to DLI 6 (which concerns the rate of execution of the NTF annual work program), a more achievable goal for 2016 with gradual increases over the remaining years would have been more practical.</w:t>
            </w:r>
          </w:p>
        </w:tc>
        <w:tc>
          <w:tcPr>
            <w:tcW w:w="0" w:type="auto"/>
            <w:tcBorders>
              <w:top w:val="nil"/>
              <w:left w:val="nil"/>
              <w:bottom w:val="single" w:sz="4" w:space="0" w:color="auto"/>
              <w:right w:val="single" w:sz="4" w:space="0" w:color="auto"/>
            </w:tcBorders>
            <w:shd w:val="clear" w:color="auto" w:fill="auto"/>
            <w:noWrap/>
            <w:hideMark/>
          </w:tcPr>
          <w:p w14:paraId="333511A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45729522"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44C5496"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12</w:t>
            </w:r>
          </w:p>
        </w:tc>
        <w:tc>
          <w:tcPr>
            <w:tcW w:w="0" w:type="auto"/>
            <w:tcBorders>
              <w:top w:val="nil"/>
              <w:left w:val="nil"/>
              <w:bottom w:val="single" w:sz="4" w:space="0" w:color="auto"/>
              <w:right w:val="single" w:sz="4" w:space="0" w:color="auto"/>
            </w:tcBorders>
            <w:shd w:val="clear" w:color="auto" w:fill="auto"/>
            <w:hideMark/>
          </w:tcPr>
          <w:p w14:paraId="1F55CF6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Program Design</w:t>
            </w:r>
          </w:p>
        </w:tc>
        <w:tc>
          <w:tcPr>
            <w:tcW w:w="0" w:type="auto"/>
            <w:tcBorders>
              <w:top w:val="nil"/>
              <w:left w:val="nil"/>
              <w:bottom w:val="single" w:sz="4" w:space="0" w:color="auto"/>
              <w:right w:val="single" w:sz="4" w:space="0" w:color="auto"/>
            </w:tcBorders>
            <w:shd w:val="clear" w:color="auto" w:fill="auto"/>
            <w:hideMark/>
          </w:tcPr>
          <w:p w14:paraId="3A02F5F1" w14:textId="6C6BE340"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Some Gender Action Plan (GAP) targets may be unrealistic given the local context in the absence of direct support. For example, at program close four of STIIP’s gender targets were not achieved including the goal that 30% of labor based / equipment supported (LBES) contracts allocated to women. However, given the combination of a shallow resource pool and historic cultural bias in the region against women being trained as engineers, it is not surprising that the target was not met. If such goals are to be </w:t>
            </w:r>
            <w:r w:rsidR="00EF12D7" w:rsidRPr="007A4EB0">
              <w:rPr>
                <w:rFonts w:ascii="Arial" w:eastAsia="Symbol" w:hAnsi="Arial" w:cs="Symbol"/>
                <w:color w:val="000000"/>
                <w:sz w:val="18"/>
                <w:szCs w:val="18"/>
                <w:lang w:eastAsia="en-AU"/>
              </w:rPr>
              <w:t>applied,</w:t>
            </w:r>
            <w:r w:rsidRPr="007A4EB0">
              <w:rPr>
                <w:rFonts w:ascii="Arial" w:eastAsia="Symbol" w:hAnsi="Arial" w:cs="Symbol"/>
                <w:color w:val="000000"/>
                <w:sz w:val="18"/>
                <w:szCs w:val="18"/>
                <w:lang w:eastAsia="en-AU"/>
              </w:rPr>
              <w:t xml:space="preserve"> they should be accompanied by initiatives such as dedicated funding support for the training of women headed contractors (if they are known to exist).</w:t>
            </w:r>
          </w:p>
        </w:tc>
        <w:tc>
          <w:tcPr>
            <w:tcW w:w="0" w:type="auto"/>
            <w:tcBorders>
              <w:top w:val="nil"/>
              <w:left w:val="nil"/>
              <w:bottom w:val="single" w:sz="4" w:space="0" w:color="auto"/>
              <w:right w:val="single" w:sz="4" w:space="0" w:color="auto"/>
            </w:tcBorders>
            <w:shd w:val="clear" w:color="auto" w:fill="auto"/>
            <w:noWrap/>
            <w:hideMark/>
          </w:tcPr>
          <w:p w14:paraId="1EA1EFA0"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3EEDB7F1"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57D0022E"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13</w:t>
            </w:r>
          </w:p>
        </w:tc>
        <w:tc>
          <w:tcPr>
            <w:tcW w:w="0" w:type="auto"/>
            <w:tcBorders>
              <w:top w:val="nil"/>
              <w:left w:val="nil"/>
              <w:bottom w:val="single" w:sz="4" w:space="0" w:color="auto"/>
              <w:right w:val="single" w:sz="4" w:space="0" w:color="auto"/>
            </w:tcBorders>
            <w:shd w:val="clear" w:color="auto" w:fill="auto"/>
            <w:hideMark/>
          </w:tcPr>
          <w:p w14:paraId="61F08DD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Program Design</w:t>
            </w:r>
          </w:p>
        </w:tc>
        <w:tc>
          <w:tcPr>
            <w:tcW w:w="0" w:type="auto"/>
            <w:tcBorders>
              <w:top w:val="nil"/>
              <w:left w:val="nil"/>
              <w:bottom w:val="single" w:sz="4" w:space="0" w:color="auto"/>
              <w:right w:val="single" w:sz="4" w:space="0" w:color="auto"/>
            </w:tcBorders>
            <w:shd w:val="clear" w:color="auto" w:fill="auto"/>
            <w:hideMark/>
          </w:tcPr>
          <w:p w14:paraId="647DE62A" w14:textId="2204F796"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Provide the CPIU safeguards manager the opportunity to review works contracts bills of quantities to ensure adequate funding is committed to service the SPM requirements. The pricing of SPM compliance should not be considered a competitive pricing element in works contract tenders.</w:t>
            </w:r>
          </w:p>
        </w:tc>
        <w:tc>
          <w:tcPr>
            <w:tcW w:w="0" w:type="auto"/>
            <w:tcBorders>
              <w:top w:val="nil"/>
              <w:left w:val="nil"/>
              <w:bottom w:val="single" w:sz="4" w:space="0" w:color="auto"/>
              <w:right w:val="single" w:sz="4" w:space="0" w:color="auto"/>
            </w:tcBorders>
            <w:shd w:val="clear" w:color="auto" w:fill="auto"/>
            <w:noWrap/>
            <w:hideMark/>
          </w:tcPr>
          <w:p w14:paraId="4CF3C58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6F117BAE"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0B6619B"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14</w:t>
            </w:r>
          </w:p>
        </w:tc>
        <w:tc>
          <w:tcPr>
            <w:tcW w:w="0" w:type="auto"/>
            <w:tcBorders>
              <w:top w:val="nil"/>
              <w:left w:val="nil"/>
              <w:bottom w:val="single" w:sz="4" w:space="0" w:color="auto"/>
              <w:right w:val="single" w:sz="4" w:space="0" w:color="auto"/>
            </w:tcBorders>
            <w:shd w:val="clear" w:color="auto" w:fill="auto"/>
            <w:hideMark/>
          </w:tcPr>
          <w:p w14:paraId="2FCB54F8"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Program Design</w:t>
            </w:r>
          </w:p>
        </w:tc>
        <w:tc>
          <w:tcPr>
            <w:tcW w:w="0" w:type="auto"/>
            <w:tcBorders>
              <w:top w:val="nil"/>
              <w:left w:val="nil"/>
              <w:bottom w:val="single" w:sz="4" w:space="0" w:color="auto"/>
              <w:right w:val="single" w:sz="4" w:space="0" w:color="auto"/>
            </w:tcBorders>
            <w:shd w:val="clear" w:color="auto" w:fill="auto"/>
            <w:hideMark/>
          </w:tcPr>
          <w:p w14:paraId="268789E2" w14:textId="426A640C"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The procurement capability of MID and MOFT needs a major upgrade. Despite the existence of up-to-date contract management and procurement manuals, delays persist. Identified deficiencies include the failure to properly specify the skills and experience needed of contractors to successfully undertake works and not setting a timeframe to complete each stage in the contracting process.</w:t>
            </w:r>
          </w:p>
        </w:tc>
        <w:tc>
          <w:tcPr>
            <w:tcW w:w="0" w:type="auto"/>
            <w:tcBorders>
              <w:top w:val="nil"/>
              <w:left w:val="nil"/>
              <w:bottom w:val="single" w:sz="4" w:space="0" w:color="auto"/>
              <w:right w:val="single" w:sz="4" w:space="0" w:color="auto"/>
            </w:tcBorders>
            <w:shd w:val="clear" w:color="auto" w:fill="auto"/>
            <w:noWrap/>
            <w:hideMark/>
          </w:tcPr>
          <w:p w14:paraId="38C16A22"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SIG/DP</w:t>
            </w:r>
          </w:p>
        </w:tc>
      </w:tr>
      <w:tr w:rsidR="000C49F9" w:rsidRPr="007A4EB0" w14:paraId="3AB1457E"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CC2C08B"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15</w:t>
            </w:r>
          </w:p>
        </w:tc>
        <w:tc>
          <w:tcPr>
            <w:tcW w:w="0" w:type="auto"/>
            <w:tcBorders>
              <w:top w:val="nil"/>
              <w:left w:val="nil"/>
              <w:bottom w:val="single" w:sz="4" w:space="0" w:color="auto"/>
              <w:right w:val="single" w:sz="4" w:space="0" w:color="auto"/>
            </w:tcBorders>
            <w:shd w:val="clear" w:color="auto" w:fill="auto"/>
            <w:hideMark/>
          </w:tcPr>
          <w:p w14:paraId="26615191"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Program Design</w:t>
            </w:r>
          </w:p>
        </w:tc>
        <w:tc>
          <w:tcPr>
            <w:tcW w:w="0" w:type="auto"/>
            <w:tcBorders>
              <w:top w:val="nil"/>
              <w:left w:val="nil"/>
              <w:bottom w:val="single" w:sz="4" w:space="0" w:color="auto"/>
              <w:right w:val="single" w:sz="4" w:space="0" w:color="auto"/>
            </w:tcBorders>
            <w:shd w:val="clear" w:color="auto" w:fill="auto"/>
            <w:hideMark/>
          </w:tcPr>
          <w:p w14:paraId="7E82DC92" w14:textId="5812CB9E"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The USAID</w:t>
            </w:r>
            <w:r w:rsidR="00EF12D7">
              <w:rPr>
                <w:rFonts w:ascii="Arial" w:eastAsia="Symbol" w:hAnsi="Arial" w:cs="Symbol"/>
                <w:color w:val="000000"/>
                <w:sz w:val="18"/>
                <w:szCs w:val="18"/>
                <w:lang w:eastAsia="en-AU"/>
              </w:rPr>
              <w:t>-</w:t>
            </w:r>
            <w:r w:rsidRPr="007A4EB0">
              <w:rPr>
                <w:rFonts w:ascii="Arial" w:eastAsia="Symbol" w:hAnsi="Arial" w:cs="Symbol"/>
                <w:color w:val="000000"/>
                <w:sz w:val="18"/>
                <w:szCs w:val="18"/>
                <w:lang w:eastAsia="en-AU"/>
              </w:rPr>
              <w:t xml:space="preserve">funded SCALE project design document makes </w:t>
            </w:r>
            <w:r w:rsidR="00EF12D7" w:rsidRPr="007A4EB0">
              <w:rPr>
                <w:rFonts w:ascii="Arial" w:eastAsia="Symbol" w:hAnsi="Arial" w:cs="Symbol"/>
                <w:color w:val="000000"/>
                <w:sz w:val="18"/>
                <w:szCs w:val="18"/>
                <w:lang w:eastAsia="en-AU"/>
              </w:rPr>
              <w:t>several</w:t>
            </w:r>
            <w:r w:rsidRPr="007A4EB0">
              <w:rPr>
                <w:rFonts w:ascii="Arial" w:eastAsia="Symbol" w:hAnsi="Arial" w:cs="Symbol"/>
                <w:color w:val="000000"/>
                <w:sz w:val="18"/>
                <w:szCs w:val="18"/>
                <w:lang w:eastAsia="en-AU"/>
              </w:rPr>
              <w:t xml:space="preserve"> project design related recommendations. First, by international standards, unit rates for works are high in Solomon Islands. Containing, if not curtailing these expenses, should be a priority of MID not least because the cost of civil works may continue to increase with demand even under more competition, unless (a) unit rates are systematically tracked and controlled using bid-cost breakdown analyses; (b) less expensive designs are used, without neglecting climate change adaptation and road safety infrastructure; and (c) rigorous work supervision and contract management are enforced. Under STIIP, a system to analyse, track and control unit rates of bid price (to achieve cost effectiveness) was expected to be put in place by 2017 but was not achieved. A schedule of rates (SOR) for bridge and road works was ready for Cabinet endorsement at program close but the implementation of a comprehensive cost control system is vital given how expensive works inputs are in the </w:t>
            </w:r>
            <w:r w:rsidRPr="007A4EB0">
              <w:rPr>
                <w:rFonts w:ascii="Arial" w:eastAsia="Symbol" w:hAnsi="Arial" w:cs="Symbol"/>
                <w:color w:val="000000"/>
                <w:sz w:val="18"/>
                <w:szCs w:val="18"/>
                <w:lang w:eastAsia="en-AU"/>
              </w:rPr>
              <w:lastRenderedPageBreak/>
              <w:t xml:space="preserve">country. Second, the road and bridge standards developed by MID could be expanded by introducing less-expensive designs adapted to low traffic situations, such as pre-engineered and </w:t>
            </w:r>
            <w:r w:rsidR="000C49F9" w:rsidRPr="007A4EB0">
              <w:rPr>
                <w:rFonts w:ascii="Arial" w:eastAsia="Symbol" w:hAnsi="Arial" w:cs="Symbol"/>
                <w:color w:val="000000"/>
                <w:sz w:val="18"/>
                <w:szCs w:val="18"/>
                <w:lang w:eastAsia="en-AU"/>
              </w:rPr>
              <w:t>prefabricated</w:t>
            </w:r>
            <w:r w:rsidRPr="007A4EB0">
              <w:rPr>
                <w:rFonts w:ascii="Arial" w:eastAsia="Symbol" w:hAnsi="Arial" w:cs="Symbol"/>
                <w:color w:val="000000"/>
                <w:sz w:val="18"/>
                <w:szCs w:val="18"/>
                <w:lang w:eastAsia="en-AU"/>
              </w:rPr>
              <w:t xml:space="preserve"> structures.</w:t>
            </w:r>
          </w:p>
        </w:tc>
        <w:tc>
          <w:tcPr>
            <w:tcW w:w="0" w:type="auto"/>
            <w:tcBorders>
              <w:top w:val="nil"/>
              <w:left w:val="nil"/>
              <w:bottom w:val="single" w:sz="4" w:space="0" w:color="auto"/>
              <w:right w:val="single" w:sz="4" w:space="0" w:color="auto"/>
            </w:tcBorders>
            <w:shd w:val="clear" w:color="auto" w:fill="auto"/>
            <w:noWrap/>
            <w:hideMark/>
          </w:tcPr>
          <w:p w14:paraId="7D54D661"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lastRenderedPageBreak/>
              <w:t>DP</w:t>
            </w:r>
          </w:p>
        </w:tc>
      </w:tr>
      <w:tr w:rsidR="000C49F9" w:rsidRPr="007A4EB0" w14:paraId="4FFE206B"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3DC3CF29"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16</w:t>
            </w:r>
          </w:p>
        </w:tc>
        <w:tc>
          <w:tcPr>
            <w:tcW w:w="0" w:type="auto"/>
            <w:tcBorders>
              <w:top w:val="nil"/>
              <w:left w:val="nil"/>
              <w:bottom w:val="single" w:sz="4" w:space="0" w:color="auto"/>
              <w:right w:val="single" w:sz="4" w:space="0" w:color="auto"/>
            </w:tcBorders>
            <w:shd w:val="clear" w:color="auto" w:fill="auto"/>
            <w:hideMark/>
          </w:tcPr>
          <w:p w14:paraId="1BEF3050"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Advance / Imprest Accounts</w:t>
            </w:r>
          </w:p>
        </w:tc>
        <w:tc>
          <w:tcPr>
            <w:tcW w:w="0" w:type="auto"/>
            <w:tcBorders>
              <w:top w:val="nil"/>
              <w:left w:val="nil"/>
              <w:bottom w:val="single" w:sz="4" w:space="0" w:color="auto"/>
              <w:right w:val="single" w:sz="4" w:space="0" w:color="auto"/>
            </w:tcBorders>
            <w:shd w:val="clear" w:color="auto" w:fill="auto"/>
            <w:hideMark/>
          </w:tcPr>
          <w:p w14:paraId="421D2D6D" w14:textId="7026F934"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The root cause of many STIIP delays was the lack of an Advance Account from which program operational expenses could have drawn down. This is a key fund flow recommendation for the future to minimi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e implementation delays</w:t>
            </w:r>
          </w:p>
        </w:tc>
        <w:tc>
          <w:tcPr>
            <w:tcW w:w="0" w:type="auto"/>
            <w:tcBorders>
              <w:top w:val="nil"/>
              <w:left w:val="nil"/>
              <w:bottom w:val="single" w:sz="4" w:space="0" w:color="auto"/>
              <w:right w:val="single" w:sz="4" w:space="0" w:color="auto"/>
            </w:tcBorders>
            <w:shd w:val="clear" w:color="auto" w:fill="auto"/>
            <w:noWrap/>
            <w:hideMark/>
          </w:tcPr>
          <w:p w14:paraId="7464898F"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178774DF"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32E913F"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17</w:t>
            </w:r>
          </w:p>
        </w:tc>
        <w:tc>
          <w:tcPr>
            <w:tcW w:w="0" w:type="auto"/>
            <w:tcBorders>
              <w:top w:val="nil"/>
              <w:left w:val="nil"/>
              <w:bottom w:val="single" w:sz="4" w:space="0" w:color="auto"/>
              <w:right w:val="single" w:sz="4" w:space="0" w:color="auto"/>
            </w:tcBorders>
            <w:shd w:val="clear" w:color="auto" w:fill="auto"/>
            <w:hideMark/>
          </w:tcPr>
          <w:p w14:paraId="0C86F8B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CPIU financial management staffing</w:t>
            </w:r>
          </w:p>
        </w:tc>
        <w:tc>
          <w:tcPr>
            <w:tcW w:w="0" w:type="auto"/>
            <w:tcBorders>
              <w:top w:val="nil"/>
              <w:left w:val="nil"/>
              <w:bottom w:val="single" w:sz="4" w:space="0" w:color="auto"/>
              <w:right w:val="single" w:sz="4" w:space="0" w:color="auto"/>
            </w:tcBorders>
            <w:shd w:val="clear" w:color="auto" w:fill="auto"/>
            <w:hideMark/>
          </w:tcPr>
          <w:p w14:paraId="30FFCA90" w14:textId="102295E8"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A strong CPIU set up early before disbursements with trained and qualified staff. Staff need to be trained in donor disbursements methods and preparation of annual financial statements and quarterly statements</w:t>
            </w:r>
          </w:p>
        </w:tc>
        <w:tc>
          <w:tcPr>
            <w:tcW w:w="0" w:type="auto"/>
            <w:tcBorders>
              <w:top w:val="nil"/>
              <w:left w:val="nil"/>
              <w:bottom w:val="single" w:sz="4" w:space="0" w:color="auto"/>
              <w:right w:val="single" w:sz="4" w:space="0" w:color="auto"/>
            </w:tcBorders>
            <w:shd w:val="clear" w:color="auto" w:fill="auto"/>
            <w:noWrap/>
            <w:hideMark/>
          </w:tcPr>
          <w:p w14:paraId="600AC07D"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12532BC7"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29B5359"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18</w:t>
            </w:r>
          </w:p>
        </w:tc>
        <w:tc>
          <w:tcPr>
            <w:tcW w:w="0" w:type="auto"/>
            <w:tcBorders>
              <w:top w:val="nil"/>
              <w:left w:val="nil"/>
              <w:bottom w:val="single" w:sz="4" w:space="0" w:color="auto"/>
              <w:right w:val="single" w:sz="4" w:space="0" w:color="auto"/>
            </w:tcBorders>
            <w:shd w:val="clear" w:color="auto" w:fill="auto"/>
            <w:hideMark/>
          </w:tcPr>
          <w:p w14:paraId="5BD949F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Requirements / conditions in Financing Agreements</w:t>
            </w:r>
          </w:p>
        </w:tc>
        <w:tc>
          <w:tcPr>
            <w:tcW w:w="0" w:type="auto"/>
            <w:tcBorders>
              <w:top w:val="nil"/>
              <w:left w:val="nil"/>
              <w:bottom w:val="single" w:sz="4" w:space="0" w:color="auto"/>
              <w:right w:val="single" w:sz="4" w:space="0" w:color="auto"/>
            </w:tcBorders>
            <w:shd w:val="clear" w:color="auto" w:fill="auto"/>
            <w:hideMark/>
          </w:tcPr>
          <w:p w14:paraId="39F81B6B" w14:textId="19DD9610"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The Program requirements relating to internal audit and fiduciary review were not followed. Any requirements and conditions in financing agreements need to be followed to the letter since these are legal agreements. </w:t>
            </w:r>
          </w:p>
        </w:tc>
        <w:tc>
          <w:tcPr>
            <w:tcW w:w="0" w:type="auto"/>
            <w:tcBorders>
              <w:top w:val="nil"/>
              <w:left w:val="nil"/>
              <w:bottom w:val="single" w:sz="4" w:space="0" w:color="auto"/>
              <w:right w:val="single" w:sz="4" w:space="0" w:color="auto"/>
            </w:tcBorders>
            <w:shd w:val="clear" w:color="auto" w:fill="auto"/>
            <w:noWrap/>
            <w:hideMark/>
          </w:tcPr>
          <w:p w14:paraId="7E40ADA9"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75B5BAAD"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1BC31CAE"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19</w:t>
            </w:r>
          </w:p>
        </w:tc>
        <w:tc>
          <w:tcPr>
            <w:tcW w:w="0" w:type="auto"/>
            <w:tcBorders>
              <w:top w:val="nil"/>
              <w:left w:val="nil"/>
              <w:bottom w:val="single" w:sz="4" w:space="0" w:color="auto"/>
              <w:right w:val="single" w:sz="4" w:space="0" w:color="auto"/>
            </w:tcBorders>
            <w:shd w:val="clear" w:color="auto" w:fill="auto"/>
            <w:hideMark/>
          </w:tcPr>
          <w:p w14:paraId="272FF935"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Register for tracking contractor payments</w:t>
            </w:r>
          </w:p>
        </w:tc>
        <w:tc>
          <w:tcPr>
            <w:tcW w:w="0" w:type="auto"/>
            <w:tcBorders>
              <w:top w:val="nil"/>
              <w:left w:val="nil"/>
              <w:bottom w:val="single" w:sz="4" w:space="0" w:color="auto"/>
              <w:right w:val="single" w:sz="4" w:space="0" w:color="auto"/>
            </w:tcBorders>
            <w:shd w:val="clear" w:color="auto" w:fill="auto"/>
            <w:hideMark/>
          </w:tcPr>
          <w:p w14:paraId="7678305B" w14:textId="5EE5C541"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A Document Controller should </w:t>
            </w:r>
            <w:r w:rsidR="00EF12D7" w:rsidRPr="007A4EB0">
              <w:rPr>
                <w:rFonts w:ascii="Arial" w:eastAsia="Symbol" w:hAnsi="Arial" w:cs="Symbol"/>
                <w:color w:val="000000"/>
                <w:sz w:val="18"/>
                <w:szCs w:val="18"/>
                <w:lang w:eastAsia="en-AU"/>
              </w:rPr>
              <w:t>oversee</w:t>
            </w:r>
            <w:r w:rsidRPr="007A4EB0">
              <w:rPr>
                <w:rFonts w:ascii="Arial" w:eastAsia="Symbol" w:hAnsi="Arial" w:cs="Symbol"/>
                <w:color w:val="000000"/>
                <w:sz w:val="18"/>
                <w:szCs w:val="18"/>
                <w:lang w:eastAsia="en-AU"/>
              </w:rPr>
              <w:t xml:space="preserve"> a contractor payment register to track the receipt of the invoice up to payment and report on any delays expeditiously. </w:t>
            </w:r>
          </w:p>
        </w:tc>
        <w:tc>
          <w:tcPr>
            <w:tcW w:w="0" w:type="auto"/>
            <w:tcBorders>
              <w:top w:val="nil"/>
              <w:left w:val="nil"/>
              <w:bottom w:val="single" w:sz="4" w:space="0" w:color="auto"/>
              <w:right w:val="single" w:sz="4" w:space="0" w:color="auto"/>
            </w:tcBorders>
            <w:shd w:val="clear" w:color="auto" w:fill="auto"/>
            <w:noWrap/>
            <w:hideMark/>
          </w:tcPr>
          <w:p w14:paraId="7BE4058C"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8A6251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57C77190"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20</w:t>
            </w:r>
          </w:p>
        </w:tc>
        <w:tc>
          <w:tcPr>
            <w:tcW w:w="0" w:type="auto"/>
            <w:tcBorders>
              <w:top w:val="nil"/>
              <w:left w:val="nil"/>
              <w:bottom w:val="single" w:sz="4" w:space="0" w:color="auto"/>
              <w:right w:val="single" w:sz="4" w:space="0" w:color="auto"/>
            </w:tcBorders>
            <w:shd w:val="clear" w:color="auto" w:fill="auto"/>
            <w:hideMark/>
          </w:tcPr>
          <w:p w14:paraId="195C7EC0"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Reduce “stops” for approval</w:t>
            </w:r>
          </w:p>
        </w:tc>
        <w:tc>
          <w:tcPr>
            <w:tcW w:w="0" w:type="auto"/>
            <w:tcBorders>
              <w:top w:val="nil"/>
              <w:left w:val="nil"/>
              <w:bottom w:val="single" w:sz="4" w:space="0" w:color="auto"/>
              <w:right w:val="single" w:sz="4" w:space="0" w:color="auto"/>
            </w:tcBorders>
            <w:shd w:val="clear" w:color="auto" w:fill="auto"/>
            <w:hideMark/>
          </w:tcPr>
          <w:p w14:paraId="0C7752A3" w14:textId="7F6FD320"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Preparation of payment documents (including tax) and approval should be separate to streamline the payment process</w:t>
            </w:r>
          </w:p>
        </w:tc>
        <w:tc>
          <w:tcPr>
            <w:tcW w:w="0" w:type="auto"/>
            <w:tcBorders>
              <w:top w:val="nil"/>
              <w:left w:val="nil"/>
              <w:bottom w:val="single" w:sz="4" w:space="0" w:color="auto"/>
              <w:right w:val="single" w:sz="4" w:space="0" w:color="auto"/>
            </w:tcBorders>
            <w:shd w:val="clear" w:color="auto" w:fill="auto"/>
            <w:noWrap/>
            <w:hideMark/>
          </w:tcPr>
          <w:p w14:paraId="58A9E43F"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41A1632"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8E9EC3F"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21</w:t>
            </w:r>
          </w:p>
        </w:tc>
        <w:tc>
          <w:tcPr>
            <w:tcW w:w="0" w:type="auto"/>
            <w:tcBorders>
              <w:top w:val="nil"/>
              <w:left w:val="nil"/>
              <w:bottom w:val="single" w:sz="4" w:space="0" w:color="auto"/>
              <w:right w:val="single" w:sz="4" w:space="0" w:color="auto"/>
            </w:tcBorders>
            <w:shd w:val="clear" w:color="auto" w:fill="auto"/>
            <w:hideMark/>
          </w:tcPr>
          <w:p w14:paraId="7119279E" w14:textId="5043D88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Cost-benefit analysis of projects</w:t>
            </w:r>
          </w:p>
        </w:tc>
        <w:tc>
          <w:tcPr>
            <w:tcW w:w="0" w:type="auto"/>
            <w:tcBorders>
              <w:top w:val="nil"/>
              <w:left w:val="nil"/>
              <w:bottom w:val="single" w:sz="4" w:space="0" w:color="auto"/>
              <w:right w:val="single" w:sz="4" w:space="0" w:color="auto"/>
            </w:tcBorders>
            <w:shd w:val="clear" w:color="auto" w:fill="auto"/>
            <w:hideMark/>
          </w:tcPr>
          <w:p w14:paraId="6D11C677" w14:textId="00038018"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Conduct a full cost benefit analysis for all projects above the NIIP threshold of SBD 14 million. This analysis will provide a robust basis for proceeding with sub-projects.  </w:t>
            </w:r>
          </w:p>
        </w:tc>
        <w:tc>
          <w:tcPr>
            <w:tcW w:w="0" w:type="auto"/>
            <w:tcBorders>
              <w:top w:val="nil"/>
              <w:left w:val="nil"/>
              <w:bottom w:val="single" w:sz="4" w:space="0" w:color="auto"/>
              <w:right w:val="single" w:sz="4" w:space="0" w:color="auto"/>
            </w:tcBorders>
            <w:shd w:val="clear" w:color="auto" w:fill="auto"/>
            <w:noWrap/>
            <w:hideMark/>
          </w:tcPr>
          <w:p w14:paraId="5DF7BCFD"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22E6D9A"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77D23F4C"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22</w:t>
            </w:r>
          </w:p>
        </w:tc>
        <w:tc>
          <w:tcPr>
            <w:tcW w:w="0" w:type="auto"/>
            <w:tcBorders>
              <w:top w:val="nil"/>
              <w:left w:val="nil"/>
              <w:bottom w:val="single" w:sz="4" w:space="0" w:color="auto"/>
              <w:right w:val="single" w:sz="4" w:space="0" w:color="auto"/>
            </w:tcBorders>
            <w:shd w:val="clear" w:color="auto" w:fill="auto"/>
            <w:hideMark/>
          </w:tcPr>
          <w:p w14:paraId="57D33D38" w14:textId="7C189868"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5DE07BDD" w14:textId="4140F071"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Prioriti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 xml:space="preserve">ation for planned deliverables should be assessed against available resources, local capacities, </w:t>
            </w:r>
            <w:r w:rsidR="00EF12D7" w:rsidRPr="007A4EB0">
              <w:rPr>
                <w:rFonts w:ascii="Arial" w:eastAsia="Symbol" w:hAnsi="Arial" w:cs="Symbol"/>
                <w:color w:val="000000"/>
                <w:sz w:val="18"/>
                <w:szCs w:val="18"/>
                <w:lang w:eastAsia="en-AU"/>
              </w:rPr>
              <w:t>technology,</w:t>
            </w:r>
            <w:r w:rsidRPr="007A4EB0">
              <w:rPr>
                <w:rFonts w:ascii="Arial" w:eastAsia="Symbol" w:hAnsi="Arial" w:cs="Symbol"/>
                <w:color w:val="000000"/>
                <w:sz w:val="18"/>
                <w:szCs w:val="18"/>
                <w:lang w:eastAsia="en-AU"/>
              </w:rPr>
              <w:t xml:space="preserve"> and funds.</w:t>
            </w:r>
          </w:p>
        </w:tc>
        <w:tc>
          <w:tcPr>
            <w:tcW w:w="0" w:type="auto"/>
            <w:tcBorders>
              <w:top w:val="nil"/>
              <w:left w:val="nil"/>
              <w:bottom w:val="single" w:sz="4" w:space="0" w:color="auto"/>
              <w:right w:val="single" w:sz="4" w:space="0" w:color="auto"/>
            </w:tcBorders>
            <w:shd w:val="clear" w:color="auto" w:fill="auto"/>
            <w:noWrap/>
            <w:hideMark/>
          </w:tcPr>
          <w:p w14:paraId="07FCA40E"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1707907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A2F6F7B"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23</w:t>
            </w:r>
          </w:p>
        </w:tc>
        <w:tc>
          <w:tcPr>
            <w:tcW w:w="0" w:type="auto"/>
            <w:tcBorders>
              <w:top w:val="nil"/>
              <w:left w:val="nil"/>
              <w:bottom w:val="single" w:sz="4" w:space="0" w:color="auto"/>
              <w:right w:val="single" w:sz="4" w:space="0" w:color="auto"/>
            </w:tcBorders>
            <w:shd w:val="clear" w:color="auto" w:fill="auto"/>
            <w:hideMark/>
          </w:tcPr>
          <w:p w14:paraId="18D4A6EB" w14:textId="678655EB"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311438B3" w14:textId="732B6FF9"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More detailed assessment of the costs, benefits, suitability, and role of LBES is required using the guidelines developed by PRIF.</w:t>
            </w:r>
          </w:p>
        </w:tc>
        <w:tc>
          <w:tcPr>
            <w:tcW w:w="0" w:type="auto"/>
            <w:tcBorders>
              <w:top w:val="nil"/>
              <w:left w:val="nil"/>
              <w:bottom w:val="single" w:sz="4" w:space="0" w:color="auto"/>
              <w:right w:val="single" w:sz="4" w:space="0" w:color="auto"/>
            </w:tcBorders>
            <w:shd w:val="clear" w:color="auto" w:fill="auto"/>
            <w:noWrap/>
            <w:hideMark/>
          </w:tcPr>
          <w:p w14:paraId="6FCFEEC3"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3C254BBB"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183E3F83"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24</w:t>
            </w:r>
          </w:p>
        </w:tc>
        <w:tc>
          <w:tcPr>
            <w:tcW w:w="0" w:type="auto"/>
            <w:tcBorders>
              <w:top w:val="nil"/>
              <w:left w:val="nil"/>
              <w:bottom w:val="single" w:sz="4" w:space="0" w:color="auto"/>
              <w:right w:val="single" w:sz="4" w:space="0" w:color="auto"/>
            </w:tcBorders>
            <w:shd w:val="clear" w:color="auto" w:fill="auto"/>
            <w:hideMark/>
          </w:tcPr>
          <w:p w14:paraId="271737FE" w14:textId="006FDA98"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40CBD5FA" w14:textId="38F7D75C"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Improve planning and coordinat</w:t>
            </w:r>
            <w:r w:rsidR="00EF12D7">
              <w:rPr>
                <w:rFonts w:ascii="Arial" w:eastAsia="Times New Roman" w:hAnsi="Arial" w:cs="Arial"/>
                <w:color w:val="000000"/>
                <w:sz w:val="18"/>
                <w:szCs w:val="18"/>
                <w:lang w:val="en-GB" w:eastAsia="en-AU"/>
              </w:rPr>
              <w:t>ion</w:t>
            </w:r>
            <w:r w:rsidRPr="007A4EB0">
              <w:rPr>
                <w:rFonts w:ascii="Arial" w:eastAsia="Times New Roman" w:hAnsi="Arial" w:cs="Arial"/>
                <w:color w:val="000000"/>
                <w:sz w:val="18"/>
                <w:szCs w:val="18"/>
                <w:lang w:val="en-GB" w:eastAsia="en-AU"/>
              </w:rPr>
              <w:t xml:space="preserve"> of the maintenance program, </w:t>
            </w:r>
            <w:r w:rsidR="005F2276">
              <w:rPr>
                <w:rFonts w:ascii="Arial" w:eastAsia="Times New Roman" w:hAnsi="Arial" w:cs="Arial"/>
                <w:color w:val="000000"/>
                <w:sz w:val="18"/>
                <w:szCs w:val="18"/>
                <w:lang w:val="en-GB" w:eastAsia="en-AU"/>
              </w:rPr>
              <w:t>by</w:t>
            </w:r>
            <w:r w:rsidRPr="007A4EB0">
              <w:rPr>
                <w:rFonts w:ascii="Arial" w:eastAsia="Times New Roman" w:hAnsi="Arial" w:cs="Arial"/>
                <w:color w:val="000000"/>
                <w:sz w:val="18"/>
                <w:szCs w:val="18"/>
                <w:lang w:val="en-GB" w:eastAsia="en-AU"/>
              </w:rPr>
              <w:t xml:space="preserve"> (</w:t>
            </w:r>
            <w:r w:rsidR="005F2276">
              <w:rPr>
                <w:rFonts w:ascii="Arial" w:eastAsia="Times New Roman" w:hAnsi="Arial" w:cs="Arial"/>
                <w:color w:val="000000"/>
                <w:sz w:val="18"/>
                <w:szCs w:val="18"/>
                <w:lang w:val="en-GB" w:eastAsia="en-AU"/>
              </w:rPr>
              <w:t>a</w:t>
            </w:r>
            <w:r w:rsidRPr="007A4EB0">
              <w:rPr>
                <w:rFonts w:ascii="Arial" w:eastAsia="Times New Roman" w:hAnsi="Arial" w:cs="Arial"/>
                <w:color w:val="000000"/>
                <w:sz w:val="18"/>
                <w:szCs w:val="18"/>
                <w:lang w:val="en-GB" w:eastAsia="en-AU"/>
              </w:rPr>
              <w:t>) better match</w:t>
            </w:r>
            <w:r w:rsidR="00EF12D7">
              <w:rPr>
                <w:rFonts w:ascii="Arial" w:eastAsia="Times New Roman" w:hAnsi="Arial" w:cs="Arial"/>
                <w:color w:val="000000"/>
                <w:sz w:val="18"/>
                <w:szCs w:val="18"/>
                <w:lang w:val="en-GB" w:eastAsia="en-AU"/>
              </w:rPr>
              <w:t>ing</w:t>
            </w:r>
            <w:r w:rsidRPr="007A4EB0">
              <w:rPr>
                <w:rFonts w:ascii="Arial" w:eastAsia="Times New Roman" w:hAnsi="Arial" w:cs="Arial"/>
                <w:color w:val="000000"/>
                <w:sz w:val="18"/>
                <w:szCs w:val="18"/>
                <w:lang w:val="en-GB" w:eastAsia="en-AU"/>
              </w:rPr>
              <w:t xml:space="preserve"> the scope of services of the machine-based and LBES contracts to the specific maintenance requirements; (</w:t>
            </w:r>
            <w:r w:rsidR="005F2276">
              <w:rPr>
                <w:rFonts w:ascii="Arial" w:eastAsia="Times New Roman" w:hAnsi="Arial" w:cs="Arial"/>
                <w:color w:val="000000"/>
                <w:sz w:val="18"/>
                <w:szCs w:val="18"/>
                <w:lang w:val="en-GB" w:eastAsia="en-AU"/>
              </w:rPr>
              <w:t>b</w:t>
            </w:r>
            <w:r w:rsidRPr="007A4EB0">
              <w:rPr>
                <w:rFonts w:ascii="Arial" w:eastAsia="Times New Roman" w:hAnsi="Arial" w:cs="Arial"/>
                <w:color w:val="000000"/>
                <w:sz w:val="18"/>
                <w:szCs w:val="18"/>
                <w:lang w:val="en-GB" w:eastAsia="en-AU"/>
              </w:rPr>
              <w:t>) avoid</w:t>
            </w:r>
            <w:r w:rsidR="00EF12D7">
              <w:rPr>
                <w:rFonts w:ascii="Arial" w:eastAsia="Times New Roman" w:hAnsi="Arial" w:cs="Arial"/>
                <w:color w:val="000000"/>
                <w:sz w:val="18"/>
                <w:szCs w:val="18"/>
                <w:lang w:val="en-GB" w:eastAsia="en-AU"/>
              </w:rPr>
              <w:t>ing</w:t>
            </w:r>
            <w:r w:rsidRPr="007A4EB0">
              <w:rPr>
                <w:rFonts w:ascii="Arial" w:eastAsia="Times New Roman" w:hAnsi="Arial" w:cs="Arial"/>
                <w:color w:val="000000"/>
                <w:sz w:val="18"/>
                <w:szCs w:val="18"/>
                <w:lang w:val="en-GB" w:eastAsia="en-AU"/>
              </w:rPr>
              <w:t xml:space="preserve"> the use of LBES contracts without due consideration of the </w:t>
            </w:r>
            <w:r w:rsidR="005F2276">
              <w:rPr>
                <w:rFonts w:ascii="Arial" w:eastAsia="Times New Roman" w:hAnsi="Arial" w:cs="Arial"/>
                <w:color w:val="000000"/>
                <w:sz w:val="18"/>
                <w:szCs w:val="18"/>
                <w:lang w:val="en-GB" w:eastAsia="en-AU"/>
              </w:rPr>
              <w:t xml:space="preserve">condition of that </w:t>
            </w:r>
            <w:r w:rsidR="005F2276" w:rsidRPr="007A4EB0">
              <w:rPr>
                <w:rFonts w:ascii="Arial" w:eastAsia="Times New Roman" w:hAnsi="Arial" w:cs="Arial"/>
                <w:color w:val="000000"/>
                <w:sz w:val="18"/>
                <w:szCs w:val="18"/>
                <w:lang w:val="en-GB" w:eastAsia="en-AU"/>
              </w:rPr>
              <w:t>road</w:t>
            </w:r>
            <w:r w:rsidRPr="007A4EB0">
              <w:rPr>
                <w:rFonts w:ascii="Arial" w:eastAsia="Times New Roman" w:hAnsi="Arial" w:cs="Arial"/>
                <w:color w:val="000000"/>
                <w:sz w:val="18"/>
                <w:szCs w:val="18"/>
                <w:lang w:val="en-GB" w:eastAsia="en-AU"/>
              </w:rPr>
              <w:t xml:space="preserve">; and </w:t>
            </w:r>
            <w:r w:rsidR="00EF12D7">
              <w:rPr>
                <w:rFonts w:ascii="Arial" w:eastAsia="Times New Roman" w:hAnsi="Arial" w:cs="Arial"/>
                <w:color w:val="000000"/>
                <w:sz w:val="18"/>
                <w:szCs w:val="18"/>
                <w:lang w:val="en-GB" w:eastAsia="en-AU"/>
              </w:rPr>
              <w:t>(</w:t>
            </w:r>
            <w:r w:rsidR="005F2276">
              <w:rPr>
                <w:rFonts w:ascii="Arial" w:eastAsia="Times New Roman" w:hAnsi="Arial" w:cs="Arial"/>
                <w:color w:val="000000"/>
                <w:sz w:val="18"/>
                <w:szCs w:val="18"/>
                <w:lang w:val="en-GB" w:eastAsia="en-AU"/>
              </w:rPr>
              <w:t>c</w:t>
            </w:r>
            <w:r w:rsidR="00EF12D7">
              <w:rPr>
                <w:rFonts w:ascii="Arial" w:eastAsia="Times New Roman" w:hAnsi="Arial" w:cs="Arial"/>
                <w:color w:val="000000"/>
                <w:sz w:val="18"/>
                <w:szCs w:val="18"/>
                <w:lang w:val="en-GB" w:eastAsia="en-AU"/>
              </w:rPr>
              <w:t xml:space="preserve">) </w:t>
            </w:r>
            <w:r w:rsidRPr="007A4EB0">
              <w:rPr>
                <w:rFonts w:ascii="Arial" w:eastAsia="Times New Roman" w:hAnsi="Arial" w:cs="Arial"/>
                <w:color w:val="000000"/>
                <w:sz w:val="18"/>
                <w:szCs w:val="18"/>
                <w:lang w:val="en-GB" w:eastAsia="en-AU"/>
              </w:rPr>
              <w:t>provid</w:t>
            </w:r>
            <w:r w:rsidR="00EF12D7">
              <w:rPr>
                <w:rFonts w:ascii="Arial" w:eastAsia="Times New Roman" w:hAnsi="Arial" w:cs="Arial"/>
                <w:color w:val="000000"/>
                <w:sz w:val="18"/>
                <w:szCs w:val="18"/>
                <w:lang w:val="en-GB" w:eastAsia="en-AU"/>
              </w:rPr>
              <w:t>ing</w:t>
            </w:r>
            <w:r w:rsidRPr="007A4EB0">
              <w:rPr>
                <w:rFonts w:ascii="Arial" w:eastAsia="Times New Roman" w:hAnsi="Arial" w:cs="Arial"/>
                <w:color w:val="000000"/>
                <w:sz w:val="18"/>
                <w:szCs w:val="18"/>
                <w:lang w:val="en-GB" w:eastAsia="en-AU"/>
              </w:rPr>
              <w:t xml:space="preserve"> more funding to improve supervision arrangements.</w:t>
            </w:r>
          </w:p>
        </w:tc>
        <w:tc>
          <w:tcPr>
            <w:tcW w:w="0" w:type="auto"/>
            <w:tcBorders>
              <w:top w:val="nil"/>
              <w:left w:val="nil"/>
              <w:bottom w:val="single" w:sz="4" w:space="0" w:color="auto"/>
              <w:right w:val="single" w:sz="4" w:space="0" w:color="auto"/>
            </w:tcBorders>
            <w:shd w:val="clear" w:color="auto" w:fill="auto"/>
            <w:noWrap/>
            <w:hideMark/>
          </w:tcPr>
          <w:p w14:paraId="66DCB55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7DC5E335"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7DD71434"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25</w:t>
            </w:r>
          </w:p>
        </w:tc>
        <w:tc>
          <w:tcPr>
            <w:tcW w:w="0" w:type="auto"/>
            <w:tcBorders>
              <w:top w:val="nil"/>
              <w:left w:val="nil"/>
              <w:bottom w:val="single" w:sz="4" w:space="0" w:color="auto"/>
              <w:right w:val="single" w:sz="4" w:space="0" w:color="auto"/>
            </w:tcBorders>
            <w:shd w:val="clear" w:color="auto" w:fill="auto"/>
            <w:hideMark/>
          </w:tcPr>
          <w:p w14:paraId="3F2F15D6" w14:textId="49DFFD62"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0C6591D4" w14:textId="421F9A44"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Road maintenance backlog is increasing while financing has not been sustained. SIG should provide adequate budget to sustain the national road asset base.</w:t>
            </w:r>
          </w:p>
        </w:tc>
        <w:tc>
          <w:tcPr>
            <w:tcW w:w="0" w:type="auto"/>
            <w:tcBorders>
              <w:top w:val="nil"/>
              <w:left w:val="nil"/>
              <w:bottom w:val="single" w:sz="4" w:space="0" w:color="auto"/>
              <w:right w:val="single" w:sz="4" w:space="0" w:color="auto"/>
            </w:tcBorders>
            <w:shd w:val="clear" w:color="auto" w:fill="auto"/>
            <w:noWrap/>
            <w:hideMark/>
          </w:tcPr>
          <w:p w14:paraId="2F9838C0"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690899A6"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BAA50B5"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26</w:t>
            </w:r>
          </w:p>
        </w:tc>
        <w:tc>
          <w:tcPr>
            <w:tcW w:w="0" w:type="auto"/>
            <w:tcBorders>
              <w:top w:val="nil"/>
              <w:left w:val="nil"/>
              <w:bottom w:val="single" w:sz="4" w:space="0" w:color="auto"/>
              <w:right w:val="single" w:sz="4" w:space="0" w:color="auto"/>
            </w:tcBorders>
            <w:shd w:val="clear" w:color="auto" w:fill="auto"/>
            <w:hideMark/>
          </w:tcPr>
          <w:p w14:paraId="3FE6EB52" w14:textId="2E65905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18DE9224" w14:textId="516DF679"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Arial"/>
                <w:color w:val="000000"/>
                <w:sz w:val="18"/>
                <w:szCs w:val="18"/>
                <w:lang w:eastAsia="en-AU"/>
              </w:rPr>
              <w:t>Whole lengths of roads should be maintained, not only short sections. MID should take a broader network view on planning road maintenance targeting equal operational level of service for road users.</w:t>
            </w:r>
          </w:p>
        </w:tc>
        <w:tc>
          <w:tcPr>
            <w:tcW w:w="0" w:type="auto"/>
            <w:tcBorders>
              <w:top w:val="nil"/>
              <w:left w:val="nil"/>
              <w:bottom w:val="single" w:sz="4" w:space="0" w:color="auto"/>
              <w:right w:val="single" w:sz="4" w:space="0" w:color="auto"/>
            </w:tcBorders>
            <w:shd w:val="clear" w:color="auto" w:fill="auto"/>
            <w:noWrap/>
            <w:hideMark/>
          </w:tcPr>
          <w:p w14:paraId="2D99316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9AD66B2"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9FB6AB9"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27</w:t>
            </w:r>
          </w:p>
        </w:tc>
        <w:tc>
          <w:tcPr>
            <w:tcW w:w="0" w:type="auto"/>
            <w:tcBorders>
              <w:top w:val="nil"/>
              <w:left w:val="nil"/>
              <w:bottom w:val="single" w:sz="4" w:space="0" w:color="auto"/>
              <w:right w:val="single" w:sz="4" w:space="0" w:color="auto"/>
            </w:tcBorders>
            <w:shd w:val="clear" w:color="auto" w:fill="auto"/>
            <w:hideMark/>
          </w:tcPr>
          <w:p w14:paraId="0D39E086" w14:textId="24B2A92C"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006739B1" w14:textId="19FE365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Value for money should be considered in prioriti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ing projects. B</w:t>
            </w:r>
            <w:r w:rsidRPr="007A4EB0">
              <w:rPr>
                <w:rFonts w:ascii="Arial" w:eastAsia="Symbol" w:hAnsi="Arial" w:cs="Arial"/>
                <w:color w:val="000000"/>
                <w:sz w:val="18"/>
                <w:szCs w:val="18"/>
                <w:lang w:eastAsia="en-AU"/>
              </w:rPr>
              <w:t>ridges considered unsafe should be repaired or replaced as top priority on prioriti</w:t>
            </w:r>
            <w:r w:rsidR="0063328A">
              <w:rPr>
                <w:rFonts w:ascii="Arial" w:eastAsia="Symbol" w:hAnsi="Arial" w:cs="Arial"/>
                <w:color w:val="000000"/>
                <w:sz w:val="18"/>
                <w:szCs w:val="18"/>
                <w:lang w:eastAsia="en-AU"/>
              </w:rPr>
              <w:t>s</w:t>
            </w:r>
            <w:r w:rsidRPr="007A4EB0">
              <w:rPr>
                <w:rFonts w:ascii="Arial" w:eastAsia="Symbol" w:hAnsi="Arial" w:cs="Arial"/>
                <w:color w:val="000000"/>
                <w:sz w:val="18"/>
                <w:szCs w:val="18"/>
                <w:lang w:eastAsia="en-AU"/>
              </w:rPr>
              <w:t xml:space="preserve">ed roads to ensure accessibility to communities. </w:t>
            </w:r>
            <w:r w:rsidR="00067295">
              <w:rPr>
                <w:rFonts w:ascii="Arial" w:eastAsia="Symbol" w:hAnsi="Arial" w:cs="Arial"/>
                <w:color w:val="000000"/>
                <w:sz w:val="18"/>
                <w:szCs w:val="18"/>
                <w:lang w:eastAsia="en-AU"/>
              </w:rPr>
              <w:t>R</w:t>
            </w:r>
            <w:r w:rsidRPr="007A4EB0">
              <w:rPr>
                <w:rFonts w:ascii="Arial" w:eastAsia="Symbol" w:hAnsi="Arial" w:cs="Arial"/>
                <w:color w:val="000000"/>
                <w:sz w:val="18"/>
                <w:szCs w:val="18"/>
                <w:lang w:eastAsia="en-AU"/>
              </w:rPr>
              <w:t>eprioriti</w:t>
            </w:r>
            <w:r w:rsidR="0063328A">
              <w:rPr>
                <w:rFonts w:ascii="Arial" w:eastAsia="Symbol" w:hAnsi="Arial" w:cs="Arial"/>
                <w:color w:val="000000"/>
                <w:sz w:val="18"/>
                <w:szCs w:val="18"/>
                <w:lang w:eastAsia="en-AU"/>
              </w:rPr>
              <w:t>s</w:t>
            </w:r>
            <w:r w:rsidRPr="007A4EB0">
              <w:rPr>
                <w:rFonts w:ascii="Arial" w:eastAsia="Symbol" w:hAnsi="Arial" w:cs="Arial"/>
                <w:color w:val="000000"/>
                <w:sz w:val="18"/>
                <w:szCs w:val="18"/>
                <w:lang w:eastAsia="en-AU"/>
              </w:rPr>
              <w:t>ation of earlier prioriti</w:t>
            </w:r>
            <w:r w:rsidR="0063328A">
              <w:rPr>
                <w:rFonts w:ascii="Arial" w:eastAsia="Symbol" w:hAnsi="Arial" w:cs="Arial"/>
                <w:color w:val="000000"/>
                <w:sz w:val="18"/>
                <w:szCs w:val="18"/>
                <w:lang w:eastAsia="en-AU"/>
              </w:rPr>
              <w:t>s</w:t>
            </w:r>
            <w:r w:rsidRPr="007A4EB0">
              <w:rPr>
                <w:rFonts w:ascii="Arial" w:eastAsia="Symbol" w:hAnsi="Arial" w:cs="Arial"/>
                <w:color w:val="000000"/>
                <w:sz w:val="18"/>
                <w:szCs w:val="18"/>
                <w:lang w:eastAsia="en-AU"/>
              </w:rPr>
              <w:t>ed roads in the event of delays should take place based on updated data considering that roads will further deteriorate between scoping and contract completion.</w:t>
            </w:r>
          </w:p>
        </w:tc>
        <w:tc>
          <w:tcPr>
            <w:tcW w:w="0" w:type="auto"/>
            <w:tcBorders>
              <w:top w:val="nil"/>
              <w:left w:val="nil"/>
              <w:bottom w:val="single" w:sz="4" w:space="0" w:color="auto"/>
              <w:right w:val="single" w:sz="4" w:space="0" w:color="auto"/>
            </w:tcBorders>
            <w:shd w:val="clear" w:color="auto" w:fill="auto"/>
            <w:noWrap/>
            <w:hideMark/>
          </w:tcPr>
          <w:p w14:paraId="131CF9F2"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478198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C49A232"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28</w:t>
            </w:r>
          </w:p>
        </w:tc>
        <w:tc>
          <w:tcPr>
            <w:tcW w:w="0" w:type="auto"/>
            <w:tcBorders>
              <w:top w:val="nil"/>
              <w:left w:val="nil"/>
              <w:bottom w:val="single" w:sz="4" w:space="0" w:color="auto"/>
              <w:right w:val="single" w:sz="4" w:space="0" w:color="auto"/>
            </w:tcBorders>
            <w:shd w:val="clear" w:color="auto" w:fill="auto"/>
            <w:hideMark/>
          </w:tcPr>
          <w:p w14:paraId="5FE03AEB" w14:textId="081E9BBD"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384132CC" w14:textId="7BB47ED9"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A more strategic approach to asset management should be taken. The MID’s technical and financial staff should work together to optimi</w:t>
            </w:r>
            <w:r w:rsidR="0063328A">
              <w:rPr>
                <w:rFonts w:ascii="Arial" w:eastAsia="Times New Roman" w:hAnsi="Arial" w:cs="Arial"/>
                <w:color w:val="000000"/>
                <w:sz w:val="18"/>
                <w:szCs w:val="18"/>
                <w:lang w:val="en-GB" w:eastAsia="en-AU"/>
              </w:rPr>
              <w:t>s</w:t>
            </w:r>
            <w:r w:rsidRPr="007A4EB0">
              <w:rPr>
                <w:rFonts w:ascii="Arial" w:eastAsia="Times New Roman" w:hAnsi="Arial" w:cs="Arial"/>
                <w:color w:val="000000"/>
                <w:sz w:val="18"/>
                <w:szCs w:val="18"/>
                <w:lang w:val="en-GB" w:eastAsia="en-AU"/>
              </w:rPr>
              <w:t xml:space="preserve">e the maintenance and rehabilitation program. Training should be provided, and decisions made on what data needs to be collected and for what purpose. Asset data and SITAMS </w:t>
            </w:r>
            <w:r w:rsidRPr="007A4EB0">
              <w:rPr>
                <w:rFonts w:ascii="Arial" w:eastAsia="Times New Roman" w:hAnsi="Arial" w:cs="Arial"/>
                <w:color w:val="000000"/>
                <w:sz w:val="18"/>
                <w:szCs w:val="18"/>
                <w:lang w:val="en-GB" w:eastAsia="en-AU"/>
              </w:rPr>
              <w:lastRenderedPageBreak/>
              <w:t>should in first hand support prioriti</w:t>
            </w:r>
            <w:r w:rsidR="0063328A">
              <w:rPr>
                <w:rFonts w:ascii="Arial" w:eastAsia="Times New Roman" w:hAnsi="Arial" w:cs="Arial"/>
                <w:color w:val="000000"/>
                <w:sz w:val="18"/>
                <w:szCs w:val="18"/>
                <w:lang w:val="en-GB" w:eastAsia="en-AU"/>
              </w:rPr>
              <w:t>s</w:t>
            </w:r>
            <w:r w:rsidRPr="007A4EB0">
              <w:rPr>
                <w:rFonts w:ascii="Arial" w:eastAsia="Times New Roman" w:hAnsi="Arial" w:cs="Arial"/>
                <w:color w:val="000000"/>
                <w:sz w:val="18"/>
                <w:szCs w:val="18"/>
                <w:lang w:val="en-GB" w:eastAsia="en-AU"/>
              </w:rPr>
              <w:t>ation, decision making and budgeting, not just function as an asset register.</w:t>
            </w:r>
          </w:p>
        </w:tc>
        <w:tc>
          <w:tcPr>
            <w:tcW w:w="0" w:type="auto"/>
            <w:tcBorders>
              <w:top w:val="nil"/>
              <w:left w:val="nil"/>
              <w:bottom w:val="single" w:sz="4" w:space="0" w:color="auto"/>
              <w:right w:val="single" w:sz="4" w:space="0" w:color="auto"/>
            </w:tcBorders>
            <w:shd w:val="clear" w:color="auto" w:fill="auto"/>
            <w:noWrap/>
            <w:hideMark/>
          </w:tcPr>
          <w:p w14:paraId="3846856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lastRenderedPageBreak/>
              <w:t>SIG</w:t>
            </w:r>
          </w:p>
        </w:tc>
      </w:tr>
      <w:tr w:rsidR="000C49F9" w:rsidRPr="007A4EB0" w14:paraId="4EE23AD7"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E7845D5"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29</w:t>
            </w:r>
          </w:p>
        </w:tc>
        <w:tc>
          <w:tcPr>
            <w:tcW w:w="0" w:type="auto"/>
            <w:tcBorders>
              <w:top w:val="nil"/>
              <w:left w:val="nil"/>
              <w:bottom w:val="single" w:sz="4" w:space="0" w:color="auto"/>
              <w:right w:val="single" w:sz="4" w:space="0" w:color="auto"/>
            </w:tcBorders>
            <w:shd w:val="clear" w:color="auto" w:fill="auto"/>
            <w:hideMark/>
          </w:tcPr>
          <w:p w14:paraId="371BC489" w14:textId="1E15A0FC"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3F4F9289" w14:textId="72411AAA"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Arial"/>
                <w:color w:val="000000"/>
                <w:sz w:val="18"/>
                <w:szCs w:val="18"/>
                <w:lang w:eastAsia="en-AU"/>
              </w:rPr>
              <w:t>Decision-making on prioriti</w:t>
            </w:r>
            <w:r w:rsidR="0063328A">
              <w:rPr>
                <w:rFonts w:ascii="Arial" w:eastAsia="Symbol" w:hAnsi="Arial" w:cs="Arial"/>
                <w:color w:val="000000"/>
                <w:sz w:val="18"/>
                <w:szCs w:val="18"/>
                <w:lang w:eastAsia="en-AU"/>
              </w:rPr>
              <w:t>s</w:t>
            </w:r>
            <w:r w:rsidRPr="007A4EB0">
              <w:rPr>
                <w:rFonts w:ascii="Arial" w:eastAsia="Symbol" w:hAnsi="Arial" w:cs="Arial"/>
                <w:color w:val="000000"/>
                <w:sz w:val="18"/>
                <w:szCs w:val="18"/>
                <w:lang w:eastAsia="en-AU"/>
              </w:rPr>
              <w:t>ation should be carried through in line with NIIP and NTP recommendations, considering all aspects based on accurate and relevant data, and actions and technology fitted to best suit the needs. This requires coordination with different central government and provincial authorities, understanding the capacity and budgetary constraints, assessing the long-term costs and benefits aspects while being realistic on what is achievable.</w:t>
            </w:r>
          </w:p>
        </w:tc>
        <w:tc>
          <w:tcPr>
            <w:tcW w:w="0" w:type="auto"/>
            <w:tcBorders>
              <w:top w:val="nil"/>
              <w:left w:val="nil"/>
              <w:bottom w:val="single" w:sz="4" w:space="0" w:color="auto"/>
              <w:right w:val="single" w:sz="4" w:space="0" w:color="auto"/>
            </w:tcBorders>
            <w:shd w:val="clear" w:color="auto" w:fill="auto"/>
            <w:noWrap/>
            <w:hideMark/>
          </w:tcPr>
          <w:p w14:paraId="6AB578A5"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F1FE55B"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57F82F55"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30</w:t>
            </w:r>
          </w:p>
        </w:tc>
        <w:tc>
          <w:tcPr>
            <w:tcW w:w="0" w:type="auto"/>
            <w:tcBorders>
              <w:top w:val="nil"/>
              <w:left w:val="nil"/>
              <w:bottom w:val="single" w:sz="4" w:space="0" w:color="auto"/>
              <w:right w:val="single" w:sz="4" w:space="0" w:color="auto"/>
            </w:tcBorders>
            <w:shd w:val="clear" w:color="auto" w:fill="auto"/>
            <w:hideMark/>
          </w:tcPr>
          <w:p w14:paraId="673CB8ED" w14:textId="58DE74A2"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Prioriti</w:t>
            </w:r>
            <w:r w:rsidR="0063328A">
              <w:rPr>
                <w:rFonts w:ascii="Arial" w:eastAsia="Times New Roman" w:hAnsi="Arial" w:cs="Arial"/>
                <w:color w:val="000000"/>
                <w:sz w:val="18"/>
                <w:szCs w:val="18"/>
                <w:lang w:eastAsia="en-AU"/>
              </w:rPr>
              <w:t>s</w:t>
            </w:r>
            <w:r w:rsidRPr="007A4EB0">
              <w:rPr>
                <w:rFonts w:ascii="Arial" w:eastAsia="Times New Roman" w:hAnsi="Arial" w:cs="Arial"/>
                <w:color w:val="000000"/>
                <w:sz w:val="18"/>
                <w:szCs w:val="18"/>
                <w:lang w:eastAsia="en-AU"/>
              </w:rPr>
              <w:t>ation</w:t>
            </w:r>
          </w:p>
        </w:tc>
        <w:tc>
          <w:tcPr>
            <w:tcW w:w="0" w:type="auto"/>
            <w:tcBorders>
              <w:top w:val="nil"/>
              <w:left w:val="nil"/>
              <w:bottom w:val="single" w:sz="4" w:space="0" w:color="auto"/>
              <w:right w:val="single" w:sz="4" w:space="0" w:color="auto"/>
            </w:tcBorders>
            <w:shd w:val="clear" w:color="auto" w:fill="auto"/>
            <w:hideMark/>
          </w:tcPr>
          <w:p w14:paraId="1F8F4F44" w14:textId="0B600D11"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Climate change adaptation measures need to be incorporated. Climate change risk analysis should be part of the prioriti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ation assessment</w:t>
            </w:r>
          </w:p>
        </w:tc>
        <w:tc>
          <w:tcPr>
            <w:tcW w:w="0" w:type="auto"/>
            <w:tcBorders>
              <w:top w:val="nil"/>
              <w:left w:val="nil"/>
              <w:bottom w:val="single" w:sz="4" w:space="0" w:color="auto"/>
              <w:right w:val="single" w:sz="4" w:space="0" w:color="auto"/>
            </w:tcBorders>
            <w:shd w:val="clear" w:color="auto" w:fill="auto"/>
            <w:noWrap/>
            <w:hideMark/>
          </w:tcPr>
          <w:p w14:paraId="57E09E25"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2506FA2E"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5AEADD2"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31</w:t>
            </w:r>
          </w:p>
        </w:tc>
        <w:tc>
          <w:tcPr>
            <w:tcW w:w="0" w:type="auto"/>
            <w:tcBorders>
              <w:top w:val="nil"/>
              <w:left w:val="nil"/>
              <w:bottom w:val="single" w:sz="4" w:space="0" w:color="auto"/>
              <w:right w:val="single" w:sz="4" w:space="0" w:color="auto"/>
            </w:tcBorders>
            <w:shd w:val="clear" w:color="auto" w:fill="auto"/>
            <w:hideMark/>
          </w:tcPr>
          <w:p w14:paraId="794F425A"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Design and Procurement</w:t>
            </w:r>
          </w:p>
        </w:tc>
        <w:tc>
          <w:tcPr>
            <w:tcW w:w="0" w:type="auto"/>
            <w:tcBorders>
              <w:top w:val="nil"/>
              <w:left w:val="nil"/>
              <w:bottom w:val="single" w:sz="4" w:space="0" w:color="auto"/>
              <w:right w:val="single" w:sz="4" w:space="0" w:color="auto"/>
            </w:tcBorders>
            <w:shd w:val="clear" w:color="auto" w:fill="auto"/>
            <w:hideMark/>
          </w:tcPr>
          <w:p w14:paraId="70B17A91" w14:textId="68575E29"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Arial"/>
                <w:color w:val="000000"/>
                <w:sz w:val="18"/>
                <w:szCs w:val="18"/>
                <w:lang w:eastAsia="en-AU"/>
              </w:rPr>
              <w:t>Sufficient funds for preparatory actions are essential to improve procurement readiness. MID should consider investing in the development of in-house design capacity. For results-based lending interventions</w:t>
            </w:r>
            <w:r w:rsidR="00067295">
              <w:rPr>
                <w:rFonts w:ascii="Arial" w:eastAsia="Symbol" w:hAnsi="Arial" w:cs="Arial"/>
                <w:color w:val="000000"/>
                <w:sz w:val="18"/>
                <w:szCs w:val="18"/>
                <w:lang w:eastAsia="en-AU"/>
              </w:rPr>
              <w:t>,</w:t>
            </w:r>
            <w:r w:rsidRPr="007A4EB0">
              <w:rPr>
                <w:rFonts w:ascii="Arial" w:eastAsia="Symbol" w:hAnsi="Arial" w:cs="Arial"/>
                <w:color w:val="000000"/>
                <w:sz w:val="18"/>
                <w:szCs w:val="18"/>
                <w:lang w:eastAsia="en-AU"/>
              </w:rPr>
              <w:t xml:space="preserve"> development partner supported projects should consider either including civil engineering design resources in the technical assistance team or preparing designs and procurement documentation before program approval.</w:t>
            </w:r>
          </w:p>
        </w:tc>
        <w:tc>
          <w:tcPr>
            <w:tcW w:w="0" w:type="auto"/>
            <w:tcBorders>
              <w:top w:val="nil"/>
              <w:left w:val="nil"/>
              <w:bottom w:val="single" w:sz="4" w:space="0" w:color="auto"/>
              <w:right w:val="single" w:sz="4" w:space="0" w:color="auto"/>
            </w:tcBorders>
            <w:shd w:val="clear" w:color="auto" w:fill="auto"/>
            <w:noWrap/>
            <w:hideMark/>
          </w:tcPr>
          <w:p w14:paraId="63B800E3"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4B96446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17B877E7"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32</w:t>
            </w:r>
          </w:p>
        </w:tc>
        <w:tc>
          <w:tcPr>
            <w:tcW w:w="0" w:type="auto"/>
            <w:tcBorders>
              <w:top w:val="nil"/>
              <w:left w:val="nil"/>
              <w:bottom w:val="single" w:sz="4" w:space="0" w:color="auto"/>
              <w:right w:val="single" w:sz="4" w:space="0" w:color="auto"/>
            </w:tcBorders>
            <w:shd w:val="clear" w:color="auto" w:fill="auto"/>
            <w:hideMark/>
          </w:tcPr>
          <w:p w14:paraId="1ADC8D72"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Design and Procurement</w:t>
            </w:r>
          </w:p>
        </w:tc>
        <w:tc>
          <w:tcPr>
            <w:tcW w:w="0" w:type="auto"/>
            <w:tcBorders>
              <w:top w:val="nil"/>
              <w:left w:val="nil"/>
              <w:bottom w:val="single" w:sz="4" w:space="0" w:color="auto"/>
              <w:right w:val="single" w:sz="4" w:space="0" w:color="auto"/>
            </w:tcBorders>
            <w:shd w:val="clear" w:color="auto" w:fill="auto"/>
            <w:hideMark/>
          </w:tcPr>
          <w:p w14:paraId="1A2B0E8E" w14:textId="41DBB19D"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Develop contract sizes and requirements to fit the local construction industry and their capacity.</w:t>
            </w:r>
          </w:p>
        </w:tc>
        <w:tc>
          <w:tcPr>
            <w:tcW w:w="0" w:type="auto"/>
            <w:tcBorders>
              <w:top w:val="nil"/>
              <w:left w:val="nil"/>
              <w:bottom w:val="single" w:sz="4" w:space="0" w:color="auto"/>
              <w:right w:val="single" w:sz="4" w:space="0" w:color="auto"/>
            </w:tcBorders>
            <w:shd w:val="clear" w:color="auto" w:fill="auto"/>
            <w:noWrap/>
            <w:hideMark/>
          </w:tcPr>
          <w:p w14:paraId="00DA23A6"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4101C823"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5ECB5752"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33</w:t>
            </w:r>
          </w:p>
        </w:tc>
        <w:tc>
          <w:tcPr>
            <w:tcW w:w="0" w:type="auto"/>
            <w:tcBorders>
              <w:top w:val="nil"/>
              <w:left w:val="nil"/>
              <w:bottom w:val="single" w:sz="4" w:space="0" w:color="auto"/>
              <w:right w:val="single" w:sz="4" w:space="0" w:color="auto"/>
            </w:tcBorders>
            <w:shd w:val="clear" w:color="auto" w:fill="auto"/>
            <w:hideMark/>
          </w:tcPr>
          <w:p w14:paraId="39E1CEAA"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Design and Procurement</w:t>
            </w:r>
          </w:p>
        </w:tc>
        <w:tc>
          <w:tcPr>
            <w:tcW w:w="0" w:type="auto"/>
            <w:tcBorders>
              <w:top w:val="nil"/>
              <w:left w:val="nil"/>
              <w:bottom w:val="single" w:sz="4" w:space="0" w:color="auto"/>
              <w:right w:val="single" w:sz="4" w:space="0" w:color="auto"/>
            </w:tcBorders>
            <w:shd w:val="clear" w:color="auto" w:fill="auto"/>
            <w:hideMark/>
          </w:tcPr>
          <w:p w14:paraId="26C21C7C" w14:textId="7A6F4D5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Assess the contractor industry and provide training tailored for the contractors, site inspectors, </w:t>
            </w:r>
            <w:r w:rsidR="00067295" w:rsidRPr="007A4EB0">
              <w:rPr>
                <w:rFonts w:ascii="Arial" w:eastAsia="Symbol" w:hAnsi="Arial" w:cs="Symbol"/>
                <w:color w:val="000000"/>
                <w:sz w:val="18"/>
                <w:szCs w:val="18"/>
                <w:lang w:eastAsia="en-AU"/>
              </w:rPr>
              <w:t>consultants,</w:t>
            </w:r>
            <w:r w:rsidRPr="007A4EB0">
              <w:rPr>
                <w:rFonts w:ascii="Arial" w:eastAsia="Symbol" w:hAnsi="Arial" w:cs="Symbol"/>
                <w:color w:val="000000"/>
                <w:sz w:val="18"/>
                <w:szCs w:val="18"/>
                <w:lang w:eastAsia="en-AU"/>
              </w:rPr>
              <w:t xml:space="preserve"> and government authorities to increase understanding of bidding documents best practices, expected performance, performance monitoring, technical specifications, measurements, </w:t>
            </w:r>
            <w:r w:rsidR="00067295" w:rsidRPr="007A4EB0">
              <w:rPr>
                <w:rFonts w:ascii="Arial" w:eastAsia="Symbol" w:hAnsi="Arial" w:cs="Symbol"/>
                <w:color w:val="000000"/>
                <w:sz w:val="18"/>
                <w:szCs w:val="18"/>
                <w:lang w:eastAsia="en-AU"/>
              </w:rPr>
              <w:t>invoicing,</w:t>
            </w:r>
            <w:r w:rsidRPr="007A4EB0">
              <w:rPr>
                <w:rFonts w:ascii="Arial" w:eastAsia="Symbol" w:hAnsi="Arial" w:cs="Symbol"/>
                <w:color w:val="000000"/>
                <w:sz w:val="18"/>
                <w:szCs w:val="18"/>
                <w:lang w:eastAsia="en-AU"/>
              </w:rPr>
              <w:t xml:space="preserve"> and payments. </w:t>
            </w:r>
          </w:p>
        </w:tc>
        <w:tc>
          <w:tcPr>
            <w:tcW w:w="0" w:type="auto"/>
            <w:tcBorders>
              <w:top w:val="nil"/>
              <w:left w:val="nil"/>
              <w:bottom w:val="single" w:sz="4" w:space="0" w:color="auto"/>
              <w:right w:val="single" w:sz="4" w:space="0" w:color="auto"/>
            </w:tcBorders>
            <w:shd w:val="clear" w:color="auto" w:fill="auto"/>
            <w:noWrap/>
            <w:hideMark/>
          </w:tcPr>
          <w:p w14:paraId="7FCB9AE2"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5A4B1AEE"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7C67C040"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34</w:t>
            </w:r>
          </w:p>
        </w:tc>
        <w:tc>
          <w:tcPr>
            <w:tcW w:w="0" w:type="auto"/>
            <w:tcBorders>
              <w:top w:val="nil"/>
              <w:left w:val="nil"/>
              <w:bottom w:val="single" w:sz="4" w:space="0" w:color="auto"/>
              <w:right w:val="single" w:sz="4" w:space="0" w:color="auto"/>
            </w:tcBorders>
            <w:shd w:val="clear" w:color="auto" w:fill="auto"/>
            <w:hideMark/>
          </w:tcPr>
          <w:p w14:paraId="334759C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Design and Procurement</w:t>
            </w:r>
          </w:p>
        </w:tc>
        <w:tc>
          <w:tcPr>
            <w:tcW w:w="0" w:type="auto"/>
            <w:tcBorders>
              <w:top w:val="nil"/>
              <w:left w:val="nil"/>
              <w:bottom w:val="single" w:sz="4" w:space="0" w:color="auto"/>
              <w:right w:val="single" w:sz="4" w:space="0" w:color="auto"/>
            </w:tcBorders>
            <w:shd w:val="clear" w:color="auto" w:fill="auto"/>
            <w:hideMark/>
          </w:tcPr>
          <w:p w14:paraId="534BEAF4" w14:textId="5368C0B4"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Provide training on MDB procurement guidelines and on FIDIC Contract Management skills.</w:t>
            </w:r>
          </w:p>
        </w:tc>
        <w:tc>
          <w:tcPr>
            <w:tcW w:w="0" w:type="auto"/>
            <w:tcBorders>
              <w:top w:val="nil"/>
              <w:left w:val="nil"/>
              <w:bottom w:val="single" w:sz="4" w:space="0" w:color="auto"/>
              <w:right w:val="single" w:sz="4" w:space="0" w:color="auto"/>
            </w:tcBorders>
            <w:shd w:val="clear" w:color="auto" w:fill="auto"/>
            <w:noWrap/>
            <w:hideMark/>
          </w:tcPr>
          <w:p w14:paraId="22816D4E"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5C6B91C5"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E551540"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35</w:t>
            </w:r>
          </w:p>
        </w:tc>
        <w:tc>
          <w:tcPr>
            <w:tcW w:w="0" w:type="auto"/>
            <w:tcBorders>
              <w:top w:val="nil"/>
              <w:left w:val="nil"/>
              <w:bottom w:val="single" w:sz="4" w:space="0" w:color="auto"/>
              <w:right w:val="single" w:sz="4" w:space="0" w:color="auto"/>
            </w:tcBorders>
            <w:shd w:val="clear" w:color="auto" w:fill="auto"/>
            <w:hideMark/>
          </w:tcPr>
          <w:p w14:paraId="711CE43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Design and Procurement</w:t>
            </w:r>
          </w:p>
        </w:tc>
        <w:tc>
          <w:tcPr>
            <w:tcW w:w="0" w:type="auto"/>
            <w:tcBorders>
              <w:top w:val="nil"/>
              <w:left w:val="nil"/>
              <w:bottom w:val="single" w:sz="4" w:space="0" w:color="auto"/>
              <w:right w:val="single" w:sz="4" w:space="0" w:color="auto"/>
            </w:tcBorders>
            <w:shd w:val="clear" w:color="auto" w:fill="auto"/>
            <w:hideMark/>
          </w:tcPr>
          <w:p w14:paraId="7C6C9D2C" w14:textId="74B58DAF"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Provide training on development of training/maintenance contractor qualification certifications.</w:t>
            </w:r>
          </w:p>
        </w:tc>
        <w:tc>
          <w:tcPr>
            <w:tcW w:w="0" w:type="auto"/>
            <w:tcBorders>
              <w:top w:val="nil"/>
              <w:left w:val="nil"/>
              <w:bottom w:val="single" w:sz="4" w:space="0" w:color="auto"/>
              <w:right w:val="single" w:sz="4" w:space="0" w:color="auto"/>
            </w:tcBorders>
            <w:shd w:val="clear" w:color="auto" w:fill="auto"/>
            <w:noWrap/>
            <w:hideMark/>
          </w:tcPr>
          <w:p w14:paraId="6DD696FE"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32B3AB13"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5C42A61"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36</w:t>
            </w:r>
          </w:p>
        </w:tc>
        <w:tc>
          <w:tcPr>
            <w:tcW w:w="0" w:type="auto"/>
            <w:tcBorders>
              <w:top w:val="nil"/>
              <w:left w:val="nil"/>
              <w:bottom w:val="single" w:sz="4" w:space="0" w:color="auto"/>
              <w:right w:val="single" w:sz="4" w:space="0" w:color="auto"/>
            </w:tcBorders>
            <w:shd w:val="clear" w:color="auto" w:fill="auto"/>
            <w:hideMark/>
          </w:tcPr>
          <w:p w14:paraId="719A8FB8"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Design and Procurement</w:t>
            </w:r>
          </w:p>
        </w:tc>
        <w:tc>
          <w:tcPr>
            <w:tcW w:w="0" w:type="auto"/>
            <w:tcBorders>
              <w:top w:val="nil"/>
              <w:left w:val="nil"/>
              <w:bottom w:val="single" w:sz="4" w:space="0" w:color="auto"/>
              <w:right w:val="single" w:sz="4" w:space="0" w:color="auto"/>
            </w:tcBorders>
            <w:shd w:val="clear" w:color="auto" w:fill="auto"/>
            <w:hideMark/>
          </w:tcPr>
          <w:p w14:paraId="518886CB" w14:textId="3F904305"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 xml:space="preserve">Introduce this training as a prequalification condition </w:t>
            </w:r>
            <w:r w:rsidR="00067295">
              <w:rPr>
                <w:rFonts w:ascii="Arial" w:eastAsia="Times New Roman" w:hAnsi="Arial" w:cs="Arial"/>
                <w:color w:val="000000"/>
                <w:sz w:val="18"/>
                <w:szCs w:val="18"/>
                <w:lang w:val="en-GB" w:eastAsia="en-AU"/>
              </w:rPr>
              <w:t xml:space="preserve">for </w:t>
            </w:r>
            <w:r w:rsidRPr="007A4EB0">
              <w:rPr>
                <w:rFonts w:ascii="Arial" w:eastAsia="Times New Roman" w:hAnsi="Arial" w:cs="Arial"/>
                <w:color w:val="000000"/>
                <w:sz w:val="18"/>
                <w:szCs w:val="18"/>
                <w:lang w:val="en-GB" w:eastAsia="en-AU"/>
              </w:rPr>
              <w:t xml:space="preserve">road maintenance contracts. </w:t>
            </w:r>
          </w:p>
        </w:tc>
        <w:tc>
          <w:tcPr>
            <w:tcW w:w="0" w:type="auto"/>
            <w:tcBorders>
              <w:top w:val="nil"/>
              <w:left w:val="nil"/>
              <w:bottom w:val="single" w:sz="4" w:space="0" w:color="auto"/>
              <w:right w:val="single" w:sz="4" w:space="0" w:color="auto"/>
            </w:tcBorders>
            <w:shd w:val="clear" w:color="auto" w:fill="auto"/>
            <w:noWrap/>
            <w:hideMark/>
          </w:tcPr>
          <w:p w14:paraId="7DA80ACF"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73261C8"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31B6C5C1"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37</w:t>
            </w:r>
          </w:p>
        </w:tc>
        <w:tc>
          <w:tcPr>
            <w:tcW w:w="0" w:type="auto"/>
            <w:tcBorders>
              <w:top w:val="nil"/>
              <w:left w:val="nil"/>
              <w:bottom w:val="single" w:sz="4" w:space="0" w:color="auto"/>
              <w:right w:val="single" w:sz="4" w:space="0" w:color="auto"/>
            </w:tcBorders>
            <w:shd w:val="clear" w:color="auto" w:fill="auto"/>
            <w:hideMark/>
          </w:tcPr>
          <w:p w14:paraId="4BCD4C63"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Design and Procurement</w:t>
            </w:r>
          </w:p>
        </w:tc>
        <w:tc>
          <w:tcPr>
            <w:tcW w:w="0" w:type="auto"/>
            <w:tcBorders>
              <w:top w:val="nil"/>
              <w:left w:val="nil"/>
              <w:bottom w:val="single" w:sz="4" w:space="0" w:color="auto"/>
              <w:right w:val="single" w:sz="4" w:space="0" w:color="auto"/>
            </w:tcBorders>
            <w:shd w:val="clear" w:color="auto" w:fill="auto"/>
            <w:hideMark/>
          </w:tcPr>
          <w:p w14:paraId="1DF8528D" w14:textId="25C2194A"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Develop an approved shortlist of established proven contractors with known financial, human and plant resources with the end goal to develop a sustainable profitable domestic road maintenance contracting market.</w:t>
            </w:r>
          </w:p>
        </w:tc>
        <w:tc>
          <w:tcPr>
            <w:tcW w:w="0" w:type="auto"/>
            <w:tcBorders>
              <w:top w:val="nil"/>
              <w:left w:val="nil"/>
              <w:bottom w:val="single" w:sz="4" w:space="0" w:color="auto"/>
              <w:right w:val="single" w:sz="4" w:space="0" w:color="auto"/>
            </w:tcBorders>
            <w:shd w:val="clear" w:color="auto" w:fill="auto"/>
            <w:noWrap/>
            <w:hideMark/>
          </w:tcPr>
          <w:p w14:paraId="5A83A3DE"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3735C262"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32DDD8E0"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38</w:t>
            </w:r>
          </w:p>
        </w:tc>
        <w:tc>
          <w:tcPr>
            <w:tcW w:w="0" w:type="auto"/>
            <w:tcBorders>
              <w:top w:val="nil"/>
              <w:left w:val="nil"/>
              <w:bottom w:val="single" w:sz="4" w:space="0" w:color="auto"/>
              <w:right w:val="single" w:sz="4" w:space="0" w:color="auto"/>
            </w:tcBorders>
            <w:shd w:val="clear" w:color="auto" w:fill="auto"/>
            <w:hideMark/>
          </w:tcPr>
          <w:p w14:paraId="03D5CB1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Design and Procurement</w:t>
            </w:r>
          </w:p>
        </w:tc>
        <w:tc>
          <w:tcPr>
            <w:tcW w:w="0" w:type="auto"/>
            <w:tcBorders>
              <w:top w:val="nil"/>
              <w:left w:val="nil"/>
              <w:bottom w:val="single" w:sz="4" w:space="0" w:color="auto"/>
              <w:right w:val="single" w:sz="4" w:space="0" w:color="auto"/>
            </w:tcBorders>
            <w:shd w:val="clear" w:color="auto" w:fill="auto"/>
            <w:hideMark/>
          </w:tcPr>
          <w:p w14:paraId="3BDCF04C" w14:textId="00C43AE2"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Engage with provincial authorities, </w:t>
            </w:r>
            <w:r w:rsidR="00067295" w:rsidRPr="007A4EB0">
              <w:rPr>
                <w:rFonts w:ascii="Arial" w:eastAsia="Symbol" w:hAnsi="Arial" w:cs="Symbol"/>
                <w:color w:val="000000"/>
                <w:sz w:val="18"/>
                <w:szCs w:val="18"/>
                <w:lang w:eastAsia="en-AU"/>
              </w:rPr>
              <w:t>communities,</w:t>
            </w:r>
            <w:r w:rsidRPr="007A4EB0">
              <w:rPr>
                <w:rFonts w:ascii="Arial" w:eastAsia="Symbol" w:hAnsi="Arial" w:cs="Symbol"/>
                <w:color w:val="000000"/>
                <w:sz w:val="18"/>
                <w:szCs w:val="18"/>
                <w:lang w:eastAsia="en-AU"/>
              </w:rPr>
              <w:t xml:space="preserve"> and other stakeholders to understand their needs, and their willingness to participate on LBES contracts.</w:t>
            </w:r>
          </w:p>
        </w:tc>
        <w:tc>
          <w:tcPr>
            <w:tcW w:w="0" w:type="auto"/>
            <w:tcBorders>
              <w:top w:val="nil"/>
              <w:left w:val="nil"/>
              <w:bottom w:val="single" w:sz="4" w:space="0" w:color="auto"/>
              <w:right w:val="single" w:sz="4" w:space="0" w:color="auto"/>
            </w:tcBorders>
            <w:shd w:val="clear" w:color="auto" w:fill="auto"/>
            <w:noWrap/>
            <w:hideMark/>
          </w:tcPr>
          <w:p w14:paraId="25FB5D4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18B071D"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46F0AC9"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39</w:t>
            </w:r>
          </w:p>
        </w:tc>
        <w:tc>
          <w:tcPr>
            <w:tcW w:w="0" w:type="auto"/>
            <w:tcBorders>
              <w:top w:val="nil"/>
              <w:left w:val="nil"/>
              <w:bottom w:val="single" w:sz="4" w:space="0" w:color="auto"/>
              <w:right w:val="single" w:sz="4" w:space="0" w:color="auto"/>
            </w:tcBorders>
            <w:shd w:val="clear" w:color="auto" w:fill="auto"/>
            <w:hideMark/>
          </w:tcPr>
          <w:p w14:paraId="52FD8B0C"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Contract Management and Construction Supervision</w:t>
            </w:r>
          </w:p>
        </w:tc>
        <w:tc>
          <w:tcPr>
            <w:tcW w:w="0" w:type="auto"/>
            <w:tcBorders>
              <w:top w:val="nil"/>
              <w:left w:val="nil"/>
              <w:bottom w:val="single" w:sz="4" w:space="0" w:color="auto"/>
              <w:right w:val="single" w:sz="4" w:space="0" w:color="auto"/>
            </w:tcBorders>
            <w:shd w:val="clear" w:color="auto" w:fill="auto"/>
            <w:hideMark/>
          </w:tcPr>
          <w:p w14:paraId="63CC36E1" w14:textId="1932DD6F"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Arial"/>
                <w:color w:val="000000"/>
                <w:sz w:val="18"/>
                <w:szCs w:val="18"/>
                <w:lang w:eastAsia="en-AU"/>
              </w:rPr>
              <w:t>Increase MID/CPIU in-house construction supervision resources. Relying on External international resources is costly and not sustainable. Coordinate with the Education sector to develop infrastructure sector capacity. Reach out to donors to request support for civil engineering education initiatives.</w:t>
            </w:r>
          </w:p>
        </w:tc>
        <w:tc>
          <w:tcPr>
            <w:tcW w:w="0" w:type="auto"/>
            <w:tcBorders>
              <w:top w:val="nil"/>
              <w:left w:val="nil"/>
              <w:bottom w:val="single" w:sz="4" w:space="0" w:color="auto"/>
              <w:right w:val="single" w:sz="4" w:space="0" w:color="auto"/>
            </w:tcBorders>
            <w:shd w:val="clear" w:color="auto" w:fill="auto"/>
            <w:noWrap/>
            <w:hideMark/>
          </w:tcPr>
          <w:p w14:paraId="2C6248AE"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01D6172"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5D9CBD73"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40</w:t>
            </w:r>
          </w:p>
        </w:tc>
        <w:tc>
          <w:tcPr>
            <w:tcW w:w="0" w:type="auto"/>
            <w:tcBorders>
              <w:top w:val="nil"/>
              <w:left w:val="nil"/>
              <w:bottom w:val="single" w:sz="4" w:space="0" w:color="auto"/>
              <w:right w:val="single" w:sz="4" w:space="0" w:color="auto"/>
            </w:tcBorders>
            <w:shd w:val="clear" w:color="auto" w:fill="auto"/>
            <w:hideMark/>
          </w:tcPr>
          <w:p w14:paraId="611CBD6A"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Contract Management and Construction Supervision</w:t>
            </w:r>
          </w:p>
        </w:tc>
        <w:tc>
          <w:tcPr>
            <w:tcW w:w="0" w:type="auto"/>
            <w:tcBorders>
              <w:top w:val="nil"/>
              <w:left w:val="nil"/>
              <w:bottom w:val="single" w:sz="4" w:space="0" w:color="auto"/>
              <w:right w:val="single" w:sz="4" w:space="0" w:color="auto"/>
            </w:tcBorders>
            <w:shd w:val="clear" w:color="auto" w:fill="auto"/>
            <w:hideMark/>
          </w:tcPr>
          <w:p w14:paraId="269B8724" w14:textId="4F65A970"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Streamline or simplify the NTF funding / payment approval mechanism to shorten payment periods. Strict control measures with responsibilities and timelines should be introduced. MOFT staff should be engaged in relevant training to enhance FIDIC timeline understanding.</w:t>
            </w:r>
          </w:p>
        </w:tc>
        <w:tc>
          <w:tcPr>
            <w:tcW w:w="0" w:type="auto"/>
            <w:tcBorders>
              <w:top w:val="nil"/>
              <w:left w:val="nil"/>
              <w:bottom w:val="single" w:sz="4" w:space="0" w:color="auto"/>
              <w:right w:val="single" w:sz="4" w:space="0" w:color="auto"/>
            </w:tcBorders>
            <w:shd w:val="clear" w:color="auto" w:fill="auto"/>
            <w:noWrap/>
            <w:hideMark/>
          </w:tcPr>
          <w:p w14:paraId="379C3EAE"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46A81A72"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23009CA"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lastRenderedPageBreak/>
              <w:t>41</w:t>
            </w:r>
          </w:p>
        </w:tc>
        <w:tc>
          <w:tcPr>
            <w:tcW w:w="0" w:type="auto"/>
            <w:tcBorders>
              <w:top w:val="nil"/>
              <w:left w:val="nil"/>
              <w:bottom w:val="single" w:sz="4" w:space="0" w:color="auto"/>
              <w:right w:val="single" w:sz="4" w:space="0" w:color="auto"/>
            </w:tcBorders>
            <w:shd w:val="clear" w:color="auto" w:fill="auto"/>
            <w:hideMark/>
          </w:tcPr>
          <w:p w14:paraId="07F446C8"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Contract Management and Construction Supervision</w:t>
            </w:r>
          </w:p>
        </w:tc>
        <w:tc>
          <w:tcPr>
            <w:tcW w:w="0" w:type="auto"/>
            <w:tcBorders>
              <w:top w:val="nil"/>
              <w:left w:val="nil"/>
              <w:bottom w:val="single" w:sz="4" w:space="0" w:color="auto"/>
              <w:right w:val="single" w:sz="4" w:space="0" w:color="auto"/>
            </w:tcBorders>
            <w:shd w:val="clear" w:color="auto" w:fill="auto"/>
            <w:hideMark/>
          </w:tcPr>
          <w:p w14:paraId="414C1194" w14:textId="09D80115"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Streamline MID/MOFT approvals to facilitate achievement of the contractors</w:t>
            </w:r>
            <w:r w:rsidR="00067295">
              <w:rPr>
                <w:rFonts w:ascii="Arial" w:eastAsia="Times New Roman" w:hAnsi="Arial" w:cs="Arial"/>
                <w:color w:val="000000"/>
                <w:sz w:val="18"/>
                <w:szCs w:val="18"/>
                <w:lang w:val="en-GB" w:eastAsia="en-AU"/>
              </w:rPr>
              <w:t>’</w:t>
            </w:r>
            <w:r w:rsidRPr="007A4EB0">
              <w:rPr>
                <w:rFonts w:ascii="Arial" w:eastAsia="Times New Roman" w:hAnsi="Arial" w:cs="Arial"/>
                <w:color w:val="000000"/>
                <w:sz w:val="18"/>
                <w:szCs w:val="18"/>
                <w:lang w:val="en-GB" w:eastAsia="en-AU"/>
              </w:rPr>
              <w:t xml:space="preserve"> construction program.</w:t>
            </w:r>
          </w:p>
        </w:tc>
        <w:tc>
          <w:tcPr>
            <w:tcW w:w="0" w:type="auto"/>
            <w:tcBorders>
              <w:top w:val="nil"/>
              <w:left w:val="nil"/>
              <w:bottom w:val="single" w:sz="4" w:space="0" w:color="auto"/>
              <w:right w:val="single" w:sz="4" w:space="0" w:color="auto"/>
            </w:tcBorders>
            <w:shd w:val="clear" w:color="auto" w:fill="auto"/>
            <w:noWrap/>
            <w:hideMark/>
          </w:tcPr>
          <w:p w14:paraId="1E4B37C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F2EE07E"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3A0B6DFE"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42</w:t>
            </w:r>
          </w:p>
        </w:tc>
        <w:tc>
          <w:tcPr>
            <w:tcW w:w="0" w:type="auto"/>
            <w:tcBorders>
              <w:top w:val="nil"/>
              <w:left w:val="nil"/>
              <w:bottom w:val="single" w:sz="4" w:space="0" w:color="auto"/>
              <w:right w:val="single" w:sz="4" w:space="0" w:color="auto"/>
            </w:tcBorders>
            <w:shd w:val="clear" w:color="auto" w:fill="auto"/>
            <w:hideMark/>
          </w:tcPr>
          <w:p w14:paraId="6387764C"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Monitoring and Evaluation</w:t>
            </w:r>
          </w:p>
        </w:tc>
        <w:tc>
          <w:tcPr>
            <w:tcW w:w="0" w:type="auto"/>
            <w:tcBorders>
              <w:top w:val="nil"/>
              <w:left w:val="nil"/>
              <w:bottom w:val="single" w:sz="4" w:space="0" w:color="auto"/>
              <w:right w:val="single" w:sz="4" w:space="0" w:color="auto"/>
            </w:tcBorders>
            <w:shd w:val="clear" w:color="auto" w:fill="auto"/>
            <w:hideMark/>
          </w:tcPr>
          <w:p w14:paraId="5ED23752" w14:textId="59DD514E"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Recruit qualified experienced auditors</w:t>
            </w:r>
          </w:p>
        </w:tc>
        <w:tc>
          <w:tcPr>
            <w:tcW w:w="0" w:type="auto"/>
            <w:tcBorders>
              <w:top w:val="nil"/>
              <w:left w:val="nil"/>
              <w:bottom w:val="single" w:sz="4" w:space="0" w:color="auto"/>
              <w:right w:val="single" w:sz="4" w:space="0" w:color="auto"/>
            </w:tcBorders>
            <w:shd w:val="clear" w:color="auto" w:fill="auto"/>
            <w:noWrap/>
            <w:hideMark/>
          </w:tcPr>
          <w:p w14:paraId="41A12C5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2EEC323D"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4672847"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43</w:t>
            </w:r>
          </w:p>
        </w:tc>
        <w:tc>
          <w:tcPr>
            <w:tcW w:w="0" w:type="auto"/>
            <w:tcBorders>
              <w:top w:val="nil"/>
              <w:left w:val="nil"/>
              <w:bottom w:val="single" w:sz="4" w:space="0" w:color="auto"/>
              <w:right w:val="single" w:sz="4" w:space="0" w:color="auto"/>
            </w:tcBorders>
            <w:shd w:val="clear" w:color="auto" w:fill="auto"/>
            <w:hideMark/>
          </w:tcPr>
          <w:p w14:paraId="2480F1DA"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Monitoring and Evaluation</w:t>
            </w:r>
          </w:p>
        </w:tc>
        <w:tc>
          <w:tcPr>
            <w:tcW w:w="0" w:type="auto"/>
            <w:tcBorders>
              <w:top w:val="nil"/>
              <w:left w:val="nil"/>
              <w:bottom w:val="single" w:sz="4" w:space="0" w:color="auto"/>
              <w:right w:val="single" w:sz="4" w:space="0" w:color="auto"/>
            </w:tcBorders>
            <w:shd w:val="clear" w:color="auto" w:fill="auto"/>
            <w:hideMark/>
          </w:tcPr>
          <w:p w14:paraId="01CB0BAB" w14:textId="246534C0"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MID/ MOF</w:t>
            </w:r>
            <w:r w:rsidR="00067295">
              <w:rPr>
                <w:rFonts w:ascii="Arial" w:eastAsia="Symbol" w:hAnsi="Arial" w:cs="Symbol"/>
                <w:color w:val="000000"/>
                <w:sz w:val="18"/>
                <w:szCs w:val="18"/>
                <w:lang w:eastAsia="en-AU"/>
              </w:rPr>
              <w:t>T</w:t>
            </w:r>
            <w:r w:rsidRPr="007A4EB0">
              <w:rPr>
                <w:rFonts w:ascii="Arial" w:eastAsia="Symbol" w:hAnsi="Arial" w:cs="Symbol"/>
                <w:color w:val="000000"/>
                <w:sz w:val="18"/>
                <w:szCs w:val="18"/>
                <w:lang w:eastAsia="en-AU"/>
              </w:rPr>
              <w:t>/ MNPDC</w:t>
            </w:r>
            <w:r w:rsidR="00067295">
              <w:rPr>
                <w:rStyle w:val="FootnoteReference"/>
                <w:rFonts w:ascii="Arial" w:eastAsia="Symbol" w:hAnsi="Arial" w:cs="Symbol"/>
                <w:color w:val="000000"/>
                <w:sz w:val="18"/>
                <w:szCs w:val="18"/>
                <w:lang w:eastAsia="en-AU"/>
              </w:rPr>
              <w:footnoteReference w:id="9"/>
            </w:r>
            <w:r w:rsidRPr="007A4EB0">
              <w:rPr>
                <w:rFonts w:ascii="Arial" w:eastAsia="Symbol" w:hAnsi="Arial" w:cs="Symbol"/>
                <w:color w:val="000000"/>
                <w:sz w:val="18"/>
                <w:szCs w:val="18"/>
                <w:lang w:eastAsia="en-AU"/>
              </w:rPr>
              <w:t xml:space="preserve"> and other government agencies should ensure better coordination and ownership of recommendations, assessing and considering recommendations, carefully preparing action plans</w:t>
            </w:r>
            <w:r w:rsidR="00067295">
              <w:rPr>
                <w:rFonts w:ascii="Arial" w:eastAsia="Symbol" w:hAnsi="Arial" w:cs="Symbol"/>
                <w:color w:val="000000"/>
                <w:sz w:val="18"/>
                <w:szCs w:val="18"/>
                <w:lang w:eastAsia="en-AU"/>
              </w:rPr>
              <w:t>,</w:t>
            </w:r>
            <w:r w:rsidRPr="007A4EB0">
              <w:rPr>
                <w:rFonts w:ascii="Arial" w:eastAsia="Symbol" w:hAnsi="Arial" w:cs="Symbol"/>
                <w:color w:val="000000"/>
                <w:sz w:val="18"/>
                <w:szCs w:val="18"/>
                <w:lang w:eastAsia="en-AU"/>
              </w:rPr>
              <w:t xml:space="preserve"> and assigning responsibilities, providing sufficient funding for the agreed actions, setting targets</w:t>
            </w:r>
            <w:r w:rsidR="00067295">
              <w:rPr>
                <w:rFonts w:ascii="Arial" w:eastAsia="Symbol" w:hAnsi="Arial" w:cs="Symbol"/>
                <w:color w:val="000000"/>
                <w:sz w:val="18"/>
                <w:szCs w:val="18"/>
                <w:lang w:eastAsia="en-AU"/>
              </w:rPr>
              <w:t>,</w:t>
            </w:r>
            <w:r w:rsidRPr="007A4EB0">
              <w:rPr>
                <w:rFonts w:ascii="Arial" w:eastAsia="Symbol" w:hAnsi="Arial" w:cs="Symbol"/>
                <w:color w:val="000000"/>
                <w:sz w:val="18"/>
                <w:szCs w:val="18"/>
                <w:lang w:eastAsia="en-AU"/>
              </w:rPr>
              <w:t xml:space="preserve"> and regularly monitoring performance and achievements</w:t>
            </w:r>
            <w:r w:rsidR="00067295">
              <w:rPr>
                <w:rFonts w:ascii="Arial" w:eastAsia="Symbol" w:hAnsi="Arial" w:cs="Symbol"/>
                <w:color w:val="000000"/>
                <w:sz w:val="18"/>
                <w:szCs w:val="18"/>
                <w:lang w:eastAsia="en-AU"/>
              </w:rPr>
              <w:t>.</w:t>
            </w:r>
          </w:p>
        </w:tc>
        <w:tc>
          <w:tcPr>
            <w:tcW w:w="0" w:type="auto"/>
            <w:tcBorders>
              <w:top w:val="nil"/>
              <w:left w:val="nil"/>
              <w:bottom w:val="single" w:sz="4" w:space="0" w:color="auto"/>
              <w:right w:val="single" w:sz="4" w:space="0" w:color="auto"/>
            </w:tcBorders>
            <w:shd w:val="clear" w:color="auto" w:fill="auto"/>
            <w:noWrap/>
            <w:hideMark/>
          </w:tcPr>
          <w:p w14:paraId="658B5FEF"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26574AF7"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3650138B"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44</w:t>
            </w:r>
          </w:p>
        </w:tc>
        <w:tc>
          <w:tcPr>
            <w:tcW w:w="0" w:type="auto"/>
            <w:tcBorders>
              <w:top w:val="nil"/>
              <w:left w:val="nil"/>
              <w:bottom w:val="single" w:sz="4" w:space="0" w:color="auto"/>
              <w:right w:val="single" w:sz="4" w:space="0" w:color="auto"/>
            </w:tcBorders>
            <w:shd w:val="clear" w:color="auto" w:fill="auto"/>
            <w:hideMark/>
          </w:tcPr>
          <w:p w14:paraId="390A9CF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Monitoring and Evaluation</w:t>
            </w:r>
          </w:p>
        </w:tc>
        <w:tc>
          <w:tcPr>
            <w:tcW w:w="0" w:type="auto"/>
            <w:tcBorders>
              <w:top w:val="nil"/>
              <w:left w:val="nil"/>
              <w:bottom w:val="single" w:sz="4" w:space="0" w:color="auto"/>
              <w:right w:val="single" w:sz="4" w:space="0" w:color="auto"/>
            </w:tcBorders>
            <w:shd w:val="clear" w:color="auto" w:fill="auto"/>
            <w:hideMark/>
          </w:tcPr>
          <w:p w14:paraId="673508B9" w14:textId="7A86E575"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Learn from lessons.</w:t>
            </w:r>
          </w:p>
        </w:tc>
        <w:tc>
          <w:tcPr>
            <w:tcW w:w="0" w:type="auto"/>
            <w:tcBorders>
              <w:top w:val="nil"/>
              <w:left w:val="nil"/>
              <w:bottom w:val="single" w:sz="4" w:space="0" w:color="auto"/>
              <w:right w:val="single" w:sz="4" w:space="0" w:color="auto"/>
            </w:tcBorders>
            <w:shd w:val="clear" w:color="auto" w:fill="auto"/>
            <w:noWrap/>
            <w:hideMark/>
          </w:tcPr>
          <w:p w14:paraId="789C7C3E"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 and DP</w:t>
            </w:r>
          </w:p>
        </w:tc>
      </w:tr>
      <w:tr w:rsidR="000C49F9" w:rsidRPr="007A4EB0" w14:paraId="2F6B516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7DE3A3B1"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45</w:t>
            </w:r>
          </w:p>
        </w:tc>
        <w:tc>
          <w:tcPr>
            <w:tcW w:w="0" w:type="auto"/>
            <w:tcBorders>
              <w:top w:val="nil"/>
              <w:left w:val="nil"/>
              <w:bottom w:val="single" w:sz="4" w:space="0" w:color="auto"/>
              <w:right w:val="single" w:sz="4" w:space="0" w:color="auto"/>
            </w:tcBorders>
            <w:shd w:val="clear" w:color="auto" w:fill="auto"/>
            <w:hideMark/>
          </w:tcPr>
          <w:p w14:paraId="210BC5D3"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5BB0E154" w14:textId="241DA182"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Incorporate the Poverty Reduction and Social Analysis into the design from inception to project completion</w:t>
            </w:r>
          </w:p>
        </w:tc>
        <w:tc>
          <w:tcPr>
            <w:tcW w:w="0" w:type="auto"/>
            <w:tcBorders>
              <w:top w:val="nil"/>
              <w:left w:val="nil"/>
              <w:bottom w:val="single" w:sz="4" w:space="0" w:color="auto"/>
              <w:right w:val="single" w:sz="4" w:space="0" w:color="auto"/>
            </w:tcBorders>
            <w:shd w:val="clear" w:color="auto" w:fill="auto"/>
            <w:noWrap/>
            <w:hideMark/>
          </w:tcPr>
          <w:p w14:paraId="2BC13DC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4591C7F5"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31EEE61"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46</w:t>
            </w:r>
          </w:p>
        </w:tc>
        <w:tc>
          <w:tcPr>
            <w:tcW w:w="0" w:type="auto"/>
            <w:tcBorders>
              <w:top w:val="nil"/>
              <w:left w:val="nil"/>
              <w:bottom w:val="single" w:sz="4" w:space="0" w:color="auto"/>
              <w:right w:val="single" w:sz="4" w:space="0" w:color="auto"/>
            </w:tcBorders>
            <w:shd w:val="clear" w:color="auto" w:fill="auto"/>
            <w:hideMark/>
          </w:tcPr>
          <w:p w14:paraId="14ABD2C9"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1EC230CE" w14:textId="2109A318"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Update the SPM to include Social Safeguards including Codes of Conduct for all NTF projects.</w:t>
            </w:r>
            <w:r w:rsidR="00246C17">
              <w:rPr>
                <w:rFonts w:ascii="Arial" w:eastAsia="Times New Roman" w:hAnsi="Arial" w:cs="Arial"/>
                <w:color w:val="000000"/>
                <w:sz w:val="18"/>
                <w:szCs w:val="18"/>
                <w:lang w:val="en-GB" w:eastAsia="en-AU"/>
              </w:rPr>
              <w:t xml:space="preserve"> </w:t>
            </w:r>
            <w:r w:rsidRPr="007A4EB0">
              <w:rPr>
                <w:rFonts w:ascii="Arial" w:eastAsia="Times New Roman" w:hAnsi="Arial" w:cs="Arial"/>
                <w:color w:val="000000"/>
                <w:sz w:val="18"/>
                <w:szCs w:val="18"/>
                <w:lang w:val="en-GB" w:eastAsia="en-AU"/>
              </w:rPr>
              <w:t>Project staff, local consultants and international consultants should be required to sign the Codes of Conduct.</w:t>
            </w:r>
          </w:p>
        </w:tc>
        <w:tc>
          <w:tcPr>
            <w:tcW w:w="0" w:type="auto"/>
            <w:tcBorders>
              <w:top w:val="nil"/>
              <w:left w:val="nil"/>
              <w:bottom w:val="single" w:sz="4" w:space="0" w:color="auto"/>
              <w:right w:val="single" w:sz="4" w:space="0" w:color="auto"/>
            </w:tcBorders>
            <w:shd w:val="clear" w:color="auto" w:fill="auto"/>
            <w:noWrap/>
            <w:hideMark/>
          </w:tcPr>
          <w:p w14:paraId="1AD702C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2BFC2FC"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4B0E909"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47</w:t>
            </w:r>
          </w:p>
        </w:tc>
        <w:tc>
          <w:tcPr>
            <w:tcW w:w="0" w:type="auto"/>
            <w:tcBorders>
              <w:top w:val="nil"/>
              <w:left w:val="nil"/>
              <w:bottom w:val="single" w:sz="4" w:space="0" w:color="auto"/>
              <w:right w:val="single" w:sz="4" w:space="0" w:color="auto"/>
            </w:tcBorders>
            <w:shd w:val="clear" w:color="auto" w:fill="auto"/>
            <w:hideMark/>
          </w:tcPr>
          <w:p w14:paraId="11E8A862"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25906E3A" w14:textId="1779624E"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Regularly liaise with the SIG Ministry of Women, Family Affairs, Youth &amp; Children (MWFYC) and relevant NGOs and national women organisations</w:t>
            </w:r>
          </w:p>
        </w:tc>
        <w:tc>
          <w:tcPr>
            <w:tcW w:w="0" w:type="auto"/>
            <w:tcBorders>
              <w:top w:val="nil"/>
              <w:left w:val="nil"/>
              <w:bottom w:val="single" w:sz="4" w:space="0" w:color="auto"/>
              <w:right w:val="single" w:sz="4" w:space="0" w:color="auto"/>
            </w:tcBorders>
            <w:shd w:val="clear" w:color="auto" w:fill="auto"/>
            <w:noWrap/>
            <w:hideMark/>
          </w:tcPr>
          <w:p w14:paraId="30E16A82"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E6680E5"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1A81B82"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48</w:t>
            </w:r>
          </w:p>
        </w:tc>
        <w:tc>
          <w:tcPr>
            <w:tcW w:w="0" w:type="auto"/>
            <w:tcBorders>
              <w:top w:val="nil"/>
              <w:left w:val="nil"/>
              <w:bottom w:val="single" w:sz="4" w:space="0" w:color="auto"/>
              <w:right w:val="single" w:sz="4" w:space="0" w:color="auto"/>
            </w:tcBorders>
            <w:shd w:val="clear" w:color="auto" w:fill="auto"/>
            <w:hideMark/>
          </w:tcPr>
          <w:p w14:paraId="49341B86"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6F10C097" w14:textId="26BD12A5"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Incorporate social screening into the environmental screening process including social impacts and mitigation methods.</w:t>
            </w:r>
          </w:p>
        </w:tc>
        <w:tc>
          <w:tcPr>
            <w:tcW w:w="0" w:type="auto"/>
            <w:tcBorders>
              <w:top w:val="nil"/>
              <w:left w:val="nil"/>
              <w:bottom w:val="single" w:sz="4" w:space="0" w:color="auto"/>
              <w:right w:val="single" w:sz="4" w:space="0" w:color="auto"/>
            </w:tcBorders>
            <w:shd w:val="clear" w:color="auto" w:fill="auto"/>
            <w:noWrap/>
            <w:hideMark/>
          </w:tcPr>
          <w:p w14:paraId="70B943AF"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4D87050"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D6B8F76"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49</w:t>
            </w:r>
          </w:p>
        </w:tc>
        <w:tc>
          <w:tcPr>
            <w:tcW w:w="0" w:type="auto"/>
            <w:tcBorders>
              <w:top w:val="nil"/>
              <w:left w:val="nil"/>
              <w:bottom w:val="single" w:sz="4" w:space="0" w:color="auto"/>
              <w:right w:val="single" w:sz="4" w:space="0" w:color="auto"/>
            </w:tcBorders>
            <w:shd w:val="clear" w:color="auto" w:fill="auto"/>
            <w:hideMark/>
          </w:tcPr>
          <w:p w14:paraId="726B532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1A628665" w14:textId="09186558"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MID to update website to include links to CPIU and all related projects.</w:t>
            </w:r>
            <w:r w:rsidR="00246C17">
              <w:rPr>
                <w:rFonts w:ascii="Arial" w:eastAsia="Times New Roman" w:hAnsi="Arial" w:cs="Arial"/>
                <w:color w:val="000000"/>
                <w:sz w:val="18"/>
                <w:szCs w:val="18"/>
                <w:lang w:val="en-GB" w:eastAsia="en-AU"/>
              </w:rPr>
              <w:t xml:space="preserve"> </w:t>
            </w:r>
            <w:r w:rsidRPr="007A4EB0">
              <w:rPr>
                <w:rFonts w:ascii="Arial" w:eastAsia="Times New Roman" w:hAnsi="Arial" w:cs="Arial"/>
                <w:color w:val="000000"/>
                <w:sz w:val="18"/>
                <w:szCs w:val="18"/>
                <w:lang w:val="en-GB" w:eastAsia="en-AU"/>
              </w:rPr>
              <w:t>Fully incorporate a Grievance and Complaints Logging System, project information and data, disclosure of project documents and safeguards instruments, project site mapping, real-time updates to the status of works, and links to relevant ministries and development partners.</w:t>
            </w:r>
          </w:p>
        </w:tc>
        <w:tc>
          <w:tcPr>
            <w:tcW w:w="0" w:type="auto"/>
            <w:tcBorders>
              <w:top w:val="nil"/>
              <w:left w:val="nil"/>
              <w:bottom w:val="single" w:sz="4" w:space="0" w:color="auto"/>
              <w:right w:val="single" w:sz="4" w:space="0" w:color="auto"/>
            </w:tcBorders>
            <w:shd w:val="clear" w:color="auto" w:fill="auto"/>
            <w:noWrap/>
            <w:hideMark/>
          </w:tcPr>
          <w:p w14:paraId="50CA8836"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C413C91"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7E5967BA"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50</w:t>
            </w:r>
          </w:p>
        </w:tc>
        <w:tc>
          <w:tcPr>
            <w:tcW w:w="0" w:type="auto"/>
            <w:tcBorders>
              <w:top w:val="nil"/>
              <w:left w:val="nil"/>
              <w:bottom w:val="single" w:sz="4" w:space="0" w:color="auto"/>
              <w:right w:val="single" w:sz="4" w:space="0" w:color="auto"/>
            </w:tcBorders>
            <w:shd w:val="clear" w:color="auto" w:fill="auto"/>
            <w:hideMark/>
          </w:tcPr>
          <w:p w14:paraId="46ED536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19A4F0E2" w14:textId="764162CA"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 xml:space="preserve">Annual budgets to be allocated for awareness raising and communication plans.  </w:t>
            </w:r>
          </w:p>
        </w:tc>
        <w:tc>
          <w:tcPr>
            <w:tcW w:w="0" w:type="auto"/>
            <w:tcBorders>
              <w:top w:val="nil"/>
              <w:left w:val="nil"/>
              <w:bottom w:val="single" w:sz="4" w:space="0" w:color="auto"/>
              <w:right w:val="single" w:sz="4" w:space="0" w:color="auto"/>
            </w:tcBorders>
            <w:shd w:val="clear" w:color="auto" w:fill="auto"/>
            <w:noWrap/>
            <w:hideMark/>
          </w:tcPr>
          <w:p w14:paraId="67B9C180"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41142F4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DBD6430"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51</w:t>
            </w:r>
          </w:p>
        </w:tc>
        <w:tc>
          <w:tcPr>
            <w:tcW w:w="0" w:type="auto"/>
            <w:tcBorders>
              <w:top w:val="nil"/>
              <w:left w:val="nil"/>
              <w:bottom w:val="single" w:sz="4" w:space="0" w:color="auto"/>
              <w:right w:val="single" w:sz="4" w:space="0" w:color="auto"/>
            </w:tcBorders>
            <w:shd w:val="clear" w:color="auto" w:fill="auto"/>
            <w:hideMark/>
          </w:tcPr>
          <w:p w14:paraId="75B95349"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Social Safeguards</w:t>
            </w:r>
          </w:p>
        </w:tc>
        <w:tc>
          <w:tcPr>
            <w:tcW w:w="0" w:type="auto"/>
            <w:tcBorders>
              <w:top w:val="nil"/>
              <w:left w:val="nil"/>
              <w:bottom w:val="single" w:sz="4" w:space="0" w:color="auto"/>
              <w:right w:val="single" w:sz="4" w:space="0" w:color="auto"/>
            </w:tcBorders>
            <w:shd w:val="clear" w:color="auto" w:fill="auto"/>
            <w:hideMark/>
          </w:tcPr>
          <w:p w14:paraId="61BD0D28" w14:textId="4577C908"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Draft a full CCP incorporating the communication strategy, stakeholder identification, and grievance redress mechanism to be annexed in the SPM.</w:t>
            </w:r>
          </w:p>
        </w:tc>
        <w:tc>
          <w:tcPr>
            <w:tcW w:w="0" w:type="auto"/>
            <w:tcBorders>
              <w:top w:val="nil"/>
              <w:left w:val="nil"/>
              <w:bottom w:val="single" w:sz="4" w:space="0" w:color="auto"/>
              <w:right w:val="single" w:sz="4" w:space="0" w:color="auto"/>
            </w:tcBorders>
            <w:shd w:val="clear" w:color="auto" w:fill="auto"/>
            <w:noWrap/>
            <w:hideMark/>
          </w:tcPr>
          <w:p w14:paraId="2CAE984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4CC78E2"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3E66E168"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52</w:t>
            </w:r>
          </w:p>
        </w:tc>
        <w:tc>
          <w:tcPr>
            <w:tcW w:w="0" w:type="auto"/>
            <w:tcBorders>
              <w:top w:val="nil"/>
              <w:left w:val="nil"/>
              <w:bottom w:val="single" w:sz="4" w:space="0" w:color="auto"/>
              <w:right w:val="single" w:sz="4" w:space="0" w:color="auto"/>
            </w:tcBorders>
            <w:shd w:val="clear" w:color="auto" w:fill="auto"/>
            <w:hideMark/>
          </w:tcPr>
          <w:p w14:paraId="0BE21D1D"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7C839C33" w14:textId="1F68163E"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Develop a Safeguards capacity building plan.</w:t>
            </w:r>
          </w:p>
        </w:tc>
        <w:tc>
          <w:tcPr>
            <w:tcW w:w="0" w:type="auto"/>
            <w:tcBorders>
              <w:top w:val="nil"/>
              <w:left w:val="nil"/>
              <w:bottom w:val="single" w:sz="4" w:space="0" w:color="auto"/>
              <w:right w:val="single" w:sz="4" w:space="0" w:color="auto"/>
            </w:tcBorders>
            <w:shd w:val="clear" w:color="auto" w:fill="auto"/>
            <w:noWrap/>
            <w:hideMark/>
          </w:tcPr>
          <w:p w14:paraId="600C5958"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SIG/DP</w:t>
            </w:r>
          </w:p>
        </w:tc>
      </w:tr>
      <w:tr w:rsidR="000C49F9" w:rsidRPr="007A4EB0" w14:paraId="5EE4B228"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3464FDE"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53</w:t>
            </w:r>
          </w:p>
        </w:tc>
        <w:tc>
          <w:tcPr>
            <w:tcW w:w="0" w:type="auto"/>
            <w:tcBorders>
              <w:top w:val="nil"/>
              <w:left w:val="nil"/>
              <w:bottom w:val="single" w:sz="4" w:space="0" w:color="auto"/>
              <w:right w:val="single" w:sz="4" w:space="0" w:color="auto"/>
            </w:tcBorders>
            <w:shd w:val="clear" w:color="auto" w:fill="auto"/>
            <w:hideMark/>
          </w:tcPr>
          <w:p w14:paraId="7B72C259"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7C96D434" w14:textId="772A164C"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Bidding documents to include financial penalties for non-compliance with Safeguards covenants.</w:t>
            </w:r>
          </w:p>
        </w:tc>
        <w:tc>
          <w:tcPr>
            <w:tcW w:w="0" w:type="auto"/>
            <w:tcBorders>
              <w:top w:val="nil"/>
              <w:left w:val="nil"/>
              <w:bottom w:val="single" w:sz="4" w:space="0" w:color="auto"/>
              <w:right w:val="single" w:sz="4" w:space="0" w:color="auto"/>
            </w:tcBorders>
            <w:shd w:val="clear" w:color="auto" w:fill="auto"/>
            <w:noWrap/>
            <w:hideMark/>
          </w:tcPr>
          <w:p w14:paraId="4157C31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788FEBC8"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6939016"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54</w:t>
            </w:r>
          </w:p>
        </w:tc>
        <w:tc>
          <w:tcPr>
            <w:tcW w:w="0" w:type="auto"/>
            <w:tcBorders>
              <w:top w:val="nil"/>
              <w:left w:val="nil"/>
              <w:bottom w:val="single" w:sz="4" w:space="0" w:color="auto"/>
              <w:right w:val="single" w:sz="4" w:space="0" w:color="auto"/>
            </w:tcBorders>
            <w:shd w:val="clear" w:color="auto" w:fill="auto"/>
            <w:hideMark/>
          </w:tcPr>
          <w:p w14:paraId="660B508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5B1CBE74" w14:textId="24A65048"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Pay and train the CAC from CPIU resources, not the contractors.</w:t>
            </w:r>
          </w:p>
        </w:tc>
        <w:tc>
          <w:tcPr>
            <w:tcW w:w="0" w:type="auto"/>
            <w:tcBorders>
              <w:top w:val="nil"/>
              <w:left w:val="nil"/>
              <w:bottom w:val="single" w:sz="4" w:space="0" w:color="auto"/>
              <w:right w:val="single" w:sz="4" w:space="0" w:color="auto"/>
            </w:tcBorders>
            <w:shd w:val="clear" w:color="auto" w:fill="auto"/>
            <w:noWrap/>
            <w:hideMark/>
          </w:tcPr>
          <w:p w14:paraId="78C3548F"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348F8F01"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4553EFC"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55</w:t>
            </w:r>
          </w:p>
        </w:tc>
        <w:tc>
          <w:tcPr>
            <w:tcW w:w="0" w:type="auto"/>
            <w:tcBorders>
              <w:top w:val="nil"/>
              <w:left w:val="nil"/>
              <w:bottom w:val="single" w:sz="4" w:space="0" w:color="auto"/>
              <w:right w:val="single" w:sz="4" w:space="0" w:color="auto"/>
            </w:tcBorders>
            <w:shd w:val="clear" w:color="auto" w:fill="auto"/>
            <w:hideMark/>
          </w:tcPr>
          <w:p w14:paraId="155E0F9C"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548980C7" w14:textId="1B629893"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The procurement plan, annual workplan, and budget should include the required resources for the safeguards team to carry out their responsibilities as outlined in the SPM, CEMP, CAC, and CCP.</w:t>
            </w:r>
          </w:p>
        </w:tc>
        <w:tc>
          <w:tcPr>
            <w:tcW w:w="0" w:type="auto"/>
            <w:tcBorders>
              <w:top w:val="nil"/>
              <w:left w:val="nil"/>
              <w:bottom w:val="single" w:sz="4" w:space="0" w:color="auto"/>
              <w:right w:val="single" w:sz="4" w:space="0" w:color="auto"/>
            </w:tcBorders>
            <w:shd w:val="clear" w:color="auto" w:fill="auto"/>
            <w:noWrap/>
            <w:hideMark/>
          </w:tcPr>
          <w:p w14:paraId="3A1E3978"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7A2B0B5A"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26DEE1C"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lastRenderedPageBreak/>
              <w:t>56</w:t>
            </w:r>
          </w:p>
        </w:tc>
        <w:tc>
          <w:tcPr>
            <w:tcW w:w="0" w:type="auto"/>
            <w:tcBorders>
              <w:top w:val="nil"/>
              <w:left w:val="nil"/>
              <w:bottom w:val="single" w:sz="4" w:space="0" w:color="auto"/>
              <w:right w:val="single" w:sz="4" w:space="0" w:color="auto"/>
            </w:tcBorders>
            <w:shd w:val="clear" w:color="auto" w:fill="auto"/>
            <w:hideMark/>
          </w:tcPr>
          <w:p w14:paraId="4E546C5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17CDC424" w14:textId="3083FEA5"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Ensure Social Safeguards are fully incorporated into the “updated” EMP and CEMP templates and provide training to contractors.</w:t>
            </w:r>
          </w:p>
        </w:tc>
        <w:tc>
          <w:tcPr>
            <w:tcW w:w="0" w:type="auto"/>
            <w:tcBorders>
              <w:top w:val="nil"/>
              <w:left w:val="nil"/>
              <w:bottom w:val="single" w:sz="4" w:space="0" w:color="auto"/>
              <w:right w:val="single" w:sz="4" w:space="0" w:color="auto"/>
            </w:tcBorders>
            <w:shd w:val="clear" w:color="auto" w:fill="auto"/>
            <w:noWrap/>
            <w:hideMark/>
          </w:tcPr>
          <w:p w14:paraId="4BEA64D5"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2B3D6470"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05F82F0"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57</w:t>
            </w:r>
          </w:p>
        </w:tc>
        <w:tc>
          <w:tcPr>
            <w:tcW w:w="0" w:type="auto"/>
            <w:tcBorders>
              <w:top w:val="nil"/>
              <w:left w:val="nil"/>
              <w:bottom w:val="single" w:sz="4" w:space="0" w:color="auto"/>
              <w:right w:val="single" w:sz="4" w:space="0" w:color="auto"/>
            </w:tcBorders>
            <w:shd w:val="clear" w:color="auto" w:fill="auto"/>
            <w:hideMark/>
          </w:tcPr>
          <w:p w14:paraId="4B2F2C25"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6BBD640D" w14:textId="52CCBF1B"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Update SPM, EMP, and CEMP to include Social Safeguards supports for women, children, and vulnerable individuals.</w:t>
            </w:r>
          </w:p>
        </w:tc>
        <w:tc>
          <w:tcPr>
            <w:tcW w:w="0" w:type="auto"/>
            <w:tcBorders>
              <w:top w:val="nil"/>
              <w:left w:val="nil"/>
              <w:bottom w:val="single" w:sz="4" w:space="0" w:color="auto"/>
              <w:right w:val="single" w:sz="4" w:space="0" w:color="auto"/>
            </w:tcBorders>
            <w:shd w:val="clear" w:color="auto" w:fill="auto"/>
            <w:noWrap/>
            <w:hideMark/>
          </w:tcPr>
          <w:p w14:paraId="5BB4340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D6F0B43"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D42D961"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58</w:t>
            </w:r>
          </w:p>
        </w:tc>
        <w:tc>
          <w:tcPr>
            <w:tcW w:w="0" w:type="auto"/>
            <w:tcBorders>
              <w:top w:val="nil"/>
              <w:left w:val="nil"/>
              <w:bottom w:val="single" w:sz="4" w:space="0" w:color="auto"/>
              <w:right w:val="single" w:sz="4" w:space="0" w:color="auto"/>
            </w:tcBorders>
            <w:shd w:val="clear" w:color="auto" w:fill="auto"/>
            <w:hideMark/>
          </w:tcPr>
          <w:p w14:paraId="389A3D06"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1023E07B" w14:textId="13CC4D5F"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Provide a minimum 2-year contracts to safeguards staff to improve security of tenure.</w:t>
            </w:r>
          </w:p>
        </w:tc>
        <w:tc>
          <w:tcPr>
            <w:tcW w:w="0" w:type="auto"/>
            <w:tcBorders>
              <w:top w:val="nil"/>
              <w:left w:val="nil"/>
              <w:bottom w:val="single" w:sz="4" w:space="0" w:color="auto"/>
              <w:right w:val="single" w:sz="4" w:space="0" w:color="auto"/>
            </w:tcBorders>
            <w:shd w:val="clear" w:color="auto" w:fill="auto"/>
            <w:noWrap/>
            <w:hideMark/>
          </w:tcPr>
          <w:p w14:paraId="4B67853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244FD496"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80FF996"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59</w:t>
            </w:r>
          </w:p>
        </w:tc>
        <w:tc>
          <w:tcPr>
            <w:tcW w:w="0" w:type="auto"/>
            <w:tcBorders>
              <w:top w:val="nil"/>
              <w:left w:val="nil"/>
              <w:bottom w:val="single" w:sz="4" w:space="0" w:color="auto"/>
              <w:right w:val="single" w:sz="4" w:space="0" w:color="auto"/>
            </w:tcBorders>
            <w:shd w:val="clear" w:color="auto" w:fill="auto"/>
            <w:hideMark/>
          </w:tcPr>
          <w:p w14:paraId="67E6A6B6"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16968F4D" w14:textId="1FC0F1D5"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M&amp;E Specialist recruited to monitor Project Development Objectives, key project indicators, incorporation of gender data and indicators, and management and implementation of impact evaluations.</w:t>
            </w:r>
          </w:p>
        </w:tc>
        <w:tc>
          <w:tcPr>
            <w:tcW w:w="0" w:type="auto"/>
            <w:tcBorders>
              <w:top w:val="nil"/>
              <w:left w:val="nil"/>
              <w:bottom w:val="single" w:sz="4" w:space="0" w:color="auto"/>
              <w:right w:val="single" w:sz="4" w:space="0" w:color="auto"/>
            </w:tcBorders>
            <w:shd w:val="clear" w:color="auto" w:fill="auto"/>
            <w:noWrap/>
            <w:hideMark/>
          </w:tcPr>
          <w:p w14:paraId="29044821"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DP</w:t>
            </w:r>
          </w:p>
        </w:tc>
      </w:tr>
      <w:tr w:rsidR="000C49F9" w:rsidRPr="007A4EB0" w14:paraId="51F5644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59B339E"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60</w:t>
            </w:r>
          </w:p>
        </w:tc>
        <w:tc>
          <w:tcPr>
            <w:tcW w:w="0" w:type="auto"/>
            <w:tcBorders>
              <w:top w:val="nil"/>
              <w:left w:val="nil"/>
              <w:bottom w:val="single" w:sz="4" w:space="0" w:color="auto"/>
              <w:right w:val="single" w:sz="4" w:space="0" w:color="auto"/>
            </w:tcBorders>
            <w:shd w:val="clear" w:color="auto" w:fill="auto"/>
            <w:hideMark/>
          </w:tcPr>
          <w:p w14:paraId="4E1805E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0AA7FA31" w14:textId="480A3452"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Recruit a full time Communications Officer in the CPIU.</w:t>
            </w:r>
          </w:p>
        </w:tc>
        <w:tc>
          <w:tcPr>
            <w:tcW w:w="0" w:type="auto"/>
            <w:tcBorders>
              <w:top w:val="nil"/>
              <w:left w:val="nil"/>
              <w:bottom w:val="single" w:sz="4" w:space="0" w:color="auto"/>
              <w:right w:val="single" w:sz="4" w:space="0" w:color="auto"/>
            </w:tcBorders>
            <w:shd w:val="clear" w:color="auto" w:fill="auto"/>
            <w:noWrap/>
            <w:hideMark/>
          </w:tcPr>
          <w:p w14:paraId="6935D9E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1D1C8D4E"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E15178A"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61</w:t>
            </w:r>
          </w:p>
        </w:tc>
        <w:tc>
          <w:tcPr>
            <w:tcW w:w="0" w:type="auto"/>
            <w:tcBorders>
              <w:top w:val="nil"/>
              <w:left w:val="nil"/>
              <w:bottom w:val="single" w:sz="4" w:space="0" w:color="auto"/>
              <w:right w:val="single" w:sz="4" w:space="0" w:color="auto"/>
            </w:tcBorders>
            <w:shd w:val="clear" w:color="auto" w:fill="auto"/>
            <w:hideMark/>
          </w:tcPr>
          <w:p w14:paraId="1A34ECDD"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GB" w:eastAsia="en-AU"/>
              </w:rPr>
              <w:t>Social Safeguards</w:t>
            </w:r>
          </w:p>
        </w:tc>
        <w:tc>
          <w:tcPr>
            <w:tcW w:w="0" w:type="auto"/>
            <w:tcBorders>
              <w:top w:val="nil"/>
              <w:left w:val="nil"/>
              <w:bottom w:val="single" w:sz="4" w:space="0" w:color="auto"/>
              <w:right w:val="single" w:sz="4" w:space="0" w:color="auto"/>
            </w:tcBorders>
            <w:shd w:val="clear" w:color="auto" w:fill="auto"/>
            <w:hideMark/>
          </w:tcPr>
          <w:p w14:paraId="7B6FAB0E" w14:textId="4A86139E"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Procurement Specialist and Safeguards Specialist should coordinate standard Environmental and Social inputs to bidding documents, BOQs, and contracts including provisional sums for Safeguards activities and penalties for Safeguards non-compliance.</w:t>
            </w:r>
          </w:p>
        </w:tc>
        <w:tc>
          <w:tcPr>
            <w:tcW w:w="0" w:type="auto"/>
            <w:tcBorders>
              <w:top w:val="nil"/>
              <w:left w:val="nil"/>
              <w:bottom w:val="single" w:sz="4" w:space="0" w:color="auto"/>
              <w:right w:val="single" w:sz="4" w:space="0" w:color="auto"/>
            </w:tcBorders>
            <w:shd w:val="clear" w:color="auto" w:fill="auto"/>
            <w:noWrap/>
            <w:hideMark/>
          </w:tcPr>
          <w:p w14:paraId="060230F3"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SIG/DP</w:t>
            </w:r>
          </w:p>
        </w:tc>
      </w:tr>
      <w:tr w:rsidR="000C49F9" w:rsidRPr="007A4EB0" w14:paraId="5EF3C522"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B65B78F"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62</w:t>
            </w:r>
          </w:p>
        </w:tc>
        <w:tc>
          <w:tcPr>
            <w:tcW w:w="0" w:type="auto"/>
            <w:tcBorders>
              <w:top w:val="nil"/>
              <w:left w:val="nil"/>
              <w:bottom w:val="single" w:sz="4" w:space="0" w:color="auto"/>
              <w:right w:val="single" w:sz="4" w:space="0" w:color="auto"/>
            </w:tcBorders>
            <w:shd w:val="clear" w:color="auto" w:fill="auto"/>
            <w:hideMark/>
          </w:tcPr>
          <w:p w14:paraId="383FDB11"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04C3E73B" w14:textId="14AB6879"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Produce a simplified flow chart of SPM procedures specifically applicable to engineers, procurement, and other non-safeguard staff clearly identifying the key entry points of safeguards in the project cycle, SPM requirements and when/where coordination is vital. Post the flow chart on the walls of the CPIU office. Ensure the flow chart is discussed with engineers and the procurement team at the commencement of every subproject. </w:t>
            </w:r>
          </w:p>
        </w:tc>
        <w:tc>
          <w:tcPr>
            <w:tcW w:w="0" w:type="auto"/>
            <w:tcBorders>
              <w:top w:val="nil"/>
              <w:left w:val="nil"/>
              <w:bottom w:val="single" w:sz="4" w:space="0" w:color="auto"/>
              <w:right w:val="single" w:sz="4" w:space="0" w:color="auto"/>
            </w:tcBorders>
            <w:shd w:val="clear" w:color="auto" w:fill="auto"/>
            <w:noWrap/>
            <w:hideMark/>
          </w:tcPr>
          <w:p w14:paraId="6A8A83E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SIG/DP</w:t>
            </w:r>
          </w:p>
        </w:tc>
      </w:tr>
      <w:tr w:rsidR="000C49F9" w:rsidRPr="007A4EB0" w14:paraId="695B38E1"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8DE7F5E"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63</w:t>
            </w:r>
          </w:p>
        </w:tc>
        <w:tc>
          <w:tcPr>
            <w:tcW w:w="0" w:type="auto"/>
            <w:tcBorders>
              <w:top w:val="nil"/>
              <w:left w:val="nil"/>
              <w:bottom w:val="single" w:sz="4" w:space="0" w:color="auto"/>
              <w:right w:val="single" w:sz="4" w:space="0" w:color="auto"/>
            </w:tcBorders>
            <w:shd w:val="clear" w:color="auto" w:fill="auto"/>
            <w:hideMark/>
          </w:tcPr>
          <w:p w14:paraId="1AC92712"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31ECA2ED" w14:textId="66264A2F"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CPIU Director and project managers/team leaders implementing projects/programs through CPIU, to better supervise and monitor the procurement process to ensure SPM procedures are followed.</w:t>
            </w:r>
          </w:p>
        </w:tc>
        <w:tc>
          <w:tcPr>
            <w:tcW w:w="0" w:type="auto"/>
            <w:tcBorders>
              <w:top w:val="nil"/>
              <w:left w:val="nil"/>
              <w:bottom w:val="single" w:sz="4" w:space="0" w:color="auto"/>
              <w:right w:val="single" w:sz="4" w:space="0" w:color="auto"/>
            </w:tcBorders>
            <w:shd w:val="clear" w:color="auto" w:fill="auto"/>
            <w:noWrap/>
            <w:hideMark/>
          </w:tcPr>
          <w:p w14:paraId="5E33193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0947934A"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BA21123"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64</w:t>
            </w:r>
          </w:p>
        </w:tc>
        <w:tc>
          <w:tcPr>
            <w:tcW w:w="0" w:type="auto"/>
            <w:tcBorders>
              <w:top w:val="nil"/>
              <w:left w:val="nil"/>
              <w:bottom w:val="single" w:sz="4" w:space="0" w:color="auto"/>
              <w:right w:val="single" w:sz="4" w:space="0" w:color="auto"/>
            </w:tcBorders>
            <w:shd w:val="clear" w:color="auto" w:fill="auto"/>
            <w:hideMark/>
          </w:tcPr>
          <w:p w14:paraId="43786027"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7C0D9C7E" w14:textId="50B6EAE9"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CPIU management to convene weekly or fortnightly whole of team meetings to discuss current works status including timing, and implementation of SPM. Participants to include engineering, procurement, safeguards, and finance teams inclusive of project/program support and/or supervision consultants as well as any TA capacity-building consultants, Minutes of meetings to be systematically circulated, </w:t>
            </w:r>
            <w:r w:rsidR="00067295" w:rsidRPr="007A4EB0">
              <w:rPr>
                <w:rFonts w:ascii="Arial" w:eastAsia="Symbol" w:hAnsi="Arial" w:cs="Symbol"/>
                <w:color w:val="000000"/>
                <w:sz w:val="18"/>
                <w:szCs w:val="18"/>
                <w:lang w:eastAsia="en-AU"/>
              </w:rPr>
              <w:t>recorded,</w:t>
            </w:r>
            <w:r w:rsidRPr="007A4EB0">
              <w:rPr>
                <w:rFonts w:ascii="Arial" w:eastAsia="Symbol" w:hAnsi="Arial" w:cs="Symbol"/>
                <w:color w:val="000000"/>
                <w:sz w:val="18"/>
                <w:szCs w:val="18"/>
                <w:lang w:eastAsia="en-AU"/>
              </w:rPr>
              <w:t xml:space="preserve"> and filed.</w:t>
            </w:r>
          </w:p>
        </w:tc>
        <w:tc>
          <w:tcPr>
            <w:tcW w:w="0" w:type="auto"/>
            <w:tcBorders>
              <w:top w:val="nil"/>
              <w:left w:val="nil"/>
              <w:bottom w:val="single" w:sz="4" w:space="0" w:color="auto"/>
              <w:right w:val="single" w:sz="4" w:space="0" w:color="auto"/>
            </w:tcBorders>
            <w:shd w:val="clear" w:color="auto" w:fill="auto"/>
            <w:noWrap/>
            <w:hideMark/>
          </w:tcPr>
          <w:p w14:paraId="3139964B"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277ADC9E"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19EA41C5"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65</w:t>
            </w:r>
          </w:p>
        </w:tc>
        <w:tc>
          <w:tcPr>
            <w:tcW w:w="0" w:type="auto"/>
            <w:tcBorders>
              <w:top w:val="nil"/>
              <w:left w:val="nil"/>
              <w:bottom w:val="single" w:sz="4" w:space="0" w:color="auto"/>
              <w:right w:val="single" w:sz="4" w:space="0" w:color="auto"/>
            </w:tcBorders>
            <w:shd w:val="clear" w:color="auto" w:fill="auto"/>
            <w:hideMark/>
          </w:tcPr>
          <w:p w14:paraId="4AE9EBC5"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0B06D02B" w14:textId="1963121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Safeguards team to conduct quarterly internal refresher courses on SPM requirements for all CPIU staff including discussion of issues encountered and suggested improvements.  </w:t>
            </w:r>
          </w:p>
        </w:tc>
        <w:tc>
          <w:tcPr>
            <w:tcW w:w="0" w:type="auto"/>
            <w:tcBorders>
              <w:top w:val="nil"/>
              <w:left w:val="nil"/>
              <w:bottom w:val="single" w:sz="4" w:space="0" w:color="auto"/>
              <w:right w:val="single" w:sz="4" w:space="0" w:color="auto"/>
            </w:tcBorders>
            <w:shd w:val="clear" w:color="auto" w:fill="auto"/>
            <w:noWrap/>
            <w:hideMark/>
          </w:tcPr>
          <w:p w14:paraId="1F6CAECE"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2FC2FAB7"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2F6E73B0"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66</w:t>
            </w:r>
          </w:p>
        </w:tc>
        <w:tc>
          <w:tcPr>
            <w:tcW w:w="0" w:type="auto"/>
            <w:tcBorders>
              <w:top w:val="nil"/>
              <w:left w:val="nil"/>
              <w:bottom w:val="single" w:sz="4" w:space="0" w:color="auto"/>
              <w:right w:val="single" w:sz="4" w:space="0" w:color="auto"/>
            </w:tcBorders>
            <w:shd w:val="clear" w:color="auto" w:fill="auto"/>
            <w:hideMark/>
          </w:tcPr>
          <w:p w14:paraId="3B58FC0F"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5FCA8C1C" w14:textId="08B9AFAF"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Staff induction or briefings on appointment need to identify responsibilities of all CPIU staff in respect of understanding and complying with the SPM.</w:t>
            </w:r>
          </w:p>
        </w:tc>
        <w:tc>
          <w:tcPr>
            <w:tcW w:w="0" w:type="auto"/>
            <w:tcBorders>
              <w:top w:val="nil"/>
              <w:left w:val="nil"/>
              <w:bottom w:val="single" w:sz="4" w:space="0" w:color="auto"/>
              <w:right w:val="single" w:sz="4" w:space="0" w:color="auto"/>
            </w:tcBorders>
            <w:shd w:val="clear" w:color="auto" w:fill="auto"/>
            <w:noWrap/>
            <w:hideMark/>
          </w:tcPr>
          <w:p w14:paraId="786E0501"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3F9F73AF"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61901FD"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67</w:t>
            </w:r>
          </w:p>
        </w:tc>
        <w:tc>
          <w:tcPr>
            <w:tcW w:w="0" w:type="auto"/>
            <w:tcBorders>
              <w:top w:val="nil"/>
              <w:left w:val="nil"/>
              <w:bottom w:val="single" w:sz="4" w:space="0" w:color="auto"/>
              <w:right w:val="single" w:sz="4" w:space="0" w:color="auto"/>
            </w:tcBorders>
            <w:shd w:val="clear" w:color="auto" w:fill="auto"/>
            <w:hideMark/>
          </w:tcPr>
          <w:p w14:paraId="686E39FF"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67B3EBD6" w14:textId="5695904F"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Annual workshop on SPM implementation for all national infrastructure development agencies (energy, health, education, water supply/sanitation) provided by CPIU safeguards team (and support consultants) including specific modules on due diligence to meet CSS, integration of due diligence and development consent into bid documents, CEMP, community consultation and coordination with social safeguards. </w:t>
            </w:r>
          </w:p>
        </w:tc>
        <w:tc>
          <w:tcPr>
            <w:tcW w:w="0" w:type="auto"/>
            <w:tcBorders>
              <w:top w:val="nil"/>
              <w:left w:val="nil"/>
              <w:bottom w:val="single" w:sz="4" w:space="0" w:color="auto"/>
              <w:right w:val="single" w:sz="4" w:space="0" w:color="auto"/>
            </w:tcBorders>
            <w:shd w:val="clear" w:color="auto" w:fill="auto"/>
            <w:noWrap/>
            <w:hideMark/>
          </w:tcPr>
          <w:p w14:paraId="7C6B68C6"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429AB66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6325CEDF"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68</w:t>
            </w:r>
          </w:p>
        </w:tc>
        <w:tc>
          <w:tcPr>
            <w:tcW w:w="0" w:type="auto"/>
            <w:tcBorders>
              <w:top w:val="nil"/>
              <w:left w:val="nil"/>
              <w:bottom w:val="single" w:sz="4" w:space="0" w:color="auto"/>
              <w:right w:val="single" w:sz="4" w:space="0" w:color="auto"/>
            </w:tcBorders>
            <w:shd w:val="clear" w:color="auto" w:fill="auto"/>
            <w:hideMark/>
          </w:tcPr>
          <w:p w14:paraId="3C7E3A19"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518798F0" w14:textId="42CE0855"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CPIU safeguards team to update the SPM following review and consultation within MID, integrating lessons learned.</w:t>
            </w:r>
          </w:p>
        </w:tc>
        <w:tc>
          <w:tcPr>
            <w:tcW w:w="0" w:type="auto"/>
            <w:tcBorders>
              <w:top w:val="nil"/>
              <w:left w:val="nil"/>
              <w:bottom w:val="single" w:sz="4" w:space="0" w:color="auto"/>
              <w:right w:val="single" w:sz="4" w:space="0" w:color="auto"/>
            </w:tcBorders>
            <w:shd w:val="clear" w:color="auto" w:fill="auto"/>
            <w:noWrap/>
            <w:hideMark/>
          </w:tcPr>
          <w:p w14:paraId="5A031071"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4B1E003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454C18C"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69</w:t>
            </w:r>
          </w:p>
        </w:tc>
        <w:tc>
          <w:tcPr>
            <w:tcW w:w="0" w:type="auto"/>
            <w:tcBorders>
              <w:top w:val="nil"/>
              <w:left w:val="nil"/>
              <w:bottom w:val="single" w:sz="4" w:space="0" w:color="auto"/>
              <w:right w:val="single" w:sz="4" w:space="0" w:color="auto"/>
            </w:tcBorders>
            <w:shd w:val="clear" w:color="auto" w:fill="auto"/>
            <w:hideMark/>
          </w:tcPr>
          <w:p w14:paraId="0291E4D1"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3203C7F2" w14:textId="7522725A"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Request development partner support for ongoing international safeguards capacity-building support for CPIU targeting the above recommendations.</w:t>
            </w:r>
          </w:p>
        </w:tc>
        <w:tc>
          <w:tcPr>
            <w:tcW w:w="0" w:type="auto"/>
            <w:tcBorders>
              <w:top w:val="nil"/>
              <w:left w:val="nil"/>
              <w:bottom w:val="single" w:sz="4" w:space="0" w:color="auto"/>
              <w:right w:val="single" w:sz="4" w:space="0" w:color="auto"/>
            </w:tcBorders>
            <w:shd w:val="clear" w:color="auto" w:fill="auto"/>
            <w:noWrap/>
            <w:hideMark/>
          </w:tcPr>
          <w:p w14:paraId="561A5439"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835A520"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58FB6BAA"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70</w:t>
            </w:r>
          </w:p>
        </w:tc>
        <w:tc>
          <w:tcPr>
            <w:tcW w:w="0" w:type="auto"/>
            <w:tcBorders>
              <w:top w:val="nil"/>
              <w:left w:val="nil"/>
              <w:bottom w:val="single" w:sz="4" w:space="0" w:color="auto"/>
              <w:right w:val="single" w:sz="4" w:space="0" w:color="auto"/>
            </w:tcBorders>
            <w:shd w:val="clear" w:color="auto" w:fill="auto"/>
            <w:hideMark/>
          </w:tcPr>
          <w:p w14:paraId="405E343F"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79072668" w14:textId="4DE40018"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Require that bid documents and BOQ include provisional sums for various safeguards requirements, specific to each contract, rather than providing for only one item (CEMP) as a lump sum.</w:t>
            </w:r>
            <w:r w:rsidR="00246C17">
              <w:rPr>
                <w:rFonts w:ascii="Arial" w:eastAsia="Symbol" w:hAnsi="Arial" w:cs="Symbol"/>
                <w:color w:val="000000"/>
                <w:sz w:val="18"/>
                <w:szCs w:val="18"/>
                <w:lang w:eastAsia="en-AU"/>
              </w:rPr>
              <w:t xml:space="preserve"> </w:t>
            </w:r>
            <w:r w:rsidRPr="007A4EB0">
              <w:rPr>
                <w:rFonts w:ascii="Arial" w:eastAsia="Symbol" w:hAnsi="Arial" w:cs="Symbol"/>
                <w:color w:val="000000"/>
                <w:sz w:val="18"/>
                <w:szCs w:val="18"/>
                <w:lang w:eastAsia="en-AU"/>
              </w:rPr>
              <w:t xml:space="preserve">In this way the budget for </w:t>
            </w:r>
            <w:r w:rsidRPr="007A4EB0">
              <w:rPr>
                <w:rFonts w:ascii="Arial" w:eastAsia="Symbol" w:hAnsi="Arial" w:cs="Symbol"/>
                <w:color w:val="000000"/>
                <w:sz w:val="18"/>
                <w:szCs w:val="18"/>
                <w:lang w:eastAsia="en-AU"/>
              </w:rPr>
              <w:lastRenderedPageBreak/>
              <w:t>CEMP preparation, implementation and monitoring as well as other safeguards requirements such as establishment of community advisory committees and meetings etc., must be approved by the engineer. This will importantly ensure funding is available for preparation of the CEMP, implementation of mitigation measures, consultations, and monitoring.</w:t>
            </w:r>
          </w:p>
        </w:tc>
        <w:tc>
          <w:tcPr>
            <w:tcW w:w="0" w:type="auto"/>
            <w:tcBorders>
              <w:top w:val="nil"/>
              <w:left w:val="nil"/>
              <w:bottom w:val="single" w:sz="4" w:space="0" w:color="auto"/>
              <w:right w:val="single" w:sz="4" w:space="0" w:color="auto"/>
            </w:tcBorders>
            <w:shd w:val="clear" w:color="auto" w:fill="auto"/>
            <w:noWrap/>
            <w:hideMark/>
          </w:tcPr>
          <w:p w14:paraId="22595599"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lastRenderedPageBreak/>
              <w:t>SIG</w:t>
            </w:r>
          </w:p>
        </w:tc>
      </w:tr>
      <w:tr w:rsidR="000C49F9" w:rsidRPr="007A4EB0" w14:paraId="628CB11B"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1D0C8E99"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71</w:t>
            </w:r>
          </w:p>
        </w:tc>
        <w:tc>
          <w:tcPr>
            <w:tcW w:w="0" w:type="auto"/>
            <w:tcBorders>
              <w:top w:val="nil"/>
              <w:left w:val="nil"/>
              <w:bottom w:val="single" w:sz="4" w:space="0" w:color="auto"/>
              <w:right w:val="single" w:sz="4" w:space="0" w:color="auto"/>
            </w:tcBorders>
            <w:shd w:val="clear" w:color="auto" w:fill="auto"/>
            <w:hideMark/>
          </w:tcPr>
          <w:p w14:paraId="05C7527C"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4AB41CCA" w14:textId="018FD33E"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 xml:space="preserve">Strengthen environmental monitoring procedures (through SPM revision) </w:t>
            </w:r>
            <w:r w:rsidR="00067295" w:rsidRPr="007A4EB0">
              <w:rPr>
                <w:rFonts w:ascii="Arial" w:eastAsia="Symbol" w:hAnsi="Arial" w:cs="Symbol"/>
                <w:color w:val="000000"/>
                <w:sz w:val="18"/>
                <w:szCs w:val="18"/>
                <w:lang w:eastAsia="en-AU"/>
              </w:rPr>
              <w:t>by</w:t>
            </w:r>
            <w:r w:rsidRPr="007A4EB0">
              <w:rPr>
                <w:rFonts w:ascii="Arial" w:eastAsia="Symbol" w:hAnsi="Arial" w:cs="Symbol"/>
                <w:color w:val="000000"/>
                <w:sz w:val="18"/>
                <w:szCs w:val="18"/>
                <w:lang w:eastAsia="en-AU"/>
              </w:rPr>
              <w:t xml:space="preserve"> </w:t>
            </w:r>
            <w:r w:rsidR="005F2276">
              <w:rPr>
                <w:rFonts w:ascii="Arial" w:eastAsia="Symbol" w:hAnsi="Arial" w:cs="Symbol"/>
                <w:color w:val="000000"/>
                <w:sz w:val="18"/>
                <w:szCs w:val="18"/>
                <w:lang w:eastAsia="en-AU"/>
              </w:rPr>
              <w:t>a</w:t>
            </w:r>
            <w:r w:rsidRPr="007A4EB0">
              <w:rPr>
                <w:rFonts w:ascii="Arial" w:eastAsia="Symbol" w:hAnsi="Arial" w:cs="Symbol"/>
                <w:color w:val="000000"/>
                <w:sz w:val="18"/>
                <w:szCs w:val="18"/>
                <w:lang w:eastAsia="en-AU"/>
              </w:rPr>
              <w:t>) requiring job managers to submit all contractor’s monthly environmental checklists to the safeguards team for review</w:t>
            </w:r>
            <w:r w:rsidR="00067295">
              <w:rPr>
                <w:rFonts w:ascii="Arial" w:eastAsia="Symbol" w:hAnsi="Arial" w:cs="Symbol"/>
                <w:color w:val="000000"/>
                <w:sz w:val="18"/>
                <w:szCs w:val="18"/>
                <w:lang w:eastAsia="en-AU"/>
              </w:rPr>
              <w:t>;</w:t>
            </w:r>
            <w:r w:rsidRPr="007A4EB0">
              <w:rPr>
                <w:rFonts w:ascii="Arial" w:eastAsia="Symbol" w:hAnsi="Arial" w:cs="Symbol"/>
                <w:color w:val="000000"/>
                <w:sz w:val="18"/>
                <w:szCs w:val="18"/>
                <w:lang w:eastAsia="en-AU"/>
              </w:rPr>
              <w:t xml:space="preserve"> and </w:t>
            </w:r>
            <w:r w:rsidR="005F2276">
              <w:rPr>
                <w:rFonts w:ascii="Arial" w:eastAsia="Symbol" w:hAnsi="Arial" w:cs="Symbol"/>
                <w:color w:val="000000"/>
                <w:sz w:val="18"/>
                <w:szCs w:val="18"/>
                <w:lang w:eastAsia="en-AU"/>
              </w:rPr>
              <w:t>b</w:t>
            </w:r>
            <w:r w:rsidRPr="007A4EB0">
              <w:rPr>
                <w:rFonts w:ascii="Arial" w:eastAsia="Symbol" w:hAnsi="Arial" w:cs="Symbol"/>
                <w:color w:val="000000"/>
                <w:sz w:val="18"/>
                <w:szCs w:val="18"/>
                <w:lang w:eastAsia="en-AU"/>
              </w:rPr>
              <w:t>) requiring site supervisors/job managers to undertake a fortnightly environmental site inspection of each subproject using a checklist based on CPSEM or CEMP and submit to the safeguards team for review.</w:t>
            </w:r>
          </w:p>
        </w:tc>
        <w:tc>
          <w:tcPr>
            <w:tcW w:w="0" w:type="auto"/>
            <w:tcBorders>
              <w:top w:val="nil"/>
              <w:left w:val="nil"/>
              <w:bottom w:val="single" w:sz="4" w:space="0" w:color="auto"/>
              <w:right w:val="single" w:sz="4" w:space="0" w:color="auto"/>
            </w:tcBorders>
            <w:shd w:val="clear" w:color="auto" w:fill="auto"/>
            <w:noWrap/>
            <w:hideMark/>
          </w:tcPr>
          <w:p w14:paraId="7AC13EA1"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7E124599"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4A733425"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72</w:t>
            </w:r>
          </w:p>
        </w:tc>
        <w:tc>
          <w:tcPr>
            <w:tcW w:w="0" w:type="auto"/>
            <w:tcBorders>
              <w:top w:val="nil"/>
              <w:left w:val="nil"/>
              <w:bottom w:val="single" w:sz="4" w:space="0" w:color="auto"/>
              <w:right w:val="single" w:sz="4" w:space="0" w:color="auto"/>
            </w:tcBorders>
            <w:shd w:val="clear" w:color="auto" w:fill="auto"/>
            <w:hideMark/>
          </w:tcPr>
          <w:p w14:paraId="40A45964"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7C062505" w14:textId="3E1564EC"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Implement fit-for-purpose financial arrangements that facilitate timely disbursement for recurrent operational requirements.</w:t>
            </w:r>
          </w:p>
        </w:tc>
        <w:tc>
          <w:tcPr>
            <w:tcW w:w="0" w:type="auto"/>
            <w:tcBorders>
              <w:top w:val="nil"/>
              <w:left w:val="nil"/>
              <w:bottom w:val="single" w:sz="4" w:space="0" w:color="auto"/>
              <w:right w:val="single" w:sz="4" w:space="0" w:color="auto"/>
            </w:tcBorders>
            <w:shd w:val="clear" w:color="auto" w:fill="auto"/>
            <w:noWrap/>
            <w:hideMark/>
          </w:tcPr>
          <w:p w14:paraId="12C72CE7"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61D739A4"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1E04FAD1"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73</w:t>
            </w:r>
          </w:p>
        </w:tc>
        <w:tc>
          <w:tcPr>
            <w:tcW w:w="0" w:type="auto"/>
            <w:tcBorders>
              <w:top w:val="nil"/>
              <w:left w:val="nil"/>
              <w:bottom w:val="single" w:sz="4" w:space="0" w:color="auto"/>
              <w:right w:val="single" w:sz="4" w:space="0" w:color="auto"/>
            </w:tcBorders>
            <w:shd w:val="clear" w:color="auto" w:fill="auto"/>
            <w:hideMark/>
          </w:tcPr>
          <w:p w14:paraId="4016DDB2"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4843D13A" w14:textId="55CD95FD"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Ensure consultant contracts are secure in terms of tenure (for minimum 12 months) and pay fees in a timely manner.</w:t>
            </w:r>
          </w:p>
        </w:tc>
        <w:tc>
          <w:tcPr>
            <w:tcW w:w="0" w:type="auto"/>
            <w:tcBorders>
              <w:top w:val="nil"/>
              <w:left w:val="nil"/>
              <w:bottom w:val="single" w:sz="4" w:space="0" w:color="auto"/>
              <w:right w:val="single" w:sz="4" w:space="0" w:color="auto"/>
            </w:tcBorders>
            <w:shd w:val="clear" w:color="auto" w:fill="auto"/>
            <w:noWrap/>
            <w:hideMark/>
          </w:tcPr>
          <w:p w14:paraId="6CBE768F"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5C718B38"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18CB45C9"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74</w:t>
            </w:r>
          </w:p>
        </w:tc>
        <w:tc>
          <w:tcPr>
            <w:tcW w:w="0" w:type="auto"/>
            <w:tcBorders>
              <w:top w:val="nil"/>
              <w:left w:val="nil"/>
              <w:bottom w:val="single" w:sz="4" w:space="0" w:color="auto"/>
              <w:right w:val="single" w:sz="4" w:space="0" w:color="auto"/>
            </w:tcBorders>
            <w:shd w:val="clear" w:color="auto" w:fill="auto"/>
            <w:hideMark/>
          </w:tcPr>
          <w:p w14:paraId="4940F780"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5C63CE47" w14:textId="3FDBBB85"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Implement a project management system that focuses on team coordination and organi</w:t>
            </w:r>
            <w:r w:rsidR="0063328A">
              <w:rPr>
                <w:rFonts w:ascii="Arial" w:eastAsia="Symbol" w:hAnsi="Arial" w:cs="Symbol"/>
                <w:color w:val="000000"/>
                <w:sz w:val="18"/>
                <w:szCs w:val="18"/>
                <w:lang w:eastAsia="en-AU"/>
              </w:rPr>
              <w:t>s</w:t>
            </w:r>
            <w:r w:rsidRPr="007A4EB0">
              <w:rPr>
                <w:rFonts w:ascii="Arial" w:eastAsia="Symbol" w:hAnsi="Arial" w:cs="Symbol"/>
                <w:color w:val="000000"/>
                <w:sz w:val="18"/>
                <w:szCs w:val="18"/>
                <w:lang w:eastAsia="en-AU"/>
              </w:rPr>
              <w:t xml:space="preserve">ational development including internal communication, information management and sharing, monitoring, reporting, and data management. </w:t>
            </w:r>
          </w:p>
        </w:tc>
        <w:tc>
          <w:tcPr>
            <w:tcW w:w="0" w:type="auto"/>
            <w:tcBorders>
              <w:top w:val="nil"/>
              <w:left w:val="nil"/>
              <w:bottom w:val="single" w:sz="4" w:space="0" w:color="auto"/>
              <w:right w:val="single" w:sz="4" w:space="0" w:color="auto"/>
            </w:tcBorders>
            <w:shd w:val="clear" w:color="auto" w:fill="auto"/>
            <w:noWrap/>
            <w:hideMark/>
          </w:tcPr>
          <w:p w14:paraId="7BED5F64"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277882B0"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0AF6C1FB"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75</w:t>
            </w:r>
          </w:p>
        </w:tc>
        <w:tc>
          <w:tcPr>
            <w:tcW w:w="0" w:type="auto"/>
            <w:tcBorders>
              <w:top w:val="nil"/>
              <w:left w:val="nil"/>
              <w:bottom w:val="single" w:sz="4" w:space="0" w:color="auto"/>
              <w:right w:val="single" w:sz="4" w:space="0" w:color="auto"/>
            </w:tcBorders>
            <w:shd w:val="clear" w:color="auto" w:fill="auto"/>
            <w:hideMark/>
          </w:tcPr>
          <w:p w14:paraId="377C7D78"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3DE642C7" w14:textId="562B2918"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Address the foregoing issues before designing future transport sector engagements with development partners</w:t>
            </w:r>
          </w:p>
        </w:tc>
        <w:tc>
          <w:tcPr>
            <w:tcW w:w="0" w:type="auto"/>
            <w:tcBorders>
              <w:top w:val="nil"/>
              <w:left w:val="nil"/>
              <w:bottom w:val="single" w:sz="4" w:space="0" w:color="auto"/>
              <w:right w:val="single" w:sz="4" w:space="0" w:color="auto"/>
            </w:tcBorders>
            <w:shd w:val="clear" w:color="auto" w:fill="auto"/>
            <w:noWrap/>
            <w:hideMark/>
          </w:tcPr>
          <w:p w14:paraId="459CB27F"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r w:rsidR="000C49F9" w:rsidRPr="007A4EB0" w14:paraId="7B24BB0C" w14:textId="77777777" w:rsidTr="001415C0">
        <w:tc>
          <w:tcPr>
            <w:tcW w:w="0" w:type="auto"/>
            <w:tcBorders>
              <w:top w:val="nil"/>
              <w:left w:val="single" w:sz="4" w:space="0" w:color="auto"/>
              <w:bottom w:val="single" w:sz="4" w:space="0" w:color="auto"/>
              <w:right w:val="single" w:sz="4" w:space="0" w:color="auto"/>
            </w:tcBorders>
            <w:shd w:val="clear" w:color="auto" w:fill="auto"/>
            <w:noWrap/>
            <w:hideMark/>
          </w:tcPr>
          <w:p w14:paraId="553A5787" w14:textId="77777777" w:rsidR="007A4EB0" w:rsidRPr="007A4EB0" w:rsidRDefault="007A4EB0" w:rsidP="000C49F9">
            <w:pPr>
              <w:spacing w:after="0"/>
              <w:jc w:val="center"/>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76</w:t>
            </w:r>
          </w:p>
        </w:tc>
        <w:tc>
          <w:tcPr>
            <w:tcW w:w="0" w:type="auto"/>
            <w:tcBorders>
              <w:top w:val="nil"/>
              <w:left w:val="nil"/>
              <w:bottom w:val="single" w:sz="4" w:space="0" w:color="auto"/>
              <w:right w:val="single" w:sz="4" w:space="0" w:color="auto"/>
            </w:tcBorders>
            <w:shd w:val="clear" w:color="auto" w:fill="auto"/>
            <w:hideMark/>
          </w:tcPr>
          <w:p w14:paraId="3A3CBBB9" w14:textId="77777777"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eastAsia="en-AU"/>
              </w:rPr>
              <w:t>Environmental Safeguards</w:t>
            </w:r>
          </w:p>
        </w:tc>
        <w:tc>
          <w:tcPr>
            <w:tcW w:w="0" w:type="auto"/>
            <w:tcBorders>
              <w:top w:val="nil"/>
              <w:left w:val="nil"/>
              <w:bottom w:val="single" w:sz="4" w:space="0" w:color="auto"/>
              <w:right w:val="single" w:sz="4" w:space="0" w:color="auto"/>
            </w:tcBorders>
            <w:shd w:val="clear" w:color="auto" w:fill="auto"/>
            <w:hideMark/>
          </w:tcPr>
          <w:p w14:paraId="46FA6E57" w14:textId="50D459A8" w:rsidR="007A4EB0" w:rsidRPr="007A4EB0" w:rsidRDefault="007A4EB0" w:rsidP="000C49F9">
            <w:pPr>
              <w:spacing w:after="0"/>
              <w:rPr>
                <w:rFonts w:ascii="Arial" w:eastAsia="Times New Roman" w:hAnsi="Arial" w:cs="Arial"/>
                <w:color w:val="000000"/>
                <w:sz w:val="18"/>
                <w:szCs w:val="18"/>
                <w:lang w:val="en-AU" w:eastAsia="en-AU"/>
              </w:rPr>
            </w:pPr>
            <w:r w:rsidRPr="007A4EB0">
              <w:rPr>
                <w:rFonts w:ascii="Arial" w:eastAsia="Symbol" w:hAnsi="Arial" w:cs="Symbol"/>
                <w:color w:val="000000"/>
                <w:sz w:val="18"/>
                <w:szCs w:val="18"/>
                <w:lang w:eastAsia="en-AU"/>
              </w:rPr>
              <w:t>During initial community consultations (as part of the Tier 1 and Tier 2 scoping) gather information on the community views of how climate change may impact the road sections proposed for maintenance. Provide this information to MID planning engineers for their consideration/action.</w:t>
            </w:r>
          </w:p>
        </w:tc>
        <w:tc>
          <w:tcPr>
            <w:tcW w:w="0" w:type="auto"/>
            <w:tcBorders>
              <w:top w:val="nil"/>
              <w:left w:val="nil"/>
              <w:bottom w:val="single" w:sz="4" w:space="0" w:color="auto"/>
              <w:right w:val="single" w:sz="4" w:space="0" w:color="auto"/>
            </w:tcBorders>
            <w:shd w:val="clear" w:color="auto" w:fill="auto"/>
            <w:noWrap/>
            <w:hideMark/>
          </w:tcPr>
          <w:p w14:paraId="1067DA0C" w14:textId="77777777" w:rsidR="007A4EB0" w:rsidRPr="007A4EB0" w:rsidRDefault="007A4EB0" w:rsidP="000C49F9">
            <w:pPr>
              <w:spacing w:after="0"/>
              <w:jc w:val="left"/>
              <w:rPr>
                <w:rFonts w:ascii="Arial" w:eastAsia="Times New Roman" w:hAnsi="Arial" w:cs="Arial"/>
                <w:color w:val="000000"/>
                <w:sz w:val="18"/>
                <w:szCs w:val="18"/>
                <w:lang w:val="en-AU" w:eastAsia="en-AU"/>
              </w:rPr>
            </w:pPr>
            <w:r w:rsidRPr="007A4EB0">
              <w:rPr>
                <w:rFonts w:ascii="Arial" w:eastAsia="Times New Roman" w:hAnsi="Arial" w:cs="Arial"/>
                <w:color w:val="000000"/>
                <w:sz w:val="18"/>
                <w:szCs w:val="18"/>
                <w:lang w:val="en-AU" w:eastAsia="en-AU"/>
              </w:rPr>
              <w:t>SIG</w:t>
            </w:r>
          </w:p>
        </w:tc>
      </w:tr>
    </w:tbl>
    <w:p w14:paraId="220C12DB" w14:textId="77777777" w:rsidR="007A4EB0" w:rsidRPr="00A45A5E" w:rsidRDefault="007A4EB0" w:rsidP="009C09AE">
      <w:pPr>
        <w:spacing w:after="120"/>
        <w:rPr>
          <w:rFonts w:ascii="Arial" w:hAnsi="Arial" w:cs="Arial"/>
        </w:rPr>
      </w:pPr>
    </w:p>
    <w:sectPr w:rsidR="007A4EB0" w:rsidRPr="00A45A5E" w:rsidSect="00CA22CA">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0906" w14:textId="77777777" w:rsidR="00C34BAD" w:rsidRDefault="00C34BAD" w:rsidP="00B63DE6">
      <w:pPr>
        <w:spacing w:after="0"/>
      </w:pPr>
      <w:r>
        <w:separator/>
      </w:r>
    </w:p>
  </w:endnote>
  <w:endnote w:type="continuationSeparator" w:id="0">
    <w:p w14:paraId="11015B14" w14:textId="77777777" w:rsidR="00C34BAD" w:rsidRDefault="00C34BAD" w:rsidP="00B63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0D43" w14:textId="06172D65" w:rsidR="00B63DE6" w:rsidRPr="00E7108D" w:rsidRDefault="00843AE0" w:rsidP="00E7108D">
    <w:pPr>
      <w:pStyle w:val="Header"/>
      <w:pBdr>
        <w:top w:val="single" w:sz="8" w:space="1" w:color="767171" w:themeColor="background2" w:themeShade="80"/>
      </w:pBdr>
      <w:jc w:val="left"/>
      <w:rPr>
        <w:rFonts w:ascii="Arial" w:hAnsi="Arial" w:cs="Arial"/>
        <w:sz w:val="14"/>
        <w:szCs w:val="14"/>
        <w:lang w:val="en-GB"/>
      </w:rPr>
    </w:pPr>
    <w:r w:rsidRPr="00E7108D">
      <w:rPr>
        <w:rFonts w:ascii="Arial" w:hAnsi="Arial" w:cs="Arial"/>
        <w:sz w:val="16"/>
        <w:szCs w:val="16"/>
        <w:lang w:val="en-GB"/>
      </w:rPr>
      <w:t xml:space="preserve">Review and Evaluation of the Performance of </w:t>
    </w:r>
    <w:r w:rsidR="00E7108D" w:rsidRPr="00E7108D">
      <w:rPr>
        <w:rFonts w:ascii="Arial" w:hAnsi="Arial" w:cs="Arial"/>
        <w:sz w:val="16"/>
        <w:szCs w:val="16"/>
        <w:lang w:val="en-GB"/>
      </w:rPr>
      <w:t xml:space="preserve">the </w:t>
    </w:r>
    <w:r w:rsidRPr="00E7108D">
      <w:rPr>
        <w:rFonts w:ascii="Arial" w:hAnsi="Arial" w:cs="Arial"/>
        <w:sz w:val="16"/>
        <w:szCs w:val="16"/>
        <w:lang w:val="en-GB"/>
      </w:rPr>
      <w:t>Sustainable Transport Infrastructure Improvement Program (STIIP) and the National Transport Fund (NTF) in Solomon Islands</w:t>
    </w:r>
    <w:r w:rsidR="00B63DE6" w:rsidRPr="00E7108D">
      <w:rPr>
        <w:rFonts w:ascii="Arial" w:hAnsi="Arial" w:cs="Arial"/>
        <w:sz w:val="14"/>
        <w:szCs w:val="14"/>
        <w:lang w:val="en-GB"/>
      </w:rPr>
      <w:tab/>
    </w:r>
    <w:r w:rsidRPr="00E7108D">
      <w:rPr>
        <w:rFonts w:ascii="Arial" w:hAnsi="Arial" w:cs="Arial"/>
        <w:sz w:val="14"/>
        <w:szCs w:val="14"/>
        <w:lang w:val="en-GB"/>
      </w:rPr>
      <w:tab/>
    </w:r>
    <w:r w:rsidR="00B63DE6" w:rsidRPr="00E7108D">
      <w:rPr>
        <w:rFonts w:ascii="Arial" w:hAnsi="Arial" w:cs="Arial"/>
        <w:sz w:val="18"/>
        <w:szCs w:val="18"/>
        <w:lang w:val="en-GB"/>
      </w:rPr>
      <w:fldChar w:fldCharType="begin"/>
    </w:r>
    <w:r w:rsidR="00B63DE6" w:rsidRPr="00E7108D">
      <w:rPr>
        <w:rFonts w:ascii="Arial" w:hAnsi="Arial" w:cs="Arial"/>
        <w:sz w:val="18"/>
        <w:szCs w:val="18"/>
        <w:lang w:val="en-GB"/>
      </w:rPr>
      <w:instrText xml:space="preserve"> PAGE   \* MERGEFORMAT </w:instrText>
    </w:r>
    <w:r w:rsidR="00B63DE6" w:rsidRPr="00E7108D">
      <w:rPr>
        <w:rFonts w:ascii="Arial" w:hAnsi="Arial" w:cs="Arial"/>
        <w:sz w:val="18"/>
        <w:szCs w:val="18"/>
        <w:lang w:val="en-GB"/>
      </w:rPr>
      <w:fldChar w:fldCharType="separate"/>
    </w:r>
    <w:r w:rsidR="00B63DE6" w:rsidRPr="00E7108D">
      <w:rPr>
        <w:rFonts w:ascii="Arial" w:hAnsi="Arial" w:cs="Arial"/>
        <w:noProof/>
        <w:sz w:val="18"/>
        <w:szCs w:val="18"/>
        <w:lang w:val="en-GB"/>
      </w:rPr>
      <w:t>1</w:t>
    </w:r>
    <w:r w:rsidR="00B63DE6" w:rsidRPr="00E7108D">
      <w:rPr>
        <w:rFonts w:ascii="Arial" w:hAnsi="Arial" w:cs="Arial"/>
        <w:noProof/>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4D68" w14:textId="77777777" w:rsidR="00451312" w:rsidRDefault="0045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BEA9" w14:textId="77777777" w:rsidR="00C34BAD" w:rsidRDefault="00C34BAD" w:rsidP="00B63DE6">
      <w:pPr>
        <w:spacing w:after="0"/>
      </w:pPr>
      <w:r>
        <w:separator/>
      </w:r>
    </w:p>
  </w:footnote>
  <w:footnote w:type="continuationSeparator" w:id="0">
    <w:p w14:paraId="6F1BD72C" w14:textId="77777777" w:rsidR="00C34BAD" w:rsidRDefault="00C34BAD" w:rsidP="00B63DE6">
      <w:pPr>
        <w:spacing w:after="0"/>
      </w:pPr>
      <w:r>
        <w:continuationSeparator/>
      </w:r>
    </w:p>
  </w:footnote>
  <w:footnote w:id="1">
    <w:p w14:paraId="47703025" w14:textId="17B6FB6F" w:rsidR="004C2D1B" w:rsidRPr="004C2D1B" w:rsidRDefault="004C2D1B">
      <w:pPr>
        <w:pStyle w:val="FootnoteText"/>
        <w:rPr>
          <w:rFonts w:ascii="Arial" w:hAnsi="Arial" w:cs="Arial"/>
          <w:lang w:val="en-AU"/>
        </w:rPr>
      </w:pPr>
      <w:r w:rsidRPr="004C2D1B">
        <w:rPr>
          <w:rStyle w:val="FootnoteReference"/>
          <w:rFonts w:ascii="Arial" w:hAnsi="Arial" w:cs="Arial"/>
        </w:rPr>
        <w:footnoteRef/>
      </w:r>
      <w:r w:rsidRPr="004C2D1B">
        <w:rPr>
          <w:rFonts w:ascii="Arial" w:hAnsi="Arial" w:cs="Arial"/>
        </w:rPr>
        <w:t xml:space="preserve"> </w:t>
      </w:r>
      <w:r>
        <w:rPr>
          <w:rFonts w:ascii="Arial" w:hAnsi="Arial" w:cs="Arial"/>
        </w:rPr>
        <w:t>Based on e</w:t>
      </w:r>
      <w:r w:rsidRPr="004C2D1B">
        <w:rPr>
          <w:rFonts w:ascii="Arial" w:hAnsi="Arial" w:cs="Arial"/>
          <w:lang w:val="en-AU"/>
        </w:rPr>
        <w:t>xchange rate</w:t>
      </w:r>
      <w:r w:rsidR="00E93F6F">
        <w:rPr>
          <w:rFonts w:ascii="Arial" w:hAnsi="Arial" w:cs="Arial"/>
          <w:lang w:val="en-AU"/>
        </w:rPr>
        <w:t>s</w:t>
      </w:r>
      <w:r w:rsidRPr="004C2D1B">
        <w:rPr>
          <w:rFonts w:ascii="Arial" w:hAnsi="Arial" w:cs="Arial"/>
          <w:lang w:val="en-AU"/>
        </w:rPr>
        <w:t xml:space="preserve"> </w:t>
      </w:r>
      <w:r w:rsidR="00E93F6F">
        <w:rPr>
          <w:rFonts w:ascii="Arial" w:hAnsi="Arial" w:cs="Arial"/>
          <w:lang w:val="en-AU"/>
        </w:rPr>
        <w:t>at the time of disbursement of funds from AUD or USD to SBD.</w:t>
      </w:r>
    </w:p>
  </w:footnote>
  <w:footnote w:id="2">
    <w:p w14:paraId="4A679802" w14:textId="39665BFC" w:rsidR="00E93F6F" w:rsidRPr="00E93F6F" w:rsidRDefault="00E93F6F">
      <w:pPr>
        <w:pStyle w:val="FootnoteText"/>
        <w:rPr>
          <w:lang w:val="en-AU"/>
        </w:rPr>
      </w:pPr>
      <w:r>
        <w:rPr>
          <w:rStyle w:val="FootnoteReference"/>
        </w:rPr>
        <w:footnoteRef/>
      </w:r>
      <w:r>
        <w:t xml:space="preserve"> </w:t>
      </w:r>
      <w:r>
        <w:rPr>
          <w:rFonts w:ascii="Arial" w:hAnsi="Arial" w:cs="Arial"/>
        </w:rPr>
        <w:t>Based on e</w:t>
      </w:r>
      <w:r w:rsidRPr="004C2D1B">
        <w:rPr>
          <w:rFonts w:ascii="Arial" w:hAnsi="Arial" w:cs="Arial"/>
          <w:lang w:val="en-AU"/>
        </w:rPr>
        <w:t>xchange rate</w:t>
      </w:r>
      <w:r>
        <w:rPr>
          <w:rFonts w:ascii="Arial" w:hAnsi="Arial" w:cs="Arial"/>
          <w:lang w:val="en-AU"/>
        </w:rPr>
        <w:t>s</w:t>
      </w:r>
      <w:r w:rsidRPr="004C2D1B">
        <w:rPr>
          <w:rFonts w:ascii="Arial" w:hAnsi="Arial" w:cs="Arial"/>
          <w:lang w:val="en-AU"/>
        </w:rPr>
        <w:t xml:space="preserve"> </w:t>
      </w:r>
      <w:r>
        <w:rPr>
          <w:rFonts w:ascii="Arial" w:hAnsi="Arial" w:cs="Arial"/>
          <w:lang w:val="en-AU"/>
        </w:rPr>
        <w:t>at the time of disbursement of funds from AUD or USD to SBD.</w:t>
      </w:r>
    </w:p>
  </w:footnote>
  <w:footnote w:id="3">
    <w:p w14:paraId="60C665AA" w14:textId="32FBCFF1" w:rsidR="00611E8B" w:rsidRPr="00B34508" w:rsidRDefault="00611E8B" w:rsidP="00611E8B">
      <w:pPr>
        <w:autoSpaceDE w:val="0"/>
        <w:autoSpaceDN w:val="0"/>
        <w:adjustRightInd w:val="0"/>
        <w:spacing w:after="120"/>
        <w:jc w:val="left"/>
        <w:rPr>
          <w:rFonts w:ascii="Arial" w:hAnsi="Arial" w:cs="Arial"/>
          <w:sz w:val="16"/>
          <w:szCs w:val="16"/>
        </w:rPr>
      </w:pPr>
      <w:r w:rsidRPr="00B34508">
        <w:rPr>
          <w:rStyle w:val="FootnoteReference"/>
          <w:rFonts w:ascii="Arial" w:hAnsi="Arial" w:cs="Arial"/>
          <w:sz w:val="16"/>
          <w:szCs w:val="16"/>
        </w:rPr>
        <w:footnoteRef/>
      </w:r>
      <w:r w:rsidRPr="00B34508">
        <w:rPr>
          <w:rFonts w:ascii="Arial" w:hAnsi="Arial" w:cs="Arial"/>
          <w:sz w:val="16"/>
          <w:szCs w:val="16"/>
        </w:rPr>
        <w:t xml:space="preserve"> </w:t>
      </w:r>
      <w:r w:rsidR="00B34508" w:rsidRPr="00B34508">
        <w:rPr>
          <w:rFonts w:ascii="Arial" w:hAnsi="Arial" w:cs="Arial"/>
          <w:sz w:val="16"/>
          <w:szCs w:val="16"/>
          <w:lang w:val="en-AU"/>
        </w:rPr>
        <w:t>GOA contributed 57 percent of its earmarked contribution.</w:t>
      </w:r>
      <w:r w:rsidR="00B34508" w:rsidRPr="00B34508">
        <w:rPr>
          <w:rFonts w:ascii="Arial" w:hAnsi="Arial" w:cs="Arial"/>
          <w:sz w:val="16"/>
          <w:szCs w:val="16"/>
        </w:rPr>
        <w:t xml:space="preserve"> </w:t>
      </w:r>
      <w:r w:rsidRPr="00B34508">
        <w:rPr>
          <w:rFonts w:ascii="Arial" w:hAnsi="Arial" w:cs="Arial"/>
          <w:sz w:val="16"/>
          <w:szCs w:val="16"/>
        </w:rPr>
        <w:t xml:space="preserve">SIG did not contribute above its agreed base allocation, as expected, and so did not leverage the GOA incentive funding. </w:t>
      </w:r>
    </w:p>
  </w:footnote>
  <w:footnote w:id="4">
    <w:p w14:paraId="111D07E9" w14:textId="78C44051" w:rsidR="00425370" w:rsidRPr="009F4354" w:rsidRDefault="00425370" w:rsidP="009F4354">
      <w:pPr>
        <w:pStyle w:val="FootnoteText"/>
        <w:tabs>
          <w:tab w:val="left" w:pos="187"/>
        </w:tabs>
        <w:spacing w:before="0" w:after="0"/>
        <w:rPr>
          <w:rFonts w:ascii="Arial" w:hAnsi="Arial" w:cs="Arial"/>
          <w:szCs w:val="16"/>
        </w:rPr>
      </w:pPr>
      <w:r w:rsidRPr="009F4354">
        <w:rPr>
          <w:rStyle w:val="FootnoteReference"/>
          <w:szCs w:val="16"/>
        </w:rPr>
        <w:footnoteRef/>
      </w:r>
      <w:r w:rsidRPr="009F4354">
        <w:rPr>
          <w:szCs w:val="16"/>
        </w:rPr>
        <w:t xml:space="preserve"> </w:t>
      </w:r>
      <w:r w:rsidRPr="009F4354">
        <w:rPr>
          <w:rFonts w:ascii="Arial" w:eastAsia="Arial" w:hAnsi="Arial" w:cs="Arial"/>
          <w:color w:val="201F1E"/>
          <w:szCs w:val="16"/>
        </w:rPr>
        <w:t>The feasibility study for Mbokokimbo-Aola road (28km length) considered an increase in intensity and frequency of extreme rainfall events, sea level rise, more intense tropical cyclones, more hot days, and warm nights. The Tanahua road (Honiara) detailed design was screened for climate risks. This will be a priority road section in future MID projects and included in MTTAP 2021-25. Climate r</w:t>
      </w:r>
      <w:r w:rsidRPr="009F4354">
        <w:rPr>
          <w:rFonts w:ascii="Arial" w:eastAsia="Arial" w:hAnsi="Arial" w:cs="Arial"/>
          <w:szCs w:val="16"/>
        </w:rPr>
        <w:t>isk assessments considered the likelihood of an adverse event and its consequence</w:t>
      </w:r>
      <w:r w:rsidR="00CF5066">
        <w:rPr>
          <w:rFonts w:ascii="Arial" w:eastAsia="Arial" w:hAnsi="Arial" w:cs="Arial"/>
          <w:szCs w:val="16"/>
        </w:rPr>
        <w:t xml:space="preserve">; </w:t>
      </w:r>
      <w:r w:rsidRPr="009F4354">
        <w:rPr>
          <w:rFonts w:ascii="Arial" w:eastAsia="Arial" w:hAnsi="Arial" w:cs="Arial"/>
          <w:szCs w:val="16"/>
        </w:rPr>
        <w:t>the event being the climate hazard, and the consequence depending on exposure and sensitivity of the infrastructure.</w:t>
      </w:r>
    </w:p>
  </w:footnote>
  <w:footnote w:id="5">
    <w:p w14:paraId="2550BC42" w14:textId="0309A84F" w:rsidR="0016104A" w:rsidRPr="0016104A" w:rsidRDefault="009C04A6" w:rsidP="00D5516C">
      <w:pPr>
        <w:autoSpaceDE w:val="0"/>
        <w:autoSpaceDN w:val="0"/>
        <w:adjustRightInd w:val="0"/>
        <w:spacing w:after="0"/>
        <w:jc w:val="left"/>
        <w:rPr>
          <w:rFonts w:ascii="Arial" w:hAnsi="Arial" w:cs="Arial"/>
          <w:sz w:val="18"/>
          <w:szCs w:val="18"/>
          <w:lang w:val="en-AU"/>
        </w:rPr>
      </w:pPr>
      <w:r w:rsidRPr="0016104A">
        <w:rPr>
          <w:rStyle w:val="FootnoteReference"/>
          <w:rFonts w:ascii="Arial" w:hAnsi="Arial" w:cs="Arial"/>
          <w:sz w:val="16"/>
          <w:szCs w:val="16"/>
        </w:rPr>
        <w:footnoteRef/>
      </w:r>
      <w:r w:rsidRPr="0016104A">
        <w:rPr>
          <w:rFonts w:ascii="Arial" w:hAnsi="Arial" w:cs="Arial"/>
          <w:sz w:val="16"/>
          <w:szCs w:val="16"/>
        </w:rPr>
        <w:t xml:space="preserve"> </w:t>
      </w:r>
      <w:r w:rsidRPr="0016104A">
        <w:rPr>
          <w:rFonts w:ascii="Arial" w:hAnsi="Arial" w:cs="Arial"/>
          <w:sz w:val="16"/>
          <w:szCs w:val="16"/>
          <w:lang w:val="en-AU"/>
        </w:rPr>
        <w:t>SITAMS proved valuable in the development of sub-project scopes of works. Training was provided to the asset</w:t>
      </w:r>
      <w:r w:rsidR="0016104A">
        <w:rPr>
          <w:rFonts w:ascii="Arial" w:hAnsi="Arial" w:cs="Arial"/>
          <w:sz w:val="16"/>
          <w:szCs w:val="16"/>
          <w:lang w:val="en-AU"/>
        </w:rPr>
        <w:t xml:space="preserve"> </w:t>
      </w:r>
      <w:r w:rsidRPr="0016104A">
        <w:rPr>
          <w:rFonts w:ascii="Arial" w:hAnsi="Arial" w:cs="Arial"/>
          <w:sz w:val="16"/>
          <w:szCs w:val="16"/>
          <w:lang w:val="en-AU"/>
        </w:rPr>
        <w:t>management team on the App based system. Knowledge gained was used to complete preliminary bridge condition</w:t>
      </w:r>
      <w:r w:rsidR="0016104A">
        <w:rPr>
          <w:rFonts w:ascii="Arial" w:hAnsi="Arial" w:cs="Arial"/>
          <w:sz w:val="16"/>
          <w:szCs w:val="16"/>
          <w:lang w:val="en-AU"/>
        </w:rPr>
        <w:t xml:space="preserve"> </w:t>
      </w:r>
      <w:r w:rsidRPr="0016104A">
        <w:rPr>
          <w:rFonts w:ascii="Arial" w:hAnsi="Arial" w:cs="Arial"/>
          <w:sz w:val="16"/>
          <w:szCs w:val="16"/>
          <w:lang w:val="en-AU"/>
        </w:rPr>
        <w:t>assessment for all the bridges in Guadalcanal and Malaita. On the job training was provided (to CPIU engineers and</w:t>
      </w:r>
      <w:r w:rsidR="0016104A">
        <w:rPr>
          <w:rFonts w:ascii="Arial" w:hAnsi="Arial" w:cs="Arial"/>
          <w:sz w:val="16"/>
          <w:szCs w:val="16"/>
          <w:lang w:val="en-AU"/>
        </w:rPr>
        <w:t xml:space="preserve"> </w:t>
      </w:r>
      <w:r w:rsidRPr="0016104A">
        <w:rPr>
          <w:rFonts w:ascii="Arial" w:hAnsi="Arial" w:cs="Arial"/>
          <w:sz w:val="16"/>
          <w:szCs w:val="16"/>
          <w:lang w:val="en-AU"/>
        </w:rPr>
        <w:t xml:space="preserve">asset managers) during road condition assessments along almost the entire sealed road section in Guadalcanal. </w:t>
      </w:r>
    </w:p>
  </w:footnote>
  <w:footnote w:id="6">
    <w:p w14:paraId="1A3AD85F" w14:textId="5D04464E" w:rsidR="00D5516C" w:rsidRPr="00D5516C" w:rsidRDefault="00D5516C" w:rsidP="00D5516C">
      <w:pPr>
        <w:pStyle w:val="FootnoteText"/>
        <w:spacing w:before="0" w:after="0"/>
        <w:rPr>
          <w:rFonts w:ascii="Arial" w:hAnsi="Arial" w:cs="Arial"/>
          <w:szCs w:val="16"/>
          <w:lang w:val="en-AU"/>
        </w:rPr>
      </w:pPr>
      <w:r w:rsidRPr="00D5516C">
        <w:rPr>
          <w:rStyle w:val="FootnoteReference"/>
          <w:rFonts w:ascii="Arial" w:hAnsi="Arial" w:cs="Arial"/>
          <w:szCs w:val="16"/>
        </w:rPr>
        <w:footnoteRef/>
      </w:r>
      <w:r w:rsidRPr="00D5516C">
        <w:rPr>
          <w:rFonts w:ascii="Arial" w:hAnsi="Arial" w:cs="Arial"/>
          <w:szCs w:val="16"/>
        </w:rPr>
        <w:t xml:space="preserve"> </w:t>
      </w:r>
      <w:r w:rsidRPr="00D5516C">
        <w:rPr>
          <w:rFonts w:ascii="Arial" w:hAnsi="Arial" w:cs="Arial"/>
          <w:szCs w:val="16"/>
          <w:lang w:val="en-AU"/>
        </w:rPr>
        <w:t>All wages or subcontract payments paid by contractors were collected in monthly logbooks disaggregated by sex.</w:t>
      </w:r>
    </w:p>
  </w:footnote>
  <w:footnote w:id="7">
    <w:p w14:paraId="35D068C0" w14:textId="12017A5E" w:rsidR="008443BA" w:rsidRPr="00192B37" w:rsidRDefault="008443BA" w:rsidP="00192B37">
      <w:pPr>
        <w:pStyle w:val="FootnoteText"/>
        <w:spacing w:before="0" w:after="0"/>
        <w:rPr>
          <w:rFonts w:ascii="Arial" w:hAnsi="Arial" w:cs="Arial"/>
          <w:szCs w:val="16"/>
          <w:lang w:val="en-GB"/>
        </w:rPr>
      </w:pPr>
      <w:r w:rsidRPr="00192B37">
        <w:rPr>
          <w:rStyle w:val="FootnoteReference"/>
          <w:rFonts w:ascii="Arial" w:hAnsi="Arial" w:cs="Arial"/>
          <w:szCs w:val="16"/>
        </w:rPr>
        <w:footnoteRef/>
      </w:r>
      <w:r w:rsidRPr="00192B37">
        <w:rPr>
          <w:rFonts w:ascii="Arial" w:hAnsi="Arial" w:cs="Arial"/>
          <w:szCs w:val="16"/>
        </w:rPr>
        <w:t xml:space="preserve"> </w:t>
      </w:r>
      <w:r w:rsidRPr="00192B37">
        <w:rPr>
          <w:rFonts w:ascii="Arial" w:hAnsi="Arial" w:cs="Arial"/>
          <w:szCs w:val="16"/>
          <w:lang w:val="en-GB"/>
        </w:rPr>
        <w:t xml:space="preserve">Out of a total of 22 targets, 8 were not achieved, 12 were achieved and for 2 the outcome </w:t>
      </w:r>
      <w:r w:rsidR="00451953">
        <w:rPr>
          <w:rFonts w:ascii="Arial" w:hAnsi="Arial" w:cs="Arial"/>
          <w:szCs w:val="16"/>
          <w:lang w:val="en-GB"/>
        </w:rPr>
        <w:t>was</w:t>
      </w:r>
      <w:r w:rsidRPr="00192B37">
        <w:rPr>
          <w:rFonts w:ascii="Arial" w:hAnsi="Arial" w:cs="Arial"/>
          <w:szCs w:val="16"/>
          <w:lang w:val="en-GB"/>
        </w:rPr>
        <w:t xml:space="preserve"> uncertain. </w:t>
      </w:r>
    </w:p>
  </w:footnote>
  <w:footnote w:id="8">
    <w:p w14:paraId="3C5B7606" w14:textId="337E5164" w:rsidR="002E237B" w:rsidRPr="00493418" w:rsidRDefault="002E237B" w:rsidP="00493418">
      <w:pPr>
        <w:pStyle w:val="FootnoteText"/>
        <w:spacing w:before="0" w:after="0"/>
        <w:rPr>
          <w:szCs w:val="16"/>
          <w:lang w:val="en-GB"/>
        </w:rPr>
      </w:pPr>
      <w:r w:rsidRPr="00493418">
        <w:rPr>
          <w:rStyle w:val="FootnoteReference"/>
          <w:rFonts w:ascii="Arial" w:hAnsi="Arial" w:cs="Arial"/>
          <w:szCs w:val="16"/>
        </w:rPr>
        <w:footnoteRef/>
      </w:r>
      <w:r w:rsidRPr="00493418">
        <w:rPr>
          <w:rFonts w:ascii="Arial" w:hAnsi="Arial" w:cs="Arial"/>
          <w:szCs w:val="16"/>
        </w:rPr>
        <w:t xml:space="preserve"> </w:t>
      </w:r>
      <w:r w:rsidRPr="00493418">
        <w:rPr>
          <w:rFonts w:ascii="Arial" w:hAnsi="Arial" w:cs="Arial"/>
          <w:szCs w:val="16"/>
          <w:lang w:val="en-GB"/>
        </w:rPr>
        <w:t>The NTP does, however, have a strong focus on investment undertakings rather than maintenance activities which means that significant parts of the Plan are not going to be reali</w:t>
      </w:r>
      <w:r w:rsidR="00493418" w:rsidRPr="00493418">
        <w:rPr>
          <w:rFonts w:ascii="Arial" w:hAnsi="Arial" w:cs="Arial"/>
          <w:szCs w:val="16"/>
          <w:lang w:val="en-GB"/>
        </w:rPr>
        <w:t>s</w:t>
      </w:r>
      <w:r w:rsidRPr="00493418">
        <w:rPr>
          <w:rFonts w:ascii="Arial" w:hAnsi="Arial" w:cs="Arial"/>
          <w:szCs w:val="16"/>
          <w:lang w:val="en-GB"/>
        </w:rPr>
        <w:t xml:space="preserve">ed </w:t>
      </w:r>
      <w:r w:rsidR="005F2276" w:rsidRPr="00493418">
        <w:rPr>
          <w:rFonts w:ascii="Arial" w:hAnsi="Arial" w:cs="Arial"/>
          <w:szCs w:val="16"/>
          <w:lang w:val="en-GB"/>
        </w:rPr>
        <w:t>soon</w:t>
      </w:r>
      <w:r w:rsidRPr="00493418">
        <w:rPr>
          <w:rFonts w:ascii="Arial" w:hAnsi="Arial" w:cs="Arial"/>
          <w:szCs w:val="16"/>
          <w:lang w:val="en-GB"/>
        </w:rPr>
        <w:t>.</w:t>
      </w:r>
    </w:p>
  </w:footnote>
  <w:footnote w:id="9">
    <w:p w14:paraId="076D46B2" w14:textId="7668A559" w:rsidR="00067295" w:rsidRPr="00067295" w:rsidRDefault="00067295">
      <w:pPr>
        <w:pStyle w:val="FootnoteText"/>
        <w:rPr>
          <w:rFonts w:ascii="Arial" w:hAnsi="Arial" w:cs="Arial"/>
          <w:lang w:val="en-AU"/>
        </w:rPr>
      </w:pPr>
      <w:r w:rsidRPr="00067295">
        <w:rPr>
          <w:rStyle w:val="FootnoteReference"/>
          <w:rFonts w:ascii="Arial" w:hAnsi="Arial" w:cs="Arial"/>
        </w:rPr>
        <w:footnoteRef/>
      </w:r>
      <w:r w:rsidRPr="00067295">
        <w:rPr>
          <w:rFonts w:ascii="Arial" w:hAnsi="Arial" w:cs="Arial"/>
        </w:rPr>
        <w:t xml:space="preserve"> </w:t>
      </w:r>
      <w:r w:rsidRPr="00067295">
        <w:rPr>
          <w:rFonts w:ascii="Arial" w:hAnsi="Arial" w:cs="Arial"/>
          <w:lang w:val="en-AU"/>
        </w:rPr>
        <w:t>Ministry of National Planning and Development Coordination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3090"/>
    <w:multiLevelType w:val="hybridMultilevel"/>
    <w:tmpl w:val="B84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2316B"/>
    <w:multiLevelType w:val="hybridMultilevel"/>
    <w:tmpl w:val="0544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B0A17"/>
    <w:multiLevelType w:val="hybridMultilevel"/>
    <w:tmpl w:val="A732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92F7C"/>
    <w:multiLevelType w:val="hybridMultilevel"/>
    <w:tmpl w:val="C840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627C5F"/>
    <w:multiLevelType w:val="hybridMultilevel"/>
    <w:tmpl w:val="8FBA3DA2"/>
    <w:lvl w:ilvl="0" w:tplc="F526410A">
      <w:start w:val="1"/>
      <w:numFmt w:val="decimal"/>
      <w:pStyle w:val="Paragraph-Numbered"/>
      <w:lvlText w:val="%1."/>
      <w:lvlJc w:val="left"/>
      <w:pPr>
        <w:ind w:left="11" w:hanging="360"/>
      </w:pPr>
      <w:rPr>
        <w:rFonts w:asciiTheme="minorHAnsi" w:hAnsiTheme="minorHAnsi" w:cstheme="minorHAnsi" w:hint="default"/>
        <w:b w:val="0"/>
        <w:i w:val="0"/>
        <w:color w:val="auto"/>
        <w:sz w:val="22"/>
        <w:szCs w:val="22"/>
      </w:rPr>
    </w:lvl>
    <w:lvl w:ilvl="1" w:tplc="2E8622F2">
      <w:start w:val="1"/>
      <w:numFmt w:val="lowerLetter"/>
      <w:lvlText w:val="(%2)"/>
      <w:lvlJc w:val="left"/>
      <w:pPr>
        <w:ind w:left="731" w:hanging="360"/>
      </w:pPr>
      <w:rPr>
        <w:rFonts w:hint="default"/>
      </w:rPr>
    </w:lvl>
    <w:lvl w:ilvl="2" w:tplc="EAD46C22">
      <w:start w:val="1"/>
      <w:numFmt w:val="lowerRoman"/>
      <w:lvlText w:val="%3."/>
      <w:lvlJc w:val="right"/>
      <w:pPr>
        <w:ind w:left="1451" w:hanging="180"/>
      </w:pPr>
    </w:lvl>
    <w:lvl w:ilvl="3" w:tplc="ADAC397A" w:tentative="1">
      <w:start w:val="1"/>
      <w:numFmt w:val="decimal"/>
      <w:lvlText w:val="%4."/>
      <w:lvlJc w:val="left"/>
      <w:pPr>
        <w:ind w:left="2171" w:hanging="360"/>
      </w:pPr>
    </w:lvl>
    <w:lvl w:ilvl="4" w:tplc="5FD4B0F4" w:tentative="1">
      <w:start w:val="1"/>
      <w:numFmt w:val="lowerLetter"/>
      <w:lvlText w:val="%5."/>
      <w:lvlJc w:val="left"/>
      <w:pPr>
        <w:ind w:left="2891" w:hanging="360"/>
      </w:pPr>
    </w:lvl>
    <w:lvl w:ilvl="5" w:tplc="363AD722" w:tentative="1">
      <w:start w:val="1"/>
      <w:numFmt w:val="lowerRoman"/>
      <w:lvlText w:val="%6."/>
      <w:lvlJc w:val="right"/>
      <w:pPr>
        <w:ind w:left="3611" w:hanging="180"/>
      </w:pPr>
    </w:lvl>
    <w:lvl w:ilvl="6" w:tplc="DACA3560" w:tentative="1">
      <w:start w:val="1"/>
      <w:numFmt w:val="decimal"/>
      <w:lvlText w:val="%7."/>
      <w:lvlJc w:val="left"/>
      <w:pPr>
        <w:ind w:left="4331" w:hanging="360"/>
      </w:pPr>
    </w:lvl>
    <w:lvl w:ilvl="7" w:tplc="16BEFC6A" w:tentative="1">
      <w:start w:val="1"/>
      <w:numFmt w:val="lowerLetter"/>
      <w:lvlText w:val="%8."/>
      <w:lvlJc w:val="left"/>
      <w:pPr>
        <w:ind w:left="5051" w:hanging="360"/>
      </w:pPr>
    </w:lvl>
    <w:lvl w:ilvl="8" w:tplc="0764C81C" w:tentative="1">
      <w:start w:val="1"/>
      <w:numFmt w:val="lowerRoman"/>
      <w:lvlText w:val="%9."/>
      <w:lvlJc w:val="right"/>
      <w:pPr>
        <w:ind w:left="5771" w:hanging="180"/>
      </w:pPr>
    </w:lvl>
  </w:abstractNum>
  <w:abstractNum w:abstractNumId="5" w15:restartNumberingAfterBreak="0">
    <w:nsid w:val="378A6267"/>
    <w:multiLevelType w:val="hybridMultilevel"/>
    <w:tmpl w:val="940E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66A63"/>
    <w:multiLevelType w:val="multilevel"/>
    <w:tmpl w:val="BC26A4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042105"/>
    <w:multiLevelType w:val="multilevel"/>
    <w:tmpl w:val="07DA74AE"/>
    <w:lvl w:ilvl="0">
      <w:start w:val="1"/>
      <w:numFmt w:val="decimal"/>
      <w:lvlText w:val="%1."/>
      <w:lvlJc w:val="left"/>
      <w:pPr>
        <w:ind w:left="360" w:hanging="360"/>
      </w:pPr>
      <w:rPr>
        <w:rFonts w:hint="default"/>
        <w:b w:val="0"/>
        <w:i w:val="0"/>
        <w:spacing w:val="1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36B35"/>
    <w:multiLevelType w:val="hybridMultilevel"/>
    <w:tmpl w:val="1158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3F19"/>
    <w:multiLevelType w:val="hybridMultilevel"/>
    <w:tmpl w:val="188280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E4E4CE5"/>
    <w:multiLevelType w:val="multilevel"/>
    <w:tmpl w:val="293EB922"/>
    <w:styleLink w:val="AECOMListBullets"/>
    <w:lvl w:ilvl="0">
      <w:start w:val="1"/>
      <w:numFmt w:val="bullet"/>
      <w:lvlText w:val="-"/>
      <w:lvlJc w:val="left"/>
      <w:pPr>
        <w:ind w:left="425" w:hanging="425"/>
      </w:pPr>
      <w:rPr>
        <w:rFonts w:asciiTheme="minorHAnsi" w:hAnsiTheme="minorHAnsi" w:cs="Times New Roman"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ingdings" w:hAnsi="Wingdings" w:cs="Times New Roman" w:hint="default"/>
        <w:color w:val="auto"/>
      </w:rPr>
    </w:lvl>
    <w:lvl w:ilvl="3">
      <w:start w:val="1"/>
      <w:numFmt w:val="none"/>
      <w:lvlText w:val="%4"/>
      <w:lvlJc w:val="left"/>
      <w:pPr>
        <w:ind w:left="1700" w:hanging="425"/>
      </w:pPr>
      <w:rPr>
        <w:rFonts w:asciiTheme="minorHAnsi" w:hAnsiTheme="minorHAnsi" w:hint="default"/>
        <w:color w:val="auto"/>
      </w:rPr>
    </w:lvl>
    <w:lvl w:ilvl="4">
      <w:start w:val="1"/>
      <w:numFmt w:val="none"/>
      <w:lvlText w:val="%5"/>
      <w:lvlJc w:val="left"/>
      <w:pPr>
        <w:ind w:left="2125" w:hanging="425"/>
      </w:pPr>
      <w:rPr>
        <w:rFonts w:asciiTheme="minorHAnsi" w:hAnsiTheme="minorHAnsi" w:hint="default"/>
        <w:color w:val="auto"/>
      </w:rPr>
    </w:lvl>
    <w:lvl w:ilvl="5">
      <w:start w:val="1"/>
      <w:numFmt w:val="none"/>
      <w:lvlText w:val="%6"/>
      <w:lvlJc w:val="left"/>
      <w:pPr>
        <w:ind w:left="2550" w:hanging="425"/>
      </w:pPr>
      <w:rPr>
        <w:rFonts w:asciiTheme="minorHAnsi" w:hAnsiTheme="minorHAnsi" w:hint="default"/>
        <w:color w:val="auto"/>
      </w:rPr>
    </w:lvl>
    <w:lvl w:ilvl="6">
      <w:start w:val="1"/>
      <w:numFmt w:val="none"/>
      <w:lvlText w:val="%7"/>
      <w:lvlJc w:val="left"/>
      <w:pPr>
        <w:ind w:left="2975" w:hanging="425"/>
      </w:pPr>
      <w:rPr>
        <w:rFonts w:asciiTheme="minorHAnsi" w:hAnsiTheme="minorHAnsi" w:hint="default"/>
        <w:color w:val="auto"/>
      </w:rPr>
    </w:lvl>
    <w:lvl w:ilvl="7">
      <w:start w:val="1"/>
      <w:numFmt w:val="none"/>
      <w:lvlText w:val="%8"/>
      <w:lvlJc w:val="left"/>
      <w:pPr>
        <w:ind w:left="3400" w:hanging="425"/>
      </w:pPr>
      <w:rPr>
        <w:rFonts w:asciiTheme="minorHAnsi" w:hAnsiTheme="minorHAnsi" w:hint="default"/>
        <w:color w:val="auto"/>
      </w:rPr>
    </w:lvl>
    <w:lvl w:ilvl="8">
      <w:start w:val="1"/>
      <w:numFmt w:val="none"/>
      <w:lvlText w:val="%9"/>
      <w:lvlJc w:val="left"/>
      <w:pPr>
        <w:ind w:left="3825" w:hanging="425"/>
      </w:pPr>
      <w:rPr>
        <w:rFonts w:asciiTheme="minorHAnsi" w:hAnsiTheme="minorHAnsi" w:cs="Times New Roman" w:hint="default"/>
        <w:color w:val="auto"/>
      </w:rPr>
    </w:lvl>
  </w:abstractNum>
  <w:abstractNum w:abstractNumId="11" w15:restartNumberingAfterBreak="0">
    <w:nsid w:val="4E6D792A"/>
    <w:multiLevelType w:val="hybridMultilevel"/>
    <w:tmpl w:val="AA040B3A"/>
    <w:lvl w:ilvl="0" w:tplc="DE8AF7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602573"/>
    <w:multiLevelType w:val="hybridMultilevel"/>
    <w:tmpl w:val="33582344"/>
    <w:lvl w:ilvl="0" w:tplc="39945CA6">
      <w:start w:val="1"/>
      <w:numFmt w:val="lowerLetter"/>
      <w:pStyle w:val="Para"/>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5572A33"/>
    <w:multiLevelType w:val="hybridMultilevel"/>
    <w:tmpl w:val="F2E4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20210"/>
    <w:multiLevelType w:val="hybridMultilevel"/>
    <w:tmpl w:val="AEC08658"/>
    <w:lvl w:ilvl="0" w:tplc="6720C972">
      <w:start w:val="1"/>
      <w:numFmt w:val="upperLetter"/>
      <w:pStyle w:val="ADB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31D19"/>
    <w:multiLevelType w:val="hybridMultilevel"/>
    <w:tmpl w:val="6C84A178"/>
    <w:lvl w:ilvl="0" w:tplc="5F603A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D751E3"/>
    <w:multiLevelType w:val="hybridMultilevel"/>
    <w:tmpl w:val="AFF4BC80"/>
    <w:lvl w:ilvl="0" w:tplc="A2320B38">
      <w:start w:val="1"/>
      <w:numFmt w:val="decimal"/>
      <w:pStyle w:val="ADBPara"/>
      <w:lvlText w:val="%1."/>
      <w:lvlJc w:val="left"/>
      <w:pPr>
        <w:ind w:left="0" w:firstLine="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70AE7"/>
    <w:multiLevelType w:val="hybridMultilevel"/>
    <w:tmpl w:val="CD22220A"/>
    <w:lvl w:ilvl="0" w:tplc="C92665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16"/>
  </w:num>
  <w:num w:numId="4">
    <w:abstractNumId w:val="14"/>
  </w:num>
  <w:num w:numId="5">
    <w:abstractNumId w:val="12"/>
  </w:num>
  <w:num w:numId="6">
    <w:abstractNumId w:val="13"/>
  </w:num>
  <w:num w:numId="7">
    <w:abstractNumId w:val="5"/>
  </w:num>
  <w:num w:numId="8">
    <w:abstractNumId w:val="0"/>
  </w:num>
  <w:num w:numId="9">
    <w:abstractNumId w:val="1"/>
  </w:num>
  <w:num w:numId="10">
    <w:abstractNumId w:val="7"/>
  </w:num>
  <w:num w:numId="11">
    <w:abstractNumId w:val="6"/>
  </w:num>
  <w:num w:numId="12">
    <w:abstractNumId w:val="15"/>
  </w:num>
  <w:num w:numId="13">
    <w:abstractNumId w:val="9"/>
  </w:num>
  <w:num w:numId="14">
    <w:abstractNumId w:val="11"/>
  </w:num>
  <w:num w:numId="15">
    <w:abstractNumId w:val="2"/>
  </w:num>
  <w:num w:numId="16">
    <w:abstractNumId w:val="17"/>
  </w:num>
  <w:num w:numId="17">
    <w:abstractNumId w:val="8"/>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E6"/>
    <w:rsid w:val="000005FC"/>
    <w:rsid w:val="00011DC4"/>
    <w:rsid w:val="00015B90"/>
    <w:rsid w:val="00022998"/>
    <w:rsid w:val="00023645"/>
    <w:rsid w:val="000308A4"/>
    <w:rsid w:val="00032E25"/>
    <w:rsid w:val="00043A30"/>
    <w:rsid w:val="0006197E"/>
    <w:rsid w:val="000629FE"/>
    <w:rsid w:val="00065937"/>
    <w:rsid w:val="00067295"/>
    <w:rsid w:val="00067FA6"/>
    <w:rsid w:val="0007165B"/>
    <w:rsid w:val="00071775"/>
    <w:rsid w:val="000724CB"/>
    <w:rsid w:val="00073D3B"/>
    <w:rsid w:val="000741B0"/>
    <w:rsid w:val="00081D67"/>
    <w:rsid w:val="00096261"/>
    <w:rsid w:val="000A3A4A"/>
    <w:rsid w:val="000A5E4E"/>
    <w:rsid w:val="000A654F"/>
    <w:rsid w:val="000B1BAD"/>
    <w:rsid w:val="000B5AEB"/>
    <w:rsid w:val="000C43B0"/>
    <w:rsid w:val="000C49F9"/>
    <w:rsid w:val="000C749C"/>
    <w:rsid w:val="000C7F0F"/>
    <w:rsid w:val="000D23E1"/>
    <w:rsid w:val="000E25BB"/>
    <w:rsid w:val="000E3679"/>
    <w:rsid w:val="000E7132"/>
    <w:rsid w:val="000E7DFE"/>
    <w:rsid w:val="000F0F89"/>
    <w:rsid w:val="001045D9"/>
    <w:rsid w:val="00111160"/>
    <w:rsid w:val="0011307F"/>
    <w:rsid w:val="00117CBB"/>
    <w:rsid w:val="00120D11"/>
    <w:rsid w:val="00120ED7"/>
    <w:rsid w:val="00121961"/>
    <w:rsid w:val="00134327"/>
    <w:rsid w:val="0013471B"/>
    <w:rsid w:val="0013778C"/>
    <w:rsid w:val="001415C0"/>
    <w:rsid w:val="00141624"/>
    <w:rsid w:val="00141887"/>
    <w:rsid w:val="001434BD"/>
    <w:rsid w:val="00145CC2"/>
    <w:rsid w:val="0014721E"/>
    <w:rsid w:val="001522DE"/>
    <w:rsid w:val="0016104A"/>
    <w:rsid w:val="00164BA2"/>
    <w:rsid w:val="00164F44"/>
    <w:rsid w:val="00165CDE"/>
    <w:rsid w:val="00166EA1"/>
    <w:rsid w:val="0016715E"/>
    <w:rsid w:val="00182830"/>
    <w:rsid w:val="001847D3"/>
    <w:rsid w:val="00184994"/>
    <w:rsid w:val="001877A1"/>
    <w:rsid w:val="00192B37"/>
    <w:rsid w:val="0019711B"/>
    <w:rsid w:val="001A36E6"/>
    <w:rsid w:val="001A6B01"/>
    <w:rsid w:val="001B0752"/>
    <w:rsid w:val="001B18E1"/>
    <w:rsid w:val="001B385C"/>
    <w:rsid w:val="001B5832"/>
    <w:rsid w:val="001B5B43"/>
    <w:rsid w:val="001C0C49"/>
    <w:rsid w:val="001C4F5D"/>
    <w:rsid w:val="001E59DF"/>
    <w:rsid w:val="001F1E05"/>
    <w:rsid w:val="002016A5"/>
    <w:rsid w:val="0020185C"/>
    <w:rsid w:val="00207FEA"/>
    <w:rsid w:val="002118A0"/>
    <w:rsid w:val="00215113"/>
    <w:rsid w:val="00221CA5"/>
    <w:rsid w:val="0022743E"/>
    <w:rsid w:val="002360ED"/>
    <w:rsid w:val="00236894"/>
    <w:rsid w:val="00237534"/>
    <w:rsid w:val="00246C17"/>
    <w:rsid w:val="00251F8F"/>
    <w:rsid w:val="00254773"/>
    <w:rsid w:val="002560D7"/>
    <w:rsid w:val="0025792D"/>
    <w:rsid w:val="002638A6"/>
    <w:rsid w:val="002672E2"/>
    <w:rsid w:val="00270068"/>
    <w:rsid w:val="002745F9"/>
    <w:rsid w:val="002763DD"/>
    <w:rsid w:val="00277E29"/>
    <w:rsid w:val="002802E2"/>
    <w:rsid w:val="00290D62"/>
    <w:rsid w:val="002918B5"/>
    <w:rsid w:val="00292A04"/>
    <w:rsid w:val="00293F4F"/>
    <w:rsid w:val="00296297"/>
    <w:rsid w:val="002A7BA4"/>
    <w:rsid w:val="002B3E8F"/>
    <w:rsid w:val="002C1D17"/>
    <w:rsid w:val="002C2E5B"/>
    <w:rsid w:val="002C47F0"/>
    <w:rsid w:val="002D1011"/>
    <w:rsid w:val="002D15C2"/>
    <w:rsid w:val="002D72BD"/>
    <w:rsid w:val="002E237B"/>
    <w:rsid w:val="002E2C89"/>
    <w:rsid w:val="002E6318"/>
    <w:rsid w:val="002E7AAC"/>
    <w:rsid w:val="002F0960"/>
    <w:rsid w:val="00302A0E"/>
    <w:rsid w:val="00312124"/>
    <w:rsid w:val="003130FF"/>
    <w:rsid w:val="00314561"/>
    <w:rsid w:val="003306C8"/>
    <w:rsid w:val="00332327"/>
    <w:rsid w:val="00340B95"/>
    <w:rsid w:val="0034236B"/>
    <w:rsid w:val="003452A8"/>
    <w:rsid w:val="00351090"/>
    <w:rsid w:val="00352AB7"/>
    <w:rsid w:val="00353455"/>
    <w:rsid w:val="003565FB"/>
    <w:rsid w:val="0036118E"/>
    <w:rsid w:val="00363DCE"/>
    <w:rsid w:val="00364674"/>
    <w:rsid w:val="00371CA9"/>
    <w:rsid w:val="00373258"/>
    <w:rsid w:val="00390D22"/>
    <w:rsid w:val="00393F3F"/>
    <w:rsid w:val="003C0D40"/>
    <w:rsid w:val="003C2AA3"/>
    <w:rsid w:val="003D1ABD"/>
    <w:rsid w:val="003D1D25"/>
    <w:rsid w:val="003D317F"/>
    <w:rsid w:val="003D39BF"/>
    <w:rsid w:val="003E120E"/>
    <w:rsid w:val="003F1455"/>
    <w:rsid w:val="003F1554"/>
    <w:rsid w:val="003F2046"/>
    <w:rsid w:val="003F3745"/>
    <w:rsid w:val="003F577D"/>
    <w:rsid w:val="00403194"/>
    <w:rsid w:val="00405A87"/>
    <w:rsid w:val="0040619E"/>
    <w:rsid w:val="00406493"/>
    <w:rsid w:val="00406F9A"/>
    <w:rsid w:val="00407419"/>
    <w:rsid w:val="004077CA"/>
    <w:rsid w:val="00417390"/>
    <w:rsid w:val="00417841"/>
    <w:rsid w:val="00420F88"/>
    <w:rsid w:val="00421EF8"/>
    <w:rsid w:val="00422BD5"/>
    <w:rsid w:val="00423BE5"/>
    <w:rsid w:val="00425370"/>
    <w:rsid w:val="004306F5"/>
    <w:rsid w:val="00437199"/>
    <w:rsid w:val="004401B0"/>
    <w:rsid w:val="00442DF4"/>
    <w:rsid w:val="00443303"/>
    <w:rsid w:val="004465AE"/>
    <w:rsid w:val="00451312"/>
    <w:rsid w:val="00451953"/>
    <w:rsid w:val="0045203B"/>
    <w:rsid w:val="00457793"/>
    <w:rsid w:val="00461961"/>
    <w:rsid w:val="0046429B"/>
    <w:rsid w:val="00464512"/>
    <w:rsid w:val="004709A8"/>
    <w:rsid w:val="00474742"/>
    <w:rsid w:val="00484AEA"/>
    <w:rsid w:val="00487910"/>
    <w:rsid w:val="00493418"/>
    <w:rsid w:val="004A2C13"/>
    <w:rsid w:val="004A3757"/>
    <w:rsid w:val="004A7598"/>
    <w:rsid w:val="004B030F"/>
    <w:rsid w:val="004B3D3D"/>
    <w:rsid w:val="004B5C8F"/>
    <w:rsid w:val="004B7453"/>
    <w:rsid w:val="004C1DBA"/>
    <w:rsid w:val="004C2D1B"/>
    <w:rsid w:val="004D09E6"/>
    <w:rsid w:val="004D1FE0"/>
    <w:rsid w:val="004D2A66"/>
    <w:rsid w:val="004D4223"/>
    <w:rsid w:val="004D526C"/>
    <w:rsid w:val="004D71A2"/>
    <w:rsid w:val="004E6FC9"/>
    <w:rsid w:val="004E77D0"/>
    <w:rsid w:val="004F5BC7"/>
    <w:rsid w:val="00511AA4"/>
    <w:rsid w:val="00512536"/>
    <w:rsid w:val="00532A4F"/>
    <w:rsid w:val="00536CF1"/>
    <w:rsid w:val="00542CE2"/>
    <w:rsid w:val="0055431D"/>
    <w:rsid w:val="00554B49"/>
    <w:rsid w:val="00557BD4"/>
    <w:rsid w:val="00560474"/>
    <w:rsid w:val="005610CC"/>
    <w:rsid w:val="00562158"/>
    <w:rsid w:val="00562258"/>
    <w:rsid w:val="00563BD7"/>
    <w:rsid w:val="00566FFD"/>
    <w:rsid w:val="005704C6"/>
    <w:rsid w:val="00572C7F"/>
    <w:rsid w:val="005742DD"/>
    <w:rsid w:val="00586882"/>
    <w:rsid w:val="005927EC"/>
    <w:rsid w:val="00592E66"/>
    <w:rsid w:val="005A12F4"/>
    <w:rsid w:val="005B27D2"/>
    <w:rsid w:val="005B3B06"/>
    <w:rsid w:val="005B633E"/>
    <w:rsid w:val="005D0AA4"/>
    <w:rsid w:val="005D26E8"/>
    <w:rsid w:val="005D766E"/>
    <w:rsid w:val="005E2CD4"/>
    <w:rsid w:val="005E448C"/>
    <w:rsid w:val="005F0F32"/>
    <w:rsid w:val="005F2276"/>
    <w:rsid w:val="005F263F"/>
    <w:rsid w:val="005F66B8"/>
    <w:rsid w:val="00607F4E"/>
    <w:rsid w:val="00611E8B"/>
    <w:rsid w:val="00621FE3"/>
    <w:rsid w:val="00622683"/>
    <w:rsid w:val="00625C6B"/>
    <w:rsid w:val="00626685"/>
    <w:rsid w:val="006270AC"/>
    <w:rsid w:val="0063328A"/>
    <w:rsid w:val="006349FD"/>
    <w:rsid w:val="006364EA"/>
    <w:rsid w:val="006372C3"/>
    <w:rsid w:val="00637A9F"/>
    <w:rsid w:val="00652E11"/>
    <w:rsid w:val="006551C4"/>
    <w:rsid w:val="0066733B"/>
    <w:rsid w:val="0067030E"/>
    <w:rsid w:val="00670817"/>
    <w:rsid w:val="00671AE1"/>
    <w:rsid w:val="006726F1"/>
    <w:rsid w:val="00675183"/>
    <w:rsid w:val="0067590D"/>
    <w:rsid w:val="00676774"/>
    <w:rsid w:val="00676B1B"/>
    <w:rsid w:val="006860CF"/>
    <w:rsid w:val="00686CF3"/>
    <w:rsid w:val="00691F0C"/>
    <w:rsid w:val="00694670"/>
    <w:rsid w:val="006957E6"/>
    <w:rsid w:val="006A392A"/>
    <w:rsid w:val="006A5239"/>
    <w:rsid w:val="006B25A5"/>
    <w:rsid w:val="006B3EF9"/>
    <w:rsid w:val="006B597D"/>
    <w:rsid w:val="006D2A8D"/>
    <w:rsid w:val="006D7C7C"/>
    <w:rsid w:val="006E18A9"/>
    <w:rsid w:val="006E395F"/>
    <w:rsid w:val="006F27CF"/>
    <w:rsid w:val="007055C6"/>
    <w:rsid w:val="007075ED"/>
    <w:rsid w:val="00710F40"/>
    <w:rsid w:val="007159FC"/>
    <w:rsid w:val="00720E55"/>
    <w:rsid w:val="00723004"/>
    <w:rsid w:val="0072501E"/>
    <w:rsid w:val="007259E2"/>
    <w:rsid w:val="0073625B"/>
    <w:rsid w:val="007363B7"/>
    <w:rsid w:val="00736BB9"/>
    <w:rsid w:val="00750A8F"/>
    <w:rsid w:val="00763D5F"/>
    <w:rsid w:val="00784234"/>
    <w:rsid w:val="007865C9"/>
    <w:rsid w:val="00786B83"/>
    <w:rsid w:val="00790E1B"/>
    <w:rsid w:val="007910B3"/>
    <w:rsid w:val="007919CD"/>
    <w:rsid w:val="00792D3B"/>
    <w:rsid w:val="0079333E"/>
    <w:rsid w:val="00794FF3"/>
    <w:rsid w:val="007A11FA"/>
    <w:rsid w:val="007A1457"/>
    <w:rsid w:val="007A2FB0"/>
    <w:rsid w:val="007A3FC2"/>
    <w:rsid w:val="007A4EB0"/>
    <w:rsid w:val="007B380B"/>
    <w:rsid w:val="007C24E6"/>
    <w:rsid w:val="007D4B83"/>
    <w:rsid w:val="007D4F9F"/>
    <w:rsid w:val="007E1934"/>
    <w:rsid w:val="007E6E74"/>
    <w:rsid w:val="007F4972"/>
    <w:rsid w:val="007F5C22"/>
    <w:rsid w:val="007F76E6"/>
    <w:rsid w:val="0080309B"/>
    <w:rsid w:val="0081647B"/>
    <w:rsid w:val="00821C32"/>
    <w:rsid w:val="0082731C"/>
    <w:rsid w:val="00836767"/>
    <w:rsid w:val="00837253"/>
    <w:rsid w:val="00843AE0"/>
    <w:rsid w:val="008443BA"/>
    <w:rsid w:val="008444FC"/>
    <w:rsid w:val="00845618"/>
    <w:rsid w:val="00846C91"/>
    <w:rsid w:val="00846F0C"/>
    <w:rsid w:val="00850719"/>
    <w:rsid w:val="00853933"/>
    <w:rsid w:val="00855DE8"/>
    <w:rsid w:val="00861344"/>
    <w:rsid w:val="0087424E"/>
    <w:rsid w:val="00887FF0"/>
    <w:rsid w:val="00894324"/>
    <w:rsid w:val="0089438F"/>
    <w:rsid w:val="008974D8"/>
    <w:rsid w:val="008B2B95"/>
    <w:rsid w:val="008C021A"/>
    <w:rsid w:val="008C7076"/>
    <w:rsid w:val="008C7570"/>
    <w:rsid w:val="008C7F21"/>
    <w:rsid w:val="008D5350"/>
    <w:rsid w:val="008E2D52"/>
    <w:rsid w:val="008E745A"/>
    <w:rsid w:val="008F0EE4"/>
    <w:rsid w:val="008F0F5A"/>
    <w:rsid w:val="008F2351"/>
    <w:rsid w:val="008F5FD7"/>
    <w:rsid w:val="00901EB4"/>
    <w:rsid w:val="00902FA0"/>
    <w:rsid w:val="00933BAD"/>
    <w:rsid w:val="009405D9"/>
    <w:rsid w:val="009463AF"/>
    <w:rsid w:val="00951CC2"/>
    <w:rsid w:val="00954FC5"/>
    <w:rsid w:val="009638E9"/>
    <w:rsid w:val="009638F7"/>
    <w:rsid w:val="00965EF5"/>
    <w:rsid w:val="00966197"/>
    <w:rsid w:val="00973D06"/>
    <w:rsid w:val="009766F8"/>
    <w:rsid w:val="00983EE3"/>
    <w:rsid w:val="00992A6F"/>
    <w:rsid w:val="00995CD0"/>
    <w:rsid w:val="009A25E3"/>
    <w:rsid w:val="009A28FE"/>
    <w:rsid w:val="009A71F5"/>
    <w:rsid w:val="009A76D1"/>
    <w:rsid w:val="009B113B"/>
    <w:rsid w:val="009C04A6"/>
    <w:rsid w:val="009C09AE"/>
    <w:rsid w:val="009C122D"/>
    <w:rsid w:val="009C6AC2"/>
    <w:rsid w:val="009D11E7"/>
    <w:rsid w:val="009F4354"/>
    <w:rsid w:val="009F5D33"/>
    <w:rsid w:val="00A010AF"/>
    <w:rsid w:val="00A01C74"/>
    <w:rsid w:val="00A02A6A"/>
    <w:rsid w:val="00A052FC"/>
    <w:rsid w:val="00A12E83"/>
    <w:rsid w:val="00A157C2"/>
    <w:rsid w:val="00A27734"/>
    <w:rsid w:val="00A30624"/>
    <w:rsid w:val="00A313D0"/>
    <w:rsid w:val="00A40C8C"/>
    <w:rsid w:val="00A44725"/>
    <w:rsid w:val="00A45A5E"/>
    <w:rsid w:val="00A56333"/>
    <w:rsid w:val="00A65A4B"/>
    <w:rsid w:val="00A67BAA"/>
    <w:rsid w:val="00A71793"/>
    <w:rsid w:val="00A74385"/>
    <w:rsid w:val="00A75ACA"/>
    <w:rsid w:val="00A77856"/>
    <w:rsid w:val="00A77F1A"/>
    <w:rsid w:val="00A80E15"/>
    <w:rsid w:val="00A82901"/>
    <w:rsid w:val="00A871E2"/>
    <w:rsid w:val="00A91171"/>
    <w:rsid w:val="00A94294"/>
    <w:rsid w:val="00AA1064"/>
    <w:rsid w:val="00AA179D"/>
    <w:rsid w:val="00AA1913"/>
    <w:rsid w:val="00AA1ABB"/>
    <w:rsid w:val="00AA2FF9"/>
    <w:rsid w:val="00AA3B26"/>
    <w:rsid w:val="00AA695C"/>
    <w:rsid w:val="00AB033F"/>
    <w:rsid w:val="00AB1DCC"/>
    <w:rsid w:val="00AB3129"/>
    <w:rsid w:val="00AB40CC"/>
    <w:rsid w:val="00AB5C19"/>
    <w:rsid w:val="00AC4C14"/>
    <w:rsid w:val="00AD5CD3"/>
    <w:rsid w:val="00AE23D7"/>
    <w:rsid w:val="00AE3EBB"/>
    <w:rsid w:val="00AE614A"/>
    <w:rsid w:val="00B01D95"/>
    <w:rsid w:val="00B02AE7"/>
    <w:rsid w:val="00B038E8"/>
    <w:rsid w:val="00B1642E"/>
    <w:rsid w:val="00B21547"/>
    <w:rsid w:val="00B24639"/>
    <w:rsid w:val="00B318D3"/>
    <w:rsid w:val="00B33A10"/>
    <w:rsid w:val="00B34508"/>
    <w:rsid w:val="00B364FC"/>
    <w:rsid w:val="00B40A8F"/>
    <w:rsid w:val="00B42414"/>
    <w:rsid w:val="00B50EA2"/>
    <w:rsid w:val="00B537E5"/>
    <w:rsid w:val="00B61506"/>
    <w:rsid w:val="00B63DE6"/>
    <w:rsid w:val="00B70E6A"/>
    <w:rsid w:val="00B73384"/>
    <w:rsid w:val="00B73ED7"/>
    <w:rsid w:val="00B80843"/>
    <w:rsid w:val="00B82B5B"/>
    <w:rsid w:val="00B85303"/>
    <w:rsid w:val="00B90408"/>
    <w:rsid w:val="00B918D8"/>
    <w:rsid w:val="00B93DC7"/>
    <w:rsid w:val="00B95E6E"/>
    <w:rsid w:val="00BB5593"/>
    <w:rsid w:val="00BC35E9"/>
    <w:rsid w:val="00BC52D0"/>
    <w:rsid w:val="00BD4674"/>
    <w:rsid w:val="00BD76BB"/>
    <w:rsid w:val="00BE1EFA"/>
    <w:rsid w:val="00BE2623"/>
    <w:rsid w:val="00BE332D"/>
    <w:rsid w:val="00BE4543"/>
    <w:rsid w:val="00BE50D0"/>
    <w:rsid w:val="00BE7E80"/>
    <w:rsid w:val="00BF7536"/>
    <w:rsid w:val="00C061FF"/>
    <w:rsid w:val="00C120ED"/>
    <w:rsid w:val="00C1607C"/>
    <w:rsid w:val="00C16169"/>
    <w:rsid w:val="00C225A0"/>
    <w:rsid w:val="00C27A4A"/>
    <w:rsid w:val="00C32331"/>
    <w:rsid w:val="00C33BBA"/>
    <w:rsid w:val="00C34BAD"/>
    <w:rsid w:val="00C40B9F"/>
    <w:rsid w:val="00C47D5E"/>
    <w:rsid w:val="00C50DCB"/>
    <w:rsid w:val="00C635EB"/>
    <w:rsid w:val="00C70D67"/>
    <w:rsid w:val="00C84759"/>
    <w:rsid w:val="00C86433"/>
    <w:rsid w:val="00C91650"/>
    <w:rsid w:val="00C97ECA"/>
    <w:rsid w:val="00CA22CA"/>
    <w:rsid w:val="00CA2ABB"/>
    <w:rsid w:val="00CA6983"/>
    <w:rsid w:val="00CB0E14"/>
    <w:rsid w:val="00CC02A1"/>
    <w:rsid w:val="00CC2167"/>
    <w:rsid w:val="00CC7A80"/>
    <w:rsid w:val="00CD08F7"/>
    <w:rsid w:val="00CE7BD4"/>
    <w:rsid w:val="00CF30EC"/>
    <w:rsid w:val="00CF3ACC"/>
    <w:rsid w:val="00CF5066"/>
    <w:rsid w:val="00CF7590"/>
    <w:rsid w:val="00D000E0"/>
    <w:rsid w:val="00D010C7"/>
    <w:rsid w:val="00D06A72"/>
    <w:rsid w:val="00D179D8"/>
    <w:rsid w:val="00D21DC8"/>
    <w:rsid w:val="00D245F2"/>
    <w:rsid w:val="00D33B4B"/>
    <w:rsid w:val="00D33DF9"/>
    <w:rsid w:val="00D352B8"/>
    <w:rsid w:val="00D37C07"/>
    <w:rsid w:val="00D4092A"/>
    <w:rsid w:val="00D420DA"/>
    <w:rsid w:val="00D44B17"/>
    <w:rsid w:val="00D5516C"/>
    <w:rsid w:val="00D567A6"/>
    <w:rsid w:val="00D57A97"/>
    <w:rsid w:val="00D637CE"/>
    <w:rsid w:val="00D64815"/>
    <w:rsid w:val="00D65CED"/>
    <w:rsid w:val="00D82D48"/>
    <w:rsid w:val="00D83884"/>
    <w:rsid w:val="00D843AE"/>
    <w:rsid w:val="00D875AC"/>
    <w:rsid w:val="00D9733E"/>
    <w:rsid w:val="00DA16C1"/>
    <w:rsid w:val="00DA2765"/>
    <w:rsid w:val="00DA3797"/>
    <w:rsid w:val="00DB0DDC"/>
    <w:rsid w:val="00DB1FA7"/>
    <w:rsid w:val="00DB34D1"/>
    <w:rsid w:val="00DB7BC5"/>
    <w:rsid w:val="00DC30C1"/>
    <w:rsid w:val="00DC7A87"/>
    <w:rsid w:val="00DD1A2D"/>
    <w:rsid w:val="00DD5DFD"/>
    <w:rsid w:val="00DD767A"/>
    <w:rsid w:val="00DD784F"/>
    <w:rsid w:val="00DE1EAF"/>
    <w:rsid w:val="00DE630C"/>
    <w:rsid w:val="00DF0858"/>
    <w:rsid w:val="00DF470F"/>
    <w:rsid w:val="00E02B2C"/>
    <w:rsid w:val="00E03CF2"/>
    <w:rsid w:val="00E13858"/>
    <w:rsid w:val="00E1457D"/>
    <w:rsid w:val="00E23D4F"/>
    <w:rsid w:val="00E2606C"/>
    <w:rsid w:val="00E30F52"/>
    <w:rsid w:val="00E40FBA"/>
    <w:rsid w:val="00E417FF"/>
    <w:rsid w:val="00E4471A"/>
    <w:rsid w:val="00E53569"/>
    <w:rsid w:val="00E653C5"/>
    <w:rsid w:val="00E67CB5"/>
    <w:rsid w:val="00E7108D"/>
    <w:rsid w:val="00E72834"/>
    <w:rsid w:val="00E81D86"/>
    <w:rsid w:val="00E84CFD"/>
    <w:rsid w:val="00E85C40"/>
    <w:rsid w:val="00E92BF6"/>
    <w:rsid w:val="00E93F6F"/>
    <w:rsid w:val="00E9523A"/>
    <w:rsid w:val="00E97028"/>
    <w:rsid w:val="00EA545A"/>
    <w:rsid w:val="00EC1D33"/>
    <w:rsid w:val="00EC29B3"/>
    <w:rsid w:val="00EC5AE2"/>
    <w:rsid w:val="00ED72F1"/>
    <w:rsid w:val="00EE047A"/>
    <w:rsid w:val="00EE718C"/>
    <w:rsid w:val="00EF12D7"/>
    <w:rsid w:val="00EF3D43"/>
    <w:rsid w:val="00EF420E"/>
    <w:rsid w:val="00EF65FE"/>
    <w:rsid w:val="00F0037E"/>
    <w:rsid w:val="00F00DC1"/>
    <w:rsid w:val="00F04009"/>
    <w:rsid w:val="00F10E95"/>
    <w:rsid w:val="00F212D7"/>
    <w:rsid w:val="00F223DF"/>
    <w:rsid w:val="00F23811"/>
    <w:rsid w:val="00F2383F"/>
    <w:rsid w:val="00F256D4"/>
    <w:rsid w:val="00F2613E"/>
    <w:rsid w:val="00F3011D"/>
    <w:rsid w:val="00F37C12"/>
    <w:rsid w:val="00F41283"/>
    <w:rsid w:val="00F41F30"/>
    <w:rsid w:val="00F45F16"/>
    <w:rsid w:val="00F46A77"/>
    <w:rsid w:val="00F54A49"/>
    <w:rsid w:val="00F63654"/>
    <w:rsid w:val="00F677E4"/>
    <w:rsid w:val="00F70631"/>
    <w:rsid w:val="00F74A31"/>
    <w:rsid w:val="00F8357B"/>
    <w:rsid w:val="00F83CA6"/>
    <w:rsid w:val="00FA1C96"/>
    <w:rsid w:val="00FA7501"/>
    <w:rsid w:val="00FB07D0"/>
    <w:rsid w:val="00FB0813"/>
    <w:rsid w:val="00FB11BA"/>
    <w:rsid w:val="00FB459B"/>
    <w:rsid w:val="00FB5AAC"/>
    <w:rsid w:val="00FB6D8A"/>
    <w:rsid w:val="00FC34CB"/>
    <w:rsid w:val="00FC3E7C"/>
    <w:rsid w:val="00FC40B2"/>
    <w:rsid w:val="00FD2086"/>
    <w:rsid w:val="00FD24B9"/>
    <w:rsid w:val="00FD6550"/>
    <w:rsid w:val="00FD7369"/>
    <w:rsid w:val="00FE4CCD"/>
    <w:rsid w:val="00FE5BB4"/>
    <w:rsid w:val="00FF2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7F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E6"/>
    <w:pPr>
      <w:spacing w:line="240" w:lineRule="auto"/>
      <w:jc w:val="both"/>
    </w:pPr>
    <w:rPr>
      <w:lang w:val="en-US"/>
    </w:rPr>
  </w:style>
  <w:style w:type="paragraph" w:styleId="Heading1">
    <w:name w:val="heading 1"/>
    <w:basedOn w:val="Normal"/>
    <w:next w:val="Normal"/>
    <w:link w:val="Heading1Char"/>
    <w:autoRedefine/>
    <w:uiPriority w:val="9"/>
    <w:qFormat/>
    <w:rsid w:val="00850719"/>
    <w:pPr>
      <w:keepNext/>
      <w:keepLines/>
      <w:spacing w:after="220"/>
      <w:ind w:left="432"/>
      <w:jc w:val="center"/>
      <w:outlineLvl w:val="0"/>
    </w:pPr>
    <w:rPr>
      <w:rFonts w:ascii="Arial Bold" w:eastAsiaTheme="majorEastAsia" w:hAnsi="Arial Bold" w:cs="Arial"/>
      <w:b/>
      <w:caps/>
      <w:szCs w:val="24"/>
      <w:lang w:val="en-GB"/>
    </w:rPr>
  </w:style>
  <w:style w:type="paragraph" w:styleId="Heading2">
    <w:name w:val="heading 2"/>
    <w:basedOn w:val="Heading3"/>
    <w:next w:val="Normal"/>
    <w:link w:val="Heading2Char"/>
    <w:autoRedefine/>
    <w:uiPriority w:val="9"/>
    <w:unhideWhenUsed/>
    <w:qFormat/>
    <w:rsid w:val="00B63DE6"/>
    <w:pPr>
      <w:outlineLvl w:val="1"/>
    </w:pPr>
  </w:style>
  <w:style w:type="paragraph" w:styleId="Heading3">
    <w:name w:val="heading 3"/>
    <w:basedOn w:val="Normal"/>
    <w:next w:val="Normal"/>
    <w:link w:val="Heading3Char"/>
    <w:autoRedefine/>
    <w:uiPriority w:val="9"/>
    <w:unhideWhenUsed/>
    <w:qFormat/>
    <w:rsid w:val="00B63DE6"/>
    <w:pPr>
      <w:keepNext/>
      <w:keepLines/>
      <w:spacing w:before="120" w:after="60"/>
      <w:outlineLvl w:val="2"/>
    </w:pPr>
    <w:rPr>
      <w:rFonts w:ascii="Arial Bold" w:eastAsiaTheme="majorEastAsia" w:hAnsi="Arial Bold" w:cstheme="majorBidi"/>
      <w:b/>
      <w:szCs w:val="24"/>
    </w:rPr>
  </w:style>
  <w:style w:type="paragraph" w:styleId="Heading4">
    <w:name w:val="heading 4"/>
    <w:basedOn w:val="Normal"/>
    <w:next w:val="Normal"/>
    <w:link w:val="Heading4Char"/>
    <w:uiPriority w:val="9"/>
    <w:unhideWhenUsed/>
    <w:qFormat/>
    <w:rsid w:val="00B63DE6"/>
    <w:pPr>
      <w:keepNext/>
      <w:keepLines/>
      <w:numPr>
        <w:ilvl w:val="3"/>
        <w:numId w:val="11"/>
      </w:numPr>
      <w:spacing w:after="220"/>
      <w:outlineLvl w:val="3"/>
    </w:pPr>
    <w:rPr>
      <w:rFonts w:ascii="Arial Bold" w:eastAsiaTheme="majorEastAsia" w:hAnsi="Arial Bold" w:cstheme="majorBidi"/>
      <w:b/>
      <w:iCs/>
    </w:rPr>
  </w:style>
  <w:style w:type="paragraph" w:styleId="Heading5">
    <w:name w:val="heading 5"/>
    <w:basedOn w:val="Normal"/>
    <w:next w:val="Normal"/>
    <w:link w:val="Heading5Char"/>
    <w:uiPriority w:val="9"/>
    <w:unhideWhenUsed/>
    <w:qFormat/>
    <w:rsid w:val="00B63DE6"/>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3DE6"/>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3DE6"/>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63DE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3DE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719"/>
    <w:rPr>
      <w:rFonts w:ascii="Arial Bold" w:eastAsiaTheme="majorEastAsia" w:hAnsi="Arial Bold" w:cs="Arial"/>
      <w:b/>
      <w:caps/>
      <w:szCs w:val="24"/>
      <w:lang w:val="en-GB"/>
    </w:rPr>
  </w:style>
  <w:style w:type="character" w:customStyle="1" w:styleId="Heading2Char">
    <w:name w:val="Heading 2 Char"/>
    <w:basedOn w:val="DefaultParagraphFont"/>
    <w:link w:val="Heading2"/>
    <w:uiPriority w:val="9"/>
    <w:rsid w:val="00B63DE6"/>
    <w:rPr>
      <w:rFonts w:ascii="Arial Bold" w:eastAsiaTheme="majorEastAsia" w:hAnsi="Arial Bold" w:cstheme="majorBidi"/>
      <w:b/>
      <w:szCs w:val="24"/>
      <w:lang w:val="en-US"/>
    </w:rPr>
  </w:style>
  <w:style w:type="character" w:customStyle="1" w:styleId="Heading3Char">
    <w:name w:val="Heading 3 Char"/>
    <w:basedOn w:val="DefaultParagraphFont"/>
    <w:link w:val="Heading3"/>
    <w:uiPriority w:val="9"/>
    <w:rsid w:val="00B63DE6"/>
    <w:rPr>
      <w:rFonts w:ascii="Arial Bold" w:eastAsiaTheme="majorEastAsia" w:hAnsi="Arial Bold" w:cstheme="majorBidi"/>
      <w:b/>
      <w:szCs w:val="24"/>
      <w:lang w:val="en-US"/>
    </w:rPr>
  </w:style>
  <w:style w:type="character" w:customStyle="1" w:styleId="Heading4Char">
    <w:name w:val="Heading 4 Char"/>
    <w:basedOn w:val="DefaultParagraphFont"/>
    <w:link w:val="Heading4"/>
    <w:uiPriority w:val="9"/>
    <w:rsid w:val="00B63DE6"/>
    <w:rPr>
      <w:rFonts w:ascii="Arial Bold" w:eastAsiaTheme="majorEastAsia" w:hAnsi="Arial Bold" w:cstheme="majorBidi"/>
      <w:b/>
      <w:iCs/>
      <w:lang w:val="en-US"/>
    </w:rPr>
  </w:style>
  <w:style w:type="character" w:customStyle="1" w:styleId="Heading5Char">
    <w:name w:val="Heading 5 Char"/>
    <w:basedOn w:val="DefaultParagraphFont"/>
    <w:link w:val="Heading5"/>
    <w:uiPriority w:val="9"/>
    <w:rsid w:val="00B63DE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63DE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63DE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63DE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63DE6"/>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ESMF para,List Paragraph (numbered (a)),Use Case List Paragraph,Citation List,Resume Title,List_Paragraph,Multilevel para_II,List Paragraph1,References,Ha,Graphic,1st level - Bullet List Paragraph,Lettre d'introduction,Paragrafo elenco"/>
    <w:basedOn w:val="Normal"/>
    <w:link w:val="ListParagraphChar"/>
    <w:uiPriority w:val="34"/>
    <w:qFormat/>
    <w:rsid w:val="00B63DE6"/>
    <w:pPr>
      <w:ind w:left="720"/>
      <w:contextualSpacing/>
    </w:pPr>
  </w:style>
  <w:style w:type="numbering" w:customStyle="1" w:styleId="AECOMListBullets">
    <w:name w:val="AECOM List Bullets"/>
    <w:uiPriority w:val="99"/>
    <w:rsid w:val="00B63DE6"/>
    <w:pPr>
      <w:numPr>
        <w:numId w:val="1"/>
      </w:numPr>
    </w:pPr>
  </w:style>
  <w:style w:type="character" w:customStyle="1" w:styleId="ListParagraphChar">
    <w:name w:val="List Paragraph Char"/>
    <w:aliases w:val="ESMF para Char,List Paragraph (numbered (a)) Char,Use Case List Paragraph Char,Citation List Char,Resume Title Char,List_Paragraph Char,Multilevel para_II Char,List Paragraph1 Char,References Char,Ha Char,Graphic Char"/>
    <w:basedOn w:val="DefaultParagraphFont"/>
    <w:link w:val="ListParagraph"/>
    <w:uiPriority w:val="34"/>
    <w:qFormat/>
    <w:locked/>
    <w:rsid w:val="00B63DE6"/>
    <w:rPr>
      <w:lang w:val="en-US"/>
    </w:rPr>
  </w:style>
  <w:style w:type="paragraph" w:styleId="Caption">
    <w:name w:val="caption"/>
    <w:basedOn w:val="Normal"/>
    <w:next w:val="Normal"/>
    <w:qFormat/>
    <w:rsid w:val="00B63DE6"/>
    <w:pPr>
      <w:tabs>
        <w:tab w:val="left" w:pos="851"/>
      </w:tabs>
      <w:spacing w:before="120" w:after="120" w:line="170" w:lineRule="atLeast"/>
      <w:ind w:left="851" w:hanging="851"/>
    </w:pPr>
    <w:rPr>
      <w:rFonts w:ascii="Calibri" w:eastAsia="Times New Roman" w:hAnsi="Calibri" w:cstheme="minorHAnsi"/>
      <w:b/>
      <w:bCs/>
      <w:sz w:val="14"/>
      <w:lang w:val="en-NZ"/>
    </w:rPr>
  </w:style>
  <w:style w:type="paragraph" w:customStyle="1" w:styleId="BodyA">
    <w:name w:val="Body A"/>
    <w:rsid w:val="00B63DE6"/>
    <w:pPr>
      <w:pBdr>
        <w:top w:val="nil"/>
        <w:left w:val="nil"/>
        <w:bottom w:val="nil"/>
        <w:right w:val="nil"/>
        <w:between w:val="nil"/>
        <w:bar w:val="nil"/>
      </w:pBdr>
      <w:spacing w:line="240" w:lineRule="auto"/>
      <w:jc w:val="both"/>
    </w:pPr>
    <w:rPr>
      <w:rFonts w:ascii="Calibri" w:eastAsia="Calibri" w:hAnsi="Calibri" w:cs="Calibri"/>
      <w:color w:val="000000"/>
      <w:sz w:val="20"/>
      <w:szCs w:val="20"/>
      <w:u w:color="000000"/>
      <w:bdr w:val="nil"/>
      <w:lang w:val="en-US"/>
    </w:rPr>
  </w:style>
  <w:style w:type="paragraph" w:customStyle="1" w:styleId="InfoSubject">
    <w:name w:val="Info: Subject"/>
    <w:basedOn w:val="Normal"/>
    <w:rsid w:val="00B63DE6"/>
    <w:pPr>
      <w:tabs>
        <w:tab w:val="right" w:pos="720"/>
        <w:tab w:val="left" w:pos="1080"/>
      </w:tabs>
      <w:spacing w:after="0"/>
    </w:pPr>
    <w:rPr>
      <w:rFonts w:ascii="Times New Roman" w:eastAsia="Times New Roman" w:hAnsi="Times New Roman" w:cs="Times New Roman"/>
      <w:b/>
      <w:szCs w:val="20"/>
      <w:u w:val="single"/>
    </w:rPr>
  </w:style>
  <w:style w:type="paragraph" w:styleId="Subtitle">
    <w:name w:val="Subtitle"/>
    <w:basedOn w:val="Normal"/>
    <w:next w:val="Normal"/>
    <w:link w:val="SubtitleChar"/>
    <w:uiPriority w:val="11"/>
    <w:qFormat/>
    <w:rsid w:val="00B63DE6"/>
    <w:pPr>
      <w:spacing w:before="120" w:after="120"/>
    </w:pPr>
    <w:rPr>
      <w:rFonts w:ascii="Calibri" w:eastAsiaTheme="minorEastAsia" w:hAnsi="Calibri"/>
      <w:i/>
      <w:color w:val="70AD47" w:themeColor="accent6"/>
      <w:sz w:val="20"/>
      <w:lang w:val="en-NZ" w:bidi="en-US"/>
    </w:rPr>
  </w:style>
  <w:style w:type="character" w:customStyle="1" w:styleId="SubtitleChar">
    <w:name w:val="Subtitle Char"/>
    <w:basedOn w:val="DefaultParagraphFont"/>
    <w:link w:val="Subtitle"/>
    <w:uiPriority w:val="11"/>
    <w:rsid w:val="00B63DE6"/>
    <w:rPr>
      <w:rFonts w:ascii="Calibri" w:eastAsiaTheme="minorEastAsia" w:hAnsi="Calibri"/>
      <w:i/>
      <w:color w:val="70AD47" w:themeColor="accent6"/>
      <w:sz w:val="20"/>
      <w:lang w:val="en-NZ" w:bidi="en-US"/>
    </w:rPr>
  </w:style>
  <w:style w:type="paragraph" w:styleId="FootnoteText">
    <w:name w:val="footnote text"/>
    <w:aliases w:val="single space,footnote text,fn,FOOTNOTES,Footnote Text Char2,Footnote Text Char1 Char,Footnote Text Char Char Char1,Footnote Text Char1 Char Char Char1,Footnote Text Char1 Char1 Char,Footnote Text Char Char Char Char,ADB,ADB Char,ft,ft1,ft2"/>
    <w:basedOn w:val="Normal"/>
    <w:link w:val="FootnoteTextChar"/>
    <w:qFormat/>
    <w:rsid w:val="00B63DE6"/>
    <w:pPr>
      <w:spacing w:before="120" w:after="120"/>
    </w:pPr>
    <w:rPr>
      <w:rFonts w:ascii="Calibri" w:eastAsia="Times New Roman" w:hAnsi="Calibri" w:cstheme="minorHAnsi"/>
      <w:sz w:val="16"/>
      <w:lang w:val="en-NZ"/>
    </w:rPr>
  </w:style>
  <w:style w:type="character" w:customStyle="1" w:styleId="FootnoteTextChar">
    <w:name w:val="Footnote Text Char"/>
    <w:aliases w:val="single space Char,footnote text Char,fn Char,FOOTNOTES Char,Footnote Text Char2 Char,Footnote Text Char1 Char Char,Footnote Text Char Char Char1 Char,Footnote Text Char1 Char Char Char1 Char,Footnote Text Char1 Char1 Char Char,ft Char"/>
    <w:basedOn w:val="DefaultParagraphFont"/>
    <w:link w:val="FootnoteText"/>
    <w:rsid w:val="00B63DE6"/>
    <w:rPr>
      <w:rFonts w:ascii="Calibri" w:eastAsia="Times New Roman" w:hAnsi="Calibri" w:cstheme="minorHAnsi"/>
      <w:sz w:val="16"/>
      <w:lang w:val="en-NZ"/>
    </w:rPr>
  </w:style>
  <w:style w:type="character" w:styleId="FootnoteReference">
    <w:name w:val="footnote reference"/>
    <w:aliases w:val="ftref,16 Point,Superscript 6 Point,(NECG) Footnote Reference,BVI fnr,BVI fnr Car Car,Carattere Carattere Char Char Char Carattere Char,Carattere Char Carattere Carattere Char Carattere Char Carattere Char Char Char1 Char,fr,Re,Ref"/>
    <w:basedOn w:val="DefaultParagraphFont"/>
    <w:link w:val="BVIfnrCharChar1CharChar"/>
    <w:uiPriority w:val="99"/>
    <w:qFormat/>
    <w:rsid w:val="00B63DE6"/>
    <w:rPr>
      <w:vertAlign w:val="superscript"/>
    </w:rPr>
  </w:style>
  <w:style w:type="table" w:styleId="TableGrid">
    <w:name w:val="Table Grid"/>
    <w:aliases w:val="表格样式"/>
    <w:basedOn w:val="TableNormal"/>
    <w:uiPriority w:val="59"/>
    <w:rsid w:val="00B63DE6"/>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DE6"/>
    <w:rPr>
      <w:color w:val="0563C1" w:themeColor="hyperlink"/>
      <w:u w:val="single"/>
    </w:rPr>
  </w:style>
  <w:style w:type="paragraph" w:styleId="NoSpacing">
    <w:name w:val="No Spacing"/>
    <w:link w:val="NoSpacingChar"/>
    <w:uiPriority w:val="1"/>
    <w:qFormat/>
    <w:rsid w:val="00B63DE6"/>
    <w:pPr>
      <w:spacing w:after="0" w:line="240" w:lineRule="auto"/>
      <w:jc w:val="both"/>
    </w:pPr>
    <w:rPr>
      <w:lang w:val="en-US"/>
    </w:rPr>
  </w:style>
  <w:style w:type="character" w:styleId="CommentReference">
    <w:name w:val="annotation reference"/>
    <w:basedOn w:val="DefaultParagraphFont"/>
    <w:uiPriority w:val="99"/>
    <w:semiHidden/>
    <w:unhideWhenUsed/>
    <w:rsid w:val="00B63DE6"/>
    <w:rPr>
      <w:sz w:val="16"/>
      <w:szCs w:val="16"/>
    </w:rPr>
  </w:style>
  <w:style w:type="paragraph" w:styleId="CommentText">
    <w:name w:val="annotation text"/>
    <w:basedOn w:val="Normal"/>
    <w:link w:val="CommentTextChar"/>
    <w:uiPriority w:val="99"/>
    <w:unhideWhenUsed/>
    <w:rsid w:val="00B63DE6"/>
    <w:rPr>
      <w:sz w:val="20"/>
      <w:szCs w:val="20"/>
    </w:rPr>
  </w:style>
  <w:style w:type="character" w:customStyle="1" w:styleId="CommentTextChar">
    <w:name w:val="Comment Text Char"/>
    <w:basedOn w:val="DefaultParagraphFont"/>
    <w:link w:val="CommentText"/>
    <w:uiPriority w:val="99"/>
    <w:rsid w:val="00B63DE6"/>
    <w:rPr>
      <w:sz w:val="20"/>
      <w:szCs w:val="20"/>
      <w:lang w:val="en-US"/>
    </w:rPr>
  </w:style>
  <w:style w:type="paragraph" w:styleId="CommentSubject">
    <w:name w:val="annotation subject"/>
    <w:basedOn w:val="CommentText"/>
    <w:next w:val="CommentText"/>
    <w:link w:val="CommentSubjectChar"/>
    <w:uiPriority w:val="99"/>
    <w:semiHidden/>
    <w:unhideWhenUsed/>
    <w:rsid w:val="00B63DE6"/>
    <w:rPr>
      <w:b/>
      <w:bCs/>
    </w:rPr>
  </w:style>
  <w:style w:type="character" w:customStyle="1" w:styleId="CommentSubjectChar">
    <w:name w:val="Comment Subject Char"/>
    <w:basedOn w:val="CommentTextChar"/>
    <w:link w:val="CommentSubject"/>
    <w:uiPriority w:val="99"/>
    <w:semiHidden/>
    <w:rsid w:val="00B63DE6"/>
    <w:rPr>
      <w:b/>
      <w:bCs/>
      <w:sz w:val="20"/>
      <w:szCs w:val="20"/>
      <w:lang w:val="en-US"/>
    </w:rPr>
  </w:style>
  <w:style w:type="paragraph" w:styleId="BalloonText">
    <w:name w:val="Balloon Text"/>
    <w:basedOn w:val="Normal"/>
    <w:link w:val="BalloonTextChar"/>
    <w:uiPriority w:val="99"/>
    <w:semiHidden/>
    <w:unhideWhenUsed/>
    <w:rsid w:val="00B63D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E6"/>
    <w:rPr>
      <w:rFonts w:ascii="Segoe UI" w:hAnsi="Segoe UI" w:cs="Segoe UI"/>
      <w:sz w:val="18"/>
      <w:szCs w:val="18"/>
      <w:lang w:val="en-US"/>
    </w:rPr>
  </w:style>
  <w:style w:type="paragraph" w:customStyle="1" w:styleId="TableText">
    <w:name w:val="Table Text"/>
    <w:basedOn w:val="Normal"/>
    <w:link w:val="TableTextChar"/>
    <w:uiPriority w:val="2"/>
    <w:qFormat/>
    <w:rsid w:val="00B63DE6"/>
    <w:pPr>
      <w:spacing w:after="0" w:line="230" w:lineRule="atLeast"/>
    </w:pPr>
    <w:rPr>
      <w:rFonts w:eastAsia="Times New Roman" w:cstheme="minorHAnsi"/>
      <w:sz w:val="18"/>
      <w:szCs w:val="20"/>
      <w:lang w:val="en-NZ"/>
    </w:rPr>
  </w:style>
  <w:style w:type="paragraph" w:customStyle="1" w:styleId="TableSolidFillH1">
    <w:name w:val="Table Solid Fill H1"/>
    <w:basedOn w:val="Normal"/>
    <w:link w:val="TableSolidFillH1Char"/>
    <w:rsid w:val="00B63DE6"/>
    <w:pPr>
      <w:spacing w:after="0" w:line="230" w:lineRule="atLeast"/>
    </w:pPr>
    <w:rPr>
      <w:rFonts w:eastAsia="Times New Roman" w:cstheme="minorHAnsi"/>
      <w:b/>
      <w:color w:val="FFFFFF"/>
      <w:sz w:val="18"/>
      <w:szCs w:val="20"/>
      <w:lang w:val="en-NZ"/>
    </w:rPr>
  </w:style>
  <w:style w:type="character" w:customStyle="1" w:styleId="TableSolidFillH1Char">
    <w:name w:val="Table Solid Fill H1 Char"/>
    <w:basedOn w:val="DefaultParagraphFont"/>
    <w:link w:val="TableSolidFillH1"/>
    <w:rsid w:val="00B63DE6"/>
    <w:rPr>
      <w:rFonts w:eastAsia="Times New Roman" w:cstheme="minorHAnsi"/>
      <w:b/>
      <w:color w:val="FFFFFF"/>
      <w:sz w:val="18"/>
      <w:szCs w:val="20"/>
      <w:lang w:val="en-NZ"/>
    </w:rPr>
  </w:style>
  <w:style w:type="character" w:customStyle="1" w:styleId="TableTextChar">
    <w:name w:val="Table Text Char"/>
    <w:link w:val="TableText"/>
    <w:uiPriority w:val="2"/>
    <w:rsid w:val="00B63DE6"/>
    <w:rPr>
      <w:rFonts w:eastAsia="Times New Roman" w:cstheme="minorHAnsi"/>
      <w:sz w:val="18"/>
      <w:szCs w:val="20"/>
      <w:lang w:val="en-NZ"/>
    </w:rPr>
  </w:style>
  <w:style w:type="paragraph" w:customStyle="1" w:styleId="AppendixSubheading">
    <w:name w:val="Appendix Subheading"/>
    <w:basedOn w:val="Normal"/>
    <w:next w:val="Normal"/>
    <w:uiPriority w:val="14"/>
    <w:qFormat/>
    <w:rsid w:val="00B63DE6"/>
    <w:pPr>
      <w:spacing w:before="120" w:after="120" w:line="230" w:lineRule="atLeast"/>
    </w:pPr>
    <w:rPr>
      <w:rFonts w:eastAsia="Times New Roman" w:cstheme="minorHAnsi"/>
      <w:b/>
      <w:sz w:val="18"/>
      <w:szCs w:val="20"/>
      <w:lang w:val="en-NZ"/>
    </w:rPr>
  </w:style>
  <w:style w:type="character" w:styleId="HTMLCite">
    <w:name w:val="HTML Cite"/>
    <w:basedOn w:val="DefaultParagraphFont"/>
    <w:uiPriority w:val="99"/>
    <w:semiHidden/>
    <w:unhideWhenUsed/>
    <w:rsid w:val="00B63DE6"/>
    <w:rPr>
      <w:i/>
      <w:iCs/>
    </w:rPr>
  </w:style>
  <w:style w:type="paragraph" w:styleId="BodyText">
    <w:name w:val="Body Text"/>
    <w:basedOn w:val="Normal"/>
    <w:link w:val="BodyTextChar"/>
    <w:unhideWhenUsed/>
    <w:rsid w:val="00B63DE6"/>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val="en-GB" w:eastAsia="sv-SE"/>
    </w:rPr>
  </w:style>
  <w:style w:type="character" w:customStyle="1" w:styleId="BodyTextChar">
    <w:name w:val="Body Text Char"/>
    <w:basedOn w:val="DefaultParagraphFont"/>
    <w:link w:val="BodyText"/>
    <w:rsid w:val="00B63DE6"/>
    <w:rPr>
      <w:rFonts w:ascii="Arial" w:eastAsia="Times New Roman" w:hAnsi="Arial" w:cs="Times New Roman"/>
      <w:szCs w:val="20"/>
      <w:lang w:val="en-GB" w:eastAsia="sv-SE"/>
    </w:rPr>
  </w:style>
  <w:style w:type="paragraph" w:styleId="Header">
    <w:name w:val="header"/>
    <w:basedOn w:val="Normal"/>
    <w:link w:val="HeaderChar"/>
    <w:uiPriority w:val="99"/>
    <w:unhideWhenUsed/>
    <w:rsid w:val="00B63DE6"/>
    <w:pPr>
      <w:tabs>
        <w:tab w:val="center" w:pos="4513"/>
        <w:tab w:val="right" w:pos="9026"/>
      </w:tabs>
      <w:spacing w:after="0"/>
    </w:pPr>
  </w:style>
  <w:style w:type="character" w:customStyle="1" w:styleId="HeaderChar">
    <w:name w:val="Header Char"/>
    <w:basedOn w:val="DefaultParagraphFont"/>
    <w:link w:val="Header"/>
    <w:uiPriority w:val="99"/>
    <w:rsid w:val="00B63DE6"/>
    <w:rPr>
      <w:lang w:val="en-US"/>
    </w:rPr>
  </w:style>
  <w:style w:type="paragraph" w:styleId="Footer">
    <w:name w:val="footer"/>
    <w:basedOn w:val="Normal"/>
    <w:link w:val="FooterChar"/>
    <w:uiPriority w:val="99"/>
    <w:unhideWhenUsed/>
    <w:rsid w:val="00B63DE6"/>
    <w:pPr>
      <w:tabs>
        <w:tab w:val="center" w:pos="4513"/>
        <w:tab w:val="right" w:pos="9026"/>
      </w:tabs>
      <w:spacing w:after="0"/>
    </w:pPr>
  </w:style>
  <w:style w:type="character" w:customStyle="1" w:styleId="FooterChar">
    <w:name w:val="Footer Char"/>
    <w:basedOn w:val="DefaultParagraphFont"/>
    <w:link w:val="Footer"/>
    <w:uiPriority w:val="99"/>
    <w:rsid w:val="00B63DE6"/>
    <w:rPr>
      <w:lang w:val="en-US"/>
    </w:rPr>
  </w:style>
  <w:style w:type="character" w:customStyle="1" w:styleId="apple-converted-space">
    <w:name w:val="apple-converted-space"/>
    <w:basedOn w:val="DefaultParagraphFont"/>
    <w:rsid w:val="00B63DE6"/>
  </w:style>
  <w:style w:type="paragraph" w:styleId="TOCHeading">
    <w:name w:val="TOC Heading"/>
    <w:basedOn w:val="Heading1"/>
    <w:next w:val="Normal"/>
    <w:uiPriority w:val="39"/>
    <w:unhideWhenUsed/>
    <w:qFormat/>
    <w:rsid w:val="00B63DE6"/>
    <w:pPr>
      <w:outlineLvl w:val="9"/>
    </w:pPr>
  </w:style>
  <w:style w:type="paragraph" w:styleId="TOC1">
    <w:name w:val="toc 1"/>
    <w:basedOn w:val="Normal"/>
    <w:next w:val="Normal"/>
    <w:autoRedefine/>
    <w:uiPriority w:val="39"/>
    <w:unhideWhenUsed/>
    <w:rsid w:val="00B63DE6"/>
    <w:pPr>
      <w:tabs>
        <w:tab w:val="right" w:pos="9360"/>
      </w:tabs>
      <w:spacing w:before="120" w:after="60"/>
      <w:ind w:left="720" w:hanging="720"/>
    </w:pPr>
    <w:rPr>
      <w:rFonts w:ascii="Arial" w:hAnsi="Arial"/>
      <w:caps/>
    </w:rPr>
  </w:style>
  <w:style w:type="paragraph" w:styleId="TOC2">
    <w:name w:val="toc 2"/>
    <w:basedOn w:val="Normal"/>
    <w:next w:val="Normal"/>
    <w:autoRedefine/>
    <w:uiPriority w:val="39"/>
    <w:unhideWhenUsed/>
    <w:rsid w:val="00B63DE6"/>
    <w:pPr>
      <w:tabs>
        <w:tab w:val="right" w:pos="9350"/>
      </w:tabs>
      <w:spacing w:after="100"/>
      <w:ind w:left="220"/>
    </w:pPr>
    <w:rPr>
      <w:rFonts w:ascii="Arial" w:hAnsi="Arial"/>
      <w:color w:val="000000" w:themeColor="text1"/>
    </w:rPr>
  </w:style>
  <w:style w:type="paragraph" w:styleId="TOC3">
    <w:name w:val="toc 3"/>
    <w:basedOn w:val="Normal"/>
    <w:next w:val="Normal"/>
    <w:autoRedefine/>
    <w:uiPriority w:val="39"/>
    <w:unhideWhenUsed/>
    <w:rsid w:val="00B63DE6"/>
    <w:pPr>
      <w:tabs>
        <w:tab w:val="left" w:pos="1320"/>
        <w:tab w:val="right" w:pos="9350"/>
      </w:tabs>
      <w:spacing w:after="100"/>
      <w:ind w:left="440"/>
    </w:pPr>
    <w:rPr>
      <w:rFonts w:ascii="Arial" w:hAnsi="Arial" w:cs="Arial"/>
      <w:bCs/>
      <w:noProof/>
      <w:color w:val="000000" w:themeColor="text1"/>
    </w:rPr>
  </w:style>
  <w:style w:type="paragraph" w:styleId="TOC4">
    <w:name w:val="toc 4"/>
    <w:basedOn w:val="Normal"/>
    <w:next w:val="Normal"/>
    <w:autoRedefine/>
    <w:uiPriority w:val="39"/>
    <w:unhideWhenUsed/>
    <w:rsid w:val="00B63DE6"/>
    <w:pPr>
      <w:spacing w:after="100"/>
      <w:ind w:left="660"/>
    </w:pPr>
    <w:rPr>
      <w:rFonts w:eastAsiaTheme="minorEastAsia"/>
      <w:lang w:val="en-GB" w:eastAsia="en-GB"/>
    </w:rPr>
  </w:style>
  <w:style w:type="paragraph" w:styleId="TOC5">
    <w:name w:val="toc 5"/>
    <w:basedOn w:val="Normal"/>
    <w:next w:val="Normal"/>
    <w:autoRedefine/>
    <w:uiPriority w:val="39"/>
    <w:unhideWhenUsed/>
    <w:rsid w:val="00B63DE6"/>
    <w:pPr>
      <w:spacing w:after="100"/>
      <w:ind w:left="880"/>
    </w:pPr>
    <w:rPr>
      <w:rFonts w:eastAsiaTheme="minorEastAsia"/>
      <w:lang w:val="en-GB" w:eastAsia="en-GB"/>
    </w:rPr>
  </w:style>
  <w:style w:type="paragraph" w:styleId="TOC6">
    <w:name w:val="toc 6"/>
    <w:basedOn w:val="Normal"/>
    <w:next w:val="Normal"/>
    <w:autoRedefine/>
    <w:uiPriority w:val="39"/>
    <w:unhideWhenUsed/>
    <w:rsid w:val="00B63DE6"/>
    <w:pPr>
      <w:spacing w:after="100"/>
      <w:ind w:left="1100"/>
    </w:pPr>
    <w:rPr>
      <w:rFonts w:eastAsiaTheme="minorEastAsia"/>
      <w:lang w:val="en-GB" w:eastAsia="en-GB"/>
    </w:rPr>
  </w:style>
  <w:style w:type="paragraph" w:styleId="TOC7">
    <w:name w:val="toc 7"/>
    <w:basedOn w:val="Normal"/>
    <w:next w:val="Normal"/>
    <w:autoRedefine/>
    <w:uiPriority w:val="39"/>
    <w:unhideWhenUsed/>
    <w:rsid w:val="00B63DE6"/>
    <w:pPr>
      <w:spacing w:after="100"/>
      <w:ind w:left="1320"/>
    </w:pPr>
    <w:rPr>
      <w:rFonts w:eastAsiaTheme="minorEastAsia"/>
      <w:lang w:val="en-GB" w:eastAsia="en-GB"/>
    </w:rPr>
  </w:style>
  <w:style w:type="paragraph" w:styleId="TOC8">
    <w:name w:val="toc 8"/>
    <w:basedOn w:val="Normal"/>
    <w:next w:val="Normal"/>
    <w:autoRedefine/>
    <w:uiPriority w:val="39"/>
    <w:unhideWhenUsed/>
    <w:rsid w:val="00B63DE6"/>
    <w:pPr>
      <w:spacing w:after="100"/>
      <w:ind w:left="1540"/>
    </w:pPr>
    <w:rPr>
      <w:rFonts w:eastAsiaTheme="minorEastAsia"/>
      <w:lang w:val="en-GB" w:eastAsia="en-GB"/>
    </w:rPr>
  </w:style>
  <w:style w:type="paragraph" w:styleId="TOC9">
    <w:name w:val="toc 9"/>
    <w:basedOn w:val="Normal"/>
    <w:next w:val="Normal"/>
    <w:autoRedefine/>
    <w:uiPriority w:val="39"/>
    <w:unhideWhenUsed/>
    <w:rsid w:val="00B63DE6"/>
    <w:pPr>
      <w:spacing w:after="100"/>
      <w:ind w:left="1760"/>
    </w:pPr>
    <w:rPr>
      <w:rFonts w:eastAsiaTheme="minorEastAsia"/>
      <w:lang w:val="en-GB" w:eastAsia="en-GB"/>
    </w:rPr>
  </w:style>
  <w:style w:type="character" w:styleId="UnresolvedMention">
    <w:name w:val="Unresolved Mention"/>
    <w:basedOn w:val="DefaultParagraphFont"/>
    <w:uiPriority w:val="99"/>
    <w:semiHidden/>
    <w:unhideWhenUsed/>
    <w:rsid w:val="00B63DE6"/>
    <w:rPr>
      <w:color w:val="605E5C"/>
      <w:shd w:val="clear" w:color="auto" w:fill="E1DFDD"/>
    </w:rPr>
  </w:style>
  <w:style w:type="character" w:styleId="Strong">
    <w:name w:val="Strong"/>
    <w:basedOn w:val="DefaultParagraphFont"/>
    <w:uiPriority w:val="22"/>
    <w:qFormat/>
    <w:rsid w:val="00B63DE6"/>
    <w:rPr>
      <w:b/>
      <w:bCs/>
      <w:color w:val="000000" w:themeColor="text1"/>
    </w:rPr>
  </w:style>
  <w:style w:type="paragraph" w:styleId="Title">
    <w:name w:val="Title"/>
    <w:basedOn w:val="Normal"/>
    <w:next w:val="Normal"/>
    <w:link w:val="TitleChar"/>
    <w:uiPriority w:val="10"/>
    <w:qFormat/>
    <w:rsid w:val="00B63DE6"/>
    <w:pPr>
      <w:spacing w:after="0"/>
      <w:contextualSpacing/>
    </w:pPr>
    <w:rPr>
      <w:rFonts w:asciiTheme="majorHAnsi" w:eastAsiaTheme="majorEastAsia" w:hAnsiTheme="majorHAnsi" w:cstheme="majorBidi"/>
      <w:color w:val="000000" w:themeColor="text1"/>
      <w:sz w:val="56"/>
      <w:szCs w:val="56"/>
      <w:lang w:val="en-GB"/>
    </w:rPr>
  </w:style>
  <w:style w:type="character" w:customStyle="1" w:styleId="TitleChar">
    <w:name w:val="Title Char"/>
    <w:basedOn w:val="DefaultParagraphFont"/>
    <w:link w:val="Title"/>
    <w:uiPriority w:val="10"/>
    <w:rsid w:val="00B63DE6"/>
    <w:rPr>
      <w:rFonts w:asciiTheme="majorHAnsi" w:eastAsiaTheme="majorEastAsia" w:hAnsiTheme="majorHAnsi" w:cstheme="majorBidi"/>
      <w:color w:val="000000" w:themeColor="text1"/>
      <w:sz w:val="56"/>
      <w:szCs w:val="56"/>
      <w:lang w:val="en-GB"/>
    </w:rPr>
  </w:style>
  <w:style w:type="character" w:customStyle="1" w:styleId="NoSpacingChar">
    <w:name w:val="No Spacing Char"/>
    <w:basedOn w:val="DefaultParagraphFont"/>
    <w:link w:val="NoSpacing"/>
    <w:uiPriority w:val="1"/>
    <w:rsid w:val="00B63DE6"/>
    <w:rPr>
      <w:lang w:val="en-US"/>
    </w:rPr>
  </w:style>
  <w:style w:type="paragraph" w:styleId="NormalWeb">
    <w:name w:val="Normal (Web)"/>
    <w:basedOn w:val="Normal"/>
    <w:uiPriority w:val="99"/>
    <w:unhideWhenUsed/>
    <w:rsid w:val="00B63DE6"/>
    <w:pPr>
      <w:spacing w:before="100" w:beforeAutospacing="1" w:after="100" w:afterAutospacing="1"/>
    </w:pPr>
    <w:rPr>
      <w:rFonts w:ascii="Times New Roman" w:eastAsiaTheme="minorEastAsia" w:hAnsi="Times New Roman" w:cs="Times New Roman"/>
      <w:sz w:val="24"/>
      <w:szCs w:val="24"/>
      <w:lang w:val="en-GB" w:eastAsia="en-GB"/>
    </w:rPr>
  </w:style>
  <w:style w:type="paragraph" w:customStyle="1" w:styleId="BVIfnrCharChar1CharChar">
    <w:name w:val="BVI fnr Char Char1 Char Char"/>
    <w:aliases w:val=" BVI fnr Car Car Car Car Char Car Char Char Char Char Char, BVI fnr Car Car Car Car Char1 Char Char Char, BVI fnr Car Car Char Char1 Char Char,BVI fnr Car Car Char Char1 Char Char,BVI fnr Car Char Char1 Char Char"/>
    <w:basedOn w:val="Normal"/>
    <w:link w:val="FootnoteReference"/>
    <w:uiPriority w:val="99"/>
    <w:rsid w:val="00B63DE6"/>
    <w:pPr>
      <w:spacing w:line="240" w:lineRule="exact"/>
    </w:pPr>
    <w:rPr>
      <w:vertAlign w:val="superscript"/>
      <w:lang w:val="en-AU"/>
    </w:rPr>
  </w:style>
  <w:style w:type="paragraph" w:customStyle="1" w:styleId="Paragraph-Numbered">
    <w:name w:val="Paragraph - Numbered"/>
    <w:basedOn w:val="ListParagraph"/>
    <w:link w:val="Paragraph-NumberedChar"/>
    <w:uiPriority w:val="99"/>
    <w:qFormat/>
    <w:rsid w:val="00B63DE6"/>
    <w:pPr>
      <w:widowControl w:val="0"/>
      <w:numPr>
        <w:numId w:val="2"/>
      </w:numPr>
      <w:autoSpaceDE w:val="0"/>
      <w:autoSpaceDN w:val="0"/>
      <w:adjustRightInd w:val="0"/>
      <w:spacing w:before="120" w:after="0"/>
      <w:contextualSpacing w:val="0"/>
    </w:pPr>
    <w:rPr>
      <w:rFonts w:eastAsiaTheme="minorEastAsia" w:cstheme="minorHAnsi"/>
      <w:color w:val="000000"/>
    </w:rPr>
  </w:style>
  <w:style w:type="character" w:customStyle="1" w:styleId="Paragraph-NumberedChar">
    <w:name w:val="Paragraph - Numbered Char"/>
    <w:basedOn w:val="DefaultParagraphFont"/>
    <w:link w:val="Paragraph-Numbered"/>
    <w:uiPriority w:val="99"/>
    <w:rsid w:val="00B63DE6"/>
    <w:rPr>
      <w:rFonts w:eastAsiaTheme="minorEastAsia" w:cstheme="minorHAnsi"/>
      <w:color w:val="000000"/>
      <w:lang w:val="en-US"/>
    </w:rPr>
  </w:style>
  <w:style w:type="paragraph" w:styleId="Revision">
    <w:name w:val="Revision"/>
    <w:hidden/>
    <w:uiPriority w:val="99"/>
    <w:semiHidden/>
    <w:rsid w:val="00B63DE6"/>
    <w:pPr>
      <w:spacing w:after="0" w:line="240" w:lineRule="auto"/>
      <w:jc w:val="both"/>
    </w:pPr>
    <w:rPr>
      <w:lang w:val="en-US"/>
    </w:rPr>
  </w:style>
  <w:style w:type="paragraph" w:customStyle="1" w:styleId="ADBPara">
    <w:name w:val="ADB Para"/>
    <w:basedOn w:val="Normal"/>
    <w:link w:val="ADBParaChar"/>
    <w:qFormat/>
    <w:rsid w:val="00B63DE6"/>
    <w:pPr>
      <w:numPr>
        <w:numId w:val="3"/>
      </w:numPr>
      <w:spacing w:before="120" w:after="120"/>
    </w:pPr>
    <w:rPr>
      <w:rFonts w:ascii="Arial" w:eastAsia="Calibri" w:hAnsi="Arial" w:cs="Times New Roman"/>
      <w:szCs w:val="20"/>
      <w:lang w:val="en-AU"/>
    </w:rPr>
  </w:style>
  <w:style w:type="character" w:customStyle="1" w:styleId="ADBParaChar">
    <w:name w:val="ADB Para Char"/>
    <w:link w:val="ADBPara"/>
    <w:locked/>
    <w:rsid w:val="00B63DE6"/>
    <w:rPr>
      <w:rFonts w:ascii="Arial" w:eastAsia="Calibri" w:hAnsi="Arial" w:cs="Times New Roman"/>
      <w:szCs w:val="20"/>
    </w:rPr>
  </w:style>
  <w:style w:type="paragraph" w:customStyle="1" w:styleId="Default">
    <w:name w:val="Default"/>
    <w:rsid w:val="00B63DE6"/>
    <w:pPr>
      <w:autoSpaceDE w:val="0"/>
      <w:autoSpaceDN w:val="0"/>
      <w:adjustRightInd w:val="0"/>
      <w:spacing w:after="0" w:line="240" w:lineRule="auto"/>
      <w:jc w:val="both"/>
    </w:pPr>
    <w:rPr>
      <w:rFonts w:ascii="Calibri" w:hAnsi="Calibri" w:cs="Calibri"/>
      <w:color w:val="000000"/>
      <w:sz w:val="24"/>
      <w:szCs w:val="24"/>
      <w:lang w:val="en-GB"/>
    </w:rPr>
  </w:style>
  <w:style w:type="character" w:customStyle="1" w:styleId="FontStyle142">
    <w:name w:val="Font Style142"/>
    <w:uiPriority w:val="99"/>
    <w:rsid w:val="00B63DE6"/>
    <w:rPr>
      <w:rFonts w:ascii="Arial" w:hAnsi="Arial" w:cs="Arial"/>
      <w:sz w:val="18"/>
      <w:szCs w:val="18"/>
    </w:rPr>
  </w:style>
  <w:style w:type="table" w:customStyle="1" w:styleId="TableGrid1">
    <w:name w:val="Table Grid1"/>
    <w:basedOn w:val="TableNormal"/>
    <w:next w:val="TableGrid"/>
    <w:uiPriority w:val="59"/>
    <w:rsid w:val="00B63DE6"/>
    <w:pPr>
      <w:spacing w:after="0" w:line="240" w:lineRule="auto"/>
      <w:jc w:val="both"/>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63DE6"/>
    <w:pPr>
      <w:spacing w:after="0" w:line="240" w:lineRule="auto"/>
      <w:jc w:val="both"/>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DBHeading">
    <w:name w:val="ADB Heading"/>
    <w:basedOn w:val="Normal"/>
    <w:qFormat/>
    <w:rsid w:val="00B63DE6"/>
    <w:pPr>
      <w:keepNext/>
      <w:keepLines/>
      <w:numPr>
        <w:numId w:val="4"/>
      </w:numPr>
      <w:spacing w:before="240" w:after="240"/>
      <w:outlineLvl w:val="3"/>
    </w:pPr>
    <w:rPr>
      <w:rFonts w:ascii="Arial" w:eastAsiaTheme="majorEastAsia" w:hAnsi="Arial" w:cs="Arial"/>
      <w:b/>
      <w:iCs/>
      <w:sz w:val="24"/>
      <w:szCs w:val="24"/>
    </w:rPr>
  </w:style>
  <w:style w:type="character" w:styleId="LineNumber">
    <w:name w:val="line number"/>
    <w:basedOn w:val="DefaultParagraphFont"/>
    <w:uiPriority w:val="99"/>
    <w:semiHidden/>
    <w:unhideWhenUsed/>
    <w:rsid w:val="00B63DE6"/>
  </w:style>
  <w:style w:type="table" w:styleId="GridTable1Light-Accent5">
    <w:name w:val="Grid Table 1 Light Accent 5"/>
    <w:basedOn w:val="TableNormal"/>
    <w:uiPriority w:val="46"/>
    <w:rsid w:val="00B63DE6"/>
    <w:pPr>
      <w:spacing w:after="0" w:line="240" w:lineRule="auto"/>
      <w:jc w:val="both"/>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Para">
    <w:name w:val="Para"/>
    <w:basedOn w:val="Normal"/>
    <w:autoRedefine/>
    <w:rsid w:val="00B63DE6"/>
    <w:pPr>
      <w:numPr>
        <w:numId w:val="5"/>
      </w:numPr>
      <w:spacing w:before="240" w:after="0"/>
      <w:outlineLvl w:val="0"/>
    </w:pPr>
    <w:rPr>
      <w:rFonts w:ascii="Arial" w:eastAsia="MS Mincho" w:hAnsi="Arial" w:cs="Arial"/>
      <w:bCs/>
      <w:sz w:val="20"/>
      <w:szCs w:val="20"/>
      <w:lang w:eastAsia="ja-JP"/>
    </w:rPr>
  </w:style>
  <w:style w:type="paragraph" w:customStyle="1" w:styleId="xmsonormal">
    <w:name w:val="xmsonormal"/>
    <w:basedOn w:val="Normal"/>
    <w:rsid w:val="00B63DE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4234303962976164049msolistparagraph">
    <w:name w:val="m_-4234303962976164049msolistparagraph"/>
    <w:basedOn w:val="Normal"/>
    <w:rsid w:val="00B63DE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8247201877908762714msolistparagraph">
    <w:name w:val="m_-8247201877908762714msolistparagraph"/>
    <w:basedOn w:val="Normal"/>
    <w:rsid w:val="00B63DE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numberChar">
    <w:name w:val="footnote number Char"/>
    <w:aliases w:val=" BVI fnr, BVI fnr Car Car, BVI fnr Car Car Car Car Char Char,BVI fnr Car,BVI fnr Car Car Car Car Char,BVI fnr Car Car Car Car Char Char,BVI fnr Car Car Car Car Char Char Char Char Char,de nota al pi"/>
    <w:basedOn w:val="Normal"/>
    <w:next w:val="FootnoteText"/>
    <w:uiPriority w:val="99"/>
    <w:rsid w:val="00B63DE6"/>
    <w:pPr>
      <w:spacing w:line="240" w:lineRule="exact"/>
    </w:pPr>
    <w:rPr>
      <w:rFonts w:ascii="Times New Roman" w:eastAsia="Times New Roman" w:hAnsi="Times New Roman" w:cs="Times New Roman"/>
      <w:sz w:val="20"/>
      <w:szCs w:val="20"/>
      <w:vertAlign w:val="superscript"/>
      <w:lang w:eastAsia="ja-JP"/>
    </w:rPr>
  </w:style>
  <w:style w:type="character" w:customStyle="1" w:styleId="cf01">
    <w:name w:val="cf01"/>
    <w:basedOn w:val="DefaultParagraphFont"/>
    <w:rsid w:val="00B63DE6"/>
    <w:rPr>
      <w:rFonts w:ascii="Segoe UI" w:hAnsi="Segoe UI" w:cs="Segoe UI" w:hint="default"/>
      <w:sz w:val="18"/>
      <w:szCs w:val="18"/>
    </w:rPr>
  </w:style>
  <w:style w:type="character" w:styleId="Mention">
    <w:name w:val="Mention"/>
    <w:basedOn w:val="DefaultParagraphFont"/>
    <w:uiPriority w:val="99"/>
    <w:unhideWhenUsed/>
    <w:rsid w:val="00B63DE6"/>
    <w:rPr>
      <w:color w:val="2B579A"/>
      <w:shd w:val="clear" w:color="auto" w:fill="E1DFDD"/>
    </w:rPr>
  </w:style>
  <w:style w:type="character" w:customStyle="1" w:styleId="UnresolvedMention1">
    <w:name w:val="Unresolved Mention1"/>
    <w:basedOn w:val="DefaultParagraphFont"/>
    <w:uiPriority w:val="99"/>
    <w:semiHidden/>
    <w:unhideWhenUsed/>
    <w:rsid w:val="00B63DE6"/>
    <w:rPr>
      <w:color w:val="605E5C"/>
      <w:shd w:val="clear" w:color="auto" w:fill="E1DFDD"/>
    </w:rPr>
  </w:style>
  <w:style w:type="table" w:customStyle="1" w:styleId="GridTable1Light-Accent51">
    <w:name w:val="Grid Table 1 Light - Accent 51"/>
    <w:basedOn w:val="TableNormal"/>
    <w:uiPriority w:val="46"/>
    <w:rsid w:val="00B63DE6"/>
    <w:pPr>
      <w:spacing w:after="0" w:line="240" w:lineRule="auto"/>
      <w:jc w:val="both"/>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unhideWhenUsed/>
    <w:rsid w:val="00B63D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74748">
      <w:bodyDiv w:val="1"/>
      <w:marLeft w:val="0"/>
      <w:marRight w:val="0"/>
      <w:marTop w:val="0"/>
      <w:marBottom w:val="0"/>
      <w:divBdr>
        <w:top w:val="none" w:sz="0" w:space="0" w:color="auto"/>
        <w:left w:val="none" w:sz="0" w:space="0" w:color="auto"/>
        <w:bottom w:val="none" w:sz="0" w:space="0" w:color="auto"/>
        <w:right w:val="none" w:sz="0" w:space="0" w:color="auto"/>
      </w:divBdr>
    </w:div>
    <w:div w:id="18906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506E-210B-49C0-BA1C-F2A10A33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8021</Words>
  <Characters>47571</Characters>
  <Application>Microsoft Office Word</Application>
  <DocSecurity>0</DocSecurity>
  <Lines>970</Lines>
  <Paragraphs>475</Paragraphs>
  <ScaleCrop>false</ScaleCrop>
  <HeadingPairs>
    <vt:vector size="2" baseType="variant">
      <vt:variant>
        <vt:lpstr>Title</vt:lpstr>
      </vt:variant>
      <vt:variant>
        <vt:i4>1</vt:i4>
      </vt:variant>
    </vt:vector>
  </HeadingPairs>
  <TitlesOfParts>
    <vt:vector size="1" baseType="lpstr">
      <vt:lpstr>Review and Evaluation of the Performance of Sustainable Transport Infrastructure Improvement Program (STIIP) and the National Transport Fund (NTF) in the Solomon Island</vt:lpstr>
    </vt:vector>
  </TitlesOfParts>
  <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and Evaluation of the Performance of Sustainable Transport Infrastructure Improvement Program (STIIP) and the National Transport Fund (NTF) in the Solomon Islands</dc:title>
  <dc:subject/>
  <dc:creator/>
  <cp:keywords>[SEC=OFFICIAL]</cp:keywords>
  <dc:description/>
  <cp:lastModifiedBy/>
  <cp:revision>1</cp:revision>
  <dcterms:created xsi:type="dcterms:W3CDTF">2022-12-19T05:53:00Z</dcterms:created>
  <dcterms:modified xsi:type="dcterms:W3CDTF">2022-12-20T05:00:00Z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71DA3E3A41E6413E93D0ACE40C03FB1B</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2022-12-20T05:00:07Z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C3BFFEC52852665A984539078A550F1A</vt:lpwstr>
  </property>
  <property fmtid="{D5CDD505-2E9C-101B-9397-08002B2CF9AE}" pid="23" name="PM_Hash_Salt">
    <vt:lpwstr>0042C69D8E8F03B6EC5E0423B4CD4A23</vt:lpwstr>
  </property>
  <property fmtid="{D5CDD505-2E9C-101B-9397-08002B2CF9AE}" pid="24" name="PM_Hash_SHA1">
    <vt:lpwstr>41A0392BE6E12F7A3D195C554B7A47966A298824</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