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9DFB2" w14:textId="6A3F6C29" w:rsidR="00F955D9" w:rsidRPr="003009A8" w:rsidRDefault="00B753C1" w:rsidP="00430010">
      <w:pPr>
        <w:pStyle w:val="Heading1"/>
      </w:pPr>
      <w:r w:rsidRPr="00B753C1">
        <w:t>Social Security Policy Support (SSPS) Programme Mid-term Evaluation</w:t>
      </w:r>
      <w:r>
        <w:t>:</w:t>
      </w:r>
      <w:r w:rsidRPr="00B753C1">
        <w:t xml:space="preserve"> Management Response</w:t>
      </w:r>
    </w:p>
    <w:p w14:paraId="22F78A68" w14:textId="77777777" w:rsidR="00F955D9" w:rsidRPr="00430010" w:rsidRDefault="00F955D9" w:rsidP="00430010">
      <w:pPr>
        <w:pStyle w:val="Heading2"/>
      </w:pPr>
      <w:r w:rsidRPr="00430010">
        <w:t xml:space="preserve">Updated Progress of Works based on MTR Recommendations </w:t>
      </w:r>
    </w:p>
    <w:tbl>
      <w:tblPr>
        <w:tblStyle w:val="TableGrid"/>
        <w:tblW w:w="5000" w:type="pct"/>
        <w:tblLook w:val="04A0" w:firstRow="1" w:lastRow="0" w:firstColumn="1" w:lastColumn="0" w:noHBand="0" w:noVBand="1"/>
      </w:tblPr>
      <w:tblGrid>
        <w:gridCol w:w="538"/>
        <w:gridCol w:w="2706"/>
        <w:gridCol w:w="2395"/>
        <w:gridCol w:w="2239"/>
        <w:gridCol w:w="3139"/>
        <w:gridCol w:w="2408"/>
      </w:tblGrid>
      <w:tr w:rsidR="00067954" w:rsidRPr="003009A8" w14:paraId="36B92791" w14:textId="77777777" w:rsidTr="003009A8">
        <w:trPr>
          <w:tblHeader/>
        </w:trPr>
        <w:tc>
          <w:tcPr>
            <w:tcW w:w="200" w:type="pct"/>
          </w:tcPr>
          <w:p w14:paraId="0D8569FD" w14:textId="77777777" w:rsidR="00162B4E" w:rsidRPr="003009A8" w:rsidRDefault="00162B4E" w:rsidP="00E259AC">
            <w:pPr>
              <w:jc w:val="center"/>
              <w:rPr>
                <w:b/>
                <w:bCs/>
                <w:color w:val="auto"/>
              </w:rPr>
            </w:pPr>
            <w:r w:rsidRPr="003009A8">
              <w:rPr>
                <w:b/>
                <w:bCs/>
                <w:color w:val="auto"/>
              </w:rPr>
              <w:t>Sl. No.</w:t>
            </w:r>
          </w:p>
        </w:tc>
        <w:tc>
          <w:tcPr>
            <w:tcW w:w="1008" w:type="pct"/>
          </w:tcPr>
          <w:p w14:paraId="523FB6D9" w14:textId="77777777" w:rsidR="00162B4E" w:rsidRPr="003009A8" w:rsidRDefault="00162B4E" w:rsidP="00E259AC">
            <w:pPr>
              <w:jc w:val="center"/>
              <w:rPr>
                <w:b/>
                <w:bCs/>
                <w:color w:val="auto"/>
              </w:rPr>
            </w:pPr>
            <w:r w:rsidRPr="003009A8">
              <w:rPr>
                <w:b/>
                <w:bCs/>
                <w:color w:val="auto"/>
              </w:rPr>
              <w:t>Issues</w:t>
            </w:r>
          </w:p>
        </w:tc>
        <w:tc>
          <w:tcPr>
            <w:tcW w:w="892" w:type="pct"/>
          </w:tcPr>
          <w:p w14:paraId="0770BAAD" w14:textId="5C5A6794" w:rsidR="00162B4E" w:rsidRPr="003009A8" w:rsidRDefault="00162B4E" w:rsidP="00E259AC">
            <w:pPr>
              <w:jc w:val="center"/>
              <w:rPr>
                <w:b/>
                <w:bCs/>
                <w:color w:val="auto"/>
              </w:rPr>
            </w:pPr>
            <w:r w:rsidRPr="003009A8">
              <w:rPr>
                <w:b/>
                <w:bCs/>
                <w:color w:val="auto"/>
              </w:rPr>
              <w:t>Management Response</w:t>
            </w:r>
          </w:p>
        </w:tc>
        <w:tc>
          <w:tcPr>
            <w:tcW w:w="834" w:type="pct"/>
          </w:tcPr>
          <w:p w14:paraId="7156758D" w14:textId="667A9345" w:rsidR="00162B4E" w:rsidRPr="003009A8" w:rsidRDefault="00162B4E" w:rsidP="00E259AC">
            <w:pPr>
              <w:jc w:val="center"/>
              <w:rPr>
                <w:b/>
                <w:bCs/>
                <w:color w:val="auto"/>
              </w:rPr>
            </w:pPr>
            <w:r w:rsidRPr="003009A8">
              <w:rPr>
                <w:b/>
                <w:bCs/>
                <w:color w:val="auto"/>
              </w:rPr>
              <w:t>Progress 2023</w:t>
            </w:r>
          </w:p>
        </w:tc>
        <w:tc>
          <w:tcPr>
            <w:tcW w:w="1169" w:type="pct"/>
          </w:tcPr>
          <w:p w14:paraId="1CE89072" w14:textId="0B0DFF38" w:rsidR="00162B4E" w:rsidRPr="003009A8" w:rsidRDefault="00162B4E" w:rsidP="00E259AC">
            <w:pPr>
              <w:jc w:val="center"/>
              <w:rPr>
                <w:b/>
                <w:bCs/>
                <w:color w:val="auto"/>
              </w:rPr>
            </w:pPr>
            <w:r w:rsidRPr="003009A8">
              <w:rPr>
                <w:b/>
                <w:bCs/>
                <w:color w:val="auto"/>
              </w:rPr>
              <w:t>Progress 2024</w:t>
            </w:r>
          </w:p>
        </w:tc>
        <w:tc>
          <w:tcPr>
            <w:tcW w:w="897" w:type="pct"/>
          </w:tcPr>
          <w:p w14:paraId="20FA2063" w14:textId="77777777" w:rsidR="00162B4E" w:rsidRPr="003009A8" w:rsidRDefault="00162B4E" w:rsidP="00E259AC">
            <w:pPr>
              <w:jc w:val="center"/>
              <w:rPr>
                <w:b/>
                <w:bCs/>
                <w:color w:val="auto"/>
              </w:rPr>
            </w:pPr>
            <w:r w:rsidRPr="003009A8">
              <w:rPr>
                <w:b/>
                <w:bCs/>
                <w:color w:val="auto"/>
              </w:rPr>
              <w:t>Timeframe for completion</w:t>
            </w:r>
          </w:p>
        </w:tc>
      </w:tr>
      <w:tr w:rsidR="00067954" w:rsidRPr="003009A8" w14:paraId="162FC500" w14:textId="77777777" w:rsidTr="003009A8">
        <w:tc>
          <w:tcPr>
            <w:tcW w:w="200" w:type="pct"/>
          </w:tcPr>
          <w:p w14:paraId="782FC8F4" w14:textId="77777777" w:rsidR="00162B4E" w:rsidRPr="003009A8" w:rsidRDefault="00162B4E" w:rsidP="00E259AC">
            <w:pPr>
              <w:jc w:val="center"/>
              <w:rPr>
                <w:color w:val="auto"/>
              </w:rPr>
            </w:pPr>
            <w:r w:rsidRPr="003009A8">
              <w:rPr>
                <w:color w:val="auto"/>
              </w:rPr>
              <w:t>01.</w:t>
            </w:r>
          </w:p>
        </w:tc>
        <w:tc>
          <w:tcPr>
            <w:tcW w:w="1008" w:type="pct"/>
          </w:tcPr>
          <w:p w14:paraId="5C3D2C54" w14:textId="77777777" w:rsidR="00162B4E" w:rsidRPr="003009A8" w:rsidRDefault="00162B4E" w:rsidP="00E259AC">
            <w:pPr>
              <w:rPr>
                <w:color w:val="auto"/>
              </w:rPr>
            </w:pPr>
            <w:r w:rsidRPr="003009A8">
              <w:rPr>
                <w:color w:val="auto"/>
              </w:rPr>
              <w:t>Supporting the ongoing work program and preparing for developing the next phase of the National Social Security Strategy (NSSS)</w:t>
            </w:r>
          </w:p>
          <w:p w14:paraId="31DA7DBD" w14:textId="77777777" w:rsidR="00162B4E" w:rsidRPr="003009A8" w:rsidRDefault="00162B4E" w:rsidP="00E259AC">
            <w:pPr>
              <w:rPr>
                <w:color w:val="auto"/>
              </w:rPr>
            </w:pPr>
          </w:p>
        </w:tc>
        <w:tc>
          <w:tcPr>
            <w:tcW w:w="892" w:type="pct"/>
          </w:tcPr>
          <w:p w14:paraId="34E50652" w14:textId="2E462430" w:rsidR="00162B4E" w:rsidRPr="003009A8" w:rsidRDefault="00162B4E" w:rsidP="00E259AC">
            <w:pPr>
              <w:rPr>
                <w:color w:val="auto"/>
              </w:rPr>
            </w:pPr>
            <w:r w:rsidRPr="003009A8">
              <w:rPr>
                <w:b/>
                <w:bCs/>
                <w:color w:val="auto"/>
              </w:rPr>
              <w:t>Support to NSSS 2026+ Development</w:t>
            </w:r>
            <w:r w:rsidRPr="003009A8">
              <w:rPr>
                <w:color w:val="auto"/>
              </w:rPr>
              <w:br/>
              <w:t>To expedite social protection reforms and support the development of the next-generation National Social Security Strategy (NSSS 2026+), with key milestones targeted for 2025–2026.</w:t>
            </w:r>
          </w:p>
        </w:tc>
        <w:tc>
          <w:tcPr>
            <w:tcW w:w="834" w:type="pct"/>
          </w:tcPr>
          <w:p w14:paraId="261692BB" w14:textId="0096D138" w:rsidR="00162B4E" w:rsidRPr="003009A8" w:rsidRDefault="00162B4E" w:rsidP="00E259AC">
            <w:pPr>
              <w:rPr>
                <w:color w:val="auto"/>
              </w:rPr>
            </w:pPr>
            <w:r w:rsidRPr="003009A8">
              <w:rPr>
                <w:color w:val="auto"/>
              </w:rPr>
              <w:t>The next-generation NSSS 2026+ concept notes have been developed and shared with the Cabinet Division. They will be further consulted through a national dialogue in 2024.</w:t>
            </w:r>
          </w:p>
        </w:tc>
        <w:tc>
          <w:tcPr>
            <w:tcW w:w="1169" w:type="pct"/>
          </w:tcPr>
          <w:p w14:paraId="4B07C5F5" w14:textId="707D8338" w:rsidR="00162B4E" w:rsidRPr="003009A8" w:rsidRDefault="00162B4E" w:rsidP="00E259AC">
            <w:pPr>
              <w:rPr>
                <w:color w:val="auto"/>
              </w:rPr>
            </w:pPr>
            <w:r w:rsidRPr="003009A8">
              <w:rPr>
                <w:color w:val="auto"/>
              </w:rPr>
              <w:t xml:space="preserve">The policymakers of key ministries attended the </w:t>
            </w:r>
            <w:r w:rsidR="00A04628">
              <w:rPr>
                <w:color w:val="auto"/>
              </w:rPr>
              <w:t>Social Security Policy Support (</w:t>
            </w:r>
            <w:r w:rsidRPr="003009A8">
              <w:rPr>
                <w:color w:val="auto"/>
              </w:rPr>
              <w:t>SSPS</w:t>
            </w:r>
            <w:r w:rsidR="00A04628">
              <w:rPr>
                <w:color w:val="auto"/>
              </w:rPr>
              <w:t>)</w:t>
            </w:r>
            <w:r w:rsidRPr="003009A8">
              <w:rPr>
                <w:color w:val="auto"/>
              </w:rPr>
              <w:t xml:space="preserve"> Program-organized national consensus-building workshop and agreed to expedite key social protection reform and the next generation of NSSS 2026+.</w:t>
            </w:r>
          </w:p>
          <w:p w14:paraId="0442206C" w14:textId="77777777" w:rsidR="00162B4E" w:rsidRPr="003009A8" w:rsidRDefault="00162B4E" w:rsidP="00E259AC">
            <w:pPr>
              <w:rPr>
                <w:color w:val="auto"/>
              </w:rPr>
            </w:pPr>
          </w:p>
          <w:p w14:paraId="77E28F98" w14:textId="77777777" w:rsidR="00162B4E" w:rsidRPr="003009A8" w:rsidRDefault="00162B4E" w:rsidP="00E259AC">
            <w:pPr>
              <w:rPr>
                <w:color w:val="auto"/>
              </w:rPr>
            </w:pPr>
            <w:r w:rsidRPr="003009A8">
              <w:rPr>
                <w:color w:val="auto"/>
              </w:rPr>
              <w:t>In a reflection workshop, the SSPS Program appraised the new Cabinet Secretary about the progress of social protection reform, including the draft content of the next-generation NSSS, in an orientation workshop for the Secretaries of NSSS five thematic clusters. The Cabinet Secretary consented to reform and initiated the development of the next-generation NSSS.</w:t>
            </w:r>
          </w:p>
        </w:tc>
        <w:tc>
          <w:tcPr>
            <w:tcW w:w="897" w:type="pct"/>
          </w:tcPr>
          <w:p w14:paraId="49ABBB8B" w14:textId="77777777" w:rsidR="00162B4E" w:rsidRPr="003009A8" w:rsidRDefault="00162B4E" w:rsidP="00E259AC">
            <w:pPr>
              <w:rPr>
                <w:color w:val="auto"/>
              </w:rPr>
            </w:pPr>
            <w:r w:rsidRPr="003009A8">
              <w:rPr>
                <w:color w:val="auto"/>
              </w:rPr>
              <w:t xml:space="preserve">Content discussion Aug-Sept 2025 </w:t>
            </w:r>
          </w:p>
          <w:p w14:paraId="5C46B11D" w14:textId="77777777" w:rsidR="00162B4E" w:rsidRPr="003009A8" w:rsidRDefault="00162B4E" w:rsidP="00E259AC">
            <w:pPr>
              <w:rPr>
                <w:color w:val="auto"/>
              </w:rPr>
            </w:pPr>
            <w:r w:rsidRPr="003009A8">
              <w:rPr>
                <w:color w:val="auto"/>
              </w:rPr>
              <w:t>NSSS 2026 preparation work Dec 2025</w:t>
            </w:r>
          </w:p>
          <w:p w14:paraId="1F059BC6" w14:textId="77777777" w:rsidR="00162B4E" w:rsidRPr="003009A8" w:rsidRDefault="00162B4E" w:rsidP="00E259AC">
            <w:pPr>
              <w:rPr>
                <w:color w:val="auto"/>
              </w:rPr>
            </w:pPr>
            <w:r w:rsidRPr="003009A8">
              <w:rPr>
                <w:color w:val="auto"/>
              </w:rPr>
              <w:t>NSSS 2026 draft available Mar 2026</w:t>
            </w:r>
          </w:p>
          <w:p w14:paraId="3535C689" w14:textId="77777777" w:rsidR="00162B4E" w:rsidRPr="003009A8" w:rsidRDefault="00162B4E" w:rsidP="00E259AC">
            <w:pPr>
              <w:rPr>
                <w:color w:val="auto"/>
              </w:rPr>
            </w:pPr>
            <w:r w:rsidRPr="003009A8">
              <w:rPr>
                <w:color w:val="auto"/>
              </w:rPr>
              <w:t>Submit for Cabinet Approval May 2026</w:t>
            </w:r>
          </w:p>
          <w:p w14:paraId="6B0E33CF" w14:textId="77777777" w:rsidR="00162B4E" w:rsidRPr="003009A8" w:rsidRDefault="00162B4E" w:rsidP="00E259AC">
            <w:pPr>
              <w:rPr>
                <w:color w:val="auto"/>
              </w:rPr>
            </w:pPr>
          </w:p>
          <w:p w14:paraId="1AE67554" w14:textId="77777777" w:rsidR="00162B4E" w:rsidRPr="003009A8" w:rsidRDefault="00162B4E" w:rsidP="00E259AC">
            <w:pPr>
              <w:rPr>
                <w:color w:val="auto"/>
              </w:rPr>
            </w:pPr>
          </w:p>
        </w:tc>
      </w:tr>
      <w:tr w:rsidR="00067954" w:rsidRPr="003009A8" w14:paraId="2CB0D6AD" w14:textId="77777777" w:rsidTr="003009A8">
        <w:tc>
          <w:tcPr>
            <w:tcW w:w="200" w:type="pct"/>
          </w:tcPr>
          <w:p w14:paraId="41A54E4B" w14:textId="77777777" w:rsidR="00162B4E" w:rsidRPr="003009A8" w:rsidRDefault="00162B4E" w:rsidP="00E259AC">
            <w:pPr>
              <w:jc w:val="center"/>
              <w:rPr>
                <w:color w:val="auto"/>
              </w:rPr>
            </w:pPr>
            <w:r w:rsidRPr="003009A8">
              <w:rPr>
                <w:color w:val="auto"/>
              </w:rPr>
              <w:t>02.</w:t>
            </w:r>
          </w:p>
        </w:tc>
        <w:tc>
          <w:tcPr>
            <w:tcW w:w="1008" w:type="pct"/>
          </w:tcPr>
          <w:p w14:paraId="7DB95D0C" w14:textId="77777777" w:rsidR="00162B4E" w:rsidRPr="003009A8" w:rsidRDefault="00162B4E" w:rsidP="00E259AC">
            <w:pPr>
              <w:rPr>
                <w:color w:val="auto"/>
              </w:rPr>
            </w:pPr>
            <w:r w:rsidRPr="003009A8">
              <w:rPr>
                <w:color w:val="auto"/>
              </w:rPr>
              <w:t>Policy advocacy to create adequate fiscal space and budgetary resources for fulfilling the social protection objectives</w:t>
            </w:r>
          </w:p>
        </w:tc>
        <w:tc>
          <w:tcPr>
            <w:tcW w:w="892" w:type="pct"/>
          </w:tcPr>
          <w:p w14:paraId="2EDCCC6F" w14:textId="202544F4" w:rsidR="00162B4E" w:rsidRPr="003009A8" w:rsidRDefault="00162B4E" w:rsidP="00162B4E">
            <w:pPr>
              <w:suppressAutoHyphens w:val="0"/>
              <w:spacing w:before="0" w:after="160" w:line="278" w:lineRule="auto"/>
              <w:rPr>
                <w:color w:val="auto"/>
              </w:rPr>
            </w:pPr>
            <w:r w:rsidRPr="003009A8">
              <w:rPr>
                <w:b/>
                <w:bCs/>
                <w:color w:val="auto"/>
              </w:rPr>
              <w:t>Advocacy for Fiscal Space Expansion</w:t>
            </w:r>
            <w:r w:rsidRPr="003009A8">
              <w:rPr>
                <w:color w:val="auto"/>
              </w:rPr>
              <w:br/>
              <w:t xml:space="preserve">To advocate for increased fiscal space and beneficiary </w:t>
            </w:r>
            <w:r w:rsidRPr="003009A8">
              <w:rPr>
                <w:color w:val="auto"/>
              </w:rPr>
              <w:lastRenderedPageBreak/>
              <w:t>coverage, supported by an independent review to identify fiscal gaps during 2025–2026.</w:t>
            </w:r>
          </w:p>
          <w:p w14:paraId="4B487DAD" w14:textId="77777777" w:rsidR="00162B4E" w:rsidRPr="003009A8" w:rsidRDefault="00162B4E" w:rsidP="00E259AC">
            <w:pPr>
              <w:rPr>
                <w:color w:val="auto"/>
              </w:rPr>
            </w:pPr>
          </w:p>
        </w:tc>
        <w:tc>
          <w:tcPr>
            <w:tcW w:w="834" w:type="pct"/>
          </w:tcPr>
          <w:p w14:paraId="4B339257" w14:textId="5F2FE3F1" w:rsidR="00162B4E" w:rsidRPr="003009A8" w:rsidRDefault="00162B4E" w:rsidP="00E259AC">
            <w:pPr>
              <w:rPr>
                <w:color w:val="auto"/>
              </w:rPr>
            </w:pPr>
          </w:p>
        </w:tc>
        <w:tc>
          <w:tcPr>
            <w:tcW w:w="1169" w:type="pct"/>
          </w:tcPr>
          <w:p w14:paraId="1481EC8C" w14:textId="5B488301" w:rsidR="00162B4E" w:rsidRPr="003009A8" w:rsidRDefault="00162B4E" w:rsidP="00E259AC">
            <w:pPr>
              <w:rPr>
                <w:color w:val="auto"/>
              </w:rPr>
            </w:pPr>
            <w:r w:rsidRPr="003009A8">
              <w:rPr>
                <w:color w:val="auto"/>
              </w:rPr>
              <w:t>The SSPS Program supported the CMC subcommittee of the Action Plan Implementation Monitoring. The SSPS Program’s firm persuasion of the</w:t>
            </w:r>
            <w:r w:rsidR="009F640E">
              <w:rPr>
                <w:color w:val="auto"/>
              </w:rPr>
              <w:t xml:space="preserve"> </w:t>
            </w:r>
            <w:r w:rsidR="009F640E">
              <w:rPr>
                <w:color w:val="auto"/>
              </w:rPr>
              <w:lastRenderedPageBreak/>
              <w:t>Government of Bangladesh</w:t>
            </w:r>
            <w:r w:rsidRPr="003009A8">
              <w:rPr>
                <w:color w:val="auto"/>
              </w:rPr>
              <w:t xml:space="preserve"> </w:t>
            </w:r>
            <w:r w:rsidR="009F640E">
              <w:rPr>
                <w:color w:val="auto"/>
              </w:rPr>
              <w:t>(</w:t>
            </w:r>
            <w:proofErr w:type="spellStart"/>
            <w:r w:rsidRPr="003009A8">
              <w:rPr>
                <w:color w:val="auto"/>
              </w:rPr>
              <w:t>GoB</w:t>
            </w:r>
            <w:proofErr w:type="spellEnd"/>
            <w:r w:rsidR="009F640E">
              <w:rPr>
                <w:color w:val="auto"/>
              </w:rPr>
              <w:t>)</w:t>
            </w:r>
            <w:r w:rsidRPr="003009A8">
              <w:rPr>
                <w:color w:val="auto"/>
              </w:rPr>
              <w:t xml:space="preserve"> increased fiscal space and beneficiaries for</w:t>
            </w:r>
            <w:r w:rsidR="00A04628">
              <w:rPr>
                <w:color w:val="auto"/>
              </w:rPr>
              <w:t xml:space="preserve"> Old Age Allowance (</w:t>
            </w:r>
            <w:r w:rsidRPr="003009A8">
              <w:rPr>
                <w:color w:val="auto"/>
              </w:rPr>
              <w:t>OAA</w:t>
            </w:r>
            <w:r w:rsidR="00A04628">
              <w:rPr>
                <w:color w:val="auto"/>
              </w:rPr>
              <w:t>)</w:t>
            </w:r>
            <w:r w:rsidRPr="003009A8">
              <w:rPr>
                <w:color w:val="auto"/>
              </w:rPr>
              <w:t>, Widow Allowance, and persons with disabilities as per NSSS guidance.</w:t>
            </w:r>
          </w:p>
          <w:p w14:paraId="575C81A3" w14:textId="77777777" w:rsidR="00162B4E" w:rsidRPr="003009A8" w:rsidRDefault="00162B4E" w:rsidP="00E259AC">
            <w:pPr>
              <w:rPr>
                <w:color w:val="auto"/>
              </w:rPr>
            </w:pPr>
          </w:p>
        </w:tc>
        <w:tc>
          <w:tcPr>
            <w:tcW w:w="897" w:type="pct"/>
          </w:tcPr>
          <w:p w14:paraId="12E62EB2" w14:textId="77777777" w:rsidR="00162B4E" w:rsidRPr="003009A8" w:rsidRDefault="00162B4E" w:rsidP="00E259AC">
            <w:pPr>
              <w:rPr>
                <w:color w:val="auto"/>
              </w:rPr>
            </w:pPr>
            <w:r w:rsidRPr="003009A8">
              <w:rPr>
                <w:color w:val="auto"/>
              </w:rPr>
              <w:lastRenderedPageBreak/>
              <w:t xml:space="preserve">The support to the sub-committee will continue. </w:t>
            </w:r>
          </w:p>
          <w:p w14:paraId="239A2C65" w14:textId="77777777" w:rsidR="00162B4E" w:rsidRPr="003009A8" w:rsidRDefault="00162B4E" w:rsidP="00E259AC">
            <w:pPr>
              <w:rPr>
                <w:color w:val="auto"/>
              </w:rPr>
            </w:pPr>
          </w:p>
          <w:p w14:paraId="6CA5EE56" w14:textId="77777777" w:rsidR="00162B4E" w:rsidRPr="003009A8" w:rsidRDefault="00162B4E" w:rsidP="00E259AC">
            <w:pPr>
              <w:rPr>
                <w:color w:val="auto"/>
              </w:rPr>
            </w:pPr>
            <w:r w:rsidRPr="003009A8">
              <w:rPr>
                <w:color w:val="auto"/>
              </w:rPr>
              <w:lastRenderedPageBreak/>
              <w:t xml:space="preserve">The independent review of NSSS will identify gaps in fiscal spaces. And accordingly, SSPS program start advocacy with the government </w:t>
            </w:r>
          </w:p>
          <w:p w14:paraId="34B55CAB" w14:textId="77777777" w:rsidR="00162B4E" w:rsidRPr="003009A8" w:rsidRDefault="00162B4E" w:rsidP="00E259AC">
            <w:pPr>
              <w:rPr>
                <w:color w:val="auto"/>
              </w:rPr>
            </w:pPr>
            <w:r w:rsidRPr="003009A8">
              <w:rPr>
                <w:color w:val="auto"/>
              </w:rPr>
              <w:t xml:space="preserve">Will advocate for fiscal spaces. In Dec 2025-March 2026 </w:t>
            </w:r>
          </w:p>
        </w:tc>
      </w:tr>
      <w:tr w:rsidR="00067954" w:rsidRPr="003009A8" w14:paraId="1DD1D561" w14:textId="77777777" w:rsidTr="003009A8">
        <w:tc>
          <w:tcPr>
            <w:tcW w:w="200" w:type="pct"/>
          </w:tcPr>
          <w:p w14:paraId="17287A6D" w14:textId="77777777" w:rsidR="00162B4E" w:rsidRPr="003009A8" w:rsidRDefault="00162B4E" w:rsidP="00E259AC">
            <w:pPr>
              <w:jc w:val="center"/>
              <w:rPr>
                <w:color w:val="auto"/>
              </w:rPr>
            </w:pPr>
            <w:r w:rsidRPr="003009A8">
              <w:rPr>
                <w:color w:val="auto"/>
              </w:rPr>
              <w:lastRenderedPageBreak/>
              <w:t>03.</w:t>
            </w:r>
          </w:p>
        </w:tc>
        <w:tc>
          <w:tcPr>
            <w:tcW w:w="1008" w:type="pct"/>
          </w:tcPr>
          <w:p w14:paraId="06ED5755" w14:textId="77777777" w:rsidR="00162B4E" w:rsidRPr="003009A8" w:rsidRDefault="00162B4E" w:rsidP="00E259AC">
            <w:pPr>
              <w:rPr>
                <w:color w:val="auto"/>
              </w:rPr>
            </w:pPr>
            <w:r w:rsidRPr="003009A8">
              <w:rPr>
                <w:color w:val="auto"/>
              </w:rPr>
              <w:t>Building capacity to generate meaningful data and explore financial resources</w:t>
            </w:r>
          </w:p>
        </w:tc>
        <w:tc>
          <w:tcPr>
            <w:tcW w:w="892" w:type="pct"/>
          </w:tcPr>
          <w:p w14:paraId="618C499D" w14:textId="071CC9A7" w:rsidR="00162B4E" w:rsidRPr="003009A8" w:rsidRDefault="00162B4E" w:rsidP="00162B4E">
            <w:pPr>
              <w:suppressAutoHyphens w:val="0"/>
              <w:spacing w:before="0" w:after="160" w:line="278" w:lineRule="auto"/>
              <w:rPr>
                <w:color w:val="auto"/>
              </w:rPr>
            </w:pPr>
            <w:r w:rsidRPr="003009A8">
              <w:rPr>
                <w:b/>
                <w:bCs/>
                <w:color w:val="auto"/>
              </w:rPr>
              <w:t>Capacity Building on Data Interoperability</w:t>
            </w:r>
            <w:r w:rsidRPr="003009A8">
              <w:rPr>
                <w:color w:val="auto"/>
              </w:rPr>
              <w:br/>
              <w:t>Further capacity-building initiatives to be scheduled, focusing on data interoperability and fraud reduction</w:t>
            </w:r>
          </w:p>
        </w:tc>
        <w:tc>
          <w:tcPr>
            <w:tcW w:w="834" w:type="pct"/>
          </w:tcPr>
          <w:p w14:paraId="5A3C000A" w14:textId="32116CEB" w:rsidR="00162B4E" w:rsidRPr="003009A8" w:rsidRDefault="00162B4E" w:rsidP="00E259AC">
            <w:pPr>
              <w:rPr>
                <w:color w:val="auto"/>
              </w:rPr>
            </w:pPr>
          </w:p>
        </w:tc>
        <w:tc>
          <w:tcPr>
            <w:tcW w:w="1169" w:type="pct"/>
          </w:tcPr>
          <w:p w14:paraId="4ADA6742" w14:textId="0B094ECA" w:rsidR="00162B4E" w:rsidRPr="003009A8" w:rsidRDefault="00162B4E" w:rsidP="00E259AC">
            <w:pPr>
              <w:rPr>
                <w:color w:val="auto"/>
              </w:rPr>
            </w:pPr>
            <w:r w:rsidRPr="003009A8">
              <w:rPr>
                <w:color w:val="auto"/>
              </w:rPr>
              <w:t>The capacity building of the M</w:t>
            </w:r>
            <w:r w:rsidR="00DA3253">
              <w:rPr>
                <w:color w:val="auto"/>
              </w:rPr>
              <w:t>anagement Information System (M</w:t>
            </w:r>
            <w:r w:rsidRPr="003009A8">
              <w:rPr>
                <w:color w:val="auto"/>
              </w:rPr>
              <w:t>IS</w:t>
            </w:r>
            <w:r w:rsidR="00DA3253">
              <w:rPr>
                <w:color w:val="auto"/>
              </w:rPr>
              <w:t>)</w:t>
            </w:r>
            <w:r w:rsidRPr="003009A8">
              <w:rPr>
                <w:color w:val="auto"/>
              </w:rPr>
              <w:t xml:space="preserve"> officials of 38 ministries on interoperability based on API built confidence in MIS data sharing, reporting, and addressing fraudulence issues, minimizing ghost beneficiaries, and saving resources. </w:t>
            </w:r>
          </w:p>
        </w:tc>
        <w:tc>
          <w:tcPr>
            <w:tcW w:w="897" w:type="pct"/>
          </w:tcPr>
          <w:p w14:paraId="37B830D5" w14:textId="24259669" w:rsidR="00162B4E" w:rsidRPr="003009A8" w:rsidRDefault="00162B4E" w:rsidP="00E259AC">
            <w:pPr>
              <w:rPr>
                <w:color w:val="auto"/>
              </w:rPr>
            </w:pPr>
            <w:r w:rsidRPr="003009A8">
              <w:rPr>
                <w:color w:val="auto"/>
              </w:rPr>
              <w:t xml:space="preserve">The newly developed </w:t>
            </w:r>
            <w:r w:rsidR="00FA0980">
              <w:rPr>
                <w:color w:val="auto"/>
              </w:rPr>
              <w:t>Application Programming Interface (</w:t>
            </w:r>
            <w:r w:rsidRPr="003009A8">
              <w:rPr>
                <w:color w:val="auto"/>
              </w:rPr>
              <w:t>API</w:t>
            </w:r>
            <w:r w:rsidR="00FA0980">
              <w:rPr>
                <w:color w:val="auto"/>
              </w:rPr>
              <w:t>)</w:t>
            </w:r>
            <w:r w:rsidRPr="003009A8">
              <w:rPr>
                <w:color w:val="auto"/>
              </w:rPr>
              <w:t xml:space="preserve"> guideline-based capacity building will be arranged by April 2026. </w:t>
            </w:r>
          </w:p>
          <w:p w14:paraId="30363DC3" w14:textId="77777777" w:rsidR="00162B4E" w:rsidRPr="003009A8" w:rsidRDefault="00162B4E" w:rsidP="00E259AC">
            <w:pPr>
              <w:rPr>
                <w:color w:val="auto"/>
              </w:rPr>
            </w:pPr>
          </w:p>
          <w:p w14:paraId="2BEC2846" w14:textId="77777777" w:rsidR="00162B4E" w:rsidRPr="003009A8" w:rsidRDefault="00162B4E" w:rsidP="00E259AC">
            <w:pPr>
              <w:rPr>
                <w:color w:val="auto"/>
              </w:rPr>
            </w:pPr>
          </w:p>
        </w:tc>
      </w:tr>
      <w:tr w:rsidR="00067954" w:rsidRPr="003009A8" w14:paraId="1EE2B179" w14:textId="77777777" w:rsidTr="003009A8">
        <w:tc>
          <w:tcPr>
            <w:tcW w:w="200" w:type="pct"/>
          </w:tcPr>
          <w:p w14:paraId="15F3BCD0" w14:textId="77777777" w:rsidR="00162B4E" w:rsidRPr="003009A8" w:rsidRDefault="00162B4E" w:rsidP="00E259AC">
            <w:pPr>
              <w:jc w:val="center"/>
              <w:rPr>
                <w:color w:val="auto"/>
              </w:rPr>
            </w:pPr>
            <w:r w:rsidRPr="003009A8">
              <w:rPr>
                <w:color w:val="auto"/>
              </w:rPr>
              <w:t>04.</w:t>
            </w:r>
          </w:p>
        </w:tc>
        <w:tc>
          <w:tcPr>
            <w:tcW w:w="1008" w:type="pct"/>
          </w:tcPr>
          <w:p w14:paraId="429F317B" w14:textId="77777777" w:rsidR="00162B4E" w:rsidRPr="003009A8" w:rsidRDefault="00162B4E" w:rsidP="00E259AC">
            <w:pPr>
              <w:rPr>
                <w:color w:val="auto"/>
              </w:rPr>
            </w:pPr>
            <w:r w:rsidRPr="003009A8">
              <w:rPr>
                <w:color w:val="auto"/>
              </w:rPr>
              <w:t>Identifying best practices and lessons learned that can be applied to future programs to enhance their effectiveness</w:t>
            </w:r>
          </w:p>
        </w:tc>
        <w:tc>
          <w:tcPr>
            <w:tcW w:w="892" w:type="pct"/>
          </w:tcPr>
          <w:p w14:paraId="6113A113" w14:textId="5FFF3AA4" w:rsidR="00162B4E" w:rsidRPr="003009A8" w:rsidRDefault="00162B4E" w:rsidP="00162B4E">
            <w:pPr>
              <w:suppressAutoHyphens w:val="0"/>
              <w:spacing w:before="0" w:after="160" w:line="278" w:lineRule="auto"/>
              <w:rPr>
                <w:color w:val="auto"/>
              </w:rPr>
            </w:pPr>
            <w:r w:rsidRPr="003009A8">
              <w:rPr>
                <w:b/>
                <w:bCs/>
                <w:color w:val="auto"/>
              </w:rPr>
              <w:t>Documentation of Best Practices</w:t>
            </w:r>
            <w:r w:rsidRPr="003009A8">
              <w:rPr>
                <w:color w:val="auto"/>
              </w:rPr>
              <w:br/>
              <w:t>Management to ensure that best practices in social protection reforms are documented and reflected in the Annual Reports starting from 2025.</w:t>
            </w:r>
          </w:p>
          <w:p w14:paraId="4A87B012" w14:textId="77777777" w:rsidR="00162B4E" w:rsidRPr="003009A8" w:rsidRDefault="00162B4E" w:rsidP="00E259AC">
            <w:pPr>
              <w:rPr>
                <w:color w:val="auto"/>
              </w:rPr>
            </w:pPr>
          </w:p>
        </w:tc>
        <w:tc>
          <w:tcPr>
            <w:tcW w:w="834" w:type="pct"/>
          </w:tcPr>
          <w:p w14:paraId="703A252E" w14:textId="676FE3EC" w:rsidR="00162B4E" w:rsidRPr="003009A8" w:rsidRDefault="00162B4E" w:rsidP="00E259AC">
            <w:pPr>
              <w:rPr>
                <w:color w:val="auto"/>
              </w:rPr>
            </w:pPr>
          </w:p>
        </w:tc>
        <w:tc>
          <w:tcPr>
            <w:tcW w:w="1169" w:type="pct"/>
          </w:tcPr>
          <w:p w14:paraId="01B14C54" w14:textId="15CBDADB" w:rsidR="00162B4E" w:rsidRPr="003009A8" w:rsidRDefault="00162B4E" w:rsidP="00E259AC">
            <w:pPr>
              <w:rPr>
                <w:color w:val="auto"/>
              </w:rPr>
            </w:pPr>
            <w:r w:rsidRPr="003009A8">
              <w:rPr>
                <w:color w:val="auto"/>
              </w:rPr>
              <w:t xml:space="preserve">Consensus-building consultative dialogues engaging key ministries proved to be an effective platform that allowed policymakers to openly discuss reform, impediments, program leakage, and the scope of discussion on the program’s effectiveness, quick decision-making, and follow-up on key issues in governance meetings.  </w:t>
            </w:r>
          </w:p>
        </w:tc>
        <w:tc>
          <w:tcPr>
            <w:tcW w:w="897" w:type="pct"/>
          </w:tcPr>
          <w:p w14:paraId="09C9D450" w14:textId="77777777" w:rsidR="00162B4E" w:rsidRPr="003009A8" w:rsidRDefault="00162B4E" w:rsidP="00E259AC">
            <w:pPr>
              <w:rPr>
                <w:color w:val="auto"/>
              </w:rPr>
            </w:pPr>
            <w:r w:rsidRPr="003009A8">
              <w:rPr>
                <w:color w:val="auto"/>
              </w:rPr>
              <w:t xml:space="preserve">Best practices will be reflected in the Annual Report 2025 and 2026 onwards. </w:t>
            </w:r>
          </w:p>
        </w:tc>
      </w:tr>
      <w:tr w:rsidR="00067954" w:rsidRPr="003009A8" w14:paraId="51D149AC" w14:textId="77777777" w:rsidTr="003009A8">
        <w:tc>
          <w:tcPr>
            <w:tcW w:w="200" w:type="pct"/>
          </w:tcPr>
          <w:p w14:paraId="79BF2019" w14:textId="77777777" w:rsidR="00162B4E" w:rsidRPr="003009A8" w:rsidRDefault="00162B4E" w:rsidP="00E259AC">
            <w:pPr>
              <w:jc w:val="center"/>
              <w:rPr>
                <w:color w:val="auto"/>
              </w:rPr>
            </w:pPr>
            <w:r w:rsidRPr="003009A8">
              <w:rPr>
                <w:color w:val="auto"/>
              </w:rPr>
              <w:lastRenderedPageBreak/>
              <w:t>05.</w:t>
            </w:r>
          </w:p>
        </w:tc>
        <w:tc>
          <w:tcPr>
            <w:tcW w:w="1008" w:type="pct"/>
          </w:tcPr>
          <w:p w14:paraId="343F5608" w14:textId="1FE13B8F" w:rsidR="00162B4E" w:rsidRPr="003009A8" w:rsidRDefault="00162B4E" w:rsidP="00E259AC">
            <w:pPr>
              <w:rPr>
                <w:color w:val="auto"/>
              </w:rPr>
            </w:pPr>
            <w:r w:rsidRPr="003009A8">
              <w:rPr>
                <w:color w:val="auto"/>
              </w:rPr>
              <w:t>Completing the development of a comprehensive M</w:t>
            </w:r>
            <w:r w:rsidR="00FA0980">
              <w:rPr>
                <w:color w:val="auto"/>
              </w:rPr>
              <w:t>onitoring and Evaluation (M</w:t>
            </w:r>
            <w:r w:rsidRPr="003009A8">
              <w:rPr>
                <w:color w:val="auto"/>
              </w:rPr>
              <w:t>&amp;E</w:t>
            </w:r>
            <w:r w:rsidR="00FA0980">
              <w:rPr>
                <w:color w:val="auto"/>
              </w:rPr>
              <w:t>)</w:t>
            </w:r>
            <w:r w:rsidRPr="003009A8">
              <w:rPr>
                <w:color w:val="auto"/>
              </w:rPr>
              <w:t xml:space="preserve"> and a database for the social protection system</w:t>
            </w:r>
          </w:p>
        </w:tc>
        <w:tc>
          <w:tcPr>
            <w:tcW w:w="892" w:type="pct"/>
          </w:tcPr>
          <w:p w14:paraId="1DD42719" w14:textId="432F12FD" w:rsidR="00162B4E" w:rsidRPr="003009A8" w:rsidRDefault="00162B4E" w:rsidP="00162B4E">
            <w:pPr>
              <w:suppressAutoHyphens w:val="0"/>
              <w:spacing w:before="0" w:after="160" w:line="278" w:lineRule="auto"/>
              <w:rPr>
                <w:color w:val="auto"/>
              </w:rPr>
            </w:pPr>
            <w:r w:rsidRPr="003009A8">
              <w:rPr>
                <w:b/>
                <w:bCs/>
                <w:color w:val="auto"/>
              </w:rPr>
              <w:t>Monitoring &amp; Evaluation System Enhancement</w:t>
            </w:r>
            <w:r w:rsidRPr="003009A8">
              <w:rPr>
                <w:color w:val="auto"/>
              </w:rPr>
              <w:br/>
              <w:t>A web-based M&amp;E dashboard to be fully operational by December 2025 to support real-time monitoring of social protection reforms.</w:t>
            </w:r>
          </w:p>
          <w:p w14:paraId="78C7CD16" w14:textId="77777777" w:rsidR="00162B4E" w:rsidRPr="003009A8" w:rsidRDefault="00162B4E" w:rsidP="00E259AC">
            <w:pPr>
              <w:rPr>
                <w:color w:val="auto"/>
              </w:rPr>
            </w:pPr>
          </w:p>
        </w:tc>
        <w:tc>
          <w:tcPr>
            <w:tcW w:w="834" w:type="pct"/>
          </w:tcPr>
          <w:p w14:paraId="7CD44532" w14:textId="5455C087" w:rsidR="00162B4E" w:rsidRPr="003009A8" w:rsidRDefault="00162B4E" w:rsidP="00E259AC">
            <w:pPr>
              <w:rPr>
                <w:color w:val="auto"/>
              </w:rPr>
            </w:pPr>
            <w:r w:rsidRPr="003009A8">
              <w:rPr>
                <w:color w:val="auto"/>
              </w:rPr>
              <w:t>Developed a function web-based social protection M&amp;E dashboard for monitoring reforms. Work is in progress on incorporating reform data into the dashboard.</w:t>
            </w:r>
          </w:p>
        </w:tc>
        <w:tc>
          <w:tcPr>
            <w:tcW w:w="1169" w:type="pct"/>
          </w:tcPr>
          <w:p w14:paraId="766F9CA0" w14:textId="56456A48" w:rsidR="00162B4E" w:rsidRPr="003009A8" w:rsidRDefault="00162B4E" w:rsidP="00E259AC">
            <w:pPr>
              <w:rPr>
                <w:color w:val="auto"/>
              </w:rPr>
            </w:pPr>
            <w:r w:rsidRPr="003009A8">
              <w:rPr>
                <w:color w:val="auto"/>
              </w:rPr>
              <w:t xml:space="preserve">The M&amp;E dashboard is fully functional, ensuring immediate data and information supply to the policy level. Data analytics will give a new dimension to using data for policymaking. </w:t>
            </w:r>
          </w:p>
        </w:tc>
        <w:tc>
          <w:tcPr>
            <w:tcW w:w="897" w:type="pct"/>
          </w:tcPr>
          <w:p w14:paraId="32D8A3EE" w14:textId="77777777" w:rsidR="00162B4E" w:rsidRPr="003009A8" w:rsidRDefault="00162B4E" w:rsidP="00E259AC">
            <w:pPr>
              <w:rPr>
                <w:color w:val="auto"/>
              </w:rPr>
            </w:pPr>
            <w:r w:rsidRPr="003009A8">
              <w:rPr>
                <w:color w:val="auto"/>
              </w:rPr>
              <w:t xml:space="preserve">The M&amp;E dashboard will capture the introduction brief of individual SP programs of Bangladesh by December 2025. </w:t>
            </w:r>
          </w:p>
          <w:p w14:paraId="3C15BA67" w14:textId="77777777" w:rsidR="00162B4E" w:rsidRPr="003009A8" w:rsidRDefault="00162B4E" w:rsidP="00E259AC">
            <w:pPr>
              <w:rPr>
                <w:color w:val="auto"/>
              </w:rPr>
            </w:pPr>
          </w:p>
          <w:p w14:paraId="289CCC33" w14:textId="77777777" w:rsidR="00162B4E" w:rsidRPr="003009A8" w:rsidRDefault="00162B4E" w:rsidP="00E259AC">
            <w:pPr>
              <w:rPr>
                <w:color w:val="auto"/>
              </w:rPr>
            </w:pPr>
          </w:p>
          <w:p w14:paraId="22527EA5" w14:textId="77777777" w:rsidR="00162B4E" w:rsidRPr="003009A8" w:rsidRDefault="00162B4E" w:rsidP="00E259AC">
            <w:pPr>
              <w:rPr>
                <w:color w:val="auto"/>
              </w:rPr>
            </w:pPr>
          </w:p>
        </w:tc>
      </w:tr>
      <w:tr w:rsidR="00067954" w:rsidRPr="003009A8" w14:paraId="68B1EBA4" w14:textId="77777777" w:rsidTr="003009A8">
        <w:tc>
          <w:tcPr>
            <w:tcW w:w="200" w:type="pct"/>
          </w:tcPr>
          <w:p w14:paraId="65041B22" w14:textId="77777777" w:rsidR="00162B4E" w:rsidRPr="003009A8" w:rsidRDefault="00162B4E" w:rsidP="00E259AC">
            <w:pPr>
              <w:jc w:val="center"/>
              <w:rPr>
                <w:color w:val="auto"/>
              </w:rPr>
            </w:pPr>
            <w:r w:rsidRPr="003009A8">
              <w:rPr>
                <w:color w:val="auto"/>
              </w:rPr>
              <w:t>06.</w:t>
            </w:r>
          </w:p>
        </w:tc>
        <w:tc>
          <w:tcPr>
            <w:tcW w:w="1008" w:type="pct"/>
          </w:tcPr>
          <w:p w14:paraId="6991C469" w14:textId="77777777" w:rsidR="00162B4E" w:rsidRPr="003009A8" w:rsidRDefault="00162B4E" w:rsidP="00E259AC">
            <w:pPr>
              <w:rPr>
                <w:color w:val="auto"/>
              </w:rPr>
            </w:pPr>
            <w:r w:rsidRPr="003009A8">
              <w:rPr>
                <w:color w:val="auto"/>
              </w:rPr>
              <w:t>Establishing a Single Registry Management System and next steps for developing a social registry</w:t>
            </w:r>
          </w:p>
        </w:tc>
        <w:tc>
          <w:tcPr>
            <w:tcW w:w="892" w:type="pct"/>
          </w:tcPr>
          <w:p w14:paraId="7175AB52" w14:textId="5108EE2A" w:rsidR="00162B4E" w:rsidRPr="003009A8" w:rsidRDefault="00162B4E" w:rsidP="00162B4E">
            <w:pPr>
              <w:suppressAutoHyphens w:val="0"/>
              <w:spacing w:before="0" w:after="160" w:line="278" w:lineRule="auto"/>
              <w:rPr>
                <w:color w:val="auto"/>
              </w:rPr>
            </w:pPr>
            <w:r w:rsidRPr="003009A8">
              <w:rPr>
                <w:b/>
                <w:bCs/>
                <w:color w:val="auto"/>
              </w:rPr>
              <w:t>Implementation of Single Registry System</w:t>
            </w:r>
            <w:r w:rsidRPr="003009A8">
              <w:rPr>
                <w:color w:val="auto"/>
              </w:rPr>
              <w:br/>
              <w:t>To continue discussions in Q3 2025 to advance the implementation of the single registry MIS, including IT solutions and dynamic social registries.</w:t>
            </w:r>
          </w:p>
          <w:p w14:paraId="0A955E9D" w14:textId="77777777" w:rsidR="00162B4E" w:rsidRPr="003009A8" w:rsidRDefault="00162B4E" w:rsidP="00E259AC">
            <w:pPr>
              <w:rPr>
                <w:b/>
                <w:bCs/>
                <w:color w:val="auto"/>
              </w:rPr>
            </w:pPr>
          </w:p>
        </w:tc>
        <w:tc>
          <w:tcPr>
            <w:tcW w:w="834" w:type="pct"/>
          </w:tcPr>
          <w:p w14:paraId="1828E0EA" w14:textId="04D2522F" w:rsidR="00162B4E" w:rsidRPr="003009A8" w:rsidRDefault="00162B4E" w:rsidP="00E259AC">
            <w:pPr>
              <w:rPr>
                <w:color w:val="auto"/>
              </w:rPr>
            </w:pPr>
            <w:r w:rsidRPr="003009A8">
              <w:rPr>
                <w:color w:val="auto"/>
              </w:rPr>
              <w:t>The S</w:t>
            </w:r>
            <w:r w:rsidR="00D13431">
              <w:rPr>
                <w:color w:val="auto"/>
              </w:rPr>
              <w:t>tatistics and Information Division (S</w:t>
            </w:r>
            <w:r w:rsidRPr="003009A8">
              <w:rPr>
                <w:color w:val="auto"/>
              </w:rPr>
              <w:t>ID</w:t>
            </w:r>
            <w:r w:rsidR="00D13431">
              <w:rPr>
                <w:color w:val="auto"/>
              </w:rPr>
              <w:t>)</w:t>
            </w:r>
            <w:r w:rsidRPr="003009A8">
              <w:rPr>
                <w:color w:val="auto"/>
              </w:rPr>
              <w:t xml:space="preserve"> and I</w:t>
            </w:r>
            <w:r w:rsidR="001C5275">
              <w:rPr>
                <w:color w:val="auto"/>
              </w:rPr>
              <w:t>nformation and Communication (I</w:t>
            </w:r>
            <w:r w:rsidRPr="003009A8">
              <w:rPr>
                <w:color w:val="auto"/>
              </w:rPr>
              <w:t>CT</w:t>
            </w:r>
            <w:r w:rsidR="001C5275">
              <w:rPr>
                <w:color w:val="auto"/>
              </w:rPr>
              <w:t>)</w:t>
            </w:r>
            <w:r w:rsidRPr="003009A8">
              <w:rPr>
                <w:color w:val="auto"/>
              </w:rPr>
              <w:t xml:space="preserve"> Division received orientation on the single registry MIS. The SSPS Program and developed a road map for developing a single registry MIS. The SSPS Program also provided TA support for this IT solution. </w:t>
            </w:r>
          </w:p>
        </w:tc>
        <w:tc>
          <w:tcPr>
            <w:tcW w:w="1169" w:type="pct"/>
          </w:tcPr>
          <w:p w14:paraId="734932A4" w14:textId="3A3EB2AF" w:rsidR="00162B4E" w:rsidRPr="003009A8" w:rsidRDefault="00162B4E" w:rsidP="00E259AC">
            <w:pPr>
              <w:rPr>
                <w:color w:val="auto"/>
              </w:rPr>
            </w:pPr>
            <w:r w:rsidRPr="003009A8">
              <w:rPr>
                <w:color w:val="auto"/>
              </w:rPr>
              <w:t xml:space="preserve">The SSPS Program organized a national consensus-building workshop, during which key policymakers of key ministries agreed on an </w:t>
            </w:r>
            <w:r w:rsidR="001C5275">
              <w:rPr>
                <w:color w:val="auto"/>
              </w:rPr>
              <w:t>Information and Technology (</w:t>
            </w:r>
            <w:r w:rsidRPr="003009A8">
              <w:rPr>
                <w:color w:val="auto"/>
              </w:rPr>
              <w:t>IT</w:t>
            </w:r>
            <w:r w:rsidR="001C5275">
              <w:rPr>
                <w:color w:val="auto"/>
              </w:rPr>
              <w:t>)</w:t>
            </w:r>
            <w:r w:rsidRPr="003009A8">
              <w:rPr>
                <w:color w:val="auto"/>
              </w:rPr>
              <w:t xml:space="preserve"> solution for developing a single registry when the key national household database is useless. The SSPS Program also provided TA support to the Ministry of Finance's conceptualization of reporting social beneficiary registries under the </w:t>
            </w:r>
            <w:proofErr w:type="spellStart"/>
            <w:r w:rsidRPr="003009A8">
              <w:rPr>
                <w:color w:val="auto"/>
              </w:rPr>
              <w:t>iBASS</w:t>
            </w:r>
            <w:proofErr w:type="spellEnd"/>
            <w:r w:rsidRPr="003009A8">
              <w:rPr>
                <w:color w:val="auto"/>
              </w:rPr>
              <w:t xml:space="preserve">++ system and G2P e-payment. The SSPS Program also provided support to the World Bank's concept of dynamic social registries under the Ministry of Social Welfare.  </w:t>
            </w:r>
          </w:p>
        </w:tc>
        <w:tc>
          <w:tcPr>
            <w:tcW w:w="897" w:type="pct"/>
          </w:tcPr>
          <w:p w14:paraId="5A28C246" w14:textId="656BEB99" w:rsidR="00162B4E" w:rsidRPr="003009A8" w:rsidRDefault="00162B4E" w:rsidP="00E259AC">
            <w:pPr>
              <w:rPr>
                <w:color w:val="auto"/>
              </w:rPr>
            </w:pPr>
            <w:r w:rsidRPr="003009A8">
              <w:rPr>
                <w:color w:val="auto"/>
              </w:rPr>
              <w:t>SSPS program will place the Single Registry/Dynamic Registry issue in L</w:t>
            </w:r>
            <w:r w:rsidR="004B6CFB">
              <w:rPr>
                <w:color w:val="auto"/>
              </w:rPr>
              <w:t>ocal Consultative Group (L</w:t>
            </w:r>
            <w:r w:rsidRPr="003009A8">
              <w:rPr>
                <w:color w:val="auto"/>
              </w:rPr>
              <w:t>CG</w:t>
            </w:r>
            <w:r w:rsidR="004B6CFB">
              <w:rPr>
                <w:color w:val="auto"/>
              </w:rPr>
              <w:t>)</w:t>
            </w:r>
            <w:r w:rsidRPr="003009A8">
              <w:rPr>
                <w:color w:val="auto"/>
              </w:rPr>
              <w:t xml:space="preserve"> discussion in the Q3 of 2025. </w:t>
            </w:r>
          </w:p>
        </w:tc>
      </w:tr>
      <w:tr w:rsidR="00067954" w:rsidRPr="003009A8" w14:paraId="5099BE5A" w14:textId="77777777" w:rsidTr="003009A8">
        <w:tc>
          <w:tcPr>
            <w:tcW w:w="200" w:type="pct"/>
          </w:tcPr>
          <w:p w14:paraId="0CA9E838" w14:textId="77777777" w:rsidR="00162B4E" w:rsidRPr="003009A8" w:rsidRDefault="00162B4E" w:rsidP="00E259AC">
            <w:pPr>
              <w:jc w:val="center"/>
              <w:rPr>
                <w:color w:val="auto"/>
              </w:rPr>
            </w:pPr>
            <w:r w:rsidRPr="003009A8">
              <w:rPr>
                <w:color w:val="auto"/>
              </w:rPr>
              <w:lastRenderedPageBreak/>
              <w:t>07.</w:t>
            </w:r>
          </w:p>
        </w:tc>
        <w:tc>
          <w:tcPr>
            <w:tcW w:w="1008" w:type="pct"/>
          </w:tcPr>
          <w:p w14:paraId="6D3E6690" w14:textId="77777777" w:rsidR="00162B4E" w:rsidRPr="003009A8" w:rsidRDefault="00162B4E" w:rsidP="00E259AC">
            <w:pPr>
              <w:rPr>
                <w:color w:val="auto"/>
              </w:rPr>
            </w:pPr>
            <w:r w:rsidRPr="003009A8">
              <w:rPr>
                <w:color w:val="auto"/>
              </w:rPr>
              <w:t>Strengthening the social protection system for the urban poor</w:t>
            </w:r>
          </w:p>
        </w:tc>
        <w:tc>
          <w:tcPr>
            <w:tcW w:w="892" w:type="pct"/>
          </w:tcPr>
          <w:p w14:paraId="10BD90F5" w14:textId="1B1F10E0" w:rsidR="00162B4E" w:rsidRPr="003009A8" w:rsidRDefault="00162B4E" w:rsidP="00162B4E">
            <w:pPr>
              <w:suppressAutoHyphens w:val="0"/>
              <w:spacing w:before="0" w:after="160" w:line="278" w:lineRule="auto"/>
              <w:rPr>
                <w:color w:val="auto"/>
              </w:rPr>
            </w:pPr>
            <w:r w:rsidRPr="003009A8">
              <w:rPr>
                <w:b/>
                <w:bCs/>
                <w:color w:val="auto"/>
              </w:rPr>
              <w:t>Urban Social Protection Strategy</w:t>
            </w:r>
            <w:r w:rsidRPr="003009A8">
              <w:rPr>
                <w:color w:val="auto"/>
              </w:rPr>
              <w:br/>
              <w:t xml:space="preserve">Findings from ongoing research on urban poverty and shock-responsive models </w:t>
            </w:r>
            <w:r w:rsidR="00596A09" w:rsidRPr="003009A8">
              <w:rPr>
                <w:color w:val="auto"/>
              </w:rPr>
              <w:t>to b</w:t>
            </w:r>
            <w:r w:rsidRPr="003009A8">
              <w:rPr>
                <w:color w:val="auto"/>
              </w:rPr>
              <w:t xml:space="preserve">e </w:t>
            </w:r>
            <w:r w:rsidR="00596A09" w:rsidRPr="003009A8">
              <w:rPr>
                <w:color w:val="auto"/>
              </w:rPr>
              <w:t xml:space="preserve">shared with wider stakeholders and </w:t>
            </w:r>
            <w:r w:rsidRPr="003009A8">
              <w:rPr>
                <w:color w:val="auto"/>
              </w:rPr>
              <w:t xml:space="preserve">presented at </w:t>
            </w:r>
            <w:r w:rsidR="00596A09" w:rsidRPr="003009A8">
              <w:rPr>
                <w:color w:val="auto"/>
              </w:rPr>
              <w:t>relevant</w:t>
            </w:r>
            <w:r w:rsidRPr="003009A8">
              <w:rPr>
                <w:color w:val="auto"/>
              </w:rPr>
              <w:t xml:space="preserve"> national </w:t>
            </w:r>
            <w:r w:rsidR="00596A09" w:rsidRPr="003009A8">
              <w:rPr>
                <w:color w:val="auto"/>
              </w:rPr>
              <w:t>platforms</w:t>
            </w:r>
            <w:r w:rsidRPr="003009A8">
              <w:rPr>
                <w:color w:val="auto"/>
              </w:rPr>
              <w:t xml:space="preserve"> to inform NSSS 2026+.</w:t>
            </w:r>
          </w:p>
          <w:p w14:paraId="70547BE4" w14:textId="77777777" w:rsidR="00162B4E" w:rsidRPr="003009A8" w:rsidRDefault="00162B4E" w:rsidP="00E259AC">
            <w:pPr>
              <w:rPr>
                <w:color w:val="auto"/>
              </w:rPr>
            </w:pPr>
          </w:p>
        </w:tc>
        <w:tc>
          <w:tcPr>
            <w:tcW w:w="834" w:type="pct"/>
          </w:tcPr>
          <w:p w14:paraId="0DF18153" w14:textId="2274A7C2" w:rsidR="00162B4E" w:rsidRPr="003009A8" w:rsidRDefault="00162B4E" w:rsidP="00E259AC">
            <w:pPr>
              <w:rPr>
                <w:color w:val="auto"/>
              </w:rPr>
            </w:pPr>
            <w:r w:rsidRPr="003009A8">
              <w:rPr>
                <w:color w:val="auto"/>
              </w:rPr>
              <w:t>The SSPS supported a study to develop a shock-responsive model for the urban poor to access benefits during crises.</w:t>
            </w:r>
          </w:p>
        </w:tc>
        <w:tc>
          <w:tcPr>
            <w:tcW w:w="1169" w:type="pct"/>
          </w:tcPr>
          <w:p w14:paraId="04FB0CEC" w14:textId="11819D8E" w:rsidR="00162B4E" w:rsidRPr="003009A8" w:rsidRDefault="00162B4E" w:rsidP="00E259AC">
            <w:pPr>
              <w:rPr>
                <w:color w:val="auto"/>
              </w:rPr>
            </w:pPr>
            <w:r w:rsidRPr="003009A8">
              <w:rPr>
                <w:color w:val="auto"/>
              </w:rPr>
              <w:t xml:space="preserve">The SSPS Program is conducting a study on rethinking urban poverty and social protection, which may strengthen the case for a new urban social protection program design and support the development of the chapter on urban social protection of NSSS next generation 2026+. </w:t>
            </w:r>
          </w:p>
        </w:tc>
        <w:tc>
          <w:tcPr>
            <w:tcW w:w="897" w:type="pct"/>
          </w:tcPr>
          <w:p w14:paraId="2E2B5CF4" w14:textId="77777777" w:rsidR="00162B4E" w:rsidRPr="003009A8" w:rsidRDefault="00162B4E" w:rsidP="00E259AC">
            <w:pPr>
              <w:rPr>
                <w:color w:val="auto"/>
              </w:rPr>
            </w:pPr>
            <w:r w:rsidRPr="003009A8">
              <w:rPr>
                <w:color w:val="auto"/>
              </w:rPr>
              <w:t xml:space="preserve">The SSPS Program will organize a Bangladesh social protection conference 2025 in April-May, allowing stakeholders to discuss urban issues based on research findings. </w:t>
            </w:r>
          </w:p>
        </w:tc>
      </w:tr>
      <w:tr w:rsidR="00067954" w:rsidRPr="003009A8" w14:paraId="322B5337" w14:textId="77777777" w:rsidTr="003009A8">
        <w:tc>
          <w:tcPr>
            <w:tcW w:w="200" w:type="pct"/>
          </w:tcPr>
          <w:p w14:paraId="35286800" w14:textId="77777777" w:rsidR="00162B4E" w:rsidRPr="003009A8" w:rsidRDefault="00162B4E" w:rsidP="00E259AC">
            <w:pPr>
              <w:jc w:val="center"/>
              <w:rPr>
                <w:color w:val="auto"/>
              </w:rPr>
            </w:pPr>
            <w:r w:rsidRPr="003009A8">
              <w:rPr>
                <w:color w:val="auto"/>
              </w:rPr>
              <w:t>08.</w:t>
            </w:r>
          </w:p>
        </w:tc>
        <w:tc>
          <w:tcPr>
            <w:tcW w:w="1008" w:type="pct"/>
          </w:tcPr>
          <w:p w14:paraId="6A2A91A7" w14:textId="77777777" w:rsidR="00162B4E" w:rsidRPr="003009A8" w:rsidRDefault="00162B4E" w:rsidP="00E259AC">
            <w:pPr>
              <w:rPr>
                <w:color w:val="auto"/>
              </w:rPr>
            </w:pPr>
            <w:r w:rsidRPr="003009A8">
              <w:rPr>
                <w:color w:val="auto"/>
              </w:rPr>
              <w:t>Extending capacity-building support to other ministries, departments, and stakeholders based on robust assessments</w:t>
            </w:r>
          </w:p>
        </w:tc>
        <w:tc>
          <w:tcPr>
            <w:tcW w:w="892" w:type="pct"/>
          </w:tcPr>
          <w:p w14:paraId="0EF465A6" w14:textId="78CBCE86" w:rsidR="00162B4E" w:rsidRPr="003009A8" w:rsidRDefault="00596A09" w:rsidP="00596A09">
            <w:pPr>
              <w:suppressAutoHyphens w:val="0"/>
              <w:spacing w:before="0" w:after="160" w:line="278" w:lineRule="auto"/>
              <w:rPr>
                <w:color w:val="auto"/>
              </w:rPr>
            </w:pPr>
            <w:r w:rsidRPr="003009A8">
              <w:rPr>
                <w:b/>
                <w:bCs/>
                <w:color w:val="auto"/>
              </w:rPr>
              <w:t>Agency Capacity Assessment Tools</w:t>
            </w:r>
            <w:r w:rsidRPr="003009A8">
              <w:rPr>
                <w:color w:val="auto"/>
              </w:rPr>
              <w:br/>
            </w:r>
            <w:proofErr w:type="spellStart"/>
            <w:r w:rsidRPr="003009A8">
              <w:rPr>
                <w:color w:val="auto"/>
              </w:rPr>
              <w:t>Tools</w:t>
            </w:r>
            <w:proofErr w:type="spellEnd"/>
            <w:r w:rsidRPr="003009A8">
              <w:rPr>
                <w:color w:val="auto"/>
              </w:rPr>
              <w:t xml:space="preserve"> to assess the capacity of agencies and programs will be developed, with pilot assessments planned </w:t>
            </w:r>
          </w:p>
        </w:tc>
        <w:tc>
          <w:tcPr>
            <w:tcW w:w="834" w:type="pct"/>
          </w:tcPr>
          <w:p w14:paraId="7E22A2B5" w14:textId="6AB3CE0B" w:rsidR="00162B4E" w:rsidRPr="003009A8" w:rsidRDefault="00162B4E" w:rsidP="00E259AC">
            <w:pPr>
              <w:rPr>
                <w:color w:val="auto"/>
              </w:rPr>
            </w:pPr>
            <w:r w:rsidRPr="003009A8">
              <w:rPr>
                <w:color w:val="auto"/>
              </w:rPr>
              <w:t>Integrated coordination duties are included in the Annual Performance Agreement (APA) to hold ministries accountable.</w:t>
            </w:r>
          </w:p>
        </w:tc>
        <w:tc>
          <w:tcPr>
            <w:tcW w:w="1169" w:type="pct"/>
          </w:tcPr>
          <w:p w14:paraId="11C9014D" w14:textId="2B7D76E2" w:rsidR="00162B4E" w:rsidRPr="003009A8" w:rsidRDefault="00162B4E" w:rsidP="00E259AC">
            <w:pPr>
              <w:rPr>
                <w:color w:val="auto"/>
              </w:rPr>
            </w:pPr>
            <w:r w:rsidRPr="003009A8">
              <w:rPr>
                <w:color w:val="auto"/>
              </w:rPr>
              <w:t xml:space="preserve">The APA under the Interim Government is uncertain. The SSPS Program will take an alternate approach to developing tools to assess the capacity of the concerned agencies and programs' strengths and weaknesses as part of the pilot initiative development of the social protection sectoral plan. The Ministry of Social Welfare and Persons with disabilities could be the case of the pilot.  </w:t>
            </w:r>
          </w:p>
        </w:tc>
        <w:tc>
          <w:tcPr>
            <w:tcW w:w="897" w:type="pct"/>
          </w:tcPr>
          <w:p w14:paraId="6743B113" w14:textId="77777777" w:rsidR="00162B4E" w:rsidRPr="003009A8" w:rsidRDefault="00162B4E" w:rsidP="00E259AC">
            <w:pPr>
              <w:rPr>
                <w:color w:val="auto"/>
              </w:rPr>
            </w:pPr>
            <w:r w:rsidRPr="003009A8">
              <w:rPr>
                <w:color w:val="auto"/>
              </w:rPr>
              <w:t xml:space="preserve">Tool development August-September 2025. </w:t>
            </w:r>
          </w:p>
          <w:p w14:paraId="2AED1865" w14:textId="77777777" w:rsidR="00162B4E" w:rsidRPr="003009A8" w:rsidRDefault="00162B4E" w:rsidP="00E259AC">
            <w:pPr>
              <w:rPr>
                <w:color w:val="auto"/>
              </w:rPr>
            </w:pPr>
            <w:r w:rsidRPr="003009A8">
              <w:rPr>
                <w:color w:val="auto"/>
              </w:rPr>
              <w:t xml:space="preserve">Capacity Assessment Exercise in Nov 2025. </w:t>
            </w:r>
          </w:p>
          <w:p w14:paraId="64CDA325" w14:textId="77777777" w:rsidR="00162B4E" w:rsidRPr="003009A8" w:rsidRDefault="00162B4E" w:rsidP="00E259AC">
            <w:pPr>
              <w:rPr>
                <w:color w:val="auto"/>
              </w:rPr>
            </w:pPr>
            <w:r w:rsidRPr="003009A8">
              <w:rPr>
                <w:color w:val="auto"/>
              </w:rPr>
              <w:t xml:space="preserve">A report will be available for dissemination in May 2026. </w:t>
            </w:r>
          </w:p>
          <w:p w14:paraId="3FF8B515" w14:textId="77777777" w:rsidR="00162B4E" w:rsidRPr="003009A8" w:rsidRDefault="00162B4E" w:rsidP="00E259AC">
            <w:pPr>
              <w:rPr>
                <w:color w:val="auto"/>
              </w:rPr>
            </w:pPr>
          </w:p>
          <w:p w14:paraId="4347BD05" w14:textId="77777777" w:rsidR="00162B4E" w:rsidRPr="003009A8" w:rsidRDefault="00162B4E" w:rsidP="00E259AC">
            <w:pPr>
              <w:rPr>
                <w:color w:val="auto"/>
              </w:rPr>
            </w:pPr>
          </w:p>
        </w:tc>
      </w:tr>
      <w:tr w:rsidR="00067954" w:rsidRPr="003009A8" w14:paraId="0817D17B" w14:textId="77777777" w:rsidTr="003009A8">
        <w:tc>
          <w:tcPr>
            <w:tcW w:w="200" w:type="pct"/>
          </w:tcPr>
          <w:p w14:paraId="43243C1F" w14:textId="77777777" w:rsidR="00162B4E" w:rsidRPr="003009A8" w:rsidRDefault="00162B4E" w:rsidP="00E259AC">
            <w:pPr>
              <w:jc w:val="center"/>
              <w:rPr>
                <w:color w:val="auto"/>
              </w:rPr>
            </w:pPr>
            <w:r w:rsidRPr="003009A8">
              <w:rPr>
                <w:color w:val="auto"/>
              </w:rPr>
              <w:t>09.</w:t>
            </w:r>
          </w:p>
        </w:tc>
        <w:tc>
          <w:tcPr>
            <w:tcW w:w="1008" w:type="pct"/>
          </w:tcPr>
          <w:p w14:paraId="6023549D" w14:textId="77777777" w:rsidR="00162B4E" w:rsidRPr="003009A8" w:rsidRDefault="00162B4E" w:rsidP="00E259AC">
            <w:pPr>
              <w:rPr>
                <w:color w:val="auto"/>
              </w:rPr>
            </w:pPr>
            <w:r w:rsidRPr="003009A8">
              <w:rPr>
                <w:color w:val="auto"/>
              </w:rPr>
              <w:t xml:space="preserve">Commissioning high-level policy engagement initiatives on specific issues </w:t>
            </w:r>
            <w:r w:rsidRPr="003009A8">
              <w:rPr>
                <w:color w:val="auto"/>
              </w:rPr>
              <w:lastRenderedPageBreak/>
              <w:t>to reach senior policymakers effectively</w:t>
            </w:r>
          </w:p>
        </w:tc>
        <w:tc>
          <w:tcPr>
            <w:tcW w:w="892" w:type="pct"/>
          </w:tcPr>
          <w:p w14:paraId="2F83905E" w14:textId="058112F4" w:rsidR="00596A09" w:rsidRPr="003009A8" w:rsidRDefault="00596A09" w:rsidP="00596A09">
            <w:pPr>
              <w:suppressAutoHyphens w:val="0"/>
              <w:spacing w:before="0" w:after="160" w:line="278" w:lineRule="auto"/>
              <w:rPr>
                <w:color w:val="auto"/>
              </w:rPr>
            </w:pPr>
            <w:r w:rsidRPr="003009A8">
              <w:rPr>
                <w:b/>
                <w:bCs/>
                <w:color w:val="auto"/>
              </w:rPr>
              <w:lastRenderedPageBreak/>
              <w:t>High-Level Policy Engagement Activities</w:t>
            </w:r>
            <w:r w:rsidRPr="003009A8">
              <w:rPr>
                <w:color w:val="auto"/>
              </w:rPr>
              <w:br/>
              <w:t>A national consensus-</w:t>
            </w:r>
            <w:r w:rsidRPr="003009A8">
              <w:rPr>
                <w:color w:val="auto"/>
              </w:rPr>
              <w:lastRenderedPageBreak/>
              <w:t>building workshop and a social protection conference to be scheduled to engage senior policymakers in reform discussions.</w:t>
            </w:r>
          </w:p>
          <w:p w14:paraId="50A8FF44" w14:textId="77777777" w:rsidR="00162B4E" w:rsidRPr="003009A8" w:rsidRDefault="00162B4E" w:rsidP="00E259AC">
            <w:pPr>
              <w:rPr>
                <w:color w:val="auto"/>
              </w:rPr>
            </w:pPr>
          </w:p>
        </w:tc>
        <w:tc>
          <w:tcPr>
            <w:tcW w:w="834" w:type="pct"/>
          </w:tcPr>
          <w:p w14:paraId="467205B1" w14:textId="034A3391" w:rsidR="00162B4E" w:rsidRPr="003009A8" w:rsidRDefault="00162B4E" w:rsidP="00E259AC">
            <w:pPr>
              <w:rPr>
                <w:color w:val="auto"/>
              </w:rPr>
            </w:pPr>
            <w:r w:rsidRPr="003009A8">
              <w:rPr>
                <w:color w:val="auto"/>
              </w:rPr>
              <w:lastRenderedPageBreak/>
              <w:t xml:space="preserve">Organized workshops and events to facilitate dialogue and </w:t>
            </w:r>
            <w:r w:rsidRPr="003009A8">
              <w:rPr>
                <w:color w:val="auto"/>
              </w:rPr>
              <w:lastRenderedPageBreak/>
              <w:t>collaboration with senior policymakers.</w:t>
            </w:r>
          </w:p>
        </w:tc>
        <w:tc>
          <w:tcPr>
            <w:tcW w:w="1169" w:type="pct"/>
          </w:tcPr>
          <w:p w14:paraId="1F513E68" w14:textId="3B9DDDCE" w:rsidR="00162B4E" w:rsidRPr="003009A8" w:rsidRDefault="00162B4E" w:rsidP="00E259AC">
            <w:pPr>
              <w:rPr>
                <w:color w:val="auto"/>
              </w:rPr>
            </w:pPr>
            <w:r w:rsidRPr="003009A8">
              <w:rPr>
                <w:color w:val="auto"/>
              </w:rPr>
              <w:lastRenderedPageBreak/>
              <w:t>The SSPS Program organized a national consensus-building workshop, engaging very high-</w:t>
            </w:r>
            <w:r w:rsidRPr="003009A8">
              <w:rPr>
                <w:color w:val="auto"/>
              </w:rPr>
              <w:lastRenderedPageBreak/>
              <w:t xml:space="preserve">level policymakers of key ministries of the </w:t>
            </w:r>
            <w:proofErr w:type="spellStart"/>
            <w:r w:rsidRPr="003009A8">
              <w:rPr>
                <w:color w:val="auto"/>
              </w:rPr>
              <w:t>GoB</w:t>
            </w:r>
            <w:proofErr w:type="spellEnd"/>
            <w:r w:rsidRPr="003009A8">
              <w:rPr>
                <w:color w:val="auto"/>
              </w:rPr>
              <w:t xml:space="preserve"> to discuss and reach a consensus on social protection reform and increase efficiency in social protection programs, beneficiaries, and budgets. </w:t>
            </w:r>
          </w:p>
        </w:tc>
        <w:tc>
          <w:tcPr>
            <w:tcW w:w="897" w:type="pct"/>
          </w:tcPr>
          <w:p w14:paraId="0AD3CCDD" w14:textId="77777777" w:rsidR="00162B4E" w:rsidRPr="003009A8" w:rsidRDefault="00162B4E" w:rsidP="00E259AC">
            <w:pPr>
              <w:rPr>
                <w:color w:val="auto"/>
              </w:rPr>
            </w:pPr>
            <w:r w:rsidRPr="003009A8">
              <w:rPr>
                <w:color w:val="auto"/>
              </w:rPr>
              <w:lastRenderedPageBreak/>
              <w:t xml:space="preserve">Bangladesh Social Protection Conference in April/May 2025 </w:t>
            </w:r>
          </w:p>
          <w:p w14:paraId="7A66ECC9" w14:textId="355DDDFF" w:rsidR="00162B4E" w:rsidRPr="003009A8" w:rsidRDefault="00162B4E" w:rsidP="00E259AC">
            <w:pPr>
              <w:rPr>
                <w:color w:val="auto"/>
              </w:rPr>
            </w:pPr>
            <w:r w:rsidRPr="003009A8">
              <w:rPr>
                <w:color w:val="auto"/>
              </w:rPr>
              <w:lastRenderedPageBreak/>
              <w:t>C</w:t>
            </w:r>
            <w:r w:rsidR="00A04628">
              <w:rPr>
                <w:color w:val="auto"/>
              </w:rPr>
              <w:t>hange Management Committee (C</w:t>
            </w:r>
            <w:r w:rsidRPr="003009A8">
              <w:rPr>
                <w:color w:val="auto"/>
              </w:rPr>
              <w:t>MC</w:t>
            </w:r>
            <w:r w:rsidR="00A04628">
              <w:rPr>
                <w:color w:val="auto"/>
              </w:rPr>
              <w:t>)</w:t>
            </w:r>
            <w:r w:rsidRPr="003009A8">
              <w:rPr>
                <w:color w:val="auto"/>
              </w:rPr>
              <w:t xml:space="preserve"> discussion in Feb, June, December 2025, March/April 2026</w:t>
            </w:r>
          </w:p>
          <w:p w14:paraId="5996C531" w14:textId="77777777" w:rsidR="00162B4E" w:rsidRPr="003009A8" w:rsidRDefault="00162B4E" w:rsidP="00E259AC">
            <w:pPr>
              <w:rPr>
                <w:color w:val="auto"/>
              </w:rPr>
            </w:pPr>
          </w:p>
        </w:tc>
      </w:tr>
      <w:tr w:rsidR="00067954" w:rsidRPr="003009A8" w14:paraId="6CBB0B1A" w14:textId="77777777" w:rsidTr="003009A8">
        <w:tc>
          <w:tcPr>
            <w:tcW w:w="200" w:type="pct"/>
          </w:tcPr>
          <w:p w14:paraId="71F0C5CC" w14:textId="77777777" w:rsidR="00162B4E" w:rsidRPr="003009A8" w:rsidRDefault="00162B4E" w:rsidP="00E259AC">
            <w:pPr>
              <w:jc w:val="center"/>
              <w:rPr>
                <w:color w:val="auto"/>
              </w:rPr>
            </w:pPr>
            <w:r w:rsidRPr="003009A8">
              <w:rPr>
                <w:color w:val="auto"/>
              </w:rPr>
              <w:lastRenderedPageBreak/>
              <w:t>10.</w:t>
            </w:r>
          </w:p>
        </w:tc>
        <w:tc>
          <w:tcPr>
            <w:tcW w:w="1008" w:type="pct"/>
          </w:tcPr>
          <w:p w14:paraId="3CE1160D" w14:textId="77777777" w:rsidR="00162B4E" w:rsidRPr="003009A8" w:rsidRDefault="00162B4E" w:rsidP="00E259AC">
            <w:pPr>
              <w:rPr>
                <w:color w:val="auto"/>
              </w:rPr>
            </w:pPr>
            <w:r w:rsidRPr="003009A8">
              <w:rPr>
                <w:color w:val="auto"/>
              </w:rPr>
              <w:t>Explore the feasibility and implications of different tax financing models on social protection initiatives and provide recommendations based on the research findings to optimize fiscal space and tax financing for social protection.</w:t>
            </w:r>
          </w:p>
        </w:tc>
        <w:tc>
          <w:tcPr>
            <w:tcW w:w="892" w:type="pct"/>
          </w:tcPr>
          <w:p w14:paraId="546E6090" w14:textId="3F3FA232" w:rsidR="00596A09" w:rsidRPr="003009A8" w:rsidRDefault="00596A09" w:rsidP="00596A09">
            <w:pPr>
              <w:suppressAutoHyphens w:val="0"/>
              <w:spacing w:before="0" w:after="160" w:line="278" w:lineRule="auto"/>
              <w:rPr>
                <w:color w:val="auto"/>
              </w:rPr>
            </w:pPr>
            <w:r w:rsidRPr="003009A8">
              <w:rPr>
                <w:b/>
                <w:bCs/>
                <w:color w:val="auto"/>
              </w:rPr>
              <w:t>Exploration of Tax-Financed Models</w:t>
            </w:r>
            <w:r w:rsidRPr="003009A8">
              <w:rPr>
                <w:color w:val="auto"/>
              </w:rPr>
              <w:br/>
              <w:t>To explore tax-financed social protection models and develop a financing framework for dissemination by December 2025/January 2026.</w:t>
            </w:r>
          </w:p>
          <w:p w14:paraId="65FABAFB" w14:textId="77777777" w:rsidR="00162B4E" w:rsidRPr="003009A8" w:rsidRDefault="00162B4E" w:rsidP="00E259AC">
            <w:pPr>
              <w:rPr>
                <w:color w:val="auto"/>
              </w:rPr>
            </w:pPr>
          </w:p>
        </w:tc>
        <w:tc>
          <w:tcPr>
            <w:tcW w:w="834" w:type="pct"/>
          </w:tcPr>
          <w:p w14:paraId="2217BCC7" w14:textId="5C7A96DE" w:rsidR="00162B4E" w:rsidRPr="003009A8" w:rsidRDefault="00162B4E" w:rsidP="00E259AC">
            <w:pPr>
              <w:rPr>
                <w:color w:val="auto"/>
              </w:rPr>
            </w:pPr>
          </w:p>
        </w:tc>
        <w:tc>
          <w:tcPr>
            <w:tcW w:w="1169" w:type="pct"/>
          </w:tcPr>
          <w:p w14:paraId="03B1DFC9" w14:textId="042C239A" w:rsidR="00162B4E" w:rsidRPr="003009A8" w:rsidRDefault="00162B4E" w:rsidP="00E259AC">
            <w:pPr>
              <w:rPr>
                <w:color w:val="auto"/>
              </w:rPr>
            </w:pPr>
            <w:r w:rsidRPr="003009A8">
              <w:rPr>
                <w:color w:val="auto"/>
              </w:rPr>
              <w:t xml:space="preserve">The </w:t>
            </w:r>
            <w:proofErr w:type="spellStart"/>
            <w:r w:rsidRPr="003009A8">
              <w:rPr>
                <w:color w:val="auto"/>
              </w:rPr>
              <w:t>ToR</w:t>
            </w:r>
            <w:proofErr w:type="spellEnd"/>
            <w:r w:rsidRPr="003009A8">
              <w:rPr>
                <w:color w:val="auto"/>
              </w:rPr>
              <w:t xml:space="preserve"> for NSSS Final Review will allow the future scope of </w:t>
            </w:r>
            <w:proofErr w:type="spellStart"/>
            <w:r w:rsidRPr="003009A8">
              <w:rPr>
                <w:color w:val="auto"/>
              </w:rPr>
              <w:t>GoB</w:t>
            </w:r>
            <w:proofErr w:type="spellEnd"/>
            <w:r w:rsidRPr="003009A8">
              <w:rPr>
                <w:color w:val="auto"/>
              </w:rPr>
              <w:t xml:space="preserve"> financing for Bangladesh social protection programs and a framework. On the other hand, the SSPS Program partnership with ILO will ensure universal social protection provision in Bangladesh under a tax-financed system and its implementation strategy. </w:t>
            </w:r>
          </w:p>
        </w:tc>
        <w:tc>
          <w:tcPr>
            <w:tcW w:w="897" w:type="pct"/>
          </w:tcPr>
          <w:p w14:paraId="59E2CC0E" w14:textId="77777777" w:rsidR="00162B4E" w:rsidRPr="003009A8" w:rsidRDefault="00162B4E" w:rsidP="00E259AC">
            <w:pPr>
              <w:rPr>
                <w:color w:val="auto"/>
              </w:rPr>
            </w:pPr>
            <w:r w:rsidRPr="003009A8">
              <w:rPr>
                <w:color w:val="auto"/>
              </w:rPr>
              <w:t xml:space="preserve">The National Social Insurance Scheme (NSIS) and social protection financing framework will be ready for wider dissemination and consultations in December 2025/ January 2026. </w:t>
            </w:r>
          </w:p>
        </w:tc>
      </w:tr>
      <w:tr w:rsidR="00067954" w:rsidRPr="003009A8" w14:paraId="64D79CE1" w14:textId="77777777" w:rsidTr="003009A8">
        <w:tc>
          <w:tcPr>
            <w:tcW w:w="200" w:type="pct"/>
          </w:tcPr>
          <w:p w14:paraId="5EA5D25D" w14:textId="77777777" w:rsidR="00162B4E" w:rsidRPr="003009A8" w:rsidRDefault="00162B4E" w:rsidP="00E259AC">
            <w:pPr>
              <w:jc w:val="center"/>
              <w:rPr>
                <w:color w:val="auto"/>
              </w:rPr>
            </w:pPr>
            <w:r w:rsidRPr="003009A8">
              <w:rPr>
                <w:color w:val="auto"/>
              </w:rPr>
              <w:t>11.</w:t>
            </w:r>
          </w:p>
        </w:tc>
        <w:tc>
          <w:tcPr>
            <w:tcW w:w="1008" w:type="pct"/>
          </w:tcPr>
          <w:p w14:paraId="1A84259C" w14:textId="77777777" w:rsidR="00162B4E" w:rsidRPr="003009A8" w:rsidRDefault="00162B4E" w:rsidP="00E259AC">
            <w:pPr>
              <w:rPr>
                <w:color w:val="auto"/>
              </w:rPr>
            </w:pPr>
            <w:r w:rsidRPr="003009A8">
              <w:rPr>
                <w:color w:val="auto"/>
              </w:rPr>
              <w:t>Collaborate with BBS to enhance data generation and analysis capacity for social protection programs.</w:t>
            </w:r>
          </w:p>
        </w:tc>
        <w:tc>
          <w:tcPr>
            <w:tcW w:w="892" w:type="pct"/>
          </w:tcPr>
          <w:p w14:paraId="46BAC301" w14:textId="37A731B8" w:rsidR="00162B4E" w:rsidRPr="003009A8" w:rsidRDefault="00596A09" w:rsidP="00E259AC">
            <w:pPr>
              <w:rPr>
                <w:color w:val="auto"/>
              </w:rPr>
            </w:pPr>
            <w:r w:rsidRPr="003009A8">
              <w:rPr>
                <w:b/>
                <w:bCs/>
                <w:color w:val="auto"/>
              </w:rPr>
              <w:t>Improvement of Data Generation and Analysis</w:t>
            </w:r>
            <w:r w:rsidRPr="003009A8">
              <w:rPr>
                <w:color w:val="auto"/>
              </w:rPr>
              <w:br/>
              <w:t>To strengthen collaboration with BBS to improve data quality and analysis, contributing to the NSSS M&amp;E reporting process</w:t>
            </w:r>
          </w:p>
        </w:tc>
        <w:tc>
          <w:tcPr>
            <w:tcW w:w="834" w:type="pct"/>
          </w:tcPr>
          <w:p w14:paraId="5AA393C2" w14:textId="33AE7492" w:rsidR="00162B4E" w:rsidRPr="003009A8" w:rsidRDefault="00162B4E" w:rsidP="00E259AC">
            <w:pPr>
              <w:rPr>
                <w:color w:val="auto"/>
              </w:rPr>
            </w:pPr>
          </w:p>
        </w:tc>
        <w:tc>
          <w:tcPr>
            <w:tcW w:w="1169" w:type="pct"/>
          </w:tcPr>
          <w:p w14:paraId="50685B42" w14:textId="6848561A" w:rsidR="00162B4E" w:rsidRPr="003009A8" w:rsidRDefault="00162B4E" w:rsidP="00E259AC">
            <w:pPr>
              <w:rPr>
                <w:color w:val="auto"/>
              </w:rPr>
            </w:pPr>
            <w:r w:rsidRPr="003009A8">
              <w:rPr>
                <w:color w:val="auto"/>
              </w:rPr>
              <w:t xml:space="preserve">The HIES data analysis on hand capacity was started. The modules were merged. Exploring the use of Sample Vital Statistics for further social analysis is progressing. The changed leadership and key professional persons impact accessing data, and the newly developed White Paper raised many questions on the data quality of BBS. Data </w:t>
            </w:r>
            <w:r w:rsidRPr="003009A8">
              <w:rPr>
                <w:color w:val="auto"/>
              </w:rPr>
              <w:lastRenderedPageBreak/>
              <w:t xml:space="preserve">support was also provided to develop the NSSS M&amp;E report. </w:t>
            </w:r>
          </w:p>
        </w:tc>
        <w:tc>
          <w:tcPr>
            <w:tcW w:w="897" w:type="pct"/>
          </w:tcPr>
          <w:p w14:paraId="4E81CE63" w14:textId="77777777" w:rsidR="00162B4E" w:rsidRPr="003009A8" w:rsidRDefault="00162B4E" w:rsidP="00E259AC">
            <w:pPr>
              <w:rPr>
                <w:color w:val="auto"/>
              </w:rPr>
            </w:pPr>
            <w:r w:rsidRPr="003009A8">
              <w:rPr>
                <w:color w:val="auto"/>
              </w:rPr>
              <w:lastRenderedPageBreak/>
              <w:t xml:space="preserve">Dec 2025 </w:t>
            </w:r>
          </w:p>
        </w:tc>
      </w:tr>
      <w:tr w:rsidR="00067954" w:rsidRPr="003009A8" w14:paraId="6293A8EF" w14:textId="77777777" w:rsidTr="003009A8">
        <w:tc>
          <w:tcPr>
            <w:tcW w:w="200" w:type="pct"/>
          </w:tcPr>
          <w:p w14:paraId="3EAA59AD" w14:textId="77777777" w:rsidR="00162B4E" w:rsidRPr="003009A8" w:rsidRDefault="00162B4E" w:rsidP="00E259AC">
            <w:pPr>
              <w:jc w:val="center"/>
              <w:rPr>
                <w:color w:val="auto"/>
              </w:rPr>
            </w:pPr>
            <w:r w:rsidRPr="003009A8">
              <w:rPr>
                <w:color w:val="auto"/>
              </w:rPr>
              <w:t>12.</w:t>
            </w:r>
          </w:p>
        </w:tc>
        <w:tc>
          <w:tcPr>
            <w:tcW w:w="1008" w:type="pct"/>
          </w:tcPr>
          <w:p w14:paraId="283F17F1" w14:textId="28FFD202" w:rsidR="00162B4E" w:rsidRPr="003009A8" w:rsidRDefault="00162B4E" w:rsidP="00E259AC">
            <w:pPr>
              <w:rPr>
                <w:color w:val="auto"/>
              </w:rPr>
            </w:pPr>
            <w:r w:rsidRPr="003009A8">
              <w:rPr>
                <w:color w:val="auto"/>
              </w:rPr>
              <w:t>Broaden the knowledge base and influence of NGOs working for marginalized and excluded groups, including</w:t>
            </w:r>
            <w:r w:rsidR="00253F4A">
              <w:rPr>
                <w:color w:val="auto"/>
              </w:rPr>
              <w:t xml:space="preserve"> </w:t>
            </w:r>
            <w:r w:rsidR="00253F4A" w:rsidRPr="003009A8">
              <w:rPr>
                <w:color w:val="auto"/>
              </w:rPr>
              <w:t>Persons with Disabilities</w:t>
            </w:r>
            <w:r w:rsidRPr="003009A8">
              <w:rPr>
                <w:color w:val="auto"/>
              </w:rPr>
              <w:t xml:space="preserve"> </w:t>
            </w:r>
            <w:r w:rsidR="00253F4A">
              <w:rPr>
                <w:color w:val="auto"/>
              </w:rPr>
              <w:t>(</w:t>
            </w:r>
            <w:proofErr w:type="spellStart"/>
            <w:r w:rsidRPr="003009A8">
              <w:rPr>
                <w:color w:val="auto"/>
              </w:rPr>
              <w:t>PwD</w:t>
            </w:r>
            <w:proofErr w:type="spellEnd"/>
            <w:r w:rsidR="005B19B1">
              <w:rPr>
                <w:color w:val="auto"/>
              </w:rPr>
              <w:t>)</w:t>
            </w:r>
            <w:r w:rsidRPr="003009A8">
              <w:rPr>
                <w:color w:val="auto"/>
              </w:rPr>
              <w:t>, in social protection decision-making and disability and marginalized population inclusive social protection programming.</w:t>
            </w:r>
          </w:p>
        </w:tc>
        <w:tc>
          <w:tcPr>
            <w:tcW w:w="892" w:type="pct"/>
          </w:tcPr>
          <w:p w14:paraId="15E45865" w14:textId="36738620" w:rsidR="00596A09" w:rsidRPr="003009A8" w:rsidRDefault="00596A09" w:rsidP="00596A09">
            <w:pPr>
              <w:suppressAutoHyphens w:val="0"/>
              <w:spacing w:before="0" w:after="160" w:line="278" w:lineRule="auto"/>
              <w:rPr>
                <w:color w:val="auto"/>
              </w:rPr>
            </w:pPr>
            <w:r w:rsidRPr="003009A8">
              <w:rPr>
                <w:b/>
                <w:bCs/>
                <w:color w:val="auto"/>
              </w:rPr>
              <w:t>NGO Engagement for Marginalized Groups</w:t>
            </w:r>
            <w:r w:rsidRPr="003009A8">
              <w:rPr>
                <w:color w:val="auto"/>
              </w:rPr>
              <w:br/>
              <w:t>To finalize and present the non-state actor report at the Bangladesh Social Protection Conference, contributing to the NSSS chapter on marginalized groups and persons with disabilities by December 2025.</w:t>
            </w:r>
          </w:p>
          <w:p w14:paraId="5177D61F" w14:textId="77777777" w:rsidR="00162B4E" w:rsidRPr="003009A8" w:rsidRDefault="00162B4E" w:rsidP="00E259AC">
            <w:pPr>
              <w:rPr>
                <w:color w:val="auto"/>
              </w:rPr>
            </w:pPr>
          </w:p>
        </w:tc>
        <w:tc>
          <w:tcPr>
            <w:tcW w:w="834" w:type="pct"/>
          </w:tcPr>
          <w:p w14:paraId="17864714" w14:textId="2A81D291" w:rsidR="00162B4E" w:rsidRPr="003009A8" w:rsidRDefault="00162B4E" w:rsidP="00E259AC">
            <w:pPr>
              <w:rPr>
                <w:color w:val="auto"/>
              </w:rPr>
            </w:pPr>
            <w:r w:rsidRPr="003009A8">
              <w:rPr>
                <w:color w:val="auto"/>
              </w:rPr>
              <w:t xml:space="preserve">The SSPS Program committed to developing a social protection framework for </w:t>
            </w:r>
            <w:proofErr w:type="spellStart"/>
            <w:r w:rsidRPr="003009A8">
              <w:rPr>
                <w:color w:val="auto"/>
              </w:rPr>
              <w:t>PwDs</w:t>
            </w:r>
            <w:proofErr w:type="spellEnd"/>
            <w:r w:rsidRPr="003009A8">
              <w:rPr>
                <w:color w:val="auto"/>
              </w:rPr>
              <w:t xml:space="preserve"> and launching a journalist forum. </w:t>
            </w:r>
          </w:p>
        </w:tc>
        <w:tc>
          <w:tcPr>
            <w:tcW w:w="1169" w:type="pct"/>
          </w:tcPr>
          <w:p w14:paraId="15618B88" w14:textId="605BE1E5" w:rsidR="00162B4E" w:rsidRPr="003009A8" w:rsidRDefault="00162B4E" w:rsidP="00E259AC">
            <w:pPr>
              <w:rPr>
                <w:color w:val="auto"/>
              </w:rPr>
            </w:pPr>
            <w:r w:rsidRPr="003009A8">
              <w:rPr>
                <w:color w:val="auto"/>
              </w:rPr>
              <w:t xml:space="preserve">A non-state actor report, with the participation of NGOs, OPDs, and the marginalized community, was finalized for dissemination. The report will be shared in the Bangladesh Social Protection Conference. A social protection framework for </w:t>
            </w:r>
            <w:proofErr w:type="spellStart"/>
            <w:r w:rsidRPr="003009A8">
              <w:rPr>
                <w:color w:val="auto"/>
              </w:rPr>
              <w:t>PwDs</w:t>
            </w:r>
            <w:proofErr w:type="spellEnd"/>
            <w:r w:rsidRPr="003009A8">
              <w:rPr>
                <w:color w:val="auto"/>
              </w:rPr>
              <w:t xml:space="preserve"> was developed and shared with OPDs, which will be finalized in the forthcoming conference. Both reports will shape the chapter on marginalized groups and </w:t>
            </w:r>
            <w:proofErr w:type="spellStart"/>
            <w:r w:rsidRPr="003009A8">
              <w:rPr>
                <w:color w:val="auto"/>
              </w:rPr>
              <w:t>PwDs</w:t>
            </w:r>
            <w:proofErr w:type="spellEnd"/>
            <w:r w:rsidRPr="003009A8">
              <w:rPr>
                <w:color w:val="auto"/>
              </w:rPr>
              <w:t xml:space="preserve"> of NSSS's next generation. </w:t>
            </w:r>
          </w:p>
        </w:tc>
        <w:tc>
          <w:tcPr>
            <w:tcW w:w="897" w:type="pct"/>
          </w:tcPr>
          <w:p w14:paraId="5A329BE6" w14:textId="77777777" w:rsidR="00162B4E" w:rsidRPr="003009A8" w:rsidRDefault="00162B4E" w:rsidP="00E259AC">
            <w:pPr>
              <w:rPr>
                <w:color w:val="auto"/>
              </w:rPr>
            </w:pPr>
            <w:r w:rsidRPr="003009A8">
              <w:rPr>
                <w:color w:val="auto"/>
              </w:rPr>
              <w:t xml:space="preserve">IDPD December 2025 </w:t>
            </w:r>
          </w:p>
        </w:tc>
      </w:tr>
      <w:tr w:rsidR="00596A09" w:rsidRPr="003009A8" w14:paraId="3AD6075F" w14:textId="77777777" w:rsidTr="003009A8">
        <w:tc>
          <w:tcPr>
            <w:tcW w:w="200" w:type="pct"/>
          </w:tcPr>
          <w:p w14:paraId="55C4C59E" w14:textId="77777777" w:rsidR="00162B4E" w:rsidRPr="003009A8" w:rsidRDefault="00162B4E" w:rsidP="00E259AC">
            <w:pPr>
              <w:jc w:val="center"/>
              <w:rPr>
                <w:color w:val="auto"/>
              </w:rPr>
            </w:pPr>
            <w:r w:rsidRPr="003009A8">
              <w:rPr>
                <w:color w:val="auto"/>
              </w:rPr>
              <w:t>13.</w:t>
            </w:r>
          </w:p>
        </w:tc>
        <w:tc>
          <w:tcPr>
            <w:tcW w:w="1008" w:type="pct"/>
          </w:tcPr>
          <w:p w14:paraId="78DE34B5" w14:textId="0A6A6AC7" w:rsidR="00162B4E" w:rsidRPr="003009A8" w:rsidRDefault="00162B4E" w:rsidP="00E259AC">
            <w:pPr>
              <w:rPr>
                <w:color w:val="auto"/>
              </w:rPr>
            </w:pPr>
            <w:r w:rsidRPr="003009A8">
              <w:rPr>
                <w:color w:val="auto"/>
              </w:rPr>
              <w:t>Conduct research and Pilot models of universal, target-based social protection addressing SP errors, Urban and shock-responsive social protection, and</w:t>
            </w:r>
            <w:r w:rsidR="00253F4A">
              <w:rPr>
                <w:color w:val="auto"/>
              </w:rPr>
              <w:t xml:space="preserve"> </w:t>
            </w:r>
            <w:proofErr w:type="spellStart"/>
            <w:r w:rsidRPr="003009A8">
              <w:rPr>
                <w:color w:val="auto"/>
              </w:rPr>
              <w:t>PwD</w:t>
            </w:r>
            <w:proofErr w:type="spellEnd"/>
            <w:r w:rsidR="00253F4A">
              <w:rPr>
                <w:color w:val="auto"/>
              </w:rPr>
              <w:t>.</w:t>
            </w:r>
          </w:p>
        </w:tc>
        <w:tc>
          <w:tcPr>
            <w:tcW w:w="892" w:type="pct"/>
          </w:tcPr>
          <w:p w14:paraId="69DCBB01" w14:textId="6454AAE4" w:rsidR="00162B4E" w:rsidRPr="003009A8" w:rsidRDefault="00596A09" w:rsidP="00596A09">
            <w:pPr>
              <w:suppressAutoHyphens w:val="0"/>
              <w:spacing w:before="0" w:after="160" w:line="278" w:lineRule="auto"/>
              <w:rPr>
                <w:color w:val="auto"/>
              </w:rPr>
            </w:pPr>
            <w:r w:rsidRPr="003009A8">
              <w:rPr>
                <w:b/>
                <w:bCs/>
                <w:color w:val="auto"/>
              </w:rPr>
              <w:t>Research and Piloting of Inclusive Models</w:t>
            </w:r>
            <w:r w:rsidRPr="003009A8">
              <w:rPr>
                <w:color w:val="auto"/>
              </w:rPr>
              <w:br/>
              <w:t xml:space="preserve">To support piloting of universal and targeted social protection models, including digital enrolment improvements for OAA, Widow, and </w:t>
            </w:r>
            <w:proofErr w:type="spellStart"/>
            <w:r w:rsidRPr="003009A8">
              <w:rPr>
                <w:color w:val="auto"/>
              </w:rPr>
              <w:t>PwD</w:t>
            </w:r>
            <w:proofErr w:type="spellEnd"/>
            <w:r w:rsidRPr="003009A8">
              <w:rPr>
                <w:color w:val="auto"/>
              </w:rPr>
              <w:t xml:space="preserve"> allowances, with field monitoring</w:t>
            </w:r>
          </w:p>
        </w:tc>
        <w:tc>
          <w:tcPr>
            <w:tcW w:w="834" w:type="pct"/>
          </w:tcPr>
          <w:p w14:paraId="7F98FCAF" w14:textId="38C49D8B" w:rsidR="00162B4E" w:rsidRPr="003009A8" w:rsidRDefault="00162B4E" w:rsidP="00E259AC">
            <w:pPr>
              <w:rPr>
                <w:color w:val="auto"/>
              </w:rPr>
            </w:pPr>
          </w:p>
        </w:tc>
        <w:tc>
          <w:tcPr>
            <w:tcW w:w="1169" w:type="pct"/>
          </w:tcPr>
          <w:p w14:paraId="2B22CC5F" w14:textId="4AC8E000" w:rsidR="00162B4E" w:rsidRPr="003009A8" w:rsidRDefault="00162B4E" w:rsidP="00E259AC">
            <w:pPr>
              <w:rPr>
                <w:color w:val="auto"/>
              </w:rPr>
            </w:pPr>
            <w:r w:rsidRPr="003009A8">
              <w:rPr>
                <w:color w:val="auto"/>
              </w:rPr>
              <w:t xml:space="preserve">The OAA, Widow, and </w:t>
            </w:r>
            <w:proofErr w:type="spellStart"/>
            <w:r w:rsidRPr="003009A8">
              <w:rPr>
                <w:color w:val="auto"/>
              </w:rPr>
              <w:t>PwDs</w:t>
            </w:r>
            <w:proofErr w:type="spellEnd"/>
            <w:r w:rsidRPr="003009A8">
              <w:rPr>
                <w:color w:val="auto"/>
              </w:rPr>
              <w:t xml:space="preserve"> are under the universal social protection system. However, universalism depends on how people use and feel comfort, understand, and access online to apply for allowance and the approval process. The digital divide is high. Recently, government </w:t>
            </w:r>
            <w:r w:rsidR="00534A7E" w:rsidRPr="003009A8">
              <w:rPr>
                <w:color w:val="auto"/>
              </w:rPr>
              <w:t>was</w:t>
            </w:r>
            <w:r w:rsidRPr="003009A8">
              <w:rPr>
                <w:color w:val="auto"/>
              </w:rPr>
              <w:t xml:space="preserve"> planning to redo the online enrolment for OAA, Widow, </w:t>
            </w:r>
            <w:proofErr w:type="spellStart"/>
            <w:r w:rsidRPr="003009A8">
              <w:rPr>
                <w:color w:val="auto"/>
              </w:rPr>
              <w:t>PwD</w:t>
            </w:r>
            <w:proofErr w:type="spellEnd"/>
            <w:r w:rsidRPr="003009A8">
              <w:rPr>
                <w:color w:val="auto"/>
              </w:rPr>
              <w:t xml:space="preserve"> allowances. </w:t>
            </w:r>
          </w:p>
        </w:tc>
        <w:tc>
          <w:tcPr>
            <w:tcW w:w="897" w:type="pct"/>
          </w:tcPr>
          <w:p w14:paraId="710729A8" w14:textId="4D5094D1" w:rsidR="00162B4E" w:rsidRPr="003009A8" w:rsidRDefault="00162B4E" w:rsidP="00E259AC">
            <w:pPr>
              <w:rPr>
                <w:color w:val="auto"/>
              </w:rPr>
            </w:pPr>
            <w:r w:rsidRPr="003009A8">
              <w:rPr>
                <w:color w:val="auto"/>
              </w:rPr>
              <w:t xml:space="preserve">Field monitoring to oversee the enrolment process of OAA, Widow and </w:t>
            </w:r>
            <w:proofErr w:type="spellStart"/>
            <w:r w:rsidR="004B6CFB">
              <w:rPr>
                <w:color w:val="auto"/>
              </w:rPr>
              <w:t>P</w:t>
            </w:r>
            <w:r w:rsidRPr="003009A8">
              <w:rPr>
                <w:color w:val="auto"/>
              </w:rPr>
              <w:t>w</w:t>
            </w:r>
            <w:r w:rsidR="00253F4A">
              <w:rPr>
                <w:color w:val="auto"/>
              </w:rPr>
              <w:t>D</w:t>
            </w:r>
            <w:proofErr w:type="spellEnd"/>
            <w:r w:rsidRPr="003009A8">
              <w:rPr>
                <w:color w:val="auto"/>
              </w:rPr>
              <w:t xml:space="preserve">, in consultation with </w:t>
            </w:r>
            <w:r w:rsidR="000A04F6">
              <w:rPr>
                <w:color w:val="auto"/>
              </w:rPr>
              <w:t>Ministry of Social Welfare (</w:t>
            </w:r>
            <w:proofErr w:type="spellStart"/>
            <w:r w:rsidRPr="003009A8">
              <w:rPr>
                <w:color w:val="auto"/>
              </w:rPr>
              <w:t>MoSW</w:t>
            </w:r>
            <w:proofErr w:type="spellEnd"/>
            <w:r w:rsidR="000A04F6">
              <w:rPr>
                <w:color w:val="auto"/>
              </w:rPr>
              <w:t>)</w:t>
            </w:r>
            <w:r w:rsidRPr="003009A8">
              <w:rPr>
                <w:color w:val="auto"/>
              </w:rPr>
              <w:t xml:space="preserve">, </w:t>
            </w:r>
            <w:r w:rsidR="000A04F6">
              <w:rPr>
                <w:color w:val="auto"/>
              </w:rPr>
              <w:t>Ministry of Women and Children Affairs</w:t>
            </w:r>
            <w:r w:rsidR="00534A7E">
              <w:rPr>
                <w:color w:val="auto"/>
              </w:rPr>
              <w:t xml:space="preserve"> (</w:t>
            </w:r>
            <w:proofErr w:type="spellStart"/>
            <w:r w:rsidRPr="003009A8">
              <w:rPr>
                <w:color w:val="auto"/>
              </w:rPr>
              <w:t>MoWCA</w:t>
            </w:r>
            <w:proofErr w:type="spellEnd"/>
            <w:r w:rsidR="00534A7E">
              <w:rPr>
                <w:color w:val="auto"/>
              </w:rPr>
              <w:t>)</w:t>
            </w:r>
            <w:r w:rsidRPr="003009A8">
              <w:rPr>
                <w:color w:val="auto"/>
              </w:rPr>
              <w:t xml:space="preserve"> on Q2, Q3, and Q4 of 2025. </w:t>
            </w:r>
          </w:p>
        </w:tc>
      </w:tr>
    </w:tbl>
    <w:p w14:paraId="1FC00ADC" w14:textId="77777777" w:rsidR="0072474C" w:rsidRPr="003009A8" w:rsidRDefault="0072474C" w:rsidP="00320A4C">
      <w:pPr>
        <w:spacing w:line="240" w:lineRule="auto"/>
        <w:rPr>
          <w:color w:val="auto"/>
        </w:rPr>
      </w:pPr>
    </w:p>
    <w:sectPr w:rsidR="0072474C" w:rsidRPr="003009A8" w:rsidSect="0072474C">
      <w:headerReference w:type="even" r:id="rId11"/>
      <w:headerReference w:type="default" r:id="rId12"/>
      <w:footerReference w:type="default" r:id="rId13"/>
      <w:pgSz w:w="16838" w:h="11906" w:orient="landscape" w:code="9"/>
      <w:pgMar w:top="1134" w:right="1418" w:bottom="1134" w:left="1985" w:header="567" w:footer="593"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28C80" w14:textId="77777777" w:rsidR="006B1BC4" w:rsidRDefault="006B1BC4" w:rsidP="00D37B04">
      <w:r>
        <w:separator/>
      </w:r>
    </w:p>
  </w:endnote>
  <w:endnote w:type="continuationSeparator" w:id="0">
    <w:p w14:paraId="5BDCFF54" w14:textId="77777777" w:rsidR="006B1BC4" w:rsidRDefault="006B1BC4"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12F99" w14:textId="5A0B25D5" w:rsidR="0091787E" w:rsidRPr="004D4401" w:rsidRDefault="0091787E" w:rsidP="00637B23">
    <w:pPr>
      <w:pStyle w:val="Footer"/>
      <w:jc w:val="left"/>
      <w:rPr>
        <w:b/>
        <w:color w:val="auto"/>
        <w:sz w:val="28"/>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E3F2E" w14:textId="77777777" w:rsidR="006B1BC4" w:rsidRPr="008C5A0E" w:rsidRDefault="006B1BC4" w:rsidP="00D37B04">
      <w:pPr>
        <w:pStyle w:val="Footer"/>
      </w:pPr>
    </w:p>
  </w:footnote>
  <w:footnote w:type="continuationSeparator" w:id="0">
    <w:p w14:paraId="02FEF079" w14:textId="77777777" w:rsidR="006B1BC4" w:rsidRDefault="006B1BC4"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25FB0" w14:textId="4BD250D2" w:rsidR="00F955D9" w:rsidRDefault="00F955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1E5C9" w14:textId="1FCAB03A" w:rsidR="0091787E" w:rsidRPr="008A51A6" w:rsidRDefault="0091787E" w:rsidP="002D5B25">
    <w:pPr>
      <w:pStyle w:val="Header"/>
      <w:rPr>
        <w:b w:val="0"/>
        <w:color w:val="FFFFFF" w:themeColor="background1"/>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0C7639EA"/>
    <w:multiLevelType w:val="hybridMultilevel"/>
    <w:tmpl w:val="1A162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3" w15:restartNumberingAfterBreak="0">
    <w:nsid w:val="1B4E2E12"/>
    <w:multiLevelType w:val="multilevel"/>
    <w:tmpl w:val="46769186"/>
    <w:lvl w:ilvl="0">
      <w:start w:val="1"/>
      <w:numFmt w:val="bullet"/>
      <w:pStyle w:val="Bullet1"/>
      <w:lvlText w:val=""/>
      <w:lvlJc w:val="left"/>
      <w:pPr>
        <w:tabs>
          <w:tab w:val="num" w:pos="567"/>
        </w:tabs>
        <w:ind w:left="567" w:hanging="567"/>
      </w:pPr>
      <w:rPr>
        <w:rFonts w:ascii="Symbol" w:hAnsi="Symbol" w:hint="default"/>
        <w:sz w:val="32"/>
      </w:rPr>
    </w:lvl>
    <w:lvl w:ilvl="1">
      <w:start w:val="1"/>
      <w:numFmt w:val="bullet"/>
      <w:pStyle w:val="Bullet2"/>
      <w:lvlText w:val=""/>
      <w:lvlJc w:val="left"/>
      <w:pPr>
        <w:tabs>
          <w:tab w:val="num" w:pos="1134"/>
        </w:tabs>
        <w:ind w:left="1134" w:hanging="567"/>
      </w:pPr>
      <w:rPr>
        <w:rFonts w:ascii="Symbol" w:hAnsi="Symbol" w:hint="default"/>
      </w:rPr>
    </w:lvl>
    <w:lvl w:ilvl="2">
      <w:start w:val="1"/>
      <w:numFmt w:val="bullet"/>
      <w:pStyle w:val="Bullet3"/>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4" w15:restartNumberingAfterBreak="0">
    <w:nsid w:val="1DBB4A1C"/>
    <w:multiLevelType w:val="hybridMultilevel"/>
    <w:tmpl w:val="D4DC9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9F43E4"/>
    <w:multiLevelType w:val="multilevel"/>
    <w:tmpl w:val="8828C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15:restartNumberingAfterBreak="0">
    <w:nsid w:val="3BEB61A5"/>
    <w:multiLevelType w:val="hybridMultilevel"/>
    <w:tmpl w:val="9FAE4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224874"/>
    <w:multiLevelType w:val="multilevel"/>
    <w:tmpl w:val="7D36E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F942BD3"/>
    <w:multiLevelType w:val="multilevel"/>
    <w:tmpl w:val="D700A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1"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2" w15:restartNumberingAfterBreak="0">
    <w:nsid w:val="5ECD2459"/>
    <w:multiLevelType w:val="hybridMultilevel"/>
    <w:tmpl w:val="5B44D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1A241EE"/>
    <w:multiLevelType w:val="hybridMultilevel"/>
    <w:tmpl w:val="0B5C43FE"/>
    <w:lvl w:ilvl="0" w:tplc="0C090001">
      <w:start w:val="1"/>
      <w:numFmt w:val="bullet"/>
      <w:lvlText w:val=""/>
      <w:lvlJc w:val="left"/>
      <w:pPr>
        <w:ind w:left="828" w:hanging="360"/>
      </w:pPr>
      <w:rPr>
        <w:rFonts w:ascii="Symbol" w:hAnsi="Symbol" w:hint="default"/>
      </w:rPr>
    </w:lvl>
    <w:lvl w:ilvl="1" w:tplc="0C090003">
      <w:start w:val="1"/>
      <w:numFmt w:val="bullet"/>
      <w:lvlText w:val="o"/>
      <w:lvlJc w:val="left"/>
      <w:pPr>
        <w:ind w:left="1548" w:hanging="360"/>
      </w:pPr>
      <w:rPr>
        <w:rFonts w:ascii="Courier New" w:hAnsi="Courier New" w:cs="Courier New" w:hint="default"/>
      </w:rPr>
    </w:lvl>
    <w:lvl w:ilvl="2" w:tplc="0C090005" w:tentative="1">
      <w:start w:val="1"/>
      <w:numFmt w:val="bullet"/>
      <w:lvlText w:val=""/>
      <w:lvlJc w:val="left"/>
      <w:pPr>
        <w:ind w:left="2268" w:hanging="360"/>
      </w:pPr>
      <w:rPr>
        <w:rFonts w:ascii="Wingdings" w:hAnsi="Wingdings" w:hint="default"/>
      </w:rPr>
    </w:lvl>
    <w:lvl w:ilvl="3" w:tplc="0C090001" w:tentative="1">
      <w:start w:val="1"/>
      <w:numFmt w:val="bullet"/>
      <w:lvlText w:val=""/>
      <w:lvlJc w:val="left"/>
      <w:pPr>
        <w:ind w:left="2988" w:hanging="360"/>
      </w:pPr>
      <w:rPr>
        <w:rFonts w:ascii="Symbol" w:hAnsi="Symbol" w:hint="default"/>
      </w:rPr>
    </w:lvl>
    <w:lvl w:ilvl="4" w:tplc="0C090003" w:tentative="1">
      <w:start w:val="1"/>
      <w:numFmt w:val="bullet"/>
      <w:lvlText w:val="o"/>
      <w:lvlJc w:val="left"/>
      <w:pPr>
        <w:ind w:left="3708" w:hanging="360"/>
      </w:pPr>
      <w:rPr>
        <w:rFonts w:ascii="Courier New" w:hAnsi="Courier New" w:cs="Courier New" w:hint="default"/>
      </w:rPr>
    </w:lvl>
    <w:lvl w:ilvl="5" w:tplc="0C090005" w:tentative="1">
      <w:start w:val="1"/>
      <w:numFmt w:val="bullet"/>
      <w:lvlText w:val=""/>
      <w:lvlJc w:val="left"/>
      <w:pPr>
        <w:ind w:left="4428" w:hanging="360"/>
      </w:pPr>
      <w:rPr>
        <w:rFonts w:ascii="Wingdings" w:hAnsi="Wingdings" w:hint="default"/>
      </w:rPr>
    </w:lvl>
    <w:lvl w:ilvl="6" w:tplc="0C090001" w:tentative="1">
      <w:start w:val="1"/>
      <w:numFmt w:val="bullet"/>
      <w:lvlText w:val=""/>
      <w:lvlJc w:val="left"/>
      <w:pPr>
        <w:ind w:left="5148" w:hanging="360"/>
      </w:pPr>
      <w:rPr>
        <w:rFonts w:ascii="Symbol" w:hAnsi="Symbol" w:hint="default"/>
      </w:rPr>
    </w:lvl>
    <w:lvl w:ilvl="7" w:tplc="0C090003" w:tentative="1">
      <w:start w:val="1"/>
      <w:numFmt w:val="bullet"/>
      <w:lvlText w:val="o"/>
      <w:lvlJc w:val="left"/>
      <w:pPr>
        <w:ind w:left="5868" w:hanging="360"/>
      </w:pPr>
      <w:rPr>
        <w:rFonts w:ascii="Courier New" w:hAnsi="Courier New" w:cs="Courier New" w:hint="default"/>
      </w:rPr>
    </w:lvl>
    <w:lvl w:ilvl="8" w:tplc="0C090005" w:tentative="1">
      <w:start w:val="1"/>
      <w:numFmt w:val="bullet"/>
      <w:lvlText w:val=""/>
      <w:lvlJc w:val="left"/>
      <w:pPr>
        <w:ind w:left="6588" w:hanging="360"/>
      </w:pPr>
      <w:rPr>
        <w:rFonts w:ascii="Wingdings" w:hAnsi="Wingdings" w:hint="default"/>
      </w:rPr>
    </w:lvl>
  </w:abstractNum>
  <w:abstractNum w:abstractNumId="14" w15:restartNumberingAfterBreak="0">
    <w:nsid w:val="6C8B61E6"/>
    <w:multiLevelType w:val="multilevel"/>
    <w:tmpl w:val="EF9AB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EBD1563"/>
    <w:multiLevelType w:val="hybridMultilevel"/>
    <w:tmpl w:val="4FA87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3107305"/>
    <w:multiLevelType w:val="multilevel"/>
    <w:tmpl w:val="43428892"/>
    <w:styleLink w:val="BulletsList"/>
    <w:lvl w:ilvl="0">
      <w:start w:val="1"/>
      <w:numFmt w:val="bullet"/>
      <w:lvlText w:val=""/>
      <w:lvlJc w:val="left"/>
      <w:pPr>
        <w:ind w:left="170" w:hanging="170"/>
      </w:pPr>
      <w:rPr>
        <w:rFonts w:ascii="Symbol" w:hAnsi="Symbol"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792E3E94"/>
    <w:multiLevelType w:val="hybridMultilevel"/>
    <w:tmpl w:val="F5FC89DC"/>
    <w:lvl w:ilvl="0" w:tplc="C8E44640">
      <w:start w:val="1"/>
      <w:numFmt w:val="bullet"/>
      <w:pStyle w:val="Box2Bullet"/>
      <w:lvlText w:val=""/>
      <w:lvlJc w:val="left"/>
      <w:pPr>
        <w:ind w:left="1004" w:hanging="360"/>
      </w:pPr>
      <w:rPr>
        <w:rFonts w:ascii="Symbol" w:hAnsi="Symbol" w:hint="default"/>
      </w:rPr>
    </w:lvl>
    <w:lvl w:ilvl="1" w:tplc="6FE2B186" w:tentative="1">
      <w:start w:val="1"/>
      <w:numFmt w:val="bullet"/>
      <w:lvlText w:val="o"/>
      <w:lvlJc w:val="left"/>
      <w:pPr>
        <w:ind w:left="1724" w:hanging="360"/>
      </w:pPr>
      <w:rPr>
        <w:rFonts w:ascii="Courier New" w:hAnsi="Courier New" w:cs="Courier New" w:hint="default"/>
      </w:rPr>
    </w:lvl>
    <w:lvl w:ilvl="2" w:tplc="FF38B1DA" w:tentative="1">
      <w:start w:val="1"/>
      <w:numFmt w:val="bullet"/>
      <w:lvlText w:val=""/>
      <w:lvlJc w:val="left"/>
      <w:pPr>
        <w:ind w:left="2444" w:hanging="360"/>
      </w:pPr>
      <w:rPr>
        <w:rFonts w:ascii="Wingdings" w:hAnsi="Wingdings" w:hint="default"/>
      </w:rPr>
    </w:lvl>
    <w:lvl w:ilvl="3" w:tplc="A672E2C2" w:tentative="1">
      <w:start w:val="1"/>
      <w:numFmt w:val="bullet"/>
      <w:lvlText w:val=""/>
      <w:lvlJc w:val="left"/>
      <w:pPr>
        <w:ind w:left="3164" w:hanging="360"/>
      </w:pPr>
      <w:rPr>
        <w:rFonts w:ascii="Symbol" w:hAnsi="Symbol" w:hint="default"/>
      </w:rPr>
    </w:lvl>
    <w:lvl w:ilvl="4" w:tplc="CCB009DC" w:tentative="1">
      <w:start w:val="1"/>
      <w:numFmt w:val="bullet"/>
      <w:lvlText w:val="o"/>
      <w:lvlJc w:val="left"/>
      <w:pPr>
        <w:ind w:left="3884" w:hanging="360"/>
      </w:pPr>
      <w:rPr>
        <w:rFonts w:ascii="Courier New" w:hAnsi="Courier New" w:cs="Courier New" w:hint="default"/>
      </w:rPr>
    </w:lvl>
    <w:lvl w:ilvl="5" w:tplc="932EB982" w:tentative="1">
      <w:start w:val="1"/>
      <w:numFmt w:val="bullet"/>
      <w:lvlText w:val=""/>
      <w:lvlJc w:val="left"/>
      <w:pPr>
        <w:ind w:left="4604" w:hanging="360"/>
      </w:pPr>
      <w:rPr>
        <w:rFonts w:ascii="Wingdings" w:hAnsi="Wingdings" w:hint="default"/>
      </w:rPr>
    </w:lvl>
    <w:lvl w:ilvl="6" w:tplc="5C5478E2" w:tentative="1">
      <w:start w:val="1"/>
      <w:numFmt w:val="bullet"/>
      <w:lvlText w:val=""/>
      <w:lvlJc w:val="left"/>
      <w:pPr>
        <w:ind w:left="5324" w:hanging="360"/>
      </w:pPr>
      <w:rPr>
        <w:rFonts w:ascii="Symbol" w:hAnsi="Symbol" w:hint="default"/>
      </w:rPr>
    </w:lvl>
    <w:lvl w:ilvl="7" w:tplc="EE165F24" w:tentative="1">
      <w:start w:val="1"/>
      <w:numFmt w:val="bullet"/>
      <w:lvlText w:val="o"/>
      <w:lvlJc w:val="left"/>
      <w:pPr>
        <w:ind w:left="6044" w:hanging="360"/>
      </w:pPr>
      <w:rPr>
        <w:rFonts w:ascii="Courier New" w:hAnsi="Courier New" w:cs="Courier New" w:hint="default"/>
      </w:rPr>
    </w:lvl>
    <w:lvl w:ilvl="8" w:tplc="5F7A628A" w:tentative="1">
      <w:start w:val="1"/>
      <w:numFmt w:val="bullet"/>
      <w:lvlText w:val=""/>
      <w:lvlJc w:val="left"/>
      <w:pPr>
        <w:ind w:left="6764" w:hanging="360"/>
      </w:pPr>
      <w:rPr>
        <w:rFonts w:ascii="Wingdings" w:hAnsi="Wingdings" w:hint="default"/>
      </w:rPr>
    </w:lvl>
  </w:abstractNum>
  <w:abstractNum w:abstractNumId="18" w15:restartNumberingAfterBreak="0">
    <w:nsid w:val="7F7A528B"/>
    <w:multiLevelType w:val="hybridMultilevel"/>
    <w:tmpl w:val="A39658C0"/>
    <w:lvl w:ilvl="0" w:tplc="7B640FF6">
      <w:start w:val="1"/>
      <w:numFmt w:val="bullet"/>
      <w:pStyle w:val="ListBullet"/>
      <w:lvlText w:val="›"/>
      <w:lvlJc w:val="left"/>
      <w:pPr>
        <w:ind w:left="644" w:hanging="360"/>
      </w:pPr>
      <w:rPr>
        <w:rFonts w:ascii="Times New Roman" w:hAnsi="Times New Roman" w:cs="Times New Roman" w:hint="default"/>
        <w:color w:val="auto"/>
        <w:position w:val="3"/>
      </w:rPr>
    </w:lvl>
    <w:lvl w:ilvl="1" w:tplc="FFFFFFFF">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num w:numId="1" w16cid:durableId="493574375">
    <w:abstractNumId w:val="16"/>
  </w:num>
  <w:num w:numId="2" w16cid:durableId="958806351">
    <w:abstractNumId w:val="0"/>
  </w:num>
  <w:num w:numId="3" w16cid:durableId="1399860968">
    <w:abstractNumId w:val="6"/>
  </w:num>
  <w:num w:numId="4" w16cid:durableId="876236023">
    <w:abstractNumId w:val="10"/>
  </w:num>
  <w:num w:numId="5" w16cid:durableId="1121412879">
    <w:abstractNumId w:val="11"/>
  </w:num>
  <w:num w:numId="6" w16cid:durableId="2093382589">
    <w:abstractNumId w:val="6"/>
  </w:num>
  <w:num w:numId="7" w16cid:durableId="830870583">
    <w:abstractNumId w:val="0"/>
  </w:num>
  <w:num w:numId="8" w16cid:durableId="233584861">
    <w:abstractNumId w:val="2"/>
  </w:num>
  <w:num w:numId="9" w16cid:durableId="24454153">
    <w:abstractNumId w:val="17"/>
  </w:num>
  <w:num w:numId="10" w16cid:durableId="1843741451">
    <w:abstractNumId w:val="3"/>
  </w:num>
  <w:num w:numId="11" w16cid:durableId="519510440">
    <w:abstractNumId w:val="13"/>
  </w:num>
  <w:num w:numId="12" w16cid:durableId="85615086">
    <w:abstractNumId w:val="18"/>
  </w:num>
  <w:num w:numId="13" w16cid:durableId="503978822">
    <w:abstractNumId w:val="8"/>
  </w:num>
  <w:num w:numId="14" w16cid:durableId="48917279">
    <w:abstractNumId w:val="12"/>
  </w:num>
  <w:num w:numId="15" w16cid:durableId="226690371">
    <w:abstractNumId w:val="4"/>
  </w:num>
  <w:num w:numId="16" w16cid:durableId="1160150092">
    <w:abstractNumId w:val="7"/>
  </w:num>
  <w:num w:numId="17" w16cid:durableId="1430273190">
    <w:abstractNumId w:val="5"/>
  </w:num>
  <w:num w:numId="18" w16cid:durableId="308444805">
    <w:abstractNumId w:val="1"/>
  </w:num>
  <w:num w:numId="19" w16cid:durableId="196234767">
    <w:abstractNumId w:val="14"/>
  </w:num>
  <w:num w:numId="20" w16cid:durableId="1514418494">
    <w:abstractNumId w:val="15"/>
  </w:num>
  <w:num w:numId="21" w16cid:durableId="1787583445">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658"/>
    <w:rsid w:val="00001DA8"/>
    <w:rsid w:val="000020C1"/>
    <w:rsid w:val="0000652C"/>
    <w:rsid w:val="0002080A"/>
    <w:rsid w:val="00021335"/>
    <w:rsid w:val="00025CE7"/>
    <w:rsid w:val="0002782F"/>
    <w:rsid w:val="00034D04"/>
    <w:rsid w:val="00035BBF"/>
    <w:rsid w:val="00035E7A"/>
    <w:rsid w:val="0004449D"/>
    <w:rsid w:val="00050806"/>
    <w:rsid w:val="00053AF5"/>
    <w:rsid w:val="000546D9"/>
    <w:rsid w:val="00054E4D"/>
    <w:rsid w:val="0005733A"/>
    <w:rsid w:val="00060073"/>
    <w:rsid w:val="000616C6"/>
    <w:rsid w:val="000662CC"/>
    <w:rsid w:val="00067954"/>
    <w:rsid w:val="0007030E"/>
    <w:rsid w:val="00070450"/>
    <w:rsid w:val="00074102"/>
    <w:rsid w:val="000742CD"/>
    <w:rsid w:val="0007495C"/>
    <w:rsid w:val="000854FD"/>
    <w:rsid w:val="00087B61"/>
    <w:rsid w:val="00091B57"/>
    <w:rsid w:val="000A04F6"/>
    <w:rsid w:val="000A1713"/>
    <w:rsid w:val="000B1634"/>
    <w:rsid w:val="000B3010"/>
    <w:rsid w:val="000B37F5"/>
    <w:rsid w:val="000B3ED7"/>
    <w:rsid w:val="000C56D0"/>
    <w:rsid w:val="000D66D6"/>
    <w:rsid w:val="000E2EE4"/>
    <w:rsid w:val="000F0C7D"/>
    <w:rsid w:val="000F3E74"/>
    <w:rsid w:val="00105AD8"/>
    <w:rsid w:val="0010751A"/>
    <w:rsid w:val="0011012A"/>
    <w:rsid w:val="00113288"/>
    <w:rsid w:val="00121418"/>
    <w:rsid w:val="001214BE"/>
    <w:rsid w:val="0013101C"/>
    <w:rsid w:val="00132871"/>
    <w:rsid w:val="00137C83"/>
    <w:rsid w:val="0014333F"/>
    <w:rsid w:val="001461D6"/>
    <w:rsid w:val="00150D80"/>
    <w:rsid w:val="00151A2A"/>
    <w:rsid w:val="001541EA"/>
    <w:rsid w:val="00155A45"/>
    <w:rsid w:val="00162B4E"/>
    <w:rsid w:val="0017266A"/>
    <w:rsid w:val="001744F6"/>
    <w:rsid w:val="00191F3B"/>
    <w:rsid w:val="001975E5"/>
    <w:rsid w:val="001A2AF6"/>
    <w:rsid w:val="001A397B"/>
    <w:rsid w:val="001A39E0"/>
    <w:rsid w:val="001C17E7"/>
    <w:rsid w:val="001C5275"/>
    <w:rsid w:val="001D090B"/>
    <w:rsid w:val="001D663E"/>
    <w:rsid w:val="001E1DC0"/>
    <w:rsid w:val="001E2E60"/>
    <w:rsid w:val="001E6822"/>
    <w:rsid w:val="001E7AF9"/>
    <w:rsid w:val="001E7BFD"/>
    <w:rsid w:val="001E7D05"/>
    <w:rsid w:val="001F0660"/>
    <w:rsid w:val="001F6139"/>
    <w:rsid w:val="002069A3"/>
    <w:rsid w:val="00221612"/>
    <w:rsid w:val="0023008D"/>
    <w:rsid w:val="00232FD3"/>
    <w:rsid w:val="00234F82"/>
    <w:rsid w:val="00241AF6"/>
    <w:rsid w:val="00243CAE"/>
    <w:rsid w:val="00245342"/>
    <w:rsid w:val="00247903"/>
    <w:rsid w:val="00250546"/>
    <w:rsid w:val="00253C5A"/>
    <w:rsid w:val="00253F4A"/>
    <w:rsid w:val="002553BB"/>
    <w:rsid w:val="00262B76"/>
    <w:rsid w:val="0026609D"/>
    <w:rsid w:val="002711D8"/>
    <w:rsid w:val="0027509B"/>
    <w:rsid w:val="0028119A"/>
    <w:rsid w:val="0028602A"/>
    <w:rsid w:val="002864B5"/>
    <w:rsid w:val="002874DF"/>
    <w:rsid w:val="00291593"/>
    <w:rsid w:val="002A5A12"/>
    <w:rsid w:val="002B5238"/>
    <w:rsid w:val="002B5E10"/>
    <w:rsid w:val="002C45CC"/>
    <w:rsid w:val="002C477F"/>
    <w:rsid w:val="002C793D"/>
    <w:rsid w:val="002C7E55"/>
    <w:rsid w:val="002D548A"/>
    <w:rsid w:val="002D5B25"/>
    <w:rsid w:val="002E0899"/>
    <w:rsid w:val="002E14E0"/>
    <w:rsid w:val="002E1936"/>
    <w:rsid w:val="002F4F2B"/>
    <w:rsid w:val="002F7221"/>
    <w:rsid w:val="003002C0"/>
    <w:rsid w:val="003009A8"/>
    <w:rsid w:val="00301144"/>
    <w:rsid w:val="003031C6"/>
    <w:rsid w:val="00304984"/>
    <w:rsid w:val="003108BF"/>
    <w:rsid w:val="00312BF8"/>
    <w:rsid w:val="003148B7"/>
    <w:rsid w:val="003158C3"/>
    <w:rsid w:val="00315DA4"/>
    <w:rsid w:val="00320A4C"/>
    <w:rsid w:val="00322363"/>
    <w:rsid w:val="003274CD"/>
    <w:rsid w:val="00333501"/>
    <w:rsid w:val="00335AF7"/>
    <w:rsid w:val="003457C4"/>
    <w:rsid w:val="0035119D"/>
    <w:rsid w:val="00353113"/>
    <w:rsid w:val="003571A7"/>
    <w:rsid w:val="00357312"/>
    <w:rsid w:val="00357B3A"/>
    <w:rsid w:val="00361454"/>
    <w:rsid w:val="00365868"/>
    <w:rsid w:val="00370AEA"/>
    <w:rsid w:val="003745AE"/>
    <w:rsid w:val="00376277"/>
    <w:rsid w:val="00377AD6"/>
    <w:rsid w:val="00380F99"/>
    <w:rsid w:val="003812ED"/>
    <w:rsid w:val="00382A5D"/>
    <w:rsid w:val="00386BC5"/>
    <w:rsid w:val="00391DE5"/>
    <w:rsid w:val="0039344A"/>
    <w:rsid w:val="00397570"/>
    <w:rsid w:val="003B24D6"/>
    <w:rsid w:val="003B4F12"/>
    <w:rsid w:val="003B649A"/>
    <w:rsid w:val="003C50FC"/>
    <w:rsid w:val="003D4BC9"/>
    <w:rsid w:val="003E0039"/>
    <w:rsid w:val="003E110D"/>
    <w:rsid w:val="003F092C"/>
    <w:rsid w:val="003F16DA"/>
    <w:rsid w:val="003F1E71"/>
    <w:rsid w:val="003F2041"/>
    <w:rsid w:val="003F3CE8"/>
    <w:rsid w:val="003F49AD"/>
    <w:rsid w:val="003F5245"/>
    <w:rsid w:val="004025B6"/>
    <w:rsid w:val="00402ACC"/>
    <w:rsid w:val="00405DBB"/>
    <w:rsid w:val="00407BAF"/>
    <w:rsid w:val="004106B4"/>
    <w:rsid w:val="00411B56"/>
    <w:rsid w:val="00411EF3"/>
    <w:rsid w:val="004120EC"/>
    <w:rsid w:val="00412FC4"/>
    <w:rsid w:val="00416F66"/>
    <w:rsid w:val="00423D20"/>
    <w:rsid w:val="00423F31"/>
    <w:rsid w:val="00426C17"/>
    <w:rsid w:val="00430010"/>
    <w:rsid w:val="00431899"/>
    <w:rsid w:val="00431E42"/>
    <w:rsid w:val="0043291B"/>
    <w:rsid w:val="00436BFD"/>
    <w:rsid w:val="004472AB"/>
    <w:rsid w:val="00451611"/>
    <w:rsid w:val="004522CF"/>
    <w:rsid w:val="004534FB"/>
    <w:rsid w:val="004550BC"/>
    <w:rsid w:val="004551CF"/>
    <w:rsid w:val="004570DB"/>
    <w:rsid w:val="0045721C"/>
    <w:rsid w:val="00461141"/>
    <w:rsid w:val="00462F2D"/>
    <w:rsid w:val="004634C4"/>
    <w:rsid w:val="00473D97"/>
    <w:rsid w:val="00482987"/>
    <w:rsid w:val="00482AE8"/>
    <w:rsid w:val="00486804"/>
    <w:rsid w:val="00487E11"/>
    <w:rsid w:val="00493F8A"/>
    <w:rsid w:val="004A226D"/>
    <w:rsid w:val="004A4093"/>
    <w:rsid w:val="004B01C3"/>
    <w:rsid w:val="004B3775"/>
    <w:rsid w:val="004B6CFB"/>
    <w:rsid w:val="004C75A0"/>
    <w:rsid w:val="004D08AC"/>
    <w:rsid w:val="004D0BA0"/>
    <w:rsid w:val="004D196E"/>
    <w:rsid w:val="004D4401"/>
    <w:rsid w:val="004E058F"/>
    <w:rsid w:val="004E1404"/>
    <w:rsid w:val="004E3B87"/>
    <w:rsid w:val="004E55B9"/>
    <w:rsid w:val="004E7B9B"/>
    <w:rsid w:val="004F1323"/>
    <w:rsid w:val="004F262F"/>
    <w:rsid w:val="004F2B24"/>
    <w:rsid w:val="005009D3"/>
    <w:rsid w:val="00505166"/>
    <w:rsid w:val="00506C1C"/>
    <w:rsid w:val="00510921"/>
    <w:rsid w:val="00510AD3"/>
    <w:rsid w:val="00513348"/>
    <w:rsid w:val="00513AD8"/>
    <w:rsid w:val="00516EDF"/>
    <w:rsid w:val="005204D2"/>
    <w:rsid w:val="00522396"/>
    <w:rsid w:val="00523B1C"/>
    <w:rsid w:val="00533B5D"/>
    <w:rsid w:val="00534A7E"/>
    <w:rsid w:val="005362A6"/>
    <w:rsid w:val="00541022"/>
    <w:rsid w:val="005451AA"/>
    <w:rsid w:val="005539D0"/>
    <w:rsid w:val="00564928"/>
    <w:rsid w:val="0057039F"/>
    <w:rsid w:val="005773A4"/>
    <w:rsid w:val="00577A21"/>
    <w:rsid w:val="00577B16"/>
    <w:rsid w:val="0058186E"/>
    <w:rsid w:val="00583019"/>
    <w:rsid w:val="00596A09"/>
    <w:rsid w:val="005A20F6"/>
    <w:rsid w:val="005A37BD"/>
    <w:rsid w:val="005A73E0"/>
    <w:rsid w:val="005B1817"/>
    <w:rsid w:val="005B19B1"/>
    <w:rsid w:val="005C0B98"/>
    <w:rsid w:val="005C526C"/>
    <w:rsid w:val="005C7E20"/>
    <w:rsid w:val="005D1348"/>
    <w:rsid w:val="005D31F0"/>
    <w:rsid w:val="005D3655"/>
    <w:rsid w:val="005D4C87"/>
    <w:rsid w:val="005D59AA"/>
    <w:rsid w:val="005E4830"/>
    <w:rsid w:val="005F3F0E"/>
    <w:rsid w:val="00611D29"/>
    <w:rsid w:val="006125E0"/>
    <w:rsid w:val="00622B86"/>
    <w:rsid w:val="00623BA1"/>
    <w:rsid w:val="00625C42"/>
    <w:rsid w:val="00627248"/>
    <w:rsid w:val="00627D19"/>
    <w:rsid w:val="006346BC"/>
    <w:rsid w:val="00634B33"/>
    <w:rsid w:val="00636429"/>
    <w:rsid w:val="00637B23"/>
    <w:rsid w:val="0064575F"/>
    <w:rsid w:val="00645EE4"/>
    <w:rsid w:val="00650A10"/>
    <w:rsid w:val="006542E2"/>
    <w:rsid w:val="00655093"/>
    <w:rsid w:val="0066001D"/>
    <w:rsid w:val="00660214"/>
    <w:rsid w:val="0066652A"/>
    <w:rsid w:val="006719C3"/>
    <w:rsid w:val="00676673"/>
    <w:rsid w:val="00680522"/>
    <w:rsid w:val="00682167"/>
    <w:rsid w:val="0068254B"/>
    <w:rsid w:val="0068460F"/>
    <w:rsid w:val="00685981"/>
    <w:rsid w:val="00696A96"/>
    <w:rsid w:val="006B0BA3"/>
    <w:rsid w:val="006B1BC4"/>
    <w:rsid w:val="006B415D"/>
    <w:rsid w:val="006B5E1C"/>
    <w:rsid w:val="006B66A5"/>
    <w:rsid w:val="006C1419"/>
    <w:rsid w:val="006C2828"/>
    <w:rsid w:val="006C42AF"/>
    <w:rsid w:val="006D003E"/>
    <w:rsid w:val="006E30B8"/>
    <w:rsid w:val="006E59BD"/>
    <w:rsid w:val="006F4BF0"/>
    <w:rsid w:val="006F6A65"/>
    <w:rsid w:val="00711D8E"/>
    <w:rsid w:val="00712672"/>
    <w:rsid w:val="00720AB4"/>
    <w:rsid w:val="007213EB"/>
    <w:rsid w:val="00722FA7"/>
    <w:rsid w:val="0072474C"/>
    <w:rsid w:val="00727B80"/>
    <w:rsid w:val="0073274D"/>
    <w:rsid w:val="00732F14"/>
    <w:rsid w:val="007339DE"/>
    <w:rsid w:val="00734E3F"/>
    <w:rsid w:val="00736985"/>
    <w:rsid w:val="00742F0A"/>
    <w:rsid w:val="00743B64"/>
    <w:rsid w:val="00745DF5"/>
    <w:rsid w:val="007502AA"/>
    <w:rsid w:val="00752415"/>
    <w:rsid w:val="0076250F"/>
    <w:rsid w:val="00764F70"/>
    <w:rsid w:val="00771AA4"/>
    <w:rsid w:val="00774376"/>
    <w:rsid w:val="00780FA5"/>
    <w:rsid w:val="00790171"/>
    <w:rsid w:val="00792532"/>
    <w:rsid w:val="00795688"/>
    <w:rsid w:val="00795D76"/>
    <w:rsid w:val="007A0233"/>
    <w:rsid w:val="007A2E08"/>
    <w:rsid w:val="007A3F04"/>
    <w:rsid w:val="007B1267"/>
    <w:rsid w:val="007B4A8A"/>
    <w:rsid w:val="007B6200"/>
    <w:rsid w:val="007C1263"/>
    <w:rsid w:val="007C6486"/>
    <w:rsid w:val="007D1A69"/>
    <w:rsid w:val="007E0355"/>
    <w:rsid w:val="007E4CB4"/>
    <w:rsid w:val="007F3395"/>
    <w:rsid w:val="00801129"/>
    <w:rsid w:val="00801B9F"/>
    <w:rsid w:val="0080204D"/>
    <w:rsid w:val="00804092"/>
    <w:rsid w:val="00812D01"/>
    <w:rsid w:val="00817080"/>
    <w:rsid w:val="0081794B"/>
    <w:rsid w:val="008223E4"/>
    <w:rsid w:val="0082579B"/>
    <w:rsid w:val="00825AC7"/>
    <w:rsid w:val="00841A81"/>
    <w:rsid w:val="00842150"/>
    <w:rsid w:val="00842565"/>
    <w:rsid w:val="008475F0"/>
    <w:rsid w:val="00850318"/>
    <w:rsid w:val="0085567A"/>
    <w:rsid w:val="008557A7"/>
    <w:rsid w:val="00865B9D"/>
    <w:rsid w:val="00870269"/>
    <w:rsid w:val="00870928"/>
    <w:rsid w:val="00871652"/>
    <w:rsid w:val="008902DF"/>
    <w:rsid w:val="00891DDE"/>
    <w:rsid w:val="00893192"/>
    <w:rsid w:val="008936E2"/>
    <w:rsid w:val="0089405C"/>
    <w:rsid w:val="00894DA6"/>
    <w:rsid w:val="00897FA2"/>
    <w:rsid w:val="008A4544"/>
    <w:rsid w:val="008A51A6"/>
    <w:rsid w:val="008A5AFE"/>
    <w:rsid w:val="008C5A0E"/>
    <w:rsid w:val="008C5E14"/>
    <w:rsid w:val="008C6CCD"/>
    <w:rsid w:val="008E22FE"/>
    <w:rsid w:val="008E7287"/>
    <w:rsid w:val="008F37EF"/>
    <w:rsid w:val="008F4444"/>
    <w:rsid w:val="008F48B0"/>
    <w:rsid w:val="008F7004"/>
    <w:rsid w:val="0090689D"/>
    <w:rsid w:val="00910336"/>
    <w:rsid w:val="0091787E"/>
    <w:rsid w:val="009238D1"/>
    <w:rsid w:val="00924C85"/>
    <w:rsid w:val="00930673"/>
    <w:rsid w:val="00933159"/>
    <w:rsid w:val="009345E8"/>
    <w:rsid w:val="00935ADC"/>
    <w:rsid w:val="00943730"/>
    <w:rsid w:val="00965224"/>
    <w:rsid w:val="00967C26"/>
    <w:rsid w:val="00971DAD"/>
    <w:rsid w:val="009738F6"/>
    <w:rsid w:val="00975767"/>
    <w:rsid w:val="00975CA5"/>
    <w:rsid w:val="009805E9"/>
    <w:rsid w:val="009831A4"/>
    <w:rsid w:val="00986590"/>
    <w:rsid w:val="0098792E"/>
    <w:rsid w:val="0099099D"/>
    <w:rsid w:val="00992C76"/>
    <w:rsid w:val="00995F43"/>
    <w:rsid w:val="009969D6"/>
    <w:rsid w:val="00996F0C"/>
    <w:rsid w:val="009A1A55"/>
    <w:rsid w:val="009A1B00"/>
    <w:rsid w:val="009A39D8"/>
    <w:rsid w:val="009B10E5"/>
    <w:rsid w:val="009B4D3B"/>
    <w:rsid w:val="009C3854"/>
    <w:rsid w:val="009C5970"/>
    <w:rsid w:val="009C6C6C"/>
    <w:rsid w:val="009D51C9"/>
    <w:rsid w:val="009D7407"/>
    <w:rsid w:val="009E0866"/>
    <w:rsid w:val="009E10FB"/>
    <w:rsid w:val="009E273C"/>
    <w:rsid w:val="009E6712"/>
    <w:rsid w:val="009F0159"/>
    <w:rsid w:val="009F1350"/>
    <w:rsid w:val="009F21CE"/>
    <w:rsid w:val="009F3DF4"/>
    <w:rsid w:val="009F607B"/>
    <w:rsid w:val="009F640E"/>
    <w:rsid w:val="009F6423"/>
    <w:rsid w:val="00A04628"/>
    <w:rsid w:val="00A064EF"/>
    <w:rsid w:val="00A1171C"/>
    <w:rsid w:val="00A13F7B"/>
    <w:rsid w:val="00A15375"/>
    <w:rsid w:val="00A21622"/>
    <w:rsid w:val="00A24A62"/>
    <w:rsid w:val="00A26C7D"/>
    <w:rsid w:val="00A31C9F"/>
    <w:rsid w:val="00A35027"/>
    <w:rsid w:val="00A37808"/>
    <w:rsid w:val="00A37900"/>
    <w:rsid w:val="00A4144F"/>
    <w:rsid w:val="00A42274"/>
    <w:rsid w:val="00A43913"/>
    <w:rsid w:val="00A51B12"/>
    <w:rsid w:val="00A51CD0"/>
    <w:rsid w:val="00A60D36"/>
    <w:rsid w:val="00A61B4D"/>
    <w:rsid w:val="00A701A3"/>
    <w:rsid w:val="00A73F4D"/>
    <w:rsid w:val="00A77ED5"/>
    <w:rsid w:val="00A80F95"/>
    <w:rsid w:val="00A90261"/>
    <w:rsid w:val="00A97BF1"/>
    <w:rsid w:val="00AA132A"/>
    <w:rsid w:val="00AA298A"/>
    <w:rsid w:val="00AB7BDC"/>
    <w:rsid w:val="00AC164A"/>
    <w:rsid w:val="00AC686A"/>
    <w:rsid w:val="00AD0F09"/>
    <w:rsid w:val="00AD6F62"/>
    <w:rsid w:val="00AE01D5"/>
    <w:rsid w:val="00AE164D"/>
    <w:rsid w:val="00AE2A1A"/>
    <w:rsid w:val="00AE448A"/>
    <w:rsid w:val="00AE4B53"/>
    <w:rsid w:val="00AF14A1"/>
    <w:rsid w:val="00AF2050"/>
    <w:rsid w:val="00AF6D04"/>
    <w:rsid w:val="00B03CA8"/>
    <w:rsid w:val="00B11FC3"/>
    <w:rsid w:val="00B12B47"/>
    <w:rsid w:val="00B26AEB"/>
    <w:rsid w:val="00B31237"/>
    <w:rsid w:val="00B3299E"/>
    <w:rsid w:val="00B33C0A"/>
    <w:rsid w:val="00B525B2"/>
    <w:rsid w:val="00B531C6"/>
    <w:rsid w:val="00B55E19"/>
    <w:rsid w:val="00B56554"/>
    <w:rsid w:val="00B616BA"/>
    <w:rsid w:val="00B674D2"/>
    <w:rsid w:val="00B753C1"/>
    <w:rsid w:val="00B857E1"/>
    <w:rsid w:val="00B90ACD"/>
    <w:rsid w:val="00B94758"/>
    <w:rsid w:val="00B9520B"/>
    <w:rsid w:val="00B96553"/>
    <w:rsid w:val="00B96F7A"/>
    <w:rsid w:val="00BA0DAD"/>
    <w:rsid w:val="00BA4B6D"/>
    <w:rsid w:val="00BB15C3"/>
    <w:rsid w:val="00BB26C5"/>
    <w:rsid w:val="00BB455C"/>
    <w:rsid w:val="00BB5C11"/>
    <w:rsid w:val="00BB6357"/>
    <w:rsid w:val="00BC0DB3"/>
    <w:rsid w:val="00BC23A5"/>
    <w:rsid w:val="00BD2D81"/>
    <w:rsid w:val="00BD30D3"/>
    <w:rsid w:val="00BD3388"/>
    <w:rsid w:val="00BE2B0B"/>
    <w:rsid w:val="00BE3BCF"/>
    <w:rsid w:val="00BF4DE6"/>
    <w:rsid w:val="00BF69B3"/>
    <w:rsid w:val="00BF7386"/>
    <w:rsid w:val="00C011A5"/>
    <w:rsid w:val="00C0443D"/>
    <w:rsid w:val="00C06B13"/>
    <w:rsid w:val="00C10658"/>
    <w:rsid w:val="00C116EC"/>
    <w:rsid w:val="00C13341"/>
    <w:rsid w:val="00C14922"/>
    <w:rsid w:val="00C14F1D"/>
    <w:rsid w:val="00C27D25"/>
    <w:rsid w:val="00C31676"/>
    <w:rsid w:val="00C32B3B"/>
    <w:rsid w:val="00C35EB4"/>
    <w:rsid w:val="00C42541"/>
    <w:rsid w:val="00C42CDE"/>
    <w:rsid w:val="00C441DE"/>
    <w:rsid w:val="00C44BDD"/>
    <w:rsid w:val="00C5182A"/>
    <w:rsid w:val="00C549E6"/>
    <w:rsid w:val="00C56D28"/>
    <w:rsid w:val="00C61A99"/>
    <w:rsid w:val="00C63EE9"/>
    <w:rsid w:val="00C73FE4"/>
    <w:rsid w:val="00C74BFC"/>
    <w:rsid w:val="00C86061"/>
    <w:rsid w:val="00C92FAA"/>
    <w:rsid w:val="00C95301"/>
    <w:rsid w:val="00CA16F3"/>
    <w:rsid w:val="00CA37B1"/>
    <w:rsid w:val="00CB1959"/>
    <w:rsid w:val="00CB560C"/>
    <w:rsid w:val="00CC741B"/>
    <w:rsid w:val="00CD0E4B"/>
    <w:rsid w:val="00CE4C89"/>
    <w:rsid w:val="00CF07BA"/>
    <w:rsid w:val="00D0296C"/>
    <w:rsid w:val="00D06281"/>
    <w:rsid w:val="00D114A7"/>
    <w:rsid w:val="00D13431"/>
    <w:rsid w:val="00D1531B"/>
    <w:rsid w:val="00D17DA3"/>
    <w:rsid w:val="00D2140B"/>
    <w:rsid w:val="00D22B27"/>
    <w:rsid w:val="00D23CE9"/>
    <w:rsid w:val="00D23ED5"/>
    <w:rsid w:val="00D31D77"/>
    <w:rsid w:val="00D32D6F"/>
    <w:rsid w:val="00D37131"/>
    <w:rsid w:val="00D37B04"/>
    <w:rsid w:val="00D4030A"/>
    <w:rsid w:val="00D45E71"/>
    <w:rsid w:val="00D53837"/>
    <w:rsid w:val="00D540C6"/>
    <w:rsid w:val="00D55BC2"/>
    <w:rsid w:val="00D60141"/>
    <w:rsid w:val="00D60C56"/>
    <w:rsid w:val="00D64BD1"/>
    <w:rsid w:val="00D7241B"/>
    <w:rsid w:val="00D75D32"/>
    <w:rsid w:val="00D779AD"/>
    <w:rsid w:val="00D82C27"/>
    <w:rsid w:val="00D82FCC"/>
    <w:rsid w:val="00D83840"/>
    <w:rsid w:val="00D87D4F"/>
    <w:rsid w:val="00D92254"/>
    <w:rsid w:val="00DA3253"/>
    <w:rsid w:val="00DB4B78"/>
    <w:rsid w:val="00DC50F4"/>
    <w:rsid w:val="00DC68AB"/>
    <w:rsid w:val="00DE084C"/>
    <w:rsid w:val="00DE0C9C"/>
    <w:rsid w:val="00DE147C"/>
    <w:rsid w:val="00DE6518"/>
    <w:rsid w:val="00DF3E8C"/>
    <w:rsid w:val="00DF7641"/>
    <w:rsid w:val="00DF7DDA"/>
    <w:rsid w:val="00E03005"/>
    <w:rsid w:val="00E14439"/>
    <w:rsid w:val="00E14F51"/>
    <w:rsid w:val="00E27AAF"/>
    <w:rsid w:val="00E30797"/>
    <w:rsid w:val="00E357B7"/>
    <w:rsid w:val="00E413F2"/>
    <w:rsid w:val="00E53800"/>
    <w:rsid w:val="00E57726"/>
    <w:rsid w:val="00E6081F"/>
    <w:rsid w:val="00E6560F"/>
    <w:rsid w:val="00E656CC"/>
    <w:rsid w:val="00E66A2E"/>
    <w:rsid w:val="00E70A0B"/>
    <w:rsid w:val="00E740FA"/>
    <w:rsid w:val="00E8296D"/>
    <w:rsid w:val="00E82A3E"/>
    <w:rsid w:val="00E82D07"/>
    <w:rsid w:val="00E8457B"/>
    <w:rsid w:val="00EA04B2"/>
    <w:rsid w:val="00EA20F3"/>
    <w:rsid w:val="00EA5037"/>
    <w:rsid w:val="00EB0875"/>
    <w:rsid w:val="00EB2D64"/>
    <w:rsid w:val="00EB5BE6"/>
    <w:rsid w:val="00ED2831"/>
    <w:rsid w:val="00ED43D1"/>
    <w:rsid w:val="00EE36A5"/>
    <w:rsid w:val="00EE4EE1"/>
    <w:rsid w:val="00EF4574"/>
    <w:rsid w:val="00EF5FF6"/>
    <w:rsid w:val="00F112EE"/>
    <w:rsid w:val="00F1518F"/>
    <w:rsid w:val="00F25A93"/>
    <w:rsid w:val="00F2684E"/>
    <w:rsid w:val="00F2739F"/>
    <w:rsid w:val="00F35D08"/>
    <w:rsid w:val="00F42C46"/>
    <w:rsid w:val="00F44162"/>
    <w:rsid w:val="00F5241A"/>
    <w:rsid w:val="00F5404C"/>
    <w:rsid w:val="00F729EF"/>
    <w:rsid w:val="00F77CAE"/>
    <w:rsid w:val="00F81798"/>
    <w:rsid w:val="00F82271"/>
    <w:rsid w:val="00F83428"/>
    <w:rsid w:val="00F86F84"/>
    <w:rsid w:val="00F871CC"/>
    <w:rsid w:val="00F955D9"/>
    <w:rsid w:val="00F96BB9"/>
    <w:rsid w:val="00FA0980"/>
    <w:rsid w:val="00FA0F7E"/>
    <w:rsid w:val="00FA3B24"/>
    <w:rsid w:val="00FE09FB"/>
    <w:rsid w:val="00FE2013"/>
    <w:rsid w:val="00FE30FB"/>
    <w:rsid w:val="00FE4536"/>
    <w:rsid w:val="00FE6D51"/>
    <w:rsid w:val="00FE6F2A"/>
    <w:rsid w:val="00FF125C"/>
    <w:rsid w:val="00FF17E4"/>
    <w:rsid w:val="00FF3270"/>
    <w:rsid w:val="00FF3704"/>
    <w:rsid w:val="00FF5A04"/>
    <w:rsid w:val="00FF6DE7"/>
    <w:rsid w:val="00FF7A9F"/>
    <w:rsid w:val="0275FA08"/>
    <w:rsid w:val="102F17A6"/>
    <w:rsid w:val="12A0496A"/>
    <w:rsid w:val="2615226B"/>
    <w:rsid w:val="29BA5994"/>
    <w:rsid w:val="36B965E7"/>
    <w:rsid w:val="3B5973A5"/>
    <w:rsid w:val="4134EF1A"/>
    <w:rsid w:val="4AE1C509"/>
    <w:rsid w:val="4E1EFFB2"/>
    <w:rsid w:val="4EC960BF"/>
    <w:rsid w:val="5033FF6E"/>
    <w:rsid w:val="527362BF"/>
    <w:rsid w:val="573513C3"/>
    <w:rsid w:val="616F17DD"/>
    <w:rsid w:val="630AE83E"/>
    <w:rsid w:val="66428900"/>
    <w:rsid w:val="67DE5961"/>
    <w:rsid w:val="6B06AF08"/>
    <w:rsid w:val="6B7BE802"/>
    <w:rsid w:val="73E02AA2"/>
    <w:rsid w:val="74683E3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5031F6"/>
  <w15:docId w15:val="{D88B8C1B-8321-44AF-9779-97981518E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locked="0"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412FC4"/>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430010"/>
    <w:pPr>
      <w:keepNext/>
      <w:keepLines/>
      <w:pageBreakBefore/>
      <w:spacing w:before="0" w:after="180" w:line="380" w:lineRule="exact"/>
      <w:contextualSpacing/>
      <w:outlineLvl w:val="0"/>
    </w:pPr>
    <w:rPr>
      <w:rFonts w:eastAsiaTheme="majorEastAsia" w:cstheme="minorHAnsi"/>
      <w:b/>
      <w:bCs/>
      <w:caps/>
      <w:color w:val="auto"/>
      <w:sz w:val="28"/>
      <w:szCs w:val="28"/>
    </w:rPr>
  </w:style>
  <w:style w:type="paragraph" w:styleId="Heading2">
    <w:name w:val="heading 2"/>
    <w:basedOn w:val="Normal"/>
    <w:next w:val="Normal"/>
    <w:link w:val="Heading2Char"/>
    <w:uiPriority w:val="9"/>
    <w:unhideWhenUsed/>
    <w:qFormat/>
    <w:rsid w:val="00430010"/>
    <w:pPr>
      <w:outlineLvl w:val="1"/>
    </w:pPr>
    <w:rPr>
      <w:b/>
      <w:bCs/>
      <w:color w:val="auto"/>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val="0"/>
      <w:caps/>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val="0"/>
      <w:sz w:val="16"/>
    </w:rPr>
  </w:style>
  <w:style w:type="paragraph" w:styleId="Heading6">
    <w:name w:val="heading 6"/>
    <w:basedOn w:val="Heading5"/>
    <w:next w:val="Normal"/>
    <w:link w:val="Heading6Char"/>
    <w:uiPriority w:val="9"/>
    <w:semiHidden/>
    <w:unhideWhenUsed/>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010"/>
    <w:rPr>
      <w:rFonts w:eastAsiaTheme="majorEastAsia" w:cstheme="minorHAnsi"/>
      <w:b/>
      <w:bCs/>
      <w:caps/>
      <w:sz w:val="28"/>
      <w:szCs w:val="28"/>
      <w:lang w:val="en-GB"/>
    </w:rPr>
  </w:style>
  <w:style w:type="character" w:customStyle="1" w:styleId="Heading2Char">
    <w:name w:val="Heading 2 Char"/>
    <w:basedOn w:val="DefaultParagraphFont"/>
    <w:link w:val="Heading2"/>
    <w:uiPriority w:val="9"/>
    <w:rsid w:val="00430010"/>
    <w:rPr>
      <w:b/>
      <w:bCs/>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rsid w:val="00D64BD1"/>
    <w:pPr>
      <w:numPr>
        <w:ilvl w:val="1"/>
      </w:numPr>
      <w:spacing w:before="60" w:after="300"/>
    </w:pPr>
    <w:rPr>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ListParagraph"/>
    <w:qFormat/>
    <w:rsid w:val="00B525B2"/>
    <w:pPr>
      <w:numPr>
        <w:numId w:val="10"/>
      </w:numPr>
    </w:pPr>
    <w:rPr>
      <w:rFonts w:asciiTheme="minorHAnsi" w:hAnsiTheme="minorHAnsi"/>
    </w:r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7"/>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before="480"/>
    </w:pPr>
    <w:rPr>
      <w:bCs w:val="0"/>
    </w:rPr>
  </w:style>
  <w:style w:type="paragraph" w:customStyle="1" w:styleId="Heading3Numbered">
    <w:name w:val="Heading 3 Numbered"/>
    <w:basedOn w:val="Heading3"/>
    <w:next w:val="Normal"/>
    <w:qFormat/>
    <w:rsid w:val="00ED2831"/>
    <w:pPr>
      <w:numPr>
        <w:ilvl w:val="2"/>
        <w:numId w:val="6"/>
      </w:numPr>
      <w:spacing w:before="300"/>
    </w:p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rsid w:val="00D82C27"/>
    <w:pPr>
      <w:spacing w:before="400" w:after="400" w:line="280" w:lineRule="exact"/>
    </w:pPr>
    <w:rPr>
      <w:b/>
      <w:caps/>
      <w:color w:val="65C5B4" w:themeColor="accent1"/>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rsid w:val="00D32D6F"/>
    <w:rPr>
      <w:b/>
      <w:i/>
      <w:iCs/>
      <w:color w:val="495965" w:themeColor="text2"/>
    </w:rPr>
  </w:style>
  <w:style w:type="character" w:styleId="Strong">
    <w:name w:val="Strong"/>
    <w:basedOn w:val="DefaultParagraphFont"/>
    <w:uiPriority w:val="22"/>
    <w:rsid w:val="00FE6D51"/>
    <w:rPr>
      <w:b/>
      <w:bCs/>
    </w:rPr>
  </w:style>
  <w:style w:type="character" w:styleId="Emphasis">
    <w:name w:val="Emphasis"/>
    <w:basedOn w:val="DefaultParagraphFont"/>
    <w:uiPriority w:val="20"/>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rsid w:val="000D66D6"/>
    <w:pPr>
      <w:spacing w:before="0"/>
    </w:pPr>
    <w:rPr>
      <w:b/>
      <w:caps/>
      <w:color w:val="FFFFFF" w:themeColor="background1"/>
      <w:sz w:val="18"/>
    </w:rPr>
  </w:style>
  <w:style w:type="character" w:customStyle="1" w:styleId="Green">
    <w:name w:val="Green"/>
    <w:basedOn w:val="DefaultParagraphFont"/>
    <w:uiPriority w:val="1"/>
    <w:rsid w:val="00D82C27"/>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rsid w:val="00F82271"/>
    <w:pPr>
      <w:ind w:left="-851"/>
    </w:pPr>
  </w:style>
  <w:style w:type="paragraph" w:customStyle="1" w:styleId="PhotoRight">
    <w:name w:val="Photo Right"/>
    <w:basedOn w:val="PhotoMargins"/>
    <w:rsid w:val="00F82271"/>
    <w:pPr>
      <w:ind w:right="-851"/>
      <w:jc w:val="right"/>
    </w:pPr>
  </w:style>
  <w:style w:type="paragraph" w:customStyle="1" w:styleId="PhotoCaption">
    <w:name w:val="Photo Caption"/>
    <w:basedOn w:val="Normal"/>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pageBreakBefore w:val="0"/>
      <w:spacing w:after="600"/>
      <w:contextualSpacing w:val="0"/>
    </w:pPr>
  </w:style>
  <w:style w:type="paragraph" w:customStyle="1" w:styleId="TableBullet1">
    <w:name w:val="Table Bullet 1"/>
    <w:basedOn w:val="Bullet1"/>
    <w:rsid w:val="00ED2831"/>
    <w:pPr>
      <w:numPr>
        <w:numId w:val="0"/>
      </w:numPr>
      <w:spacing w:before="60" w:line="220" w:lineRule="atLeast"/>
      <w:ind w:left="360" w:hanging="360"/>
    </w:pPr>
    <w:rPr>
      <w:rFonts w:ascii="Calibri" w:hAnsi="Calibri"/>
      <w:sz w:val="18"/>
    </w:rPr>
  </w:style>
  <w:style w:type="paragraph" w:customStyle="1" w:styleId="TableBullet2">
    <w:name w:val="Table Bullet 2"/>
    <w:basedOn w:val="Bullet2"/>
    <w:rsid w:val="00ED2831"/>
    <w:pPr>
      <w:spacing w:before="60" w:line="220" w:lineRule="atLeast"/>
    </w:pPr>
    <w:rPr>
      <w:rFonts w:ascii="Calibri" w:hAnsi="Calibri"/>
      <w:sz w:val="18"/>
    </w:rPr>
  </w:style>
  <w:style w:type="paragraph" w:customStyle="1" w:styleId="TableBullet3">
    <w:name w:val="Table Bullet 3"/>
    <w:basedOn w:val="Bullet3"/>
    <w:rsid w:val="00ED2831"/>
    <w:pPr>
      <w:spacing w:before="60" w:line="220" w:lineRule="atLeast"/>
    </w:pPr>
    <w:rPr>
      <w:rFonts w:ascii="Calibri" w:hAnsi="Calibri"/>
      <w:sz w:val="18"/>
    </w:rPr>
  </w:style>
  <w:style w:type="paragraph" w:customStyle="1" w:styleId="TableHeaderRow">
    <w:name w:val="Table Header Row"/>
    <w:basedOn w:val="Normal"/>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rsid w:val="00ED2831"/>
    <w:pPr>
      <w:spacing w:before="60" w:line="220" w:lineRule="atLeast"/>
    </w:pPr>
    <w:rPr>
      <w:rFonts w:ascii="Calibri" w:hAnsi="Calibri"/>
      <w:sz w:val="18"/>
    </w:rPr>
  </w:style>
  <w:style w:type="paragraph" w:customStyle="1" w:styleId="TableNumberedList2">
    <w:name w:val="Table Numbered List 2"/>
    <w:basedOn w:val="NumberedList2"/>
    <w:rsid w:val="00ED2831"/>
    <w:pPr>
      <w:spacing w:before="60" w:line="220" w:lineRule="atLeast"/>
    </w:pPr>
    <w:rPr>
      <w:rFonts w:ascii="Calibri" w:hAnsi="Calibri"/>
      <w:sz w:val="18"/>
    </w:rPr>
  </w:style>
  <w:style w:type="paragraph" w:customStyle="1" w:styleId="TableNumberedList3">
    <w:name w:val="Table Numbered List 3"/>
    <w:basedOn w:val="NumberedList3"/>
    <w:rsid w:val="00ED2831"/>
    <w:pPr>
      <w:spacing w:before="60" w:line="220" w:lineRule="atLeast"/>
      <w:ind w:left="851"/>
    </w:pPr>
    <w:rPr>
      <w:rFonts w:ascii="Calibri" w:hAnsi="Calibri"/>
      <w:sz w:val="18"/>
    </w:rPr>
  </w:style>
  <w:style w:type="paragraph" w:customStyle="1" w:styleId="TableSourceNotes">
    <w:name w:val="Table Source Notes"/>
    <w:basedOn w:val="Normal"/>
    <w:rsid w:val="00ED2831"/>
    <w:pPr>
      <w:tabs>
        <w:tab w:val="left" w:pos="284"/>
      </w:tabs>
      <w:spacing w:line="160" w:lineRule="atLeast"/>
      <w:ind w:left="284" w:hanging="284"/>
      <w:contextualSpacing/>
    </w:pPr>
    <w:rPr>
      <w:sz w:val="12"/>
    </w:rPr>
  </w:style>
  <w:style w:type="paragraph" w:customStyle="1" w:styleId="TableTotalRow">
    <w:name w:val="Table Total Row"/>
    <w:basedOn w:val="Normal"/>
    <w:rsid w:val="00CF07BA"/>
    <w:pPr>
      <w:spacing w:before="60"/>
    </w:pPr>
    <w:rPr>
      <w:rFonts w:ascii="Calibri" w:hAnsi="Calibri"/>
      <w:b/>
      <w:color w:val="FFFFFF" w:themeColor="background1"/>
    </w:rPr>
  </w:style>
  <w:style w:type="paragraph" w:customStyle="1" w:styleId="BoxHeading">
    <w:name w:val="Box Heading"/>
    <w:basedOn w:val="Heading3"/>
    <w:locked/>
    <w:rsid w:val="00ED2831"/>
    <w:pPr>
      <w:spacing w:before="60"/>
    </w:pPr>
  </w:style>
  <w:style w:type="paragraph" w:customStyle="1" w:styleId="QuoteAuthor">
    <w:name w:val="Quote Author"/>
    <w:basedOn w:val="Quote"/>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rsid w:val="00B33C0A"/>
    <w:pPr>
      <w:spacing w:after="900"/>
    </w:pPr>
  </w:style>
  <w:style w:type="paragraph" w:customStyle="1" w:styleId="Box1Text">
    <w:name w:val="Box 1 Text"/>
    <w:basedOn w:val="Normal"/>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rsid w:val="00E8296D"/>
    <w:pPr>
      <w:keepNext/>
      <w:spacing w:line="300" w:lineRule="atLeast"/>
    </w:pPr>
    <w:rPr>
      <w:b/>
      <w:sz w:val="26"/>
    </w:rPr>
  </w:style>
  <w:style w:type="paragraph" w:customStyle="1" w:styleId="Box2Text">
    <w:name w:val="Box 2 Text"/>
    <w:basedOn w:val="Box1Tex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rsid w:val="00E8296D"/>
    <w:pPr>
      <w:keepNext/>
      <w:spacing w:line="300" w:lineRule="atLeast"/>
    </w:pPr>
    <w:rPr>
      <w:b/>
      <w:sz w:val="26"/>
    </w:rPr>
  </w:style>
  <w:style w:type="paragraph" w:customStyle="1" w:styleId="Box1Bullet">
    <w:name w:val="Box 1 Bullet"/>
    <w:basedOn w:val="Box1Text"/>
    <w:rsid w:val="00C42541"/>
    <w:pPr>
      <w:numPr>
        <w:numId w:val="8"/>
      </w:numPr>
      <w:ind w:left="454" w:hanging="170"/>
    </w:pPr>
  </w:style>
  <w:style w:type="paragraph" w:customStyle="1" w:styleId="Box2Bullet">
    <w:name w:val="Box 2 Bullet"/>
    <w:basedOn w:val="Box2Text"/>
    <w:rsid w:val="00C42541"/>
    <w:pPr>
      <w:numPr>
        <w:numId w:val="9"/>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locked/>
    <w:rsid w:val="001214BE"/>
    <w:rPr>
      <w:color w:val="65C5B4" w:themeColor="accent1"/>
    </w:rPr>
  </w:style>
  <w:style w:type="paragraph" w:styleId="ListParagraph">
    <w:name w:val="List Paragraph"/>
    <w:basedOn w:val="Normal"/>
    <w:uiPriority w:val="34"/>
    <w:qFormat/>
    <w:locked/>
    <w:rsid w:val="004F262F"/>
    <w:pPr>
      <w:suppressAutoHyphens w:val="0"/>
      <w:spacing w:before="0" w:after="0" w:line="240" w:lineRule="auto"/>
      <w:ind w:left="720"/>
      <w:contextualSpacing/>
    </w:pPr>
    <w:rPr>
      <w:rFonts w:ascii="Times New Roman" w:eastAsia="Times New Roman" w:hAnsi="Times New Roman" w:cs="Times New Roman"/>
      <w:color w:val="auto"/>
      <w:sz w:val="24"/>
      <w:szCs w:val="24"/>
      <w:lang w:val="en-AU"/>
    </w:rPr>
  </w:style>
  <w:style w:type="paragraph" w:styleId="ListBullet">
    <w:name w:val="List Bullet"/>
    <w:basedOn w:val="BodyText"/>
    <w:qFormat/>
    <w:locked/>
    <w:rsid w:val="00A37900"/>
    <w:pPr>
      <w:numPr>
        <w:numId w:val="12"/>
      </w:numPr>
      <w:tabs>
        <w:tab w:val="left" w:pos="284"/>
      </w:tabs>
      <w:suppressAutoHyphens w:val="0"/>
      <w:spacing w:before="0" w:after="120" w:line="280" w:lineRule="exact"/>
    </w:pPr>
    <w:rPr>
      <w:rFonts w:ascii="Franklin Gothic Book" w:eastAsia="Times New Roman" w:hAnsi="Franklin Gothic Book" w:cs="Times New Roman"/>
      <w:sz w:val="21"/>
      <w:szCs w:val="24"/>
      <w:lang w:val="en-AU" w:eastAsia="en-AU"/>
    </w:rPr>
  </w:style>
  <w:style w:type="paragraph" w:styleId="Revision">
    <w:name w:val="Revision"/>
    <w:hidden/>
    <w:uiPriority w:val="99"/>
    <w:semiHidden/>
    <w:rsid w:val="0073274D"/>
    <w:pPr>
      <w:spacing w:after="0" w:line="240" w:lineRule="auto"/>
    </w:pPr>
    <w:rPr>
      <w:color w:val="495965" w:themeColor="text2"/>
      <w:lang w:val="en-GB"/>
    </w:rPr>
  </w:style>
  <w:style w:type="paragraph" w:customStyle="1" w:styleId="Schedule2">
    <w:name w:val="Schedule_2"/>
    <w:basedOn w:val="Normal"/>
    <w:next w:val="Normal"/>
    <w:autoRedefine/>
    <w:rsid w:val="000F0C7D"/>
    <w:pPr>
      <w:keepNext/>
      <w:widowControl w:val="0"/>
      <w:tabs>
        <w:tab w:val="num" w:pos="964"/>
      </w:tabs>
      <w:suppressAutoHyphens w:val="0"/>
      <w:spacing w:before="0" w:after="220" w:line="240" w:lineRule="auto"/>
      <w:ind w:left="964" w:hanging="964"/>
    </w:pPr>
    <w:rPr>
      <w:rFonts w:ascii="Arial" w:eastAsia="Times New Roman" w:hAnsi="Arial" w:cs="Arial"/>
      <w:b/>
      <w:bCs/>
      <w:color w:val="auto"/>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322000">
      <w:bodyDiv w:val="1"/>
      <w:marLeft w:val="0"/>
      <w:marRight w:val="0"/>
      <w:marTop w:val="0"/>
      <w:marBottom w:val="0"/>
      <w:divBdr>
        <w:top w:val="none" w:sz="0" w:space="0" w:color="auto"/>
        <w:left w:val="none" w:sz="0" w:space="0" w:color="auto"/>
        <w:bottom w:val="none" w:sz="0" w:space="0" w:color="auto"/>
        <w:right w:val="none" w:sz="0" w:space="0" w:color="auto"/>
      </w:divBdr>
    </w:div>
    <w:div w:id="932057363">
      <w:bodyDiv w:val="1"/>
      <w:marLeft w:val="0"/>
      <w:marRight w:val="0"/>
      <w:marTop w:val="0"/>
      <w:marBottom w:val="0"/>
      <w:divBdr>
        <w:top w:val="none" w:sz="0" w:space="0" w:color="auto"/>
        <w:left w:val="none" w:sz="0" w:space="0" w:color="auto"/>
        <w:bottom w:val="none" w:sz="0" w:space="0" w:color="auto"/>
        <w:right w:val="none" w:sz="0" w:space="0" w:color="auto"/>
      </w:divBdr>
    </w:div>
    <w:div w:id="971987026">
      <w:bodyDiv w:val="1"/>
      <w:marLeft w:val="0"/>
      <w:marRight w:val="0"/>
      <w:marTop w:val="0"/>
      <w:marBottom w:val="0"/>
      <w:divBdr>
        <w:top w:val="none" w:sz="0" w:space="0" w:color="auto"/>
        <w:left w:val="none" w:sz="0" w:space="0" w:color="auto"/>
        <w:bottom w:val="none" w:sz="0" w:space="0" w:color="auto"/>
        <w:right w:val="none" w:sz="0" w:space="0" w:color="auto"/>
      </w:divBdr>
    </w:div>
    <w:div w:id="1381247495">
      <w:bodyDiv w:val="1"/>
      <w:marLeft w:val="0"/>
      <w:marRight w:val="0"/>
      <w:marTop w:val="0"/>
      <w:marBottom w:val="0"/>
      <w:divBdr>
        <w:top w:val="none" w:sz="0" w:space="0" w:color="auto"/>
        <w:left w:val="none" w:sz="0" w:space="0" w:color="auto"/>
        <w:bottom w:val="none" w:sz="0" w:space="0" w:color="auto"/>
        <w:right w:val="none" w:sz="0" w:space="0" w:color="auto"/>
      </w:divBdr>
    </w:div>
    <w:div w:id="1435520374">
      <w:bodyDiv w:val="1"/>
      <w:marLeft w:val="0"/>
      <w:marRight w:val="0"/>
      <w:marTop w:val="0"/>
      <w:marBottom w:val="0"/>
      <w:divBdr>
        <w:top w:val="none" w:sz="0" w:space="0" w:color="auto"/>
        <w:left w:val="none" w:sz="0" w:space="0" w:color="auto"/>
        <w:bottom w:val="none" w:sz="0" w:space="0" w:color="auto"/>
        <w:right w:val="none" w:sz="0" w:space="0" w:color="auto"/>
      </w:divBdr>
    </w:div>
    <w:div w:id="1487160260">
      <w:bodyDiv w:val="1"/>
      <w:marLeft w:val="0"/>
      <w:marRight w:val="0"/>
      <w:marTop w:val="0"/>
      <w:marBottom w:val="0"/>
      <w:divBdr>
        <w:top w:val="none" w:sz="0" w:space="0" w:color="auto"/>
        <w:left w:val="none" w:sz="0" w:space="0" w:color="auto"/>
        <w:bottom w:val="none" w:sz="0" w:space="0" w:color="auto"/>
        <w:right w:val="none" w:sz="0" w:space="0" w:color="auto"/>
      </w:divBdr>
      <w:divsChild>
        <w:div w:id="1626886819">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1561789564">
      <w:bodyDiv w:val="1"/>
      <w:marLeft w:val="0"/>
      <w:marRight w:val="0"/>
      <w:marTop w:val="0"/>
      <w:marBottom w:val="0"/>
      <w:divBdr>
        <w:top w:val="none" w:sz="0" w:space="0" w:color="auto"/>
        <w:left w:val="none" w:sz="0" w:space="0" w:color="auto"/>
        <w:bottom w:val="none" w:sz="0" w:space="0" w:color="auto"/>
        <w:right w:val="none" w:sz="0" w:space="0" w:color="auto"/>
      </w:divBdr>
    </w:div>
    <w:div w:id="1927836727">
      <w:bodyDiv w:val="1"/>
      <w:marLeft w:val="0"/>
      <w:marRight w:val="0"/>
      <w:marTop w:val="0"/>
      <w:marBottom w:val="0"/>
      <w:divBdr>
        <w:top w:val="none" w:sz="0" w:space="0" w:color="auto"/>
        <w:left w:val="none" w:sz="0" w:space="0" w:color="auto"/>
        <w:bottom w:val="none" w:sz="0" w:space="0" w:color="auto"/>
        <w:right w:val="none" w:sz="0" w:space="0" w:color="auto"/>
      </w:divBdr>
    </w:div>
    <w:div w:id="1962299340">
      <w:bodyDiv w:val="1"/>
      <w:marLeft w:val="0"/>
      <w:marRight w:val="0"/>
      <w:marTop w:val="0"/>
      <w:marBottom w:val="0"/>
      <w:divBdr>
        <w:top w:val="none" w:sz="0" w:space="0" w:color="auto"/>
        <w:left w:val="none" w:sz="0" w:space="0" w:color="auto"/>
        <w:bottom w:val="none" w:sz="0" w:space="0" w:color="auto"/>
        <w:right w:val="none" w:sz="0" w:space="0" w:color="auto"/>
      </w:divBdr>
      <w:divsChild>
        <w:div w:id="141777155">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5E7B279E3F8344910CED43C875F6EC" ma:contentTypeVersion="1" ma:contentTypeDescription="Create a new document." ma:contentTypeScope="" ma:versionID="a3c16254524186295f543517e4e1c1fe">
  <xsd:schema xmlns:xsd="http://www.w3.org/2001/XMLSchema" xmlns:xs="http://www.w3.org/2001/XMLSchema" xmlns:p="http://schemas.microsoft.com/office/2006/metadata/properties" xmlns:ns1="http://schemas.microsoft.com/sharepoint/v3" targetNamespace="http://schemas.microsoft.com/office/2006/metadata/properties" ma:root="true" ma:fieldsID="4f5fb779932f0d7ca5e13cbfe40c0ee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264AD-E4B3-4B48-A7BC-437C9D9BE0E3}">
  <ds:schemaRefs>
    <ds:schemaRef ds:uri="http://schemas.microsoft.com/sharepoint/v3/contenttype/forms"/>
  </ds:schemaRefs>
</ds:datastoreItem>
</file>

<file path=customXml/itemProps2.xml><?xml version="1.0" encoding="utf-8"?>
<ds:datastoreItem xmlns:ds="http://schemas.openxmlformats.org/officeDocument/2006/customXml" ds:itemID="{B1545DAF-A653-43A0-86C5-FD73D1EDE0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D11944-CCA3-42B4-9ACE-883DD827489F}">
  <ds:schemaRefs>
    <ds:schemaRef ds:uri="http://purl.org/dc/terms/"/>
    <ds:schemaRef ds:uri="http://schemas.microsoft.com/sharepoint/v3"/>
    <ds:schemaRef ds:uri="http://schemas.microsoft.com/office/2006/metadata/properties"/>
    <ds:schemaRef ds:uri="http://purl.org/dc/dcmitype/"/>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F125AD32-D6EC-4AAC-AF46-9666C84D2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1688</Words>
  <Characters>10089</Characters>
  <Application>Microsoft Office Word</Application>
  <DocSecurity>0</DocSecurity>
  <Lines>554</Lines>
  <Paragraphs>89</Paragraphs>
  <ScaleCrop>false</ScaleCrop>
  <HeadingPairs>
    <vt:vector size="2" baseType="variant">
      <vt:variant>
        <vt:lpstr>Title</vt:lpstr>
      </vt:variant>
      <vt:variant>
        <vt:i4>1</vt:i4>
      </vt:variant>
    </vt:vector>
  </HeadingPairs>
  <TitlesOfParts>
    <vt:vector size="1" baseType="lpstr">
      <vt:lpstr>Design approval minute template</vt:lpstr>
    </vt:vector>
  </TitlesOfParts>
  <Company/>
  <LinksUpToDate>false</LinksUpToDate>
  <CharactersWithSpaces>11721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Policy Support (SSPS) Programme Mid-term Evaluation Management Response</dc:title>
  <dc:creator>Australian Government Department of Foreign Affairs and Trade</dc:creator>
  <cp:keywords>[SEC=OFFICIAL]</cp:keywords>
  <cp:lastModifiedBy>Patrick Baggoley</cp:lastModifiedBy>
  <cp:revision>18</cp:revision>
  <cp:lastPrinted>2025-07-30T08:39:00Z</cp:lastPrinted>
  <dcterms:created xsi:type="dcterms:W3CDTF">2025-08-19T03:57:00Z</dcterms:created>
  <dcterms:modified xsi:type="dcterms:W3CDTF">2025-08-20T04:22:00Z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geKeywords">
    <vt:lpwstr>12;#;#62;#</vt:lpwstr>
  </property>
  <property fmtid="{D5CDD505-2E9C-101B-9397-08002B2CF9AE}" pid="3" name="SEC">
    <vt:lpwstr>OFFICIAL</vt:lpwstr>
  </property>
  <property fmtid="{D5CDD505-2E9C-101B-9397-08002B2CF9AE}" pid="4" name="ItemActive">
    <vt:bool>true</vt:bool>
  </property>
  <property fmtid="{D5CDD505-2E9C-101B-9397-08002B2CF9AE}" pid="5" name="OrganisationalUnit">
    <vt:lpwstr>490</vt:lpwstr>
  </property>
  <property fmtid="{D5CDD505-2E9C-101B-9397-08002B2CF9AE}" pid="6" name="TitusGUID">
    <vt:lpwstr>e58de48e-ebd4-4bc9-9f68-e61f84de6d0a</vt:lpwstr>
  </property>
  <property fmtid="{D5CDD505-2E9C-101B-9397-08002B2CF9AE}" pid="7" name="PageDescription">
    <vt:lpwstr>briefing, template</vt:lpwstr>
  </property>
  <property fmtid="{D5CDD505-2E9C-101B-9397-08002B2CF9AE}" pid="8" name="PageAuthor">
    <vt:lpwstr/>
  </property>
  <property fmtid="{D5CDD505-2E9C-101B-9397-08002B2CF9AE}" pid="9" name="ContentTypeId">
    <vt:lpwstr>0x010100765E7B279E3F8344910CED43C875F6EC</vt:lpwstr>
  </property>
  <property fmtid="{D5CDD505-2E9C-101B-9397-08002B2CF9AE}" pid="10" name="Template group">
    <vt:lpwstr>Minutes</vt:lpwstr>
  </property>
  <property fmtid="{D5CDD505-2E9C-101B-9397-08002B2CF9AE}" pid="11" name="DLM">
    <vt:lpwstr>No DLM</vt:lpwstr>
  </property>
  <property fmtid="{D5CDD505-2E9C-101B-9397-08002B2CF9AE}" pid="12" name="PM_ProtectiveMarkingImage_Header">
    <vt:lpwstr>C:\Program Files\Common Files\janusNET Shared\janusSEAL\Images\DocumentSlashBlue.png</vt:lpwstr>
  </property>
  <property fmtid="{D5CDD505-2E9C-101B-9397-08002B2CF9AE}" pid="13" name="PM_Caveats_Count">
    <vt:lpwstr>0</vt:lpwstr>
  </property>
  <property fmtid="{D5CDD505-2E9C-101B-9397-08002B2CF9AE}" pid="14" name="PM_DisplayValueSecClassificationWithQualifier">
    <vt:lpwstr>OFFICIAL</vt:lpwstr>
  </property>
  <property fmtid="{D5CDD505-2E9C-101B-9397-08002B2CF9AE}" pid="15" name="PM_Qualifier">
    <vt:lpwstr/>
  </property>
  <property fmtid="{D5CDD505-2E9C-101B-9397-08002B2CF9AE}" pid="16" name="PM_SecurityClassification">
    <vt:lpwstr>OFFICIAL</vt:lpwstr>
  </property>
  <property fmtid="{D5CDD505-2E9C-101B-9397-08002B2CF9AE}" pid="17" name="PM_InsertionValue">
    <vt:lpwstr>OFFICIAL</vt:lpwstr>
  </property>
  <property fmtid="{D5CDD505-2E9C-101B-9397-08002B2CF9AE}" pid="18" name="PM_Originating_FileId">
    <vt:lpwstr>B444EA13944240E59EFF0F991ADEE868</vt:lpwstr>
  </property>
  <property fmtid="{D5CDD505-2E9C-101B-9397-08002B2CF9AE}" pid="19" name="PM_ProtectiveMarkingValue_Footer">
    <vt:lpwstr>OFFICIAL</vt:lpwstr>
  </property>
  <property fmtid="{D5CDD505-2E9C-101B-9397-08002B2CF9AE}" pid="20" name="PM_Originator_Hash_SHA1">
    <vt:lpwstr>E5329D78ADFF18985C404F3A4015F7B7C209C4C5</vt:lpwstr>
  </property>
  <property fmtid="{D5CDD505-2E9C-101B-9397-08002B2CF9AE}" pid="21" name="PM_OriginationTimeStamp">
    <vt:lpwstr>2023-04-27T04:49:40Z</vt:lpwstr>
  </property>
  <property fmtid="{D5CDD505-2E9C-101B-9397-08002B2CF9AE}" pid="22" name="PM_ProtectiveMarkingValue_Header">
    <vt:lpwstr>OFFICIAL</vt:lpwstr>
  </property>
  <property fmtid="{D5CDD505-2E9C-101B-9397-08002B2CF9AE}" pid="23" name="PM_ProtectiveMarkingImage_Footer">
    <vt:lpwstr>C:\Program Files\Common Files\janusNET Shared\janusSEAL\Images\DocumentSlashBlue.png</vt:lpwstr>
  </property>
  <property fmtid="{D5CDD505-2E9C-101B-9397-08002B2CF9AE}" pid="24" name="PM_Namespace">
    <vt:lpwstr>gov.au</vt:lpwstr>
  </property>
  <property fmtid="{D5CDD505-2E9C-101B-9397-08002B2CF9AE}" pid="25" name="PM_Version">
    <vt:lpwstr>2018.4</vt:lpwstr>
  </property>
  <property fmtid="{D5CDD505-2E9C-101B-9397-08002B2CF9AE}" pid="26" name="PM_Note">
    <vt:lpwstr/>
  </property>
  <property fmtid="{D5CDD505-2E9C-101B-9397-08002B2CF9AE}" pid="27" name="PM_Markers">
    <vt:lpwstr/>
  </property>
  <property fmtid="{D5CDD505-2E9C-101B-9397-08002B2CF9AE}" pid="28" name="PM_Display">
    <vt:lpwstr>OFFICIAL</vt:lpwstr>
  </property>
  <property fmtid="{D5CDD505-2E9C-101B-9397-08002B2CF9AE}" pid="29" name="PMUuid">
    <vt:lpwstr>v=2022.2;d=gov.au;g=46DD6D7C-8107-577B-BC6E-F348953B2E44</vt:lpwstr>
  </property>
  <property fmtid="{D5CDD505-2E9C-101B-9397-08002B2CF9AE}" pid="30" name="PM_Hash_Version">
    <vt:lpwstr>2022.1</vt:lpwstr>
  </property>
  <property fmtid="{D5CDD505-2E9C-101B-9397-08002B2CF9AE}" pid="31" name="PM_Hash_Salt_Prev">
    <vt:lpwstr>2416D3378D5B9BD0B60BB14F74B7BED9</vt:lpwstr>
  </property>
  <property fmtid="{D5CDD505-2E9C-101B-9397-08002B2CF9AE}" pid="32" name="PM_Hash_Salt">
    <vt:lpwstr>2D5D543DF3273C899F0353EEC4378545</vt:lpwstr>
  </property>
  <property fmtid="{D5CDD505-2E9C-101B-9397-08002B2CF9AE}" pid="33" name="PM_Hash_SHA1">
    <vt:lpwstr>39ED9B301AB00FEC6E826AA192F74D55AF9995A9</vt:lpwstr>
  </property>
  <property fmtid="{D5CDD505-2E9C-101B-9397-08002B2CF9AE}" pid="34" name="PM_OriginatorUserAccountName_SHA256">
    <vt:lpwstr>C427463A240001568B1E728057080C091949066E05DD342FA6B5B9F6FF33F8D6</vt:lpwstr>
  </property>
  <property fmtid="{D5CDD505-2E9C-101B-9397-08002B2CF9AE}" pid="35" name="PM_OriginatorDomainName_SHA256">
    <vt:lpwstr>6F3591835F3B2A8A025B00B5BA6418010DA3A17C9C26EA9C049FFD28039489A2</vt:lpwstr>
  </property>
  <property fmtid="{D5CDD505-2E9C-101B-9397-08002B2CF9AE}" pid="36" name="PM_MinimumSecurityClassification">
    <vt:lpwstr>OFFICIAL</vt:lpwstr>
  </property>
  <property fmtid="{D5CDD505-2E9C-101B-9397-08002B2CF9AE}" pid="37" name="PM_SecurityClassification_Prev">
    <vt:lpwstr>OFFICIAL</vt:lpwstr>
  </property>
  <property fmtid="{D5CDD505-2E9C-101B-9397-08002B2CF9AE}" pid="38" name="PM_Qualifier_Prev">
    <vt:lpwstr/>
  </property>
  <property fmtid="{D5CDD505-2E9C-101B-9397-08002B2CF9AE}" pid="39" name="MediaServiceImageTags">
    <vt:lpwstr/>
  </property>
  <property fmtid="{D5CDD505-2E9C-101B-9397-08002B2CF9AE}" pid="40" name="PMHMAC">
    <vt:lpwstr>v=2022.1;a=SHA256;h=E2B96E6826D8F18F97D7FD7515225AB0B433C72B99BDCEDB5F63ECF5AA8B5158</vt:lpwstr>
  </property>
</Properties>
</file>