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7.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75281" w14:textId="2029299A" w:rsidR="0050529F" w:rsidRPr="007808D7" w:rsidRDefault="001B5B63" w:rsidP="001B5B63">
      <w:pPr>
        <w:pStyle w:val="Title"/>
      </w:pPr>
      <w:bookmarkStart w:id="0" w:name="_GoBack"/>
      <w:bookmarkEnd w:id="0"/>
      <w:r w:rsidRPr="00CA6DB6">
        <w:t>Aid Program Performance Report 2012</w:t>
      </w:r>
      <w:r w:rsidRPr="00052BF3">
        <w:t>−</w:t>
      </w:r>
      <w:r w:rsidRPr="00CA6DB6">
        <w:t xml:space="preserve">13 </w:t>
      </w:r>
      <w:r w:rsidR="0011701B">
        <w:t>Sri </w:t>
      </w:r>
      <w:r w:rsidR="0099469C">
        <w:t>Lanka</w:t>
      </w:r>
    </w:p>
    <w:p w14:paraId="14375283" w14:textId="77777777" w:rsidR="00180B19" w:rsidRPr="00180B19" w:rsidRDefault="00180B19" w:rsidP="00A04F6F">
      <w:pPr>
        <w:pStyle w:val="Heading1"/>
      </w:pPr>
      <w:r w:rsidRPr="00180B19">
        <w:t xml:space="preserve">Key </w:t>
      </w:r>
      <w:r w:rsidR="00007073">
        <w:t>m</w:t>
      </w:r>
      <w:r w:rsidRPr="00180B19">
        <w:t>essages</w:t>
      </w:r>
    </w:p>
    <w:p w14:paraId="14375284" w14:textId="300C53D2" w:rsidR="008F6FCA" w:rsidRDefault="00180B19" w:rsidP="00A04F6F">
      <w:pPr>
        <w:pStyle w:val="BodyText"/>
      </w:pPr>
      <w:r w:rsidRPr="008810FA">
        <w:t>This report summarises the aid program</w:t>
      </w:r>
      <w:r w:rsidR="0099469C">
        <w:t xml:space="preserve"> to Sri Lanka</w:t>
      </w:r>
      <w:r w:rsidRPr="008810FA">
        <w:t xml:space="preserve">’s progress in </w:t>
      </w:r>
      <w:r w:rsidRPr="00CC14DB">
        <w:t>2012</w:t>
      </w:r>
      <w:r w:rsidR="00CC14DB" w:rsidRPr="005E3A9A">
        <w:t>–</w:t>
      </w:r>
      <w:r w:rsidRPr="008810FA">
        <w:t>13</w:t>
      </w:r>
      <w:r w:rsidR="008F6FCA">
        <w:t xml:space="preserve"> against the objectives of the </w:t>
      </w:r>
      <w:hyperlink r:id="rId10" w:history="1">
        <w:r w:rsidR="008F6FCA" w:rsidRPr="00CC14DB">
          <w:rPr>
            <w:rStyle w:val="Hyperlink"/>
            <w:i/>
            <w:color w:val="000000" w:themeColor="text1"/>
            <w:sz w:val="22"/>
            <w:szCs w:val="24"/>
          </w:rPr>
          <w:t>Australia</w:t>
        </w:r>
        <w:r w:rsidR="008A5A63">
          <w:rPr>
            <w:rStyle w:val="Hyperlink"/>
            <w:i/>
            <w:color w:val="000000" w:themeColor="text1"/>
            <w:sz w:val="22"/>
            <w:szCs w:val="24"/>
          </w:rPr>
          <w:t xml:space="preserve"> </w:t>
        </w:r>
        <w:r w:rsidR="008F6FCA" w:rsidRPr="00CC14DB">
          <w:rPr>
            <w:rStyle w:val="Hyperlink"/>
            <w:i/>
            <w:color w:val="000000" w:themeColor="text1"/>
            <w:sz w:val="22"/>
            <w:szCs w:val="24"/>
          </w:rPr>
          <w:t>–</w:t>
        </w:r>
        <w:r w:rsidR="008A5A63">
          <w:rPr>
            <w:rStyle w:val="Hyperlink"/>
            <w:i/>
            <w:color w:val="000000" w:themeColor="text1"/>
            <w:sz w:val="22"/>
            <w:szCs w:val="24"/>
          </w:rPr>
          <w:t xml:space="preserve"> </w:t>
        </w:r>
        <w:r w:rsidR="008F6FCA" w:rsidRPr="004A5083">
          <w:rPr>
            <w:rStyle w:val="Hyperlink"/>
            <w:i/>
            <w:color w:val="000000" w:themeColor="text1"/>
            <w:sz w:val="22"/>
            <w:szCs w:val="24"/>
          </w:rPr>
          <w:t>Sri</w:t>
        </w:r>
        <w:r w:rsidR="008F6FCA" w:rsidRPr="00CC14DB">
          <w:rPr>
            <w:rStyle w:val="Hyperlink"/>
            <w:i/>
            <w:color w:val="000000" w:themeColor="text1"/>
            <w:sz w:val="22"/>
            <w:szCs w:val="24"/>
          </w:rPr>
          <w:t xml:space="preserve"> Lanka aid program strategy 2012–16</w:t>
        </w:r>
      </w:hyperlink>
      <w:r w:rsidR="008F6FCA" w:rsidRPr="00CC14DB">
        <w:rPr>
          <w:color w:val="000000" w:themeColor="text1"/>
        </w:rPr>
        <w:t>:</w:t>
      </w:r>
    </w:p>
    <w:p w14:paraId="14375285" w14:textId="77777777" w:rsidR="008F6FCA" w:rsidRDefault="00007073" w:rsidP="00A04F6F">
      <w:pPr>
        <w:pStyle w:val="ListNumber"/>
      </w:pPr>
      <w:r>
        <w:t>i</w:t>
      </w:r>
      <w:r w:rsidR="008F6FCA">
        <w:t>mproved social and economic indicators in lagging regions</w:t>
      </w:r>
    </w:p>
    <w:p w14:paraId="14375286" w14:textId="77777777" w:rsidR="008F6FCA" w:rsidRDefault="000B0D76" w:rsidP="00A04F6F">
      <w:pPr>
        <w:pStyle w:val="ListNumber"/>
      </w:pPr>
      <w:r>
        <w:t>p</w:t>
      </w:r>
      <w:r w:rsidRPr="000B0D76">
        <w:t>olicies and programs for inclusive growth and improved service delivery implemented at national and sub-national levels</w:t>
      </w:r>
      <w:r w:rsidR="008F6FCA" w:rsidRPr="00154A34">
        <w:t xml:space="preserve">. </w:t>
      </w:r>
    </w:p>
    <w:p w14:paraId="14375287" w14:textId="77777777" w:rsidR="00312656" w:rsidRDefault="00426B2B" w:rsidP="00A04F6F">
      <w:pPr>
        <w:pStyle w:val="BodyText"/>
      </w:pPr>
      <w:r>
        <w:t>Key p</w:t>
      </w:r>
      <w:r w:rsidR="00007073">
        <w:t>rogress p</w:t>
      </w:r>
      <w:r>
        <w:t>oints include:</w:t>
      </w:r>
      <w:r w:rsidR="0097695D">
        <w:t xml:space="preserve"> </w:t>
      </w:r>
    </w:p>
    <w:p w14:paraId="14375288" w14:textId="77777777" w:rsidR="007079E7" w:rsidRDefault="00935B91" w:rsidP="00A04F6F">
      <w:pPr>
        <w:pStyle w:val="ListBullet"/>
      </w:pPr>
      <w:r w:rsidRPr="00865A6F">
        <w:t>Performance information</w:t>
      </w:r>
      <w:r w:rsidR="001C14BD">
        <w:t xml:space="preserve"> at initiative level</w:t>
      </w:r>
      <w:r w:rsidRPr="00865A6F">
        <w:t xml:space="preserve"> confirms </w:t>
      </w:r>
      <w:r w:rsidR="00E11417" w:rsidRPr="00DD3572">
        <w:t xml:space="preserve">Australian aid </w:t>
      </w:r>
      <w:r w:rsidR="001C14BD" w:rsidRPr="00DD3572">
        <w:t>is achieving</w:t>
      </w:r>
      <w:r w:rsidR="001C14BD">
        <w:t xml:space="preserve"> </w:t>
      </w:r>
      <w:r w:rsidR="001E00BB">
        <w:t xml:space="preserve">significant </w:t>
      </w:r>
      <w:r w:rsidR="00E11417">
        <w:t>results</w:t>
      </w:r>
      <w:r w:rsidR="00007073">
        <w:t xml:space="preserve"> in Sri Lanka</w:t>
      </w:r>
      <w:r w:rsidR="008A5A63">
        <w:t>, including</w:t>
      </w:r>
      <w:r w:rsidR="009D297F">
        <w:t>:</w:t>
      </w:r>
    </w:p>
    <w:p w14:paraId="14375289" w14:textId="77777777" w:rsidR="009D297F" w:rsidRDefault="008A5A63" w:rsidP="00A04F6F">
      <w:pPr>
        <w:pStyle w:val="ListBullet2"/>
      </w:pPr>
      <w:r>
        <w:t>s</w:t>
      </w:r>
      <w:r w:rsidR="009D297F">
        <w:t xml:space="preserve">upporting 1359 schools and approximately 300 000 students in Sri Lanka’s most disadvantaged areas to improve education outcomes </w:t>
      </w:r>
    </w:p>
    <w:p w14:paraId="1437528A" w14:textId="77777777" w:rsidR="009D297F" w:rsidRDefault="00430B82" w:rsidP="00A04F6F">
      <w:pPr>
        <w:pStyle w:val="ListBullet2"/>
      </w:pPr>
      <w:r>
        <w:t>i</w:t>
      </w:r>
      <w:r w:rsidR="008A5A63">
        <w:t>mproving w</w:t>
      </w:r>
      <w:r w:rsidR="009D297F">
        <w:t xml:space="preserve">ater, sanitation and hygiene improvements </w:t>
      </w:r>
      <w:r w:rsidR="008A5A63">
        <w:t xml:space="preserve">for </w:t>
      </w:r>
      <w:r w:rsidR="009D297F">
        <w:t>about 53 000 students and 3000 teachers in 159 schools in some of Sri Lanka’s poorest provinces</w:t>
      </w:r>
    </w:p>
    <w:p w14:paraId="1437528B" w14:textId="77777777" w:rsidR="009D297F" w:rsidRDefault="008A5A63" w:rsidP="00A04F6F">
      <w:pPr>
        <w:pStyle w:val="ListBullet2"/>
      </w:pPr>
      <w:r>
        <w:t>i</w:t>
      </w:r>
      <w:r w:rsidR="009D297F">
        <w:t>ncreas</w:t>
      </w:r>
      <w:r w:rsidR="00430B82">
        <w:t>ing</w:t>
      </w:r>
      <w:r w:rsidR="009D297F">
        <w:t xml:space="preserve"> agricultural incomes (by US$1.5 million)</w:t>
      </w:r>
      <w:r>
        <w:t xml:space="preserve"> and </w:t>
      </w:r>
      <w:r w:rsidR="009D297F">
        <w:t>improv</w:t>
      </w:r>
      <w:r>
        <w:t>ing</w:t>
      </w:r>
      <w:r w:rsidR="009D297F">
        <w:t xml:space="preserve"> incomes for 7500 women </w:t>
      </w:r>
    </w:p>
    <w:p w14:paraId="1437528C" w14:textId="77777777" w:rsidR="009D297F" w:rsidRDefault="008A5A63" w:rsidP="00A04F6F">
      <w:pPr>
        <w:pStyle w:val="ListBullet2"/>
      </w:pPr>
      <w:r>
        <w:t>r</w:t>
      </w:r>
      <w:r w:rsidR="009D297F">
        <w:t>epair</w:t>
      </w:r>
      <w:r>
        <w:t>ing</w:t>
      </w:r>
      <w:r w:rsidR="009D297F">
        <w:t xml:space="preserve"> and reconstruct</w:t>
      </w:r>
      <w:r>
        <w:t>ing</w:t>
      </w:r>
      <w:r w:rsidR="009D297F">
        <w:t xml:space="preserve"> 23 schools in Northern Province damaged in the most heavily conflict-affected areas</w:t>
      </w:r>
    </w:p>
    <w:p w14:paraId="1437528D" w14:textId="77777777" w:rsidR="009D297F" w:rsidRDefault="008A5A63" w:rsidP="00A04F6F">
      <w:pPr>
        <w:pStyle w:val="ListBullet2"/>
      </w:pPr>
      <w:r>
        <w:t>c</w:t>
      </w:r>
      <w:r w:rsidR="009D297F" w:rsidRPr="00EE5950">
        <w:t>lear</w:t>
      </w:r>
      <w:r>
        <w:t>ing</w:t>
      </w:r>
      <w:r w:rsidR="009D297F" w:rsidRPr="00EE5950">
        <w:t xml:space="preserve"> </w:t>
      </w:r>
      <w:r w:rsidR="009D297F">
        <w:t xml:space="preserve">more than 6 </w:t>
      </w:r>
      <w:r w:rsidR="009D297F" w:rsidRPr="00EE5950">
        <w:t>km</w:t>
      </w:r>
      <w:r w:rsidR="009D297F" w:rsidRPr="009D297F">
        <w:rPr>
          <w:vertAlign w:val="superscript"/>
        </w:rPr>
        <w:t>2</w:t>
      </w:r>
      <w:r w:rsidR="009D297F" w:rsidRPr="00EE5950">
        <w:t xml:space="preserve"> of landmines in conflict</w:t>
      </w:r>
      <w:r w:rsidR="009D297F">
        <w:t>-</w:t>
      </w:r>
      <w:r w:rsidR="009D297F" w:rsidRPr="00EE5950">
        <w:t>affected areas</w:t>
      </w:r>
      <w:r>
        <w:t>,</w:t>
      </w:r>
      <w:r w:rsidR="009D297F" w:rsidRPr="00EE5950">
        <w:t xml:space="preserve"> allowing people to return home and rebuild livelihoods.</w:t>
      </w:r>
    </w:p>
    <w:p w14:paraId="1437528E" w14:textId="63F86040" w:rsidR="00384067" w:rsidRDefault="0099469C" w:rsidP="00A04F6F">
      <w:pPr>
        <w:pStyle w:val="ListBullet"/>
      </w:pPr>
      <w:r>
        <w:t xml:space="preserve">The </w:t>
      </w:r>
      <w:r w:rsidR="00384067">
        <w:t>Australian</w:t>
      </w:r>
      <w:r>
        <w:t xml:space="preserve"> Governme</w:t>
      </w:r>
      <w:r w:rsidR="00A5255C">
        <w:t>n</w:t>
      </w:r>
      <w:r>
        <w:t>t</w:t>
      </w:r>
      <w:r w:rsidR="00384067">
        <w:t xml:space="preserve"> aid </w:t>
      </w:r>
      <w:r>
        <w:t xml:space="preserve">program </w:t>
      </w:r>
      <w:r w:rsidR="00897E65">
        <w:t xml:space="preserve">is </w:t>
      </w:r>
      <w:r w:rsidR="00384067">
        <w:t>catalysing pro-poor policy reforms at national and sub-national levels</w:t>
      </w:r>
      <w:r w:rsidR="00897E65">
        <w:t xml:space="preserve">, with strong </w:t>
      </w:r>
      <w:r w:rsidR="00897E65" w:rsidRPr="00865A6F">
        <w:t xml:space="preserve">potential for improving social and economic outcomes </w:t>
      </w:r>
      <w:r w:rsidR="00897E65">
        <w:t xml:space="preserve">in lagging regions. </w:t>
      </w:r>
      <w:r w:rsidR="008F6FCA">
        <w:t>More work is needed to understand barriers to women’s social, economic and political empowerment in Sri Lanka.</w:t>
      </w:r>
      <w:r w:rsidR="00154A34">
        <w:t xml:space="preserve"> </w:t>
      </w:r>
    </w:p>
    <w:p w14:paraId="1437528F" w14:textId="46A6B115" w:rsidR="004F5AFB" w:rsidRDefault="00C441E9" w:rsidP="00A04F6F">
      <w:pPr>
        <w:pStyle w:val="ListBullet"/>
      </w:pPr>
      <w:r w:rsidRPr="00C57626">
        <w:t xml:space="preserve">Most of </w:t>
      </w:r>
      <w:r w:rsidR="0099469C">
        <w:t xml:space="preserve">the </w:t>
      </w:r>
      <w:r w:rsidR="00E50D64">
        <w:t>Australian</w:t>
      </w:r>
      <w:r w:rsidR="0099469C">
        <w:t xml:space="preserve"> Government’s</w:t>
      </w:r>
      <w:r w:rsidRPr="00C57626">
        <w:t xml:space="preserve"> im</w:t>
      </w:r>
      <w:r w:rsidR="00051ACA">
        <w:t xml:space="preserve">plementing partners </w:t>
      </w:r>
      <w:r w:rsidRPr="00C57626">
        <w:t xml:space="preserve">in Sri Lanka have delivered results and are reliable, flexible and responsive. </w:t>
      </w:r>
    </w:p>
    <w:p w14:paraId="14375290" w14:textId="77777777" w:rsidR="00543A67" w:rsidRDefault="001B0EE4" w:rsidP="00A04F6F">
      <w:pPr>
        <w:pStyle w:val="ListBullet"/>
      </w:pPr>
      <w:r>
        <w:t xml:space="preserve">Work has started to help </w:t>
      </w:r>
      <w:r w:rsidR="00897E65">
        <w:t>support agency</w:t>
      </w:r>
      <w:r w:rsidR="00007073">
        <w:t>-</w:t>
      </w:r>
      <w:r w:rsidR="00897E65">
        <w:t xml:space="preserve">level </w:t>
      </w:r>
      <w:r w:rsidR="000D26E3">
        <w:t xml:space="preserve">reforms </w:t>
      </w:r>
      <w:r w:rsidR="00897E65">
        <w:t xml:space="preserve">which will strengthen </w:t>
      </w:r>
      <w:r w:rsidR="00C77827">
        <w:t xml:space="preserve">Australia’s </w:t>
      </w:r>
      <w:r>
        <w:t xml:space="preserve">partnerships with the </w:t>
      </w:r>
      <w:r w:rsidR="00642DF9">
        <w:t>multilateral organisations in Sri Lanka, especially the World Bank</w:t>
      </w:r>
      <w:r w:rsidR="000D26E3">
        <w:t>.</w:t>
      </w:r>
    </w:p>
    <w:p w14:paraId="14375291" w14:textId="03E45DEE" w:rsidR="004F5AFB" w:rsidRDefault="001575E6" w:rsidP="00A04F6F">
      <w:pPr>
        <w:pStyle w:val="ListBullet"/>
      </w:pPr>
      <w:r w:rsidRPr="004F5AFB">
        <w:t>Th</w:t>
      </w:r>
      <w:r w:rsidR="0099469C">
        <w:t>e Australian aid program faces th</w:t>
      </w:r>
      <w:r w:rsidRPr="004F5AFB">
        <w:t xml:space="preserve">ree key challenges for the duration of the </w:t>
      </w:r>
      <w:r w:rsidR="00540D60">
        <w:t xml:space="preserve">program </w:t>
      </w:r>
      <w:r w:rsidRPr="004F5AFB">
        <w:t xml:space="preserve">strategy: </w:t>
      </w:r>
    </w:p>
    <w:p w14:paraId="14375292" w14:textId="142AB7AE" w:rsidR="00224559" w:rsidRPr="004F5AFB" w:rsidRDefault="000D75DA" w:rsidP="00A04F6F">
      <w:pPr>
        <w:pStyle w:val="ListNumber2"/>
      </w:pPr>
      <w:r>
        <w:t>A complex and changing</w:t>
      </w:r>
      <w:r w:rsidR="00862B43">
        <w:t xml:space="preserve"> </w:t>
      </w:r>
      <w:r w:rsidR="0051739C">
        <w:t xml:space="preserve">operational </w:t>
      </w:r>
      <w:r w:rsidR="00862B43">
        <w:t>environment for donors in Sri Lanka</w:t>
      </w:r>
      <w:r w:rsidR="00897E65">
        <w:t>,</w:t>
      </w:r>
      <w:r w:rsidR="0051739C">
        <w:t xml:space="preserve"> which requires sustained focus on understanding political, economic and social dynamics</w:t>
      </w:r>
      <w:r w:rsidR="00AF4C76">
        <w:t>, and contingency plan</w:t>
      </w:r>
      <w:r>
        <w:t>s</w:t>
      </w:r>
      <w:r w:rsidR="00AF4C76">
        <w:t xml:space="preserve"> in place to </w:t>
      </w:r>
      <w:r w:rsidR="008A5A63">
        <w:t>ensure</w:t>
      </w:r>
      <w:r w:rsidR="00AF4C76">
        <w:t xml:space="preserve"> agility</w:t>
      </w:r>
      <w:r w:rsidR="00333614">
        <w:t xml:space="preserve"> if adjustment</w:t>
      </w:r>
      <w:r w:rsidR="008A5A63">
        <w:t>s</w:t>
      </w:r>
      <w:r w:rsidR="00333614">
        <w:t xml:space="preserve"> to programming</w:t>
      </w:r>
      <w:r w:rsidR="008A5A63">
        <w:t xml:space="preserve"> are required</w:t>
      </w:r>
      <w:r w:rsidR="00AF4C76">
        <w:t>.</w:t>
      </w:r>
      <w:r w:rsidR="00224559" w:rsidRPr="004F5AFB">
        <w:t xml:space="preserve"> </w:t>
      </w:r>
    </w:p>
    <w:p w14:paraId="14375293" w14:textId="45D540F0" w:rsidR="00862B43" w:rsidRDefault="00AF4C76" w:rsidP="00A04F6F">
      <w:pPr>
        <w:pStyle w:val="ListNumber2"/>
      </w:pPr>
      <w:r>
        <w:t xml:space="preserve">Resolving </w:t>
      </w:r>
      <w:r w:rsidR="00333614">
        <w:t xml:space="preserve">issues </w:t>
      </w:r>
      <w:r>
        <w:t>in two major</w:t>
      </w:r>
      <w:r w:rsidR="00A87087">
        <w:t xml:space="preserve"> Australian</w:t>
      </w:r>
      <w:r w:rsidR="000D75DA">
        <w:t>-</w:t>
      </w:r>
      <w:r w:rsidR="00A87087">
        <w:t>financed</w:t>
      </w:r>
      <w:r>
        <w:t xml:space="preserve"> </w:t>
      </w:r>
      <w:r w:rsidR="00CD4B44">
        <w:t>World Bank projects</w:t>
      </w:r>
      <w:r>
        <w:t xml:space="preserve"> which support Sri Lankan </w:t>
      </w:r>
      <w:r w:rsidRPr="004A5083">
        <w:t>Government</w:t>
      </w:r>
      <w:r w:rsidRPr="00F654BC">
        <w:t xml:space="preserve"> priorities</w:t>
      </w:r>
      <w:r w:rsidR="00CD4B44">
        <w:t xml:space="preserve"> </w:t>
      </w:r>
      <w:r>
        <w:t xml:space="preserve">and designing </w:t>
      </w:r>
      <w:r w:rsidR="00CD4B44">
        <w:t>replacement</w:t>
      </w:r>
      <w:r>
        <w:t xml:space="preserve"> programs if </w:t>
      </w:r>
      <w:r w:rsidR="00CD4B44">
        <w:t xml:space="preserve">necessary. </w:t>
      </w:r>
    </w:p>
    <w:p w14:paraId="14375294" w14:textId="6CBD7956" w:rsidR="00862B43" w:rsidRDefault="00980268" w:rsidP="00A04F6F">
      <w:pPr>
        <w:pStyle w:val="ListNumber2"/>
      </w:pPr>
      <w:r>
        <w:t>Reform</w:t>
      </w:r>
      <w:r w:rsidR="00007073">
        <w:t>ing</w:t>
      </w:r>
      <w:r w:rsidR="00897E65">
        <w:t xml:space="preserve"> b</w:t>
      </w:r>
      <w:r w:rsidR="000D26E3">
        <w:t xml:space="preserve">usiness processes and legal frameworks </w:t>
      </w:r>
      <w:r w:rsidR="00897E65">
        <w:t xml:space="preserve">to strengthen </w:t>
      </w:r>
      <w:r w:rsidR="00DD1531">
        <w:t>the Australian government’s</w:t>
      </w:r>
      <w:r w:rsidR="00CD5FEC">
        <w:t xml:space="preserve"> </w:t>
      </w:r>
      <w:r w:rsidR="000D26E3">
        <w:t>partnerships in Sri Lanka</w:t>
      </w:r>
      <w:r w:rsidR="00897E65">
        <w:t>.</w:t>
      </w:r>
      <w:r w:rsidR="008C50B8">
        <w:t xml:space="preserve"> </w:t>
      </w:r>
    </w:p>
    <w:p w14:paraId="14375295" w14:textId="77777777" w:rsidR="00180B19" w:rsidRPr="00A04F6F" w:rsidRDefault="00180B19" w:rsidP="00A04F6F">
      <w:pPr>
        <w:pStyle w:val="Heading1"/>
      </w:pPr>
      <w:r w:rsidRPr="00A04F6F">
        <w:lastRenderedPageBreak/>
        <w:t xml:space="preserve">Context </w:t>
      </w:r>
    </w:p>
    <w:p w14:paraId="14375296" w14:textId="77777777" w:rsidR="00F654BC" w:rsidRDefault="00E11417" w:rsidP="00A04F6F">
      <w:pPr>
        <w:pStyle w:val="BodyText"/>
      </w:pPr>
      <w:r>
        <w:t xml:space="preserve">Sri Lanka has made good </w:t>
      </w:r>
      <w:r w:rsidR="005206E1">
        <w:t xml:space="preserve">national development progress </w:t>
      </w:r>
      <w:r>
        <w:t>across many indicators</w:t>
      </w:r>
      <w:r w:rsidR="00007073">
        <w:t xml:space="preserve">, </w:t>
      </w:r>
      <w:r w:rsidR="00AC6A2E">
        <w:t>b</w:t>
      </w:r>
      <w:r>
        <w:t xml:space="preserve">ut many </w:t>
      </w:r>
      <w:r w:rsidR="008C50B8">
        <w:t>challenges</w:t>
      </w:r>
      <w:r>
        <w:t xml:space="preserve"> remain and it is unclear </w:t>
      </w:r>
      <w:r w:rsidR="00007073">
        <w:t>if the country</w:t>
      </w:r>
      <w:r>
        <w:t xml:space="preserve"> </w:t>
      </w:r>
      <w:r w:rsidR="007400D1">
        <w:t xml:space="preserve">is on course to </w:t>
      </w:r>
      <w:r>
        <w:t xml:space="preserve">further </w:t>
      </w:r>
      <w:r w:rsidR="007400D1">
        <w:t xml:space="preserve">reduce </w:t>
      </w:r>
      <w:r w:rsidR="005206E1">
        <w:t xml:space="preserve">poverty. </w:t>
      </w:r>
    </w:p>
    <w:p w14:paraId="14375297" w14:textId="77777777" w:rsidR="005206E1" w:rsidRDefault="004F5AFB" w:rsidP="00A04F6F">
      <w:pPr>
        <w:pStyle w:val="BodyText"/>
      </w:pPr>
      <w:r>
        <w:t>G</w:t>
      </w:r>
      <w:r w:rsidR="005206E1">
        <w:t xml:space="preserve">rowth </w:t>
      </w:r>
      <w:r w:rsidR="00BB51A2">
        <w:t>was respectable at</w:t>
      </w:r>
      <w:r>
        <w:t xml:space="preserve"> 6.2 per cent in 2012</w:t>
      </w:r>
      <w:r w:rsidR="00BB51A2">
        <w:t xml:space="preserve"> although lower than the</w:t>
      </w:r>
      <w:r w:rsidR="002B6239">
        <w:t xml:space="preserve"> </w:t>
      </w:r>
      <w:r>
        <w:t>8.3 per cent</w:t>
      </w:r>
      <w:r w:rsidR="00BB51A2">
        <w:t xml:space="preserve"> recorded</w:t>
      </w:r>
      <w:r>
        <w:t xml:space="preserve"> in 2011</w:t>
      </w:r>
      <w:r w:rsidR="00BB51A2">
        <w:t xml:space="preserve"> (t</w:t>
      </w:r>
      <w:r>
        <w:t xml:space="preserve">his </w:t>
      </w:r>
      <w:r w:rsidR="00BB51A2">
        <w:t xml:space="preserve">fall </w:t>
      </w:r>
      <w:r>
        <w:t xml:space="preserve">was in part due to a severe drought that </w:t>
      </w:r>
      <w:r w:rsidR="00007073">
        <w:t xml:space="preserve">had an </w:t>
      </w:r>
      <w:r>
        <w:t>impact</w:t>
      </w:r>
      <w:r w:rsidR="00007073">
        <w:t xml:space="preserve"> on </w:t>
      </w:r>
      <w:r>
        <w:t>agriculture and hydropower production</w:t>
      </w:r>
      <w:r w:rsidR="00BB51A2">
        <w:t>)</w:t>
      </w:r>
      <w:r>
        <w:t xml:space="preserve">. </w:t>
      </w:r>
      <w:r w:rsidR="00BB51A2">
        <w:t>G</w:t>
      </w:r>
      <w:r w:rsidR="005206E1">
        <w:t>rowth</w:t>
      </w:r>
      <w:r>
        <w:t xml:space="preserve"> is projected to stay at or above the</w:t>
      </w:r>
      <w:r w:rsidR="005206E1">
        <w:t xml:space="preserve"> 2012 </w:t>
      </w:r>
      <w:r>
        <w:t xml:space="preserve">rate </w:t>
      </w:r>
      <w:r w:rsidR="005206E1">
        <w:t xml:space="preserve">for the </w:t>
      </w:r>
      <w:r>
        <w:t>next</w:t>
      </w:r>
      <w:r w:rsidR="005206E1">
        <w:t xml:space="preserve"> </w:t>
      </w:r>
      <w:r w:rsidR="00007073">
        <w:t>five</w:t>
      </w:r>
      <w:r w:rsidR="005206E1">
        <w:t xml:space="preserve"> year</w:t>
      </w:r>
      <w:r>
        <w:t>s</w:t>
      </w:r>
      <w:r w:rsidR="005206E1">
        <w:t xml:space="preserve">. </w:t>
      </w:r>
      <w:r>
        <w:t>This growth trajectory is</w:t>
      </w:r>
      <w:r w:rsidR="005206E1">
        <w:t xml:space="preserve"> below national ambitions</w:t>
      </w:r>
      <w:r>
        <w:t xml:space="preserve">, as outlined in </w:t>
      </w:r>
      <w:r w:rsidR="00007073">
        <w:rPr>
          <w:i/>
        </w:rPr>
        <w:t>T</w:t>
      </w:r>
      <w:r w:rsidR="00F30591" w:rsidRPr="00F30591">
        <w:rPr>
          <w:i/>
        </w:rPr>
        <w:t>he Mahinda Chintana – Vision for the Futur</w:t>
      </w:r>
      <w:r w:rsidR="008A5A63">
        <w:rPr>
          <w:i/>
        </w:rPr>
        <w:t>e.</w:t>
      </w:r>
      <w:r w:rsidR="00F30591" w:rsidRPr="002550BA">
        <w:rPr>
          <w:rStyle w:val="FootnoteReference"/>
        </w:rPr>
        <w:footnoteReference w:id="2"/>
      </w:r>
      <w:r w:rsidR="008A5A63">
        <w:t xml:space="preserve"> It is also</w:t>
      </w:r>
      <w:r>
        <w:t xml:space="preserve"> lower than what many economist</w:t>
      </w:r>
      <w:r w:rsidR="00BD5077">
        <w:t>s</w:t>
      </w:r>
      <w:r>
        <w:t xml:space="preserve"> believe should be possible</w:t>
      </w:r>
      <w:r w:rsidR="00BD5077">
        <w:t xml:space="preserve"> in Sri Lanka’s post-conflict era</w:t>
      </w:r>
      <w:r w:rsidR="009E7208">
        <w:t xml:space="preserve"> (the </w:t>
      </w:r>
      <w:r w:rsidR="00CD4B44">
        <w:t>26</w:t>
      </w:r>
      <w:r w:rsidR="008A5A63">
        <w:t>-</w:t>
      </w:r>
      <w:r w:rsidR="00CD4B44">
        <w:t>year</w:t>
      </w:r>
      <w:r w:rsidR="009E7208">
        <w:t xml:space="preserve"> civil war ended in 2009)</w:t>
      </w:r>
      <w:r w:rsidR="0097695D">
        <w:t xml:space="preserve">. </w:t>
      </w:r>
      <w:r w:rsidR="00BB51A2">
        <w:t>If</w:t>
      </w:r>
      <w:r w:rsidR="00BD5077">
        <w:t xml:space="preserve"> current growth rates</w:t>
      </w:r>
      <w:r w:rsidR="00BB51A2">
        <w:t xml:space="preserve"> continue</w:t>
      </w:r>
      <w:r w:rsidR="000155CB">
        <w:t>,</w:t>
      </w:r>
      <w:r w:rsidR="00BD5077">
        <w:t xml:space="preserve"> Sri Lanka </w:t>
      </w:r>
      <w:r w:rsidR="004472C4">
        <w:t xml:space="preserve">will be </w:t>
      </w:r>
      <w:r w:rsidR="008C50B8">
        <w:t>well placed</w:t>
      </w:r>
      <w:r w:rsidR="00BB51A2">
        <w:t xml:space="preserve"> </w:t>
      </w:r>
      <w:r w:rsidR="005206E1">
        <w:t>to expand per capita</w:t>
      </w:r>
      <w:r w:rsidR="00BD5077">
        <w:t xml:space="preserve"> incomes</w:t>
      </w:r>
      <w:r w:rsidR="005206E1">
        <w:t xml:space="preserve"> and </w:t>
      </w:r>
      <w:r w:rsidR="00BD5077">
        <w:t>support national plans to rebuild the nation</w:t>
      </w:r>
      <w:r w:rsidR="005206E1">
        <w:t xml:space="preserve">. </w:t>
      </w:r>
      <w:r w:rsidR="00BD5077">
        <w:t>However, s</w:t>
      </w:r>
      <w:r w:rsidR="005206E1">
        <w:t>trong growth cannot be taken for granted</w:t>
      </w:r>
      <w:r w:rsidR="00BD5077">
        <w:t>. L</w:t>
      </w:r>
      <w:r w:rsidR="005206E1">
        <w:t>ooming fiscal consolidation pressures may limit g</w:t>
      </w:r>
      <w:r w:rsidR="00BD5077">
        <w:t>rowth in coming years, as could shocks in regional and global economies</w:t>
      </w:r>
      <w:r w:rsidR="0083415C">
        <w:t xml:space="preserve">. </w:t>
      </w:r>
    </w:p>
    <w:p w14:paraId="14375298" w14:textId="4F6579D2" w:rsidR="00FE7804" w:rsidRDefault="005206E1" w:rsidP="00A04F6F">
      <w:pPr>
        <w:pStyle w:val="BodyText"/>
      </w:pPr>
      <w:r>
        <w:t xml:space="preserve">National unemployment </w:t>
      </w:r>
      <w:r w:rsidR="00F41891">
        <w:t xml:space="preserve">figures are </w:t>
      </w:r>
      <w:r>
        <w:t>low</w:t>
      </w:r>
      <w:r w:rsidR="00970AC4">
        <w:t>,</w:t>
      </w:r>
      <w:r>
        <w:t xml:space="preserve"> </w:t>
      </w:r>
      <w:r w:rsidR="00970AC4">
        <w:t>around</w:t>
      </w:r>
      <w:r>
        <w:t xml:space="preserve"> 4 per cent</w:t>
      </w:r>
      <w:r w:rsidR="00F41891">
        <w:t xml:space="preserve">, although this </w:t>
      </w:r>
      <w:r w:rsidR="00B17295">
        <w:t>masks regional</w:t>
      </w:r>
      <w:r w:rsidR="006E6B65">
        <w:t>, age</w:t>
      </w:r>
      <w:r w:rsidR="00B17295">
        <w:t xml:space="preserve"> and gender disparities</w:t>
      </w:r>
      <w:r w:rsidR="000155CB">
        <w:t>. The</w:t>
      </w:r>
      <w:r w:rsidR="00F41891">
        <w:t xml:space="preserve"> </w:t>
      </w:r>
      <w:r w:rsidR="00756C5A">
        <w:t xml:space="preserve">2011 </w:t>
      </w:r>
      <w:r w:rsidR="00F41891">
        <w:t xml:space="preserve">labour force participation rate </w:t>
      </w:r>
      <w:r w:rsidR="000155CB">
        <w:t>was</w:t>
      </w:r>
      <w:r w:rsidR="00F41891">
        <w:t xml:space="preserve"> 55 per cent</w:t>
      </w:r>
      <w:r w:rsidR="00FC375A">
        <w:t>—</w:t>
      </w:r>
      <w:r w:rsidR="00756C5A">
        <w:t xml:space="preserve">compared to </w:t>
      </w:r>
      <w:r w:rsidR="000155CB">
        <w:t>the</w:t>
      </w:r>
      <w:r w:rsidR="00756C5A">
        <w:t xml:space="preserve"> global average of </w:t>
      </w:r>
      <w:r w:rsidR="007B1CF6">
        <w:t xml:space="preserve">approximately 64 </w:t>
      </w:r>
      <w:r w:rsidR="00756C5A">
        <w:t>per cent</w:t>
      </w:r>
      <w:r w:rsidR="00BD5077">
        <w:t>.</w:t>
      </w:r>
      <w:r w:rsidR="00B17295">
        <w:rPr>
          <w:rStyle w:val="FootnoteReference"/>
        </w:rPr>
        <w:footnoteReference w:id="3"/>
      </w:r>
      <w:r>
        <w:t xml:space="preserve"> </w:t>
      </w:r>
      <w:r w:rsidR="00BD5077">
        <w:t>I</w:t>
      </w:r>
      <w:r>
        <w:t xml:space="preserve">nflation has been stable at 6 per cent since 2009 following a decade of volatility. Social indicators at </w:t>
      </w:r>
      <w:r w:rsidR="000D75DA">
        <w:t xml:space="preserve">the </w:t>
      </w:r>
      <w:r>
        <w:t xml:space="preserve">national level continue </w:t>
      </w:r>
      <w:r w:rsidR="00BD5077">
        <w:t>to</w:t>
      </w:r>
      <w:r>
        <w:t xml:space="preserve"> improve. Sri Lanka’s score of 0.715 on the 2013 Human Development Index </w:t>
      </w:r>
      <w:r w:rsidR="00BD5077">
        <w:t>puts</w:t>
      </w:r>
      <w:r>
        <w:t xml:space="preserve"> it in the ‘high human development’ category</w:t>
      </w:r>
      <w:r w:rsidR="00FC375A">
        <w:t>—</w:t>
      </w:r>
      <w:r w:rsidRPr="00FC375A">
        <w:t>a</w:t>
      </w:r>
      <w:r>
        <w:t xml:space="preserve"> fir</w:t>
      </w:r>
      <w:r w:rsidR="00BD5077">
        <w:t>st for any South Asian nation. A</w:t>
      </w:r>
      <w:r>
        <w:t>nd the country remains on track to meet all</w:t>
      </w:r>
      <w:r w:rsidR="008C50B8">
        <w:t xml:space="preserve"> </w:t>
      </w:r>
      <w:r w:rsidR="008C50B8" w:rsidRPr="008C50B8">
        <w:t>Millennium Development Goals (MDGs)</w:t>
      </w:r>
      <w:r>
        <w:t xml:space="preserve"> if it can turn around lagging progress on nutrition</w:t>
      </w:r>
      <w:r w:rsidR="0097695D">
        <w:t>.</w:t>
      </w:r>
      <w:r w:rsidR="00CC14DB">
        <w:t xml:space="preserve"> </w:t>
      </w:r>
    </w:p>
    <w:p w14:paraId="14375299" w14:textId="4FF4AFEE" w:rsidR="00FE7804" w:rsidRDefault="00BF05EE" w:rsidP="00A04F6F">
      <w:pPr>
        <w:pStyle w:val="BodyText"/>
      </w:pPr>
      <w:r>
        <w:t>Sri Lanka has made good progress on gender equality, in comparison to the region</w:t>
      </w:r>
      <w:r w:rsidR="008A5A63">
        <w:t xml:space="preserve"> as a whole</w:t>
      </w:r>
      <w:r>
        <w:t xml:space="preserve">, having met MDG 3. </w:t>
      </w:r>
      <w:r w:rsidR="0083415C">
        <w:t>Girls and b</w:t>
      </w:r>
      <w:r>
        <w:t xml:space="preserve">oys have equal access to education and girls are performing better than boys against some indicators. </w:t>
      </w:r>
      <w:r w:rsidR="00592090">
        <w:t xml:space="preserve">However, </w:t>
      </w:r>
      <w:r w:rsidR="00592090" w:rsidRPr="00592090">
        <w:t xml:space="preserve">only 13 female parliamentarians </w:t>
      </w:r>
      <w:r w:rsidR="0083415C">
        <w:t xml:space="preserve">are </w:t>
      </w:r>
      <w:r w:rsidR="00592090" w:rsidRPr="00592090">
        <w:t>in the current parliament</w:t>
      </w:r>
      <w:r w:rsidR="000D75DA">
        <w:t xml:space="preserve"> </w:t>
      </w:r>
      <w:r w:rsidR="000D75DA" w:rsidRPr="00592090">
        <w:t>(less than 6</w:t>
      </w:r>
      <w:r w:rsidR="000D75DA">
        <w:t xml:space="preserve"> per cent </w:t>
      </w:r>
      <w:r w:rsidR="000D75DA" w:rsidRPr="00592090">
        <w:t>of the total</w:t>
      </w:r>
      <w:r w:rsidR="000D75DA">
        <w:t>)</w:t>
      </w:r>
      <w:r w:rsidR="00592090" w:rsidRPr="00592090">
        <w:t>, of wh</w:t>
      </w:r>
      <w:r w:rsidR="00592090">
        <w:t>om</w:t>
      </w:r>
      <w:r w:rsidR="00592090" w:rsidRPr="00592090">
        <w:t xml:space="preserve"> </w:t>
      </w:r>
      <w:r w:rsidR="00592090">
        <w:t>three</w:t>
      </w:r>
      <w:r w:rsidR="00592090" w:rsidRPr="00592090">
        <w:t xml:space="preserve"> </w:t>
      </w:r>
      <w:r w:rsidR="00592090">
        <w:t>(out of 225) are national members</w:t>
      </w:r>
      <w:r w:rsidR="00592090" w:rsidRPr="00592090">
        <w:t xml:space="preserve">. </w:t>
      </w:r>
      <w:r w:rsidR="000C7033">
        <w:t>The proportion of female district representatives in the national parliament is much lower.</w:t>
      </w:r>
      <w:r w:rsidR="00592090" w:rsidRPr="00592090">
        <w:t xml:space="preserve"> </w:t>
      </w:r>
      <w:r w:rsidR="000C7033">
        <w:t>T</w:t>
      </w:r>
      <w:r w:rsidR="00592090" w:rsidRPr="00592090">
        <w:t xml:space="preserve">he </w:t>
      </w:r>
      <w:r w:rsidR="00592090" w:rsidRPr="002A4EC0">
        <w:rPr>
          <w:i/>
        </w:rPr>
        <w:t>Sri Lanka Human Development Report 2012</w:t>
      </w:r>
      <w:r w:rsidR="000C7033">
        <w:t xml:space="preserve"> attributes </w:t>
      </w:r>
      <w:r w:rsidR="00C53A72">
        <w:t>political under-representation</w:t>
      </w:r>
      <w:r w:rsidR="000C7033">
        <w:t xml:space="preserve"> to social, economic and cultural barriers that make it difficult for women to be nominated and elected. L</w:t>
      </w:r>
      <w:r w:rsidR="000C7033" w:rsidRPr="000C7033">
        <w:t xml:space="preserve">abour force participation by females </w:t>
      </w:r>
      <w:r w:rsidR="000C7033">
        <w:t>in Sri Lanka has</w:t>
      </w:r>
      <w:r w:rsidR="000C7033" w:rsidRPr="000C7033">
        <w:t xml:space="preserve"> remain</w:t>
      </w:r>
      <w:r w:rsidR="000C7033">
        <w:t>ed</w:t>
      </w:r>
      <w:r w:rsidR="000C7033" w:rsidRPr="000C7033">
        <w:t xml:space="preserve"> at 30</w:t>
      </w:r>
      <w:r w:rsidR="000C7033">
        <w:t xml:space="preserve"> per cent for many years.</w:t>
      </w:r>
      <w:r w:rsidR="000C7033" w:rsidRPr="004A5083">
        <w:rPr>
          <w:vertAlign w:val="superscript"/>
        </w:rPr>
        <w:footnoteReference w:id="4"/>
      </w:r>
      <w:r w:rsidR="000C7033">
        <w:t xml:space="preserve"> </w:t>
      </w:r>
      <w:r w:rsidR="00592090">
        <w:t xml:space="preserve"> </w:t>
      </w:r>
    </w:p>
    <w:p w14:paraId="1437529A" w14:textId="77777777" w:rsidR="008A31C7" w:rsidRPr="002A4EC0" w:rsidRDefault="00C53A72" w:rsidP="00A04F6F">
      <w:pPr>
        <w:pStyle w:val="BodyText"/>
      </w:pPr>
      <w:r w:rsidRPr="00BF05EE">
        <w:t>U</w:t>
      </w:r>
      <w:r w:rsidR="005F157D" w:rsidRPr="00BF05EE">
        <w:t>p to 30 per cent of people living in Sri Lanka’s lagging regions live below the international poverty line of $US2 per day</w:t>
      </w:r>
      <w:r w:rsidR="0083415C">
        <w:t xml:space="preserve">. </w:t>
      </w:r>
      <w:r w:rsidR="00B10AA4" w:rsidRPr="002A4EC0">
        <w:t xml:space="preserve">The distribution of people living in poverty varies between provinces. </w:t>
      </w:r>
      <w:r w:rsidR="000D4F89" w:rsidRPr="002A4EC0">
        <w:t xml:space="preserve">Sri Lanka </w:t>
      </w:r>
      <w:r w:rsidR="00B10AA4" w:rsidRPr="002A4EC0">
        <w:t>Central Bank data</w:t>
      </w:r>
      <w:r w:rsidR="000D4F89" w:rsidRPr="002A4EC0">
        <w:t xml:space="preserve"> reports</w:t>
      </w:r>
      <w:r w:rsidR="008A5A63">
        <w:t xml:space="preserve"> that</w:t>
      </w:r>
      <w:r w:rsidR="000D4F89" w:rsidRPr="002A4EC0">
        <w:t xml:space="preserve"> </w:t>
      </w:r>
      <w:r w:rsidR="005F157D" w:rsidRPr="002A4EC0">
        <w:t xml:space="preserve">the poverty rates in </w:t>
      </w:r>
      <w:r w:rsidR="008A5A63">
        <w:t xml:space="preserve">Eastern, </w:t>
      </w:r>
      <w:r w:rsidR="005F157D" w:rsidRPr="002A4EC0">
        <w:t xml:space="preserve">Northern and Uva </w:t>
      </w:r>
      <w:r w:rsidR="0083415C">
        <w:t>p</w:t>
      </w:r>
      <w:r w:rsidR="005F157D" w:rsidRPr="002A4EC0">
        <w:t>rovince</w:t>
      </w:r>
      <w:r w:rsidR="00FE7804" w:rsidRPr="002A4EC0">
        <w:t>s</w:t>
      </w:r>
      <w:r w:rsidR="005F157D" w:rsidRPr="002A4EC0">
        <w:t xml:space="preserve"> are three to four times greater than</w:t>
      </w:r>
      <w:r w:rsidR="0083415C">
        <w:t xml:space="preserve"> in</w:t>
      </w:r>
      <w:r w:rsidR="005F157D" w:rsidRPr="002A4EC0">
        <w:t xml:space="preserve"> Western Province (which includes the capital, Colombo</w:t>
      </w:r>
      <w:r w:rsidR="00FE7804" w:rsidRPr="002A4EC0">
        <w:t>)</w:t>
      </w:r>
      <w:r w:rsidR="005F157D" w:rsidRPr="002A4EC0">
        <w:t xml:space="preserve">. </w:t>
      </w:r>
      <w:r w:rsidR="0083415C">
        <w:t>D</w:t>
      </w:r>
      <w:r w:rsidR="005F157D" w:rsidRPr="002A4EC0">
        <w:t>espite significant reductions in poverty over the last 20 years,</w:t>
      </w:r>
      <w:r w:rsidR="00AA1109">
        <w:t xml:space="preserve"> many Sri Lankans, particularly in lagging regions, are </w:t>
      </w:r>
      <w:r w:rsidR="005F157D" w:rsidRPr="002A4EC0">
        <w:t>at risk of slipping back into poverty</w:t>
      </w:r>
      <w:r w:rsidR="00AA1109">
        <w:t xml:space="preserve"> and are particularly vulnerable to economic shocks and natural disasters.</w:t>
      </w:r>
    </w:p>
    <w:p w14:paraId="1437529B" w14:textId="77777777" w:rsidR="001729CD" w:rsidRPr="00896012" w:rsidRDefault="00970AC4" w:rsidP="00A04F6F">
      <w:pPr>
        <w:pStyle w:val="BodyText"/>
        <w:rPr>
          <w:lang w:val="en-US"/>
        </w:rPr>
      </w:pPr>
      <w:r>
        <w:rPr>
          <w:lang w:val="en-US"/>
        </w:rPr>
        <w:t>Government spending on health and education is</w:t>
      </w:r>
      <w:r w:rsidR="001729CD">
        <w:rPr>
          <w:lang w:val="en-US"/>
        </w:rPr>
        <w:t xml:space="preserve"> relatively</w:t>
      </w:r>
      <w:r>
        <w:rPr>
          <w:lang w:val="en-US"/>
        </w:rPr>
        <w:t xml:space="preserve"> low</w:t>
      </w:r>
      <w:r w:rsidR="003A7595">
        <w:rPr>
          <w:lang w:val="en-US"/>
        </w:rPr>
        <w:t xml:space="preserve"> in Sri Lanka</w:t>
      </w:r>
      <w:r>
        <w:rPr>
          <w:lang w:val="en-US"/>
        </w:rPr>
        <w:t xml:space="preserve"> </w:t>
      </w:r>
      <w:r w:rsidR="001729CD">
        <w:rPr>
          <w:lang w:val="en-US"/>
        </w:rPr>
        <w:t xml:space="preserve">compared to other middle-income countries. </w:t>
      </w:r>
      <w:r w:rsidR="0083415C">
        <w:rPr>
          <w:lang w:val="en-US"/>
        </w:rPr>
        <w:t xml:space="preserve">It </w:t>
      </w:r>
      <w:r>
        <w:rPr>
          <w:lang w:val="en-US"/>
        </w:rPr>
        <w:t xml:space="preserve">has fallen </w:t>
      </w:r>
      <w:r w:rsidR="001729CD">
        <w:rPr>
          <w:lang w:val="en-US"/>
        </w:rPr>
        <w:t>from 2011 levels</w:t>
      </w:r>
      <w:r w:rsidR="003A7595">
        <w:rPr>
          <w:lang w:val="en-US"/>
        </w:rPr>
        <w:t>—</w:t>
      </w:r>
      <w:r>
        <w:rPr>
          <w:lang w:val="en-US"/>
        </w:rPr>
        <w:t xml:space="preserve">from 1.9 to 1.8 per cent of </w:t>
      </w:r>
      <w:r w:rsidR="0083415C">
        <w:rPr>
          <w:lang w:val="en-US"/>
        </w:rPr>
        <w:t>gross domestic product (</w:t>
      </w:r>
      <w:r>
        <w:rPr>
          <w:lang w:val="en-US"/>
        </w:rPr>
        <w:t>GDP</w:t>
      </w:r>
      <w:r w:rsidR="0083415C">
        <w:rPr>
          <w:lang w:val="en-US"/>
        </w:rPr>
        <w:t>)</w:t>
      </w:r>
      <w:r>
        <w:rPr>
          <w:lang w:val="en-US"/>
        </w:rPr>
        <w:t xml:space="preserve"> for health, and from 1.4 to 1.3 per cent of GDP for education. Nutrition remains a serious national</w:t>
      </w:r>
      <w:r w:rsidR="00896012">
        <w:rPr>
          <w:lang w:val="en-US"/>
        </w:rPr>
        <w:t xml:space="preserve"> </w:t>
      </w:r>
      <w:r w:rsidR="006E6B65">
        <w:rPr>
          <w:lang w:val="en-US"/>
        </w:rPr>
        <w:t xml:space="preserve">issue </w:t>
      </w:r>
      <w:r w:rsidR="00896012">
        <w:rPr>
          <w:lang w:val="en-US"/>
        </w:rPr>
        <w:t>with</w:t>
      </w:r>
      <w:r w:rsidR="00896012" w:rsidRPr="00896012">
        <w:rPr>
          <w:lang w:val="en-US"/>
        </w:rPr>
        <w:t xml:space="preserve"> stunting rates ranging from 8 per cent in </w:t>
      </w:r>
      <w:r w:rsidR="00896012" w:rsidRPr="00896012">
        <w:rPr>
          <w:lang w:val="en-US"/>
        </w:rPr>
        <w:lastRenderedPageBreak/>
        <w:t xml:space="preserve">Colombo to 41 per cent in the hill country district of Nuwara </w:t>
      </w:r>
      <w:r w:rsidR="00896012" w:rsidRPr="007808D7">
        <w:t>Eliya.</w:t>
      </w:r>
      <w:r w:rsidR="00896012" w:rsidRPr="007808D7">
        <w:rPr>
          <w:vertAlign w:val="superscript"/>
        </w:rPr>
        <w:footnoteReference w:id="5"/>
      </w:r>
      <w:r w:rsidR="00896012" w:rsidRPr="007808D7">
        <w:t xml:space="preserve"> W</w:t>
      </w:r>
      <w:r w:rsidRPr="007808D7">
        <w:t>hile</w:t>
      </w:r>
      <w:r w:rsidRPr="00896012">
        <w:rPr>
          <w:lang w:val="en-US"/>
        </w:rPr>
        <w:t xml:space="preserve"> school completion rates are generally high, education quality and student performance on national exams are mixed</w:t>
      </w:r>
      <w:r w:rsidR="008C50B8" w:rsidRPr="00896012">
        <w:rPr>
          <w:lang w:val="en-US"/>
        </w:rPr>
        <w:t>. This is</w:t>
      </w:r>
      <w:r w:rsidRPr="00896012">
        <w:rPr>
          <w:lang w:val="en-US"/>
        </w:rPr>
        <w:t xml:space="preserve"> particularly concerning in lagging regions</w:t>
      </w:r>
      <w:r w:rsidR="004472C4" w:rsidRPr="00896012">
        <w:rPr>
          <w:lang w:val="en-US"/>
        </w:rPr>
        <w:t xml:space="preserve">, including </w:t>
      </w:r>
      <w:r w:rsidR="00CC14DB">
        <w:rPr>
          <w:lang w:val="en-US"/>
        </w:rPr>
        <w:t xml:space="preserve">in </w:t>
      </w:r>
      <w:r w:rsidR="004472C4" w:rsidRPr="00896012">
        <w:rPr>
          <w:lang w:val="en-US"/>
        </w:rPr>
        <w:t xml:space="preserve">plantation regions and areas of Eastern </w:t>
      </w:r>
      <w:r w:rsidR="003A7595">
        <w:rPr>
          <w:lang w:val="en-US"/>
        </w:rPr>
        <w:t xml:space="preserve">and Northern </w:t>
      </w:r>
      <w:r w:rsidR="00CC14DB">
        <w:rPr>
          <w:lang w:val="en-US"/>
        </w:rPr>
        <w:t>p</w:t>
      </w:r>
      <w:r w:rsidR="004472C4" w:rsidRPr="00896012">
        <w:rPr>
          <w:lang w:val="en-US"/>
        </w:rPr>
        <w:t>rovince</w:t>
      </w:r>
      <w:r w:rsidR="00CC14DB">
        <w:rPr>
          <w:lang w:val="en-US"/>
        </w:rPr>
        <w:t>s</w:t>
      </w:r>
      <w:r w:rsidR="008C50B8" w:rsidRPr="00896012">
        <w:rPr>
          <w:lang w:val="en-US"/>
        </w:rPr>
        <w:t xml:space="preserve"> </w:t>
      </w:r>
      <w:r w:rsidR="004472C4" w:rsidRPr="00896012">
        <w:rPr>
          <w:lang w:val="en-US"/>
        </w:rPr>
        <w:t>recovering from the civil war</w:t>
      </w:r>
      <w:r w:rsidRPr="00896012">
        <w:rPr>
          <w:lang w:val="en-US"/>
        </w:rPr>
        <w:t xml:space="preserve">. </w:t>
      </w:r>
    </w:p>
    <w:p w14:paraId="1437529C" w14:textId="77777777" w:rsidR="005206E1" w:rsidRPr="006C7B57" w:rsidRDefault="00CC14DB" w:rsidP="00A04F6F">
      <w:pPr>
        <w:pStyle w:val="BodyText"/>
        <w:rPr>
          <w:lang w:val="en-US"/>
        </w:rPr>
      </w:pPr>
      <w:r>
        <w:rPr>
          <w:lang w:val="en-US"/>
        </w:rPr>
        <w:t>L</w:t>
      </w:r>
      <w:r w:rsidR="007400D1">
        <w:rPr>
          <w:lang w:val="en-US"/>
        </w:rPr>
        <w:t xml:space="preserve">ack of detailed, disaggregated data is </w:t>
      </w:r>
      <w:r w:rsidR="00E11417">
        <w:rPr>
          <w:lang w:val="en-US"/>
        </w:rPr>
        <w:t xml:space="preserve">the </w:t>
      </w:r>
      <w:r w:rsidR="007400D1">
        <w:rPr>
          <w:lang w:val="en-US"/>
        </w:rPr>
        <w:t xml:space="preserve">major impediment to assessing </w:t>
      </w:r>
      <w:r>
        <w:rPr>
          <w:lang w:val="en-US"/>
        </w:rPr>
        <w:t xml:space="preserve">if </w:t>
      </w:r>
      <w:r w:rsidR="007400D1">
        <w:rPr>
          <w:lang w:val="en-US"/>
        </w:rPr>
        <w:t xml:space="preserve">national gains are helping the poorest and most vulnerable. </w:t>
      </w:r>
      <w:r>
        <w:rPr>
          <w:lang w:val="en-US"/>
        </w:rPr>
        <w:t>E</w:t>
      </w:r>
      <w:r w:rsidR="007400D1">
        <w:rPr>
          <w:lang w:val="en-US"/>
        </w:rPr>
        <w:t xml:space="preserve">vidence </w:t>
      </w:r>
      <w:r>
        <w:rPr>
          <w:lang w:val="en-US"/>
        </w:rPr>
        <w:t>that exists</w:t>
      </w:r>
      <w:r w:rsidR="007400D1">
        <w:rPr>
          <w:lang w:val="en-US"/>
        </w:rPr>
        <w:t xml:space="preserve"> suggests </w:t>
      </w:r>
      <w:r w:rsidR="005206E1">
        <w:rPr>
          <w:lang w:val="en-US"/>
        </w:rPr>
        <w:t xml:space="preserve">regional </w:t>
      </w:r>
      <w:r w:rsidR="00970AC4">
        <w:rPr>
          <w:lang w:val="en-US"/>
        </w:rPr>
        <w:t xml:space="preserve">disparities </w:t>
      </w:r>
      <w:r w:rsidR="007400D1">
        <w:rPr>
          <w:lang w:val="en-US"/>
        </w:rPr>
        <w:t>are not yet narrowing</w:t>
      </w:r>
      <w:r w:rsidR="005206E1">
        <w:rPr>
          <w:lang w:val="en-US"/>
        </w:rPr>
        <w:t xml:space="preserve">, especially in </w:t>
      </w:r>
      <w:r w:rsidR="004472C4">
        <w:rPr>
          <w:lang w:val="en-US"/>
        </w:rPr>
        <w:t>lagging regions</w:t>
      </w:r>
      <w:r w:rsidR="005206E1">
        <w:rPr>
          <w:lang w:val="en-US"/>
        </w:rPr>
        <w:t>. Colombo and Western Province</w:t>
      </w:r>
      <w:r w:rsidR="00970AC4">
        <w:rPr>
          <w:lang w:val="en-US"/>
        </w:rPr>
        <w:t xml:space="preserve"> continue to</w:t>
      </w:r>
      <w:r w:rsidR="005206E1">
        <w:rPr>
          <w:lang w:val="en-US"/>
        </w:rPr>
        <w:t xml:space="preserve"> account for approximately 45 per cent of national GDP </w:t>
      </w:r>
      <w:r w:rsidR="0022454C">
        <w:rPr>
          <w:lang w:val="en-US"/>
        </w:rPr>
        <w:t>with knock</w:t>
      </w:r>
      <w:r>
        <w:rPr>
          <w:lang w:val="en-US"/>
        </w:rPr>
        <w:t>-</w:t>
      </w:r>
      <w:r w:rsidR="0022454C">
        <w:rPr>
          <w:lang w:val="en-US"/>
        </w:rPr>
        <w:t xml:space="preserve">on effects to the distribution of poverty </w:t>
      </w:r>
      <w:r w:rsidR="00883467">
        <w:rPr>
          <w:lang w:val="en-US"/>
        </w:rPr>
        <w:t>across the nation</w:t>
      </w:r>
      <w:r w:rsidR="005206E1">
        <w:rPr>
          <w:lang w:val="en-US"/>
        </w:rPr>
        <w:t>.</w:t>
      </w:r>
      <w:r w:rsidR="00DA61E1">
        <w:rPr>
          <w:rStyle w:val="FootnoteReference"/>
          <w:lang w:val="en-US"/>
        </w:rPr>
        <w:footnoteReference w:id="6"/>
      </w:r>
      <w:r w:rsidR="005206E1">
        <w:rPr>
          <w:lang w:val="en-US"/>
        </w:rPr>
        <w:t xml:space="preserve"> </w:t>
      </w:r>
      <w:r w:rsidR="008C50B8">
        <w:rPr>
          <w:lang w:val="en-US"/>
        </w:rPr>
        <w:t xml:space="preserve">Data on regional </w:t>
      </w:r>
      <w:r w:rsidR="001147F9">
        <w:rPr>
          <w:lang w:val="en-US"/>
        </w:rPr>
        <w:t>dispar</w:t>
      </w:r>
      <w:r w:rsidR="008C50B8">
        <w:rPr>
          <w:lang w:val="en-US"/>
        </w:rPr>
        <w:t>ities is covered further under O</w:t>
      </w:r>
      <w:r w:rsidR="001147F9">
        <w:rPr>
          <w:lang w:val="en-US"/>
        </w:rPr>
        <w:t>bjective 1</w:t>
      </w:r>
      <w:r w:rsidR="0083415C">
        <w:rPr>
          <w:lang w:val="en-US"/>
        </w:rPr>
        <w:t xml:space="preserve">. </w:t>
      </w:r>
    </w:p>
    <w:p w14:paraId="1437529D" w14:textId="77777777" w:rsidR="000D4F89" w:rsidRDefault="00CC14DB" w:rsidP="00A04F6F">
      <w:pPr>
        <w:pStyle w:val="BodyText"/>
      </w:pPr>
      <w:r>
        <w:rPr>
          <w:b/>
          <w:bCs/>
        </w:rPr>
        <w:t>U</w:t>
      </w:r>
      <w:r w:rsidR="005206E1">
        <w:rPr>
          <w:b/>
          <w:bCs/>
        </w:rPr>
        <w:t>ncertainty over prospects for reconciliation</w:t>
      </w:r>
      <w:r w:rsidR="00246BBC">
        <w:rPr>
          <w:b/>
          <w:bCs/>
        </w:rPr>
        <w:t xml:space="preserve"> remain</w:t>
      </w:r>
      <w:r w:rsidR="005206E1">
        <w:rPr>
          <w:b/>
          <w:bCs/>
        </w:rPr>
        <w:t xml:space="preserve">. </w:t>
      </w:r>
      <w:r w:rsidR="001147F9" w:rsidRPr="007B40C2">
        <w:rPr>
          <w:bCs/>
        </w:rPr>
        <w:t xml:space="preserve">The </w:t>
      </w:r>
      <w:r w:rsidR="00E11417">
        <w:t xml:space="preserve">September 2012 </w:t>
      </w:r>
      <w:r w:rsidR="001147F9" w:rsidRPr="007B40C2">
        <w:rPr>
          <w:bCs/>
        </w:rPr>
        <w:t>closure of the last</w:t>
      </w:r>
      <w:r w:rsidR="001147F9">
        <w:t xml:space="preserve"> camp for </w:t>
      </w:r>
      <w:r w:rsidR="00E11417">
        <w:t xml:space="preserve">people who were </w:t>
      </w:r>
      <w:r w:rsidR="001147F9">
        <w:t xml:space="preserve">internally displaced </w:t>
      </w:r>
      <w:r w:rsidR="00E11417">
        <w:t xml:space="preserve">in the final phase of the civil conflict </w:t>
      </w:r>
      <w:r w:rsidR="001147F9">
        <w:t>was a major landmark</w:t>
      </w:r>
      <w:r w:rsidR="00EC68D9">
        <w:t>, although not all have returned home.</w:t>
      </w:r>
      <w:r w:rsidR="00D05905">
        <w:t xml:space="preserve"> This landmark is important in </w:t>
      </w:r>
      <w:r w:rsidR="003A7595">
        <w:t xml:space="preserve">the </w:t>
      </w:r>
      <w:r w:rsidR="00D05905">
        <w:t xml:space="preserve">ongoing efforts to achieve lasting peace and reconciliation between the parties to the conflict. However, </w:t>
      </w:r>
      <w:r w:rsidR="00B00EC3">
        <w:t>levels of</w:t>
      </w:r>
      <w:r w:rsidR="00D05905">
        <w:t xml:space="preserve"> media openness and democratic freedom</w:t>
      </w:r>
      <w:r w:rsidR="0071779C">
        <w:t xml:space="preserve"> are </w:t>
      </w:r>
      <w:r w:rsidR="00D05905">
        <w:t>key</w:t>
      </w:r>
      <w:r w:rsidR="00E34E52">
        <w:t>s to</w:t>
      </w:r>
      <w:r w:rsidR="00D05905">
        <w:t xml:space="preserve"> reconciliation.</w:t>
      </w:r>
      <w:r w:rsidR="00EC68D9">
        <w:t xml:space="preserve"> </w:t>
      </w:r>
      <w:r w:rsidR="005206E1" w:rsidRPr="00042155">
        <w:rPr>
          <w:szCs w:val="22"/>
        </w:rPr>
        <w:t>The</w:t>
      </w:r>
      <w:r w:rsidR="00042155">
        <w:rPr>
          <w:szCs w:val="22"/>
        </w:rPr>
        <w:t xml:space="preserve"> </w:t>
      </w:r>
      <w:r w:rsidR="005206E1" w:rsidRPr="00C57626">
        <w:rPr>
          <w:szCs w:val="22"/>
        </w:rPr>
        <w:t xml:space="preserve">Reporters without Borders Press Freedom Index ranks Sri Lanka 162 out of 179 </w:t>
      </w:r>
      <w:r w:rsidR="00240E82">
        <w:rPr>
          <w:szCs w:val="22"/>
        </w:rPr>
        <w:t xml:space="preserve">on press freedom </w:t>
      </w:r>
      <w:r w:rsidR="005206E1" w:rsidRPr="00C57626">
        <w:rPr>
          <w:szCs w:val="22"/>
        </w:rPr>
        <w:t>in 2013.</w:t>
      </w:r>
      <w:r w:rsidR="00DA61E1" w:rsidRPr="00C57626">
        <w:rPr>
          <w:szCs w:val="22"/>
        </w:rPr>
        <w:t xml:space="preserve"> </w:t>
      </w:r>
      <w:r w:rsidR="00240E82">
        <w:t>C</w:t>
      </w:r>
      <w:r w:rsidR="005206E1" w:rsidRPr="00556186">
        <w:t xml:space="preserve">ivic participation </w:t>
      </w:r>
      <w:r w:rsidR="00556186" w:rsidRPr="00556186">
        <w:t>has</w:t>
      </w:r>
      <w:r w:rsidR="005206E1" w:rsidRPr="00556186">
        <w:t xml:space="preserve"> </w:t>
      </w:r>
      <w:r w:rsidR="00556186" w:rsidRPr="00556186">
        <w:t>dropped</w:t>
      </w:r>
      <w:r w:rsidR="005206E1" w:rsidRPr="00556186">
        <w:t xml:space="preserve"> in provincial elections from</w:t>
      </w:r>
      <w:r w:rsidR="00642DF9">
        <w:t xml:space="preserve"> about </w:t>
      </w:r>
      <w:r w:rsidR="005206E1">
        <w:t>70 per cent in 2008 to less than 45 per cent in 2012. In its latest Democracy Index, the Eco</w:t>
      </w:r>
      <w:r w:rsidR="001B635D">
        <w:t xml:space="preserve">nomist Intelligence </w:t>
      </w:r>
      <w:r w:rsidR="003A3CB7">
        <w:t>Unit</w:t>
      </w:r>
      <w:r w:rsidR="005206E1">
        <w:t xml:space="preserve"> </w:t>
      </w:r>
      <w:r w:rsidR="00556186">
        <w:t>ranked</w:t>
      </w:r>
      <w:r w:rsidR="005206E1">
        <w:t xml:space="preserve"> Sri Lanka </w:t>
      </w:r>
      <w:r w:rsidR="00556186">
        <w:t>at</w:t>
      </w:r>
      <w:r w:rsidR="005206E1">
        <w:t xml:space="preserve"> 89</w:t>
      </w:r>
      <w:r w:rsidR="005206E1" w:rsidRPr="00042155">
        <w:rPr>
          <w:vertAlign w:val="superscript"/>
        </w:rPr>
        <w:t xml:space="preserve">th </w:t>
      </w:r>
      <w:r w:rsidR="005206E1">
        <w:t>in 2012 (from 57</w:t>
      </w:r>
      <w:r w:rsidR="005206E1" w:rsidRPr="00042155">
        <w:rPr>
          <w:vertAlign w:val="superscript"/>
        </w:rPr>
        <w:t>th</w:t>
      </w:r>
      <w:r w:rsidR="005206E1">
        <w:t xml:space="preserve"> in 2011).</w:t>
      </w:r>
    </w:p>
    <w:p w14:paraId="1437529E" w14:textId="77777777" w:rsidR="005206E1" w:rsidRDefault="00240E82" w:rsidP="00A04F6F">
      <w:pPr>
        <w:pStyle w:val="BodyText"/>
        <w:rPr>
          <w:lang w:val="en-US"/>
        </w:rPr>
      </w:pPr>
      <w:r>
        <w:rPr>
          <w:b/>
          <w:bCs/>
        </w:rPr>
        <w:t>The</w:t>
      </w:r>
      <w:r w:rsidR="005206E1">
        <w:rPr>
          <w:b/>
          <w:bCs/>
        </w:rPr>
        <w:t xml:space="preserve"> donor landscape is</w:t>
      </w:r>
      <w:r w:rsidR="00235B21">
        <w:rPr>
          <w:b/>
          <w:bCs/>
        </w:rPr>
        <w:t xml:space="preserve"> changing.</w:t>
      </w:r>
      <w:r w:rsidR="005206E1">
        <w:rPr>
          <w:b/>
          <w:bCs/>
        </w:rPr>
        <w:t xml:space="preserve"> </w:t>
      </w:r>
      <w:r w:rsidR="00AE7F86">
        <w:t>T</w:t>
      </w:r>
      <w:r w:rsidR="005206E1">
        <w:t xml:space="preserve">raditional </w:t>
      </w:r>
      <w:r w:rsidR="004F5D75" w:rsidRPr="005116C8">
        <w:t>O</w:t>
      </w:r>
      <w:r w:rsidR="005206E1" w:rsidRPr="004A5083">
        <w:t>ECD</w:t>
      </w:r>
      <w:r w:rsidR="009A5315">
        <w:t xml:space="preserve"> – </w:t>
      </w:r>
      <w:r w:rsidR="005206E1" w:rsidRPr="004A5083">
        <w:t>DAC</w:t>
      </w:r>
      <w:r w:rsidR="003A7595">
        <w:rPr>
          <w:rStyle w:val="FootnoteReference"/>
        </w:rPr>
        <w:footnoteReference w:id="7"/>
      </w:r>
      <w:r w:rsidR="005206E1">
        <w:t xml:space="preserve"> donors </w:t>
      </w:r>
      <w:r w:rsidR="00235B21">
        <w:t xml:space="preserve">and multilateral lenders </w:t>
      </w:r>
      <w:r w:rsidR="005206E1">
        <w:t xml:space="preserve">continue to scale back investments </w:t>
      </w:r>
      <w:r w:rsidR="00235B21">
        <w:t>while</w:t>
      </w:r>
      <w:r w:rsidR="005206E1" w:rsidRPr="00094EB0">
        <w:t xml:space="preserve"> financial flows from </w:t>
      </w:r>
      <w:r w:rsidR="002908D7">
        <w:t xml:space="preserve">other nations including China, </w:t>
      </w:r>
      <w:r w:rsidR="005206E1" w:rsidRPr="00094EB0">
        <w:t>India</w:t>
      </w:r>
      <w:r w:rsidR="002908D7">
        <w:t xml:space="preserve"> </w:t>
      </w:r>
      <w:r w:rsidR="002040E7">
        <w:t xml:space="preserve">and </w:t>
      </w:r>
      <w:r w:rsidR="001872A2">
        <w:t>Iran</w:t>
      </w:r>
      <w:r w:rsidR="00235B21">
        <w:t xml:space="preserve"> are increasing</w:t>
      </w:r>
      <w:r w:rsidR="005206E1" w:rsidRPr="00094EB0">
        <w:t>.</w:t>
      </w:r>
      <w:r w:rsidR="002908D7">
        <w:rPr>
          <w:rStyle w:val="FootnoteReference"/>
        </w:rPr>
        <w:footnoteReference w:id="8"/>
      </w:r>
      <w:r w:rsidR="005206E1" w:rsidRPr="00094EB0">
        <w:t xml:space="preserve"> </w:t>
      </w:r>
    </w:p>
    <w:p w14:paraId="1437529F" w14:textId="3AA24C21" w:rsidR="000C62F4" w:rsidRDefault="00D63B7A" w:rsidP="00A04F6F">
      <w:pPr>
        <w:pStyle w:val="BodyText"/>
      </w:pPr>
      <w:r>
        <w:rPr>
          <w:b/>
          <w:bCs/>
        </w:rPr>
        <w:t xml:space="preserve">Changes in </w:t>
      </w:r>
      <w:r w:rsidR="00246BBC">
        <w:rPr>
          <w:b/>
          <w:bCs/>
        </w:rPr>
        <w:t xml:space="preserve">Sri Lanka’s operating </w:t>
      </w:r>
      <w:r>
        <w:rPr>
          <w:b/>
          <w:bCs/>
        </w:rPr>
        <w:t>context underline the need for Australia to continue to pursue aid objectives through flexible engagement.</w:t>
      </w:r>
      <w:r w:rsidR="005206E1">
        <w:t xml:space="preserve"> Australia is now the second largest </w:t>
      </w:r>
      <w:r w:rsidR="005206E1" w:rsidRPr="00BE7A56">
        <w:t>OECD</w:t>
      </w:r>
      <w:r w:rsidR="009A5315">
        <w:t xml:space="preserve"> – </w:t>
      </w:r>
      <w:r w:rsidR="005206E1" w:rsidRPr="00BE7A56">
        <w:t>DAC</w:t>
      </w:r>
      <w:r w:rsidR="005206E1">
        <w:t xml:space="preserve"> donor</w:t>
      </w:r>
      <w:r w:rsidR="00567A72">
        <w:t xml:space="preserve"> in Sri Lanka, after Japan</w:t>
      </w:r>
      <w:r w:rsidR="005956E7">
        <w:t xml:space="preserve">, although the volume of Australian aid is relatively small (only about </w:t>
      </w:r>
      <w:r w:rsidR="00E34E52">
        <w:t xml:space="preserve">5 </w:t>
      </w:r>
      <w:r w:rsidR="005956E7">
        <w:t>per cent of aid flows)</w:t>
      </w:r>
      <w:r w:rsidR="00567A72">
        <w:t xml:space="preserve">. </w:t>
      </w:r>
      <w:r w:rsidR="00567A72" w:rsidRPr="00567A72">
        <w:t>The</w:t>
      </w:r>
      <w:r w:rsidR="00787668" w:rsidRPr="00567A72">
        <w:t xml:space="preserve"> bilateral </w:t>
      </w:r>
      <w:r w:rsidR="00567A72" w:rsidRPr="00567A72">
        <w:t>relationship remains constructive, strong and founded on many elements beyond the aid program.</w:t>
      </w:r>
      <w:r w:rsidR="005919AA">
        <w:t xml:space="preserve"> These include a healthy trade relationship, strong people-to-people link</w:t>
      </w:r>
      <w:r w:rsidR="00240E82">
        <w:t>s,</w:t>
      </w:r>
      <w:r w:rsidR="005919AA">
        <w:t xml:space="preserve"> particularly through education, tourism travel </w:t>
      </w:r>
      <w:r w:rsidR="00240E82">
        <w:t xml:space="preserve">growth </w:t>
      </w:r>
      <w:r w:rsidR="005919AA">
        <w:t>between both nations</w:t>
      </w:r>
      <w:r w:rsidR="000D75DA">
        <w:t>,</w:t>
      </w:r>
      <w:r w:rsidR="005919AA">
        <w:t xml:space="preserve"> and important cooperation on combating people smuggling</w:t>
      </w:r>
      <w:r w:rsidR="0083415C">
        <w:t xml:space="preserve">. </w:t>
      </w:r>
    </w:p>
    <w:p w14:paraId="143752A0" w14:textId="790E24C9" w:rsidR="001567A8" w:rsidRPr="00E64E46" w:rsidRDefault="001567A8" w:rsidP="00A04F6F">
      <w:pPr>
        <w:pStyle w:val="BodyText"/>
      </w:pPr>
      <w:r w:rsidRPr="00991B6D">
        <w:rPr>
          <w:b/>
        </w:rPr>
        <w:t>Sri Lankan Government and development partner programs are targeting improvements for Sri Lanka’s lagging regions.</w:t>
      </w:r>
      <w:r>
        <w:t xml:space="preserve"> </w:t>
      </w:r>
      <w:r w:rsidRPr="00E64E46">
        <w:t xml:space="preserve">Some of </w:t>
      </w:r>
      <w:r w:rsidR="00240E82">
        <w:t xml:space="preserve">the </w:t>
      </w:r>
      <w:r w:rsidRPr="00E64E46">
        <w:t>Sri Lanka</w:t>
      </w:r>
      <w:r w:rsidR="007D4949">
        <w:t>n</w:t>
      </w:r>
      <w:r w:rsidRPr="00E64E46">
        <w:t xml:space="preserve"> Government’s national and sub-national programs for economic and social development now operate in areas formerly affected by the </w:t>
      </w:r>
      <w:r w:rsidR="00CD4B44">
        <w:t>26</w:t>
      </w:r>
      <w:r w:rsidR="00136575">
        <w:t>-</w:t>
      </w:r>
      <w:r w:rsidR="00CD4B44">
        <w:t>year</w:t>
      </w:r>
      <w:r w:rsidR="00AA1109">
        <w:t xml:space="preserve"> </w:t>
      </w:r>
      <w:r w:rsidRPr="00E64E46">
        <w:t>civil conflict. Th</w:t>
      </w:r>
      <w:r w:rsidR="00240E82">
        <w:t>ese</w:t>
      </w:r>
      <w:r w:rsidRPr="00E64E46">
        <w:t xml:space="preserve"> include large programs to develop infrastructure of national significance like national highways. Such investments highlight the role the Sri Lankan Government hopes economic development will play in post-conflict reconciliation. Australia </w:t>
      </w:r>
      <w:r w:rsidR="00D960F9">
        <w:t xml:space="preserve">continues to carefully appraise opportunities to support </w:t>
      </w:r>
      <w:r w:rsidRPr="00E64E46">
        <w:t>initiatives</w:t>
      </w:r>
      <w:r w:rsidR="002177C6">
        <w:t xml:space="preserve"> led by the Sri Lankan Government</w:t>
      </w:r>
      <w:r w:rsidRPr="00E64E46">
        <w:t xml:space="preserve">, </w:t>
      </w:r>
      <w:r w:rsidR="00D960F9">
        <w:t xml:space="preserve">and </w:t>
      </w:r>
      <w:r w:rsidRPr="00E64E46">
        <w:t xml:space="preserve">to date </w:t>
      </w:r>
      <w:r w:rsidR="00D960F9">
        <w:t xml:space="preserve">has made commitments </w:t>
      </w:r>
      <w:r w:rsidR="00005B84">
        <w:t xml:space="preserve">to </w:t>
      </w:r>
      <w:r w:rsidRPr="00E64E46">
        <w:t xml:space="preserve">education reform and economic infrastructure reconstruction. </w:t>
      </w:r>
    </w:p>
    <w:p w14:paraId="143752A1" w14:textId="7A7D5D29" w:rsidR="00560D19" w:rsidRPr="001E00BB" w:rsidRDefault="00B13F26" w:rsidP="00A04F6F">
      <w:pPr>
        <w:pStyle w:val="BodyText"/>
        <w:rPr>
          <w:szCs w:val="22"/>
        </w:rPr>
      </w:pPr>
      <w:r w:rsidRPr="00991B6D">
        <w:rPr>
          <w:b/>
          <w:szCs w:val="22"/>
        </w:rPr>
        <w:t xml:space="preserve">The </w:t>
      </w:r>
      <w:r w:rsidR="00560D19" w:rsidRPr="00991B6D">
        <w:rPr>
          <w:b/>
          <w:szCs w:val="22"/>
        </w:rPr>
        <w:t xml:space="preserve">team </w:t>
      </w:r>
      <w:r w:rsidR="00DD1531">
        <w:rPr>
          <w:b/>
          <w:szCs w:val="22"/>
        </w:rPr>
        <w:t xml:space="preserve">of Aid program staff </w:t>
      </w:r>
      <w:r w:rsidR="00560D19" w:rsidRPr="00991B6D">
        <w:rPr>
          <w:b/>
          <w:szCs w:val="22"/>
        </w:rPr>
        <w:t>manag</w:t>
      </w:r>
      <w:r w:rsidR="00F654BC">
        <w:rPr>
          <w:b/>
          <w:szCs w:val="22"/>
        </w:rPr>
        <w:t>ing</w:t>
      </w:r>
      <w:r w:rsidR="00560D19" w:rsidRPr="00991B6D">
        <w:rPr>
          <w:b/>
          <w:szCs w:val="22"/>
        </w:rPr>
        <w:t xml:space="preserve"> the</w:t>
      </w:r>
      <w:r w:rsidR="00F654BC">
        <w:rPr>
          <w:b/>
          <w:szCs w:val="22"/>
        </w:rPr>
        <w:t xml:space="preserve"> </w:t>
      </w:r>
      <w:r w:rsidR="00F654BC" w:rsidRPr="00991B6D">
        <w:rPr>
          <w:b/>
          <w:szCs w:val="22"/>
        </w:rPr>
        <w:t>Sri Lanka</w:t>
      </w:r>
      <w:r w:rsidR="00560D19" w:rsidRPr="00991B6D">
        <w:rPr>
          <w:b/>
          <w:szCs w:val="22"/>
        </w:rPr>
        <w:t xml:space="preserve"> country program has grown </w:t>
      </w:r>
      <w:r w:rsidR="00120A05" w:rsidRPr="00991B6D">
        <w:rPr>
          <w:b/>
          <w:szCs w:val="22"/>
        </w:rPr>
        <w:t>gradually</w:t>
      </w:r>
      <w:r w:rsidR="00560D19" w:rsidRPr="00991B6D">
        <w:rPr>
          <w:b/>
          <w:szCs w:val="22"/>
        </w:rPr>
        <w:t xml:space="preserve"> over the reporting period, but pressures remain significant. </w:t>
      </w:r>
      <w:r w:rsidR="000C2148">
        <w:rPr>
          <w:szCs w:val="22"/>
        </w:rPr>
        <w:t>Led</w:t>
      </w:r>
      <w:r w:rsidR="00560D19" w:rsidRPr="00991B6D">
        <w:rPr>
          <w:szCs w:val="22"/>
        </w:rPr>
        <w:t xml:space="preserve"> by </w:t>
      </w:r>
      <w:r w:rsidR="000C2148">
        <w:rPr>
          <w:szCs w:val="22"/>
        </w:rPr>
        <w:t xml:space="preserve">a </w:t>
      </w:r>
      <w:r w:rsidR="00560D19" w:rsidRPr="00991B6D">
        <w:rPr>
          <w:szCs w:val="22"/>
        </w:rPr>
        <w:t>Counsellor</w:t>
      </w:r>
      <w:r w:rsidR="000C2148">
        <w:rPr>
          <w:szCs w:val="22"/>
        </w:rPr>
        <w:t xml:space="preserve"> at </w:t>
      </w:r>
      <w:r w:rsidR="00560D19" w:rsidRPr="00991B6D">
        <w:rPr>
          <w:szCs w:val="22"/>
        </w:rPr>
        <w:t>the Colombo Post</w:t>
      </w:r>
      <w:r w:rsidR="000C2148">
        <w:rPr>
          <w:szCs w:val="22"/>
        </w:rPr>
        <w:t>, the team comprises three</w:t>
      </w:r>
      <w:r w:rsidR="00560D19" w:rsidRPr="00991B6D">
        <w:rPr>
          <w:szCs w:val="22"/>
        </w:rPr>
        <w:t xml:space="preserve"> A</w:t>
      </w:r>
      <w:r w:rsidR="00240E82">
        <w:rPr>
          <w:szCs w:val="22"/>
        </w:rPr>
        <w:t>ustralian</w:t>
      </w:r>
      <w:r w:rsidR="00560D19" w:rsidRPr="00991B6D">
        <w:rPr>
          <w:szCs w:val="22"/>
        </w:rPr>
        <w:t>-</w:t>
      </w:r>
      <w:r w:rsidR="00240E82">
        <w:rPr>
          <w:szCs w:val="22"/>
        </w:rPr>
        <w:t>b</w:t>
      </w:r>
      <w:r w:rsidR="00560D19" w:rsidRPr="00991B6D">
        <w:rPr>
          <w:szCs w:val="22"/>
        </w:rPr>
        <w:t xml:space="preserve">ased and </w:t>
      </w:r>
      <w:r w:rsidR="00A848FE">
        <w:rPr>
          <w:szCs w:val="22"/>
        </w:rPr>
        <w:t xml:space="preserve">nine </w:t>
      </w:r>
      <w:r w:rsidR="00240E82">
        <w:rPr>
          <w:szCs w:val="22"/>
        </w:rPr>
        <w:lastRenderedPageBreak/>
        <w:t>overseas</w:t>
      </w:r>
      <w:r w:rsidR="00560D19" w:rsidRPr="00991B6D">
        <w:rPr>
          <w:szCs w:val="22"/>
        </w:rPr>
        <w:t>-based officers</w:t>
      </w:r>
      <w:r w:rsidR="000D4F89">
        <w:rPr>
          <w:szCs w:val="22"/>
        </w:rPr>
        <w:t xml:space="preserve"> (</w:t>
      </w:r>
      <w:r w:rsidR="00240E82">
        <w:rPr>
          <w:szCs w:val="22"/>
        </w:rPr>
        <w:t>five</w:t>
      </w:r>
      <w:r w:rsidR="000D4F89">
        <w:rPr>
          <w:szCs w:val="22"/>
        </w:rPr>
        <w:t xml:space="preserve"> program and </w:t>
      </w:r>
      <w:r w:rsidR="00240E82">
        <w:rPr>
          <w:szCs w:val="22"/>
        </w:rPr>
        <w:t>four</w:t>
      </w:r>
      <w:r w:rsidR="000D4F89">
        <w:rPr>
          <w:szCs w:val="22"/>
        </w:rPr>
        <w:t xml:space="preserve"> administrative staff)</w:t>
      </w:r>
      <w:r w:rsidR="000C2148">
        <w:rPr>
          <w:szCs w:val="22"/>
        </w:rPr>
        <w:t xml:space="preserve"> in Sri Lanka, and the </w:t>
      </w:r>
      <w:r w:rsidR="000C2148" w:rsidRPr="00991B6D">
        <w:rPr>
          <w:szCs w:val="22"/>
        </w:rPr>
        <w:t>equivalent of 3.5 full</w:t>
      </w:r>
      <w:r w:rsidR="000C2148">
        <w:rPr>
          <w:szCs w:val="22"/>
        </w:rPr>
        <w:t>-</w:t>
      </w:r>
      <w:r w:rsidR="000C2148" w:rsidRPr="00991B6D">
        <w:rPr>
          <w:szCs w:val="22"/>
        </w:rPr>
        <w:t xml:space="preserve">time staff </w:t>
      </w:r>
      <w:r w:rsidR="000C2148">
        <w:rPr>
          <w:szCs w:val="22"/>
        </w:rPr>
        <w:t>in Canberra</w:t>
      </w:r>
      <w:r w:rsidR="000D4F89">
        <w:rPr>
          <w:szCs w:val="22"/>
        </w:rPr>
        <w:t>.</w:t>
      </w:r>
      <w:r w:rsidR="000C2148">
        <w:rPr>
          <w:szCs w:val="22"/>
        </w:rPr>
        <w:t xml:space="preserve"> </w:t>
      </w:r>
      <w:r w:rsidR="00560D19" w:rsidRPr="00991B6D">
        <w:rPr>
          <w:szCs w:val="22"/>
        </w:rPr>
        <w:t xml:space="preserve">The </w:t>
      </w:r>
      <w:r w:rsidR="00E46AC3">
        <w:rPr>
          <w:szCs w:val="22"/>
        </w:rPr>
        <w:t>p</w:t>
      </w:r>
      <w:r w:rsidR="00560D19" w:rsidRPr="00991B6D">
        <w:rPr>
          <w:szCs w:val="22"/>
        </w:rPr>
        <w:t xml:space="preserve">rogram benefits from the support of the South Asia Regional Education Advisor, </w:t>
      </w:r>
      <w:r w:rsidR="00885B91">
        <w:rPr>
          <w:szCs w:val="22"/>
        </w:rPr>
        <w:t xml:space="preserve">accessing </w:t>
      </w:r>
      <w:r w:rsidR="00560D19" w:rsidRPr="00991B6D">
        <w:rPr>
          <w:szCs w:val="22"/>
        </w:rPr>
        <w:t xml:space="preserve">about 30 per cent of </w:t>
      </w:r>
      <w:r w:rsidR="00E46AC3">
        <w:rPr>
          <w:szCs w:val="22"/>
        </w:rPr>
        <w:t>the advisor’s</w:t>
      </w:r>
      <w:r w:rsidR="00E46AC3" w:rsidRPr="00991B6D">
        <w:rPr>
          <w:szCs w:val="22"/>
        </w:rPr>
        <w:t xml:space="preserve"> </w:t>
      </w:r>
      <w:r w:rsidR="00560D19" w:rsidRPr="00991B6D">
        <w:rPr>
          <w:szCs w:val="22"/>
        </w:rPr>
        <w:t xml:space="preserve">time. </w:t>
      </w:r>
      <w:r w:rsidR="00E46AC3">
        <w:rPr>
          <w:szCs w:val="22"/>
        </w:rPr>
        <w:t>The program has n</w:t>
      </w:r>
      <w:r w:rsidR="00560D19" w:rsidRPr="00991B6D">
        <w:rPr>
          <w:szCs w:val="22"/>
        </w:rPr>
        <w:t xml:space="preserve">o </w:t>
      </w:r>
      <w:r w:rsidR="00885B91">
        <w:rPr>
          <w:szCs w:val="22"/>
        </w:rPr>
        <w:t>other</w:t>
      </w:r>
      <w:r w:rsidR="00560D19" w:rsidRPr="00991B6D">
        <w:rPr>
          <w:szCs w:val="22"/>
        </w:rPr>
        <w:t xml:space="preserve"> dedicated technical support</w:t>
      </w:r>
      <w:r w:rsidR="00543A67">
        <w:rPr>
          <w:szCs w:val="22"/>
        </w:rPr>
        <w:t>.</w:t>
      </w:r>
      <w:r w:rsidR="00560D19" w:rsidRPr="00991B6D">
        <w:rPr>
          <w:szCs w:val="22"/>
        </w:rPr>
        <w:t xml:space="preserve"> </w:t>
      </w:r>
    </w:p>
    <w:p w14:paraId="143752A2" w14:textId="77777777" w:rsidR="00180B19" w:rsidRPr="00180B19" w:rsidRDefault="00180B19" w:rsidP="00A04F6F">
      <w:pPr>
        <w:pStyle w:val="Heading1"/>
      </w:pPr>
      <w:r w:rsidRPr="00180B19">
        <w:t>Expenditure</w:t>
      </w:r>
    </w:p>
    <w:p w14:paraId="143752A3" w14:textId="163E3D71" w:rsidR="00AC69DD" w:rsidRPr="000222CC" w:rsidRDefault="007D4949" w:rsidP="00A04F6F">
      <w:pPr>
        <w:pStyle w:val="BodyText"/>
      </w:pPr>
      <w:r>
        <w:t>T</w:t>
      </w:r>
      <w:r w:rsidR="00AC69DD">
        <w:t xml:space="preserve">ables </w:t>
      </w:r>
      <w:r>
        <w:t>1A and 1B</w:t>
      </w:r>
      <w:r w:rsidR="00AC69DD">
        <w:t xml:space="preserve"> outline</w:t>
      </w:r>
      <w:r w:rsidR="00DD3572">
        <w:t xml:space="preserve"> Australian</w:t>
      </w:r>
      <w:r w:rsidR="00AC69DD">
        <w:t xml:space="preserve"> e</w:t>
      </w:r>
      <w:r w:rsidR="00AC69DD" w:rsidRPr="000222CC">
        <w:t xml:space="preserve">xpenditure against </w:t>
      </w:r>
      <w:r w:rsidR="007245E3">
        <w:t xml:space="preserve">the </w:t>
      </w:r>
      <w:r w:rsidR="00AC69DD" w:rsidRPr="000222CC">
        <w:t>objectives</w:t>
      </w:r>
      <w:r w:rsidR="007245E3">
        <w:t xml:space="preserve"> of the Sri Lanka program strategy</w:t>
      </w:r>
      <w:r w:rsidR="00782997">
        <w:t xml:space="preserve"> for the </w:t>
      </w:r>
      <w:r w:rsidR="007245E3">
        <w:t>18</w:t>
      </w:r>
      <w:r>
        <w:t>-</w:t>
      </w:r>
      <w:r w:rsidR="007245E3">
        <w:t>month period</w:t>
      </w:r>
      <w:r w:rsidR="00782997">
        <w:t xml:space="preserve"> January 2012 to June 2013. The purpose of the</w:t>
      </w:r>
      <w:r w:rsidR="00136575">
        <w:t xml:space="preserve">se </w:t>
      </w:r>
      <w:r w:rsidR="00782997">
        <w:t xml:space="preserve">tables is </w:t>
      </w:r>
      <w:r w:rsidR="00AC69DD" w:rsidRPr="000222CC">
        <w:t xml:space="preserve">to </w:t>
      </w:r>
      <w:r w:rsidR="002177C6">
        <w:t>cover</w:t>
      </w:r>
      <w:r w:rsidR="007245E3">
        <w:t xml:space="preserve"> </w:t>
      </w:r>
      <w:r w:rsidR="00AC69DD" w:rsidRPr="000222CC">
        <w:t xml:space="preserve">the transition from calendar year to financial year reporting in </w:t>
      </w:r>
      <w:r w:rsidR="00935D01">
        <w:t>aid</w:t>
      </w:r>
      <w:r w:rsidR="007245E3">
        <w:t xml:space="preserve"> </w:t>
      </w:r>
      <w:r w:rsidR="00136575">
        <w:t>p</w:t>
      </w:r>
      <w:r>
        <w:t>r</w:t>
      </w:r>
      <w:r w:rsidR="007245E3">
        <w:t xml:space="preserve">ogram </w:t>
      </w:r>
      <w:r w:rsidR="00136575">
        <w:t>p</w:t>
      </w:r>
      <w:r w:rsidR="007245E3">
        <w:t>erformance</w:t>
      </w:r>
      <w:r w:rsidR="002177C6">
        <w:t xml:space="preserve"> r</w:t>
      </w:r>
      <w:r w:rsidR="007245E3">
        <w:t>eport</w:t>
      </w:r>
      <w:r w:rsidR="00AC69DD" w:rsidRPr="000222CC">
        <w:t>s</w:t>
      </w:r>
      <w:r w:rsidR="0011701B">
        <w:t xml:space="preserve"> (</w:t>
      </w:r>
      <w:r w:rsidR="00935D01">
        <w:t>APPR)</w:t>
      </w:r>
      <w:r w:rsidR="00AC69DD" w:rsidRPr="000222CC">
        <w:t>.</w:t>
      </w:r>
    </w:p>
    <w:p w14:paraId="143752A4" w14:textId="77777777" w:rsidR="00BE65E4" w:rsidRPr="00A04F6F" w:rsidRDefault="00BE65E4" w:rsidP="00A04F6F">
      <w:pPr>
        <w:pStyle w:val="Caption"/>
      </w:pPr>
      <w:r w:rsidRPr="00A04F6F">
        <w:t xml:space="preserve">Table </w:t>
      </w:r>
      <w:r w:rsidR="00B36188">
        <w:fldChar w:fldCharType="begin"/>
      </w:r>
      <w:r w:rsidR="00B36188">
        <w:instrText xml:space="preserve"> SEQ Table \* ARABIC </w:instrText>
      </w:r>
      <w:r w:rsidR="00B36188">
        <w:fldChar w:fldCharType="separate"/>
      </w:r>
      <w:r w:rsidR="00085900">
        <w:rPr>
          <w:noProof/>
        </w:rPr>
        <w:t>1</w:t>
      </w:r>
      <w:r w:rsidR="00B36188">
        <w:rPr>
          <w:noProof/>
        </w:rPr>
        <w:fldChar w:fldCharType="end"/>
      </w:r>
      <w:r w:rsidRPr="00A04F6F">
        <w:t xml:space="preserve">A Expenditure 01 Jan 2012- 30 Jun </w:t>
      </w:r>
      <w:r w:rsidR="009A28D2" w:rsidRPr="00A04F6F">
        <w:t>2012</w:t>
      </w:r>
    </w:p>
    <w:tbl>
      <w:tblPr>
        <w:tblStyle w:val="APPR"/>
        <w:tblW w:w="5000" w:type="pct"/>
        <w:tblLayout w:type="fixed"/>
        <w:tblLook w:val="0000" w:firstRow="0" w:lastRow="0" w:firstColumn="0" w:lastColumn="0" w:noHBand="0" w:noVBand="0"/>
      </w:tblPr>
      <w:tblGrid>
        <w:gridCol w:w="6131"/>
        <w:gridCol w:w="998"/>
        <w:gridCol w:w="1477"/>
      </w:tblGrid>
      <w:tr w:rsidR="00180B19" w:rsidRPr="00180B19" w14:paraId="143752A8" w14:textId="77777777" w:rsidTr="00A04F6F">
        <w:trPr>
          <w:cantSplit/>
          <w:tblHeader w:val="0"/>
        </w:trPr>
        <w:tc>
          <w:tcPr>
            <w:tcW w:w="6048" w:type="dxa"/>
          </w:tcPr>
          <w:p w14:paraId="143752A5" w14:textId="77777777" w:rsidR="00180B19" w:rsidRPr="00180B19" w:rsidRDefault="00180B19" w:rsidP="00A04F6F">
            <w:pPr>
              <w:pStyle w:val="TableTextColumnHeading"/>
            </w:pPr>
            <w:r w:rsidRPr="00180B19">
              <w:t>Objective</w:t>
            </w:r>
          </w:p>
        </w:tc>
        <w:tc>
          <w:tcPr>
            <w:tcW w:w="964" w:type="dxa"/>
          </w:tcPr>
          <w:p w14:paraId="143752A6" w14:textId="77777777" w:rsidR="00180B19" w:rsidRPr="00180B19" w:rsidRDefault="00180B19" w:rsidP="00A04F6F">
            <w:pPr>
              <w:pStyle w:val="TableTextColumnHeading"/>
            </w:pPr>
            <w:r w:rsidRPr="00180B19">
              <w:t>A$ million</w:t>
            </w:r>
          </w:p>
        </w:tc>
        <w:tc>
          <w:tcPr>
            <w:tcW w:w="1426" w:type="dxa"/>
          </w:tcPr>
          <w:p w14:paraId="143752A7" w14:textId="77777777" w:rsidR="00180B19" w:rsidRPr="00180B19" w:rsidRDefault="00180B19" w:rsidP="00A04F6F">
            <w:pPr>
              <w:pStyle w:val="TableTextColumnHeading"/>
            </w:pPr>
            <w:r w:rsidRPr="00180B19">
              <w:t>% of bilateral program</w:t>
            </w:r>
          </w:p>
        </w:tc>
      </w:tr>
      <w:tr w:rsidR="006514B9" w:rsidRPr="00E46AC3" w14:paraId="143752AC" w14:textId="77777777" w:rsidTr="00A04F6F">
        <w:trPr>
          <w:cnfStyle w:val="000000010000" w:firstRow="0" w:lastRow="0" w:firstColumn="0" w:lastColumn="0" w:oddVBand="0" w:evenVBand="0" w:oddHBand="0" w:evenHBand="1" w:firstRowFirstColumn="0" w:firstRowLastColumn="0" w:lastRowFirstColumn="0" w:lastRowLastColumn="0"/>
          <w:cantSplit/>
          <w:tblHeader w:val="0"/>
        </w:trPr>
        <w:tc>
          <w:tcPr>
            <w:tcW w:w="6048" w:type="dxa"/>
          </w:tcPr>
          <w:p w14:paraId="143752A9" w14:textId="77777777" w:rsidR="006514B9" w:rsidRPr="00A77852" w:rsidRDefault="006514B9" w:rsidP="00A04F6F">
            <w:pPr>
              <w:pStyle w:val="TableTextEntries"/>
            </w:pPr>
            <w:r w:rsidRPr="00A77852">
              <w:t>Objective 1</w:t>
            </w:r>
            <w:r w:rsidR="00430B82">
              <w:t>—</w:t>
            </w:r>
            <w:r w:rsidRPr="00A77852">
              <w:t>Improved social and economic indicators in lagging regions</w:t>
            </w:r>
          </w:p>
        </w:tc>
        <w:tc>
          <w:tcPr>
            <w:tcW w:w="964" w:type="dxa"/>
          </w:tcPr>
          <w:p w14:paraId="143752AA" w14:textId="77777777" w:rsidR="006514B9" w:rsidRPr="00E46AC3" w:rsidRDefault="006514B9" w:rsidP="00A04F6F">
            <w:pPr>
              <w:pStyle w:val="TableTextEntries"/>
              <w:rPr>
                <w:color w:val="92D050"/>
                <w:highlight w:val="yellow"/>
              </w:rPr>
            </w:pPr>
            <w:r w:rsidRPr="008565CC">
              <w:t>17.6</w:t>
            </w:r>
          </w:p>
        </w:tc>
        <w:tc>
          <w:tcPr>
            <w:tcW w:w="1426" w:type="dxa"/>
          </w:tcPr>
          <w:p w14:paraId="143752AB" w14:textId="77777777" w:rsidR="006514B9" w:rsidRPr="00E46AC3" w:rsidRDefault="006514B9" w:rsidP="00A04F6F">
            <w:pPr>
              <w:pStyle w:val="TableTextEntries"/>
              <w:rPr>
                <w:color w:val="92D050"/>
                <w:highlight w:val="yellow"/>
              </w:rPr>
            </w:pPr>
            <w:r w:rsidRPr="00D34F7D">
              <w:t>65</w:t>
            </w:r>
          </w:p>
        </w:tc>
      </w:tr>
      <w:tr w:rsidR="006514B9" w:rsidRPr="00E46AC3" w14:paraId="143752B0" w14:textId="77777777" w:rsidTr="00A04F6F">
        <w:trPr>
          <w:cantSplit/>
          <w:tblHeader w:val="0"/>
        </w:trPr>
        <w:tc>
          <w:tcPr>
            <w:tcW w:w="6048" w:type="dxa"/>
          </w:tcPr>
          <w:p w14:paraId="143752AD" w14:textId="77777777" w:rsidR="006514B9" w:rsidRPr="00A77852" w:rsidRDefault="006514B9" w:rsidP="00A04F6F">
            <w:pPr>
              <w:pStyle w:val="TableTextEntries"/>
            </w:pPr>
            <w:r w:rsidRPr="00A77852">
              <w:t>Objective 2</w:t>
            </w:r>
            <w:r w:rsidR="00430B82">
              <w:t>—</w:t>
            </w:r>
            <w:r w:rsidRPr="00A77852">
              <w:t>Policies and programs implemented at national and sub-national levels that aim for inclusive growth and improved service delivery</w:t>
            </w:r>
          </w:p>
        </w:tc>
        <w:tc>
          <w:tcPr>
            <w:tcW w:w="964" w:type="dxa"/>
          </w:tcPr>
          <w:p w14:paraId="143752AE" w14:textId="77777777" w:rsidR="006514B9" w:rsidRPr="00E46AC3" w:rsidRDefault="006514B9" w:rsidP="00A04F6F">
            <w:pPr>
              <w:pStyle w:val="TableTextEntries"/>
              <w:rPr>
                <w:color w:val="92D050"/>
                <w:highlight w:val="yellow"/>
              </w:rPr>
            </w:pPr>
            <w:r w:rsidRPr="008565CC">
              <w:t>9.6</w:t>
            </w:r>
          </w:p>
        </w:tc>
        <w:tc>
          <w:tcPr>
            <w:tcW w:w="1426" w:type="dxa"/>
          </w:tcPr>
          <w:p w14:paraId="143752AF" w14:textId="77777777" w:rsidR="006514B9" w:rsidRPr="00E46AC3" w:rsidRDefault="006514B9" w:rsidP="00A04F6F">
            <w:pPr>
              <w:pStyle w:val="TableTextEntries"/>
              <w:rPr>
                <w:color w:val="92D050"/>
                <w:highlight w:val="yellow"/>
              </w:rPr>
            </w:pPr>
            <w:r w:rsidRPr="00D34F7D">
              <w:t>35</w:t>
            </w:r>
          </w:p>
        </w:tc>
      </w:tr>
    </w:tbl>
    <w:p w14:paraId="143752B2" w14:textId="77777777" w:rsidR="00A04F6F" w:rsidRPr="00A04F6F" w:rsidRDefault="00A04F6F" w:rsidP="00A04F6F">
      <w:pPr>
        <w:pStyle w:val="BodyText"/>
        <w:rPr>
          <w:highlight w:val="yellow"/>
        </w:rPr>
      </w:pPr>
    </w:p>
    <w:p w14:paraId="143752B3" w14:textId="77777777" w:rsidR="00180B19" w:rsidRPr="00A77852" w:rsidRDefault="00180B19" w:rsidP="00A04F6F">
      <w:pPr>
        <w:pStyle w:val="Caption"/>
      </w:pPr>
      <w:r w:rsidRPr="00A77852">
        <w:t>Table 1B Estimated expenditure in FY 2012-13</w:t>
      </w:r>
    </w:p>
    <w:tbl>
      <w:tblPr>
        <w:tblStyle w:val="APPR"/>
        <w:tblW w:w="5000" w:type="pct"/>
        <w:tblLayout w:type="fixed"/>
        <w:tblLook w:val="0000" w:firstRow="0" w:lastRow="0" w:firstColumn="0" w:lastColumn="0" w:noHBand="0" w:noVBand="0"/>
      </w:tblPr>
      <w:tblGrid>
        <w:gridCol w:w="6131"/>
        <w:gridCol w:w="998"/>
        <w:gridCol w:w="1477"/>
      </w:tblGrid>
      <w:tr w:rsidR="00100AA2" w:rsidRPr="006514B9" w14:paraId="143752B7" w14:textId="77777777" w:rsidTr="00A04F6F">
        <w:trPr>
          <w:cnfStyle w:val="000000010000" w:firstRow="0" w:lastRow="0" w:firstColumn="0" w:lastColumn="0" w:oddVBand="0" w:evenVBand="0" w:oddHBand="0" w:evenHBand="1" w:firstRowFirstColumn="0" w:firstRowLastColumn="0" w:lastRowFirstColumn="0" w:lastRowLastColumn="0"/>
        </w:trPr>
        <w:tc>
          <w:tcPr>
            <w:tcW w:w="6048" w:type="dxa"/>
          </w:tcPr>
          <w:p w14:paraId="143752B4" w14:textId="77777777" w:rsidR="00100AA2" w:rsidRPr="00A77852" w:rsidRDefault="00100AA2" w:rsidP="00A04F6F">
            <w:pPr>
              <w:pStyle w:val="TableTextColumnHeading"/>
            </w:pPr>
            <w:r w:rsidRPr="00A77852">
              <w:t>Objective</w:t>
            </w:r>
          </w:p>
        </w:tc>
        <w:tc>
          <w:tcPr>
            <w:tcW w:w="964" w:type="dxa"/>
          </w:tcPr>
          <w:p w14:paraId="143752B5" w14:textId="77777777" w:rsidR="00100AA2" w:rsidRPr="00A77852" w:rsidRDefault="00100AA2" w:rsidP="00A04F6F">
            <w:pPr>
              <w:pStyle w:val="TableTextColumnHeading"/>
            </w:pPr>
            <w:r w:rsidRPr="00A77852">
              <w:t>A$ million</w:t>
            </w:r>
          </w:p>
        </w:tc>
        <w:tc>
          <w:tcPr>
            <w:tcW w:w="1426" w:type="dxa"/>
          </w:tcPr>
          <w:p w14:paraId="143752B6" w14:textId="77777777" w:rsidR="00100AA2" w:rsidRPr="00A77852" w:rsidRDefault="00100AA2" w:rsidP="00A04F6F">
            <w:pPr>
              <w:pStyle w:val="TableTextColumnHeading"/>
            </w:pPr>
            <w:r w:rsidRPr="00A77852">
              <w:t>% of bilateral program</w:t>
            </w:r>
          </w:p>
        </w:tc>
      </w:tr>
      <w:tr w:rsidR="006514B9" w:rsidRPr="00180B19" w14:paraId="143752BB" w14:textId="77777777" w:rsidTr="00A04F6F">
        <w:trPr>
          <w:cnfStyle w:val="000000010000" w:firstRow="0" w:lastRow="0" w:firstColumn="0" w:lastColumn="0" w:oddVBand="0" w:evenVBand="0" w:oddHBand="0" w:evenHBand="1" w:firstRowFirstColumn="0" w:firstRowLastColumn="0" w:lastRowFirstColumn="0" w:lastRowLastColumn="0"/>
        </w:trPr>
        <w:tc>
          <w:tcPr>
            <w:tcW w:w="6048" w:type="dxa"/>
          </w:tcPr>
          <w:p w14:paraId="143752B8" w14:textId="77777777" w:rsidR="006514B9" w:rsidRPr="00100AA2" w:rsidRDefault="006514B9" w:rsidP="00A04F6F">
            <w:pPr>
              <w:pStyle w:val="TableTextEntries"/>
            </w:pPr>
            <w:r w:rsidRPr="00A77852">
              <w:t>Objective 1</w:t>
            </w:r>
            <w:r w:rsidR="00430B82">
              <w:t>—</w:t>
            </w:r>
            <w:r w:rsidRPr="00A77852">
              <w:t>Improved social and economic indicators in lagging regions</w:t>
            </w:r>
          </w:p>
        </w:tc>
        <w:tc>
          <w:tcPr>
            <w:tcW w:w="964" w:type="dxa"/>
          </w:tcPr>
          <w:p w14:paraId="143752B9" w14:textId="77777777" w:rsidR="006514B9" w:rsidRPr="00100AA2" w:rsidRDefault="006514B9" w:rsidP="00A04F6F">
            <w:pPr>
              <w:pStyle w:val="TableTextEntries"/>
            </w:pPr>
            <w:r>
              <w:t>16.8</w:t>
            </w:r>
          </w:p>
        </w:tc>
        <w:tc>
          <w:tcPr>
            <w:tcW w:w="1426" w:type="dxa"/>
          </w:tcPr>
          <w:p w14:paraId="143752BA" w14:textId="77777777" w:rsidR="006514B9" w:rsidRPr="00100AA2" w:rsidRDefault="006514B9" w:rsidP="00A04F6F">
            <w:pPr>
              <w:pStyle w:val="TableTextEntries"/>
            </w:pPr>
            <w:r>
              <w:t>63</w:t>
            </w:r>
          </w:p>
        </w:tc>
      </w:tr>
      <w:tr w:rsidR="006514B9" w:rsidRPr="00180B19" w14:paraId="143752BF" w14:textId="77777777" w:rsidTr="00A04F6F">
        <w:trPr>
          <w:cnfStyle w:val="000000010000" w:firstRow="0" w:lastRow="0" w:firstColumn="0" w:lastColumn="0" w:oddVBand="0" w:evenVBand="0" w:oddHBand="0" w:evenHBand="1" w:firstRowFirstColumn="0" w:firstRowLastColumn="0" w:lastRowFirstColumn="0" w:lastRowLastColumn="0"/>
        </w:trPr>
        <w:tc>
          <w:tcPr>
            <w:tcW w:w="6048" w:type="dxa"/>
          </w:tcPr>
          <w:p w14:paraId="143752BC" w14:textId="77777777" w:rsidR="006514B9" w:rsidRPr="00100AA2" w:rsidRDefault="006514B9" w:rsidP="00A04F6F">
            <w:pPr>
              <w:pStyle w:val="TableTextEntries"/>
            </w:pPr>
            <w:r w:rsidRPr="007010FB">
              <w:t>Objective 2</w:t>
            </w:r>
            <w:r w:rsidR="00430B82">
              <w:t>—</w:t>
            </w:r>
            <w:r w:rsidRPr="007010FB">
              <w:t>Policies and programs implemented at national and sub-national levels that aim for inclusive growth and improved service delivery</w:t>
            </w:r>
          </w:p>
        </w:tc>
        <w:tc>
          <w:tcPr>
            <w:tcW w:w="964" w:type="dxa"/>
          </w:tcPr>
          <w:p w14:paraId="143752BD" w14:textId="77777777" w:rsidR="006514B9" w:rsidRPr="00100AA2" w:rsidRDefault="006514B9" w:rsidP="00A04F6F">
            <w:pPr>
              <w:pStyle w:val="TableTextEntries"/>
            </w:pPr>
            <w:r>
              <w:t>9.9</w:t>
            </w:r>
          </w:p>
        </w:tc>
        <w:tc>
          <w:tcPr>
            <w:tcW w:w="1426" w:type="dxa"/>
          </w:tcPr>
          <w:p w14:paraId="143752BE" w14:textId="77777777" w:rsidR="006514B9" w:rsidRPr="00100AA2" w:rsidRDefault="006514B9" w:rsidP="00A04F6F">
            <w:pPr>
              <w:pStyle w:val="TableTextEntries"/>
            </w:pPr>
            <w:r>
              <w:t>37</w:t>
            </w:r>
          </w:p>
        </w:tc>
      </w:tr>
    </w:tbl>
    <w:p w14:paraId="143752C1" w14:textId="77777777" w:rsidR="00180B19" w:rsidRPr="00A04F6F" w:rsidRDefault="00180B19" w:rsidP="00A04F6F">
      <w:pPr>
        <w:pStyle w:val="Heading1"/>
      </w:pPr>
      <w:r w:rsidRPr="00A04F6F">
        <w:t>Progress towards objectives</w:t>
      </w:r>
    </w:p>
    <w:p w14:paraId="143752C2" w14:textId="22A9154F" w:rsidR="00A04F6F" w:rsidRPr="00A04F6F" w:rsidRDefault="002177C6" w:rsidP="00A04F6F">
      <w:pPr>
        <w:pStyle w:val="BodyText"/>
      </w:pPr>
      <w:r w:rsidRPr="002550BA">
        <w:t xml:space="preserve">Table 2 provides the current rating of the program’s progress towards its two objectives, and the rating assigned in last year’s </w:t>
      </w:r>
      <w:r w:rsidR="0019767A">
        <w:t>Annual Program Performance Report (</w:t>
      </w:r>
      <w:r w:rsidRPr="002550BA">
        <w:t>APPR</w:t>
      </w:r>
      <w:r w:rsidR="0019767A">
        <w:t>)</w:t>
      </w:r>
      <w:r w:rsidRPr="002550BA">
        <w:t>.</w:t>
      </w:r>
      <w:r w:rsidR="0011701B">
        <w:rPr>
          <w:rStyle w:val="FootnoteReference"/>
        </w:rPr>
        <w:footnoteReference w:id="9"/>
      </w:r>
    </w:p>
    <w:p w14:paraId="143752C3" w14:textId="77777777" w:rsidR="00BE65E4" w:rsidRPr="00A04F6F" w:rsidRDefault="00BE65E4" w:rsidP="00A04F6F">
      <w:pPr>
        <w:pStyle w:val="Caption"/>
      </w:pPr>
      <w:r w:rsidRPr="00A04F6F">
        <w:t xml:space="preserve">Table </w:t>
      </w:r>
      <w:r w:rsidR="00B36188">
        <w:fldChar w:fldCharType="begin"/>
      </w:r>
      <w:r w:rsidR="00B36188">
        <w:instrText xml:space="preserve"> SEQ Table \* ARABIC </w:instrText>
      </w:r>
      <w:r w:rsidR="00B36188">
        <w:fldChar w:fldCharType="separate"/>
      </w:r>
      <w:r w:rsidR="00085900">
        <w:rPr>
          <w:noProof/>
        </w:rPr>
        <w:t>2</w:t>
      </w:r>
      <w:r w:rsidR="00B36188">
        <w:rPr>
          <w:noProof/>
        </w:rPr>
        <w:fldChar w:fldCharType="end"/>
      </w:r>
      <w:r w:rsidRPr="00A04F6F">
        <w:t xml:space="preserve"> 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A04F6F" w:rsidRPr="0019341B" w14:paraId="143752C7" w14:textId="77777777" w:rsidTr="00A04F6F">
        <w:trPr>
          <w:cantSplit/>
          <w:trHeight w:val="20"/>
          <w:tblHeader w:val="0"/>
        </w:trPr>
        <w:tc>
          <w:tcPr>
            <w:tcW w:w="6029" w:type="dxa"/>
          </w:tcPr>
          <w:p w14:paraId="143752C4" w14:textId="77777777" w:rsidR="00A04F6F" w:rsidRPr="00A04F6F" w:rsidRDefault="00A04F6F" w:rsidP="00A04F6F">
            <w:pPr>
              <w:pStyle w:val="TableTextColumnHeading"/>
            </w:pPr>
            <w:r w:rsidRPr="00A04F6F">
              <w:rPr>
                <w:noProof/>
                <w:lang w:eastAsia="en-AU"/>
              </w:rPr>
              <w:drawing>
                <wp:anchor distT="0" distB="0" distL="114300" distR="114300" simplePos="0" relativeHeight="251666432" behindDoc="0" locked="0" layoutInCell="1" allowOverlap="1" wp14:anchorId="14375493" wp14:editId="14375494">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A04F6F">
              <w:t>Objective</w:t>
            </w:r>
          </w:p>
        </w:tc>
        <w:tc>
          <w:tcPr>
            <w:tcW w:w="972" w:type="dxa"/>
          </w:tcPr>
          <w:p w14:paraId="143752C5" w14:textId="77777777" w:rsidR="00A04F6F" w:rsidRPr="00A04F6F" w:rsidRDefault="00A04F6F" w:rsidP="00A04F6F">
            <w:pPr>
              <w:pStyle w:val="TableTextColumnHeading"/>
            </w:pPr>
            <w:r w:rsidRPr="00A04F6F">
              <w:t>Current rating</w:t>
            </w:r>
          </w:p>
        </w:tc>
        <w:tc>
          <w:tcPr>
            <w:tcW w:w="1021" w:type="dxa"/>
          </w:tcPr>
          <w:p w14:paraId="143752C6" w14:textId="77777777" w:rsidR="00A04F6F" w:rsidRPr="00A04F6F" w:rsidRDefault="00A04F6F" w:rsidP="00A04F6F">
            <w:pPr>
              <w:pStyle w:val="TableTextColumnHeading"/>
            </w:pPr>
            <w:r w:rsidRPr="00A04F6F">
              <w:t>Previous rating</w:t>
            </w:r>
          </w:p>
        </w:tc>
      </w:tr>
      <w:tr w:rsidR="00A04F6F" w:rsidRPr="009D53C4" w14:paraId="143752CB" w14:textId="77777777" w:rsidTr="00A04F6F">
        <w:trPr>
          <w:cnfStyle w:val="000000010000" w:firstRow="0" w:lastRow="0" w:firstColumn="0" w:lastColumn="0" w:oddVBand="0" w:evenVBand="0" w:oddHBand="0" w:evenHBand="1" w:firstRowFirstColumn="0" w:firstRowLastColumn="0" w:lastRowFirstColumn="0" w:lastRowLastColumn="0"/>
          <w:cantSplit/>
          <w:trHeight w:val="20"/>
          <w:tblHeader w:val="0"/>
        </w:trPr>
        <w:tc>
          <w:tcPr>
            <w:tcW w:w="6029" w:type="dxa"/>
          </w:tcPr>
          <w:p w14:paraId="143752C8" w14:textId="77777777" w:rsidR="00A04F6F" w:rsidRPr="00A04F6F" w:rsidRDefault="00A04F6F" w:rsidP="00A04F6F">
            <w:pPr>
              <w:pStyle w:val="TableTextEntries"/>
            </w:pPr>
            <w:r w:rsidRPr="00A04F6F">
              <w:t>Objective 1—Improved social and economic indicators in lagging regions</w:t>
            </w:r>
          </w:p>
        </w:tc>
        <w:tc>
          <w:tcPr>
            <w:tcW w:w="972" w:type="dxa"/>
            <w:shd w:val="clear" w:color="auto" w:fill="FFC000"/>
            <w:noWrap/>
          </w:tcPr>
          <w:p w14:paraId="143752C9" w14:textId="77777777" w:rsidR="00A04F6F" w:rsidRPr="00A04F6F" w:rsidRDefault="00A04F6F" w:rsidP="00A04F6F">
            <w:pPr>
              <w:pStyle w:val="TableTextEntries"/>
            </w:pPr>
            <w:r w:rsidRPr="00A04F6F">
              <w:t>Amber</w:t>
            </w:r>
          </w:p>
        </w:tc>
        <w:tc>
          <w:tcPr>
            <w:tcW w:w="1021" w:type="dxa"/>
            <w:shd w:val="clear" w:color="auto" w:fill="92D050"/>
            <w:noWrap/>
          </w:tcPr>
          <w:p w14:paraId="143752CA" w14:textId="77777777" w:rsidR="00A04F6F" w:rsidRPr="00A04F6F" w:rsidRDefault="00A04F6F" w:rsidP="00A04F6F">
            <w:pPr>
              <w:pStyle w:val="TableTextEntries"/>
            </w:pPr>
            <w:r w:rsidRPr="00A04F6F">
              <w:t>Green</w:t>
            </w:r>
          </w:p>
        </w:tc>
      </w:tr>
      <w:tr w:rsidR="00A04F6F" w:rsidRPr="009D53C4" w14:paraId="143752CF" w14:textId="77777777" w:rsidTr="00A04F6F">
        <w:trPr>
          <w:cantSplit/>
          <w:trHeight w:val="20"/>
          <w:tblHeader w:val="0"/>
        </w:trPr>
        <w:tc>
          <w:tcPr>
            <w:tcW w:w="6029" w:type="dxa"/>
          </w:tcPr>
          <w:p w14:paraId="143752CC" w14:textId="77777777" w:rsidR="00A04F6F" w:rsidRPr="00A04F6F" w:rsidRDefault="00A04F6F" w:rsidP="00A04F6F">
            <w:pPr>
              <w:pStyle w:val="TableTextEntries"/>
            </w:pPr>
            <w:r w:rsidRPr="00A04F6F">
              <w:t>Objective 2—Policies and programs implemented at national and sub-national levels that aim for inclusive growth and improved service delivery</w:t>
            </w:r>
          </w:p>
        </w:tc>
        <w:tc>
          <w:tcPr>
            <w:tcW w:w="972" w:type="dxa"/>
            <w:shd w:val="clear" w:color="auto" w:fill="FFC000"/>
            <w:noWrap/>
          </w:tcPr>
          <w:p w14:paraId="143752CD" w14:textId="77777777" w:rsidR="00A04F6F" w:rsidRPr="00A04F6F" w:rsidRDefault="00A04F6F" w:rsidP="00A04F6F">
            <w:pPr>
              <w:pStyle w:val="TableTextEntries"/>
            </w:pPr>
            <w:r w:rsidRPr="00A04F6F">
              <w:t>Amber</w:t>
            </w:r>
          </w:p>
        </w:tc>
        <w:tc>
          <w:tcPr>
            <w:tcW w:w="1021" w:type="dxa"/>
            <w:shd w:val="clear" w:color="auto" w:fill="FFC000"/>
            <w:noWrap/>
          </w:tcPr>
          <w:p w14:paraId="143752CE" w14:textId="77777777" w:rsidR="00A04F6F" w:rsidRPr="00A04F6F" w:rsidRDefault="00A04F6F" w:rsidP="00A04F6F">
            <w:pPr>
              <w:pStyle w:val="TableTextEntries"/>
            </w:pPr>
            <w:r w:rsidRPr="00A04F6F">
              <w:t>Amber</w:t>
            </w:r>
          </w:p>
        </w:tc>
      </w:tr>
    </w:tbl>
    <w:p w14:paraId="143752D0" w14:textId="77777777" w:rsidR="00180B19" w:rsidRPr="00180B19" w:rsidRDefault="00180B19" w:rsidP="00100AA2">
      <w:pPr>
        <w:pStyle w:val="Note"/>
      </w:pPr>
      <w:r w:rsidRPr="00180B19">
        <w:t xml:space="preserve">Note: </w:t>
      </w:r>
    </w:p>
    <w:p w14:paraId="143752D1" w14:textId="77777777" w:rsidR="00180B19" w:rsidRPr="00180B19" w:rsidRDefault="00180B19" w:rsidP="00100AA2">
      <w:pPr>
        <w:pStyle w:val="Note"/>
      </w:pPr>
      <w:r w:rsidRPr="004C4A3E">
        <w:rPr>
          <w:color w:val="92D050"/>
        </w:rPr>
        <w:sym w:font="Webdings" w:char="F067"/>
      </w:r>
      <w:r w:rsidRPr="00180B19">
        <w:t> </w:t>
      </w:r>
      <w:r w:rsidRPr="00180B19">
        <w:t xml:space="preserve"> </w:t>
      </w:r>
      <w:r w:rsidR="00443639">
        <w:t xml:space="preserve">Green. </w:t>
      </w:r>
      <w:r w:rsidRPr="00180B19">
        <w:t>Progress is as expected for this point in time and it is likely that the objective will be achieved. Standard program management practices are sufficient.</w:t>
      </w:r>
    </w:p>
    <w:p w14:paraId="143752D2" w14:textId="77777777" w:rsidR="00180B19" w:rsidRPr="00180B19" w:rsidRDefault="00180B19" w:rsidP="00100AA2">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14:paraId="143752D3" w14:textId="77777777" w:rsidR="004C66AA" w:rsidRDefault="00180B19" w:rsidP="00020121">
      <w:pPr>
        <w:pStyle w:val="Note"/>
      </w:pPr>
      <w:r w:rsidRPr="004C4A3E">
        <w:rPr>
          <w:color w:val="FF0000"/>
        </w:rPr>
        <w:sym w:font="Webdings" w:char="F067"/>
      </w:r>
      <w:r w:rsidRPr="00180B19">
        <w:t> </w:t>
      </w:r>
      <w:r w:rsidRPr="00180B19">
        <w:t xml:space="preserve"> </w:t>
      </w:r>
      <w:r w:rsidR="00443639">
        <w:t xml:space="preserve">Red. </w:t>
      </w:r>
      <w:r w:rsidRPr="00180B19">
        <w:t xml:space="preserve">Progress is significantly less than expected for this point in time and the objective is not likely to be met given available resources and priorities. Recasting the objective may be required. </w:t>
      </w:r>
    </w:p>
    <w:p w14:paraId="143752D4" w14:textId="77777777" w:rsidR="004C66AA" w:rsidRDefault="004C66AA" w:rsidP="004C66AA">
      <w:pPr>
        <w:rPr>
          <w:rFonts w:ascii="Franklin Gothic Book" w:eastAsia="Times New Roman" w:hAnsi="Franklin Gothic Book"/>
          <w:sz w:val="14"/>
          <w:szCs w:val="14"/>
        </w:rPr>
      </w:pPr>
      <w:r>
        <w:br w:type="page"/>
      </w:r>
    </w:p>
    <w:p w14:paraId="143752D5" w14:textId="77777777" w:rsidR="00180B19" w:rsidRPr="00971C1C" w:rsidRDefault="00180B19" w:rsidP="00971C1C">
      <w:pPr>
        <w:pStyle w:val="Heading2"/>
      </w:pPr>
      <w:r w:rsidRPr="00971C1C">
        <w:lastRenderedPageBreak/>
        <w:t>Objective</w:t>
      </w:r>
      <w:r w:rsidR="00C65930" w:rsidRPr="00971C1C">
        <w:t xml:space="preserve"> </w:t>
      </w:r>
      <w:r w:rsidR="00100B0C" w:rsidRPr="00971C1C">
        <w:t>1: Improved social and economic indicators in lagging regions</w:t>
      </w:r>
    </w:p>
    <w:p w14:paraId="143752D6" w14:textId="2EA61F5E" w:rsidR="00120A05" w:rsidRPr="00971C1C" w:rsidRDefault="002E47C6" w:rsidP="00971C1C">
      <w:pPr>
        <w:pStyle w:val="BodyText"/>
        <w:rPr>
          <w:i/>
        </w:rPr>
      </w:pPr>
      <w:r w:rsidRPr="00971C1C">
        <w:rPr>
          <w:i/>
        </w:rPr>
        <w:t>Th</w:t>
      </w:r>
      <w:r w:rsidR="000D75DA">
        <w:rPr>
          <w:i/>
        </w:rPr>
        <w:t>e amber</w:t>
      </w:r>
      <w:r w:rsidRPr="00971C1C">
        <w:rPr>
          <w:i/>
        </w:rPr>
        <w:t xml:space="preserve"> rating reflects the fact that </w:t>
      </w:r>
      <w:r w:rsidR="00501729" w:rsidRPr="00971C1C">
        <w:rPr>
          <w:i/>
        </w:rPr>
        <w:t xml:space="preserve">despite </w:t>
      </w:r>
      <w:r w:rsidR="00C77827" w:rsidRPr="00971C1C">
        <w:rPr>
          <w:i/>
        </w:rPr>
        <w:t xml:space="preserve">Australia’s </w:t>
      </w:r>
      <w:r w:rsidR="00501729" w:rsidRPr="00971C1C">
        <w:rPr>
          <w:i/>
        </w:rPr>
        <w:t xml:space="preserve">partnership in programs strongly targeted at </w:t>
      </w:r>
      <w:r w:rsidR="00EE5950" w:rsidRPr="00971C1C">
        <w:rPr>
          <w:i/>
        </w:rPr>
        <w:t>lagging</w:t>
      </w:r>
      <w:r w:rsidR="00501729" w:rsidRPr="00971C1C">
        <w:rPr>
          <w:i/>
        </w:rPr>
        <w:t xml:space="preserve"> regions, funding </w:t>
      </w:r>
      <w:r w:rsidR="00291FC4" w:rsidRPr="00971C1C">
        <w:rPr>
          <w:i/>
        </w:rPr>
        <w:t xml:space="preserve">did </w:t>
      </w:r>
      <w:r w:rsidR="00501729" w:rsidRPr="00971C1C">
        <w:rPr>
          <w:i/>
        </w:rPr>
        <w:t xml:space="preserve">not flow </w:t>
      </w:r>
      <w:r w:rsidR="00406631" w:rsidRPr="00971C1C">
        <w:rPr>
          <w:i/>
        </w:rPr>
        <w:t xml:space="preserve">as intended </w:t>
      </w:r>
      <w:r w:rsidR="00501729" w:rsidRPr="00971C1C">
        <w:rPr>
          <w:i/>
        </w:rPr>
        <w:t>to large World Bank</w:t>
      </w:r>
      <w:r w:rsidR="008F2BD1" w:rsidRPr="00971C1C">
        <w:rPr>
          <w:i/>
        </w:rPr>
        <w:t>-</w:t>
      </w:r>
      <w:r w:rsidR="009E1CC8" w:rsidRPr="00971C1C">
        <w:rPr>
          <w:i/>
        </w:rPr>
        <w:t>coordinated</w:t>
      </w:r>
      <w:r w:rsidR="006C7B57" w:rsidRPr="00971C1C">
        <w:rPr>
          <w:i/>
        </w:rPr>
        <w:t xml:space="preserve"> </w:t>
      </w:r>
      <w:r w:rsidR="00501729" w:rsidRPr="00971C1C">
        <w:rPr>
          <w:i/>
        </w:rPr>
        <w:t>programs in 2012</w:t>
      </w:r>
      <w:r w:rsidR="002177C6" w:rsidRPr="00971C1C">
        <w:rPr>
          <w:i/>
        </w:rPr>
        <w:t>–</w:t>
      </w:r>
      <w:r w:rsidR="00501729" w:rsidRPr="00971C1C">
        <w:rPr>
          <w:i/>
        </w:rPr>
        <w:t>13</w:t>
      </w:r>
      <w:r w:rsidR="00642DF9" w:rsidRPr="00971C1C">
        <w:rPr>
          <w:i/>
        </w:rPr>
        <w:t xml:space="preserve">. Also, </w:t>
      </w:r>
      <w:r w:rsidR="004A54D5" w:rsidRPr="00971C1C">
        <w:rPr>
          <w:i/>
        </w:rPr>
        <w:t xml:space="preserve">incomplete data and lack of robust baselines continue to make </w:t>
      </w:r>
      <w:r w:rsidR="00B00EC3" w:rsidRPr="00971C1C">
        <w:rPr>
          <w:i/>
        </w:rPr>
        <w:t xml:space="preserve">it difficult to make </w:t>
      </w:r>
      <w:r w:rsidR="004A54D5" w:rsidRPr="00971C1C">
        <w:rPr>
          <w:i/>
        </w:rPr>
        <w:t>confident judgements about the significance of our contribution.</w:t>
      </w:r>
    </w:p>
    <w:p w14:paraId="143752D7" w14:textId="6DF991C2" w:rsidR="00A42DBC" w:rsidRDefault="000D75DA" w:rsidP="00971C1C">
      <w:pPr>
        <w:pStyle w:val="BodyText"/>
      </w:pPr>
      <w:r>
        <w:rPr>
          <w:b/>
        </w:rPr>
        <w:t>Selected</w:t>
      </w:r>
      <w:r w:rsidR="00A42DBC" w:rsidRPr="001567A8">
        <w:rPr>
          <w:b/>
        </w:rPr>
        <w:t xml:space="preserve"> </w:t>
      </w:r>
      <w:r w:rsidR="00A42DBC" w:rsidRPr="00991B6D">
        <w:rPr>
          <w:b/>
        </w:rPr>
        <w:t xml:space="preserve">Australian aid </w:t>
      </w:r>
      <w:r w:rsidR="00CA41CB">
        <w:rPr>
          <w:b/>
        </w:rPr>
        <w:t>investments</w:t>
      </w:r>
      <w:r w:rsidR="00A42DBC" w:rsidRPr="00991B6D">
        <w:rPr>
          <w:b/>
        </w:rPr>
        <w:t xml:space="preserve"> in lagging regions have achieved significant results.</w:t>
      </w:r>
      <w:r w:rsidR="00A42DBC">
        <w:t xml:space="preserve"> </w:t>
      </w:r>
      <w:r w:rsidR="001567A8" w:rsidRPr="001567A8">
        <w:t xml:space="preserve">There is </w:t>
      </w:r>
      <w:r w:rsidR="001567A8" w:rsidRPr="00991B6D">
        <w:t>potential for improving social and economic outcomes for the poor within the strategy period</w:t>
      </w:r>
      <w:r w:rsidR="001567A8">
        <w:t xml:space="preserve">. </w:t>
      </w:r>
      <w:r w:rsidR="00CE0FC6">
        <w:t>P</w:t>
      </w:r>
      <w:r w:rsidR="001567A8">
        <w:t xml:space="preserve">ositive </w:t>
      </w:r>
      <w:r w:rsidR="00A42DBC">
        <w:t>results</w:t>
      </w:r>
      <w:r w:rsidR="001567A8">
        <w:t>,</w:t>
      </w:r>
      <w:r w:rsidR="00A42DBC">
        <w:t xml:space="preserve"> if carried forward</w:t>
      </w:r>
      <w:r w:rsidR="001567A8">
        <w:t>,</w:t>
      </w:r>
      <w:r w:rsidR="00945F82">
        <w:t xml:space="preserve"> </w:t>
      </w:r>
      <w:r w:rsidR="00A42DBC">
        <w:t xml:space="preserve">could contribute to sustained social and economic improvements in targeted areas. </w:t>
      </w:r>
      <w:r w:rsidR="00C77827">
        <w:t xml:space="preserve">These </w:t>
      </w:r>
      <w:r w:rsidR="00A42DBC">
        <w:t xml:space="preserve">results build on </w:t>
      </w:r>
      <w:r w:rsidR="00733598">
        <w:t>the</w:t>
      </w:r>
      <w:r w:rsidR="00A42DBC">
        <w:t xml:space="preserve"> strong legacy of </w:t>
      </w:r>
      <w:r w:rsidR="00733598">
        <w:t xml:space="preserve">our </w:t>
      </w:r>
      <w:r w:rsidR="00A42DBC">
        <w:t xml:space="preserve">aid in these areas over the last </w:t>
      </w:r>
      <w:r w:rsidR="00CE0FC6">
        <w:t xml:space="preserve">10 </w:t>
      </w:r>
      <w:r w:rsidR="00A42DBC">
        <w:t xml:space="preserve">years. This includes emergency and humanitarian aid following the 2004 tsunami and the end of the conflict in 2009, plus </w:t>
      </w:r>
      <w:r w:rsidR="00733598">
        <w:t xml:space="preserve">our </w:t>
      </w:r>
      <w:r w:rsidR="00A42DBC">
        <w:t>long-term</w:t>
      </w:r>
      <w:r w:rsidR="00733598">
        <w:t>,</w:t>
      </w:r>
      <w:r w:rsidR="00A42DBC">
        <w:t xml:space="preserve"> ongoing commitment to local economic empowerment</w:t>
      </w:r>
      <w:r w:rsidR="002F3630">
        <w:t>.</w:t>
      </w:r>
      <w:r w:rsidR="00A42DBC">
        <w:t xml:space="preserve"> </w:t>
      </w:r>
    </w:p>
    <w:p w14:paraId="143752D8" w14:textId="6D570890" w:rsidR="007F2224" w:rsidRDefault="00A42DBC" w:rsidP="00971C1C">
      <w:pPr>
        <w:pStyle w:val="BodyText"/>
      </w:pPr>
      <w:r>
        <w:t xml:space="preserve">Results of Australian aid that contribute to achieving </w:t>
      </w:r>
      <w:r w:rsidR="00CE0FC6">
        <w:t>O</w:t>
      </w:r>
      <w:r>
        <w:t>bjective</w:t>
      </w:r>
      <w:r w:rsidR="00CE0FC6">
        <w:t xml:space="preserve"> 1</w:t>
      </w:r>
      <w:r>
        <w:t xml:space="preserve"> and </w:t>
      </w:r>
      <w:r w:rsidR="00CE0FC6">
        <w:t>O</w:t>
      </w:r>
      <w:r>
        <w:t>bjective 2 are outlined in</w:t>
      </w:r>
      <w:r w:rsidR="000D7CE2">
        <w:t xml:space="preserve"> </w:t>
      </w:r>
      <w:r w:rsidR="00CE0FC6">
        <w:t xml:space="preserve">10 </w:t>
      </w:r>
      <w:r w:rsidR="00342E31">
        <w:t>q</w:t>
      </w:r>
      <w:r>
        <w:t xml:space="preserve">uality at </w:t>
      </w:r>
      <w:r w:rsidR="00342E31">
        <w:t>i</w:t>
      </w:r>
      <w:r>
        <w:t>mplementation (QAI) reports</w:t>
      </w:r>
      <w:r w:rsidR="00CE0FC6">
        <w:t xml:space="preserve"> for 2012</w:t>
      </w:r>
      <w:r>
        <w:t xml:space="preserve">, and </w:t>
      </w:r>
      <w:r w:rsidR="000D7CE2">
        <w:t>t</w:t>
      </w:r>
      <w:r>
        <w:t>wo major independent evaluations</w:t>
      </w:r>
      <w:r w:rsidR="00117C6C">
        <w:t>—</w:t>
      </w:r>
      <w:r>
        <w:t>the mid-term review</w:t>
      </w:r>
      <w:r w:rsidR="00AD08C4">
        <w:t xml:space="preserve"> (MTR)</w:t>
      </w:r>
      <w:r>
        <w:t xml:space="preserve"> of the current phase of </w:t>
      </w:r>
      <w:r w:rsidR="00D95DC5">
        <w:t xml:space="preserve">the Australian Community Rehabilitation Program </w:t>
      </w:r>
      <w:r w:rsidR="00CE0FC6">
        <w:t>(</w:t>
      </w:r>
      <w:r w:rsidRPr="004A5083">
        <w:t>ACRP</w:t>
      </w:r>
      <w:r w:rsidR="00CE0FC6">
        <w:t>)</w:t>
      </w:r>
      <w:r>
        <w:t>, and the completion report for the Basic Education Support Project (BESP)</w:t>
      </w:r>
      <w:r w:rsidR="00E46AC3">
        <w:t>.</w:t>
      </w:r>
    </w:p>
    <w:p w14:paraId="143752D9" w14:textId="77777777" w:rsidR="00A42DBC" w:rsidRDefault="00A42DBC" w:rsidP="00971C1C">
      <w:pPr>
        <w:pStyle w:val="BodyText"/>
      </w:pPr>
      <w:r>
        <w:t>T</w:t>
      </w:r>
      <w:r w:rsidR="00A06330">
        <w:t>angible development results</w:t>
      </w:r>
      <w:r w:rsidR="00CE0FC6">
        <w:t xml:space="preserve"> for</w:t>
      </w:r>
      <w:r w:rsidR="008A31C7">
        <w:t xml:space="preserve"> 201</w:t>
      </w:r>
      <w:r w:rsidR="00CE0FC6">
        <w:t>2</w:t>
      </w:r>
      <w:r w:rsidR="008A31C7">
        <w:t xml:space="preserve">–13 </w:t>
      </w:r>
      <w:r>
        <w:t>include:</w:t>
      </w:r>
    </w:p>
    <w:p w14:paraId="143752DA" w14:textId="77777777" w:rsidR="00A42DBC" w:rsidRDefault="00A42DBC" w:rsidP="00971C1C">
      <w:pPr>
        <w:pStyle w:val="ListBullet"/>
      </w:pPr>
      <w:r>
        <w:t>Supported 1359 schools and approximately 300</w:t>
      </w:r>
      <w:r w:rsidR="00E46AC3">
        <w:t xml:space="preserve"> </w:t>
      </w:r>
      <w:r>
        <w:t>000 students to improve the quality of education outcomes in Sri Lanka’s most disadvantage</w:t>
      </w:r>
      <w:r w:rsidR="00CE0FC6">
        <w:t>d</w:t>
      </w:r>
      <w:r>
        <w:t xml:space="preserve"> areas (BESP with UNICEF).</w:t>
      </w:r>
    </w:p>
    <w:p w14:paraId="143752DB" w14:textId="77777777" w:rsidR="00F74059" w:rsidRPr="002A4EC0" w:rsidRDefault="00A42DBC" w:rsidP="00971C1C">
      <w:pPr>
        <w:pStyle w:val="ListBullet"/>
      </w:pPr>
      <w:r>
        <w:t>Provided water, sanitation and hygiene</w:t>
      </w:r>
      <w:r w:rsidR="00CE0FC6">
        <w:t xml:space="preserve"> (WASH)</w:t>
      </w:r>
      <w:r>
        <w:t xml:space="preserve"> improvements to about 53</w:t>
      </w:r>
      <w:r w:rsidR="00CE0FC6">
        <w:t xml:space="preserve"> </w:t>
      </w:r>
      <w:r>
        <w:t>000 students and 3000 teachers in 159 schools</w:t>
      </w:r>
      <w:r w:rsidR="005919AA">
        <w:t xml:space="preserve"> in some of Sri Lanka’s poorest provinces</w:t>
      </w:r>
      <w:r w:rsidR="00CE0FC6">
        <w:t>, including</w:t>
      </w:r>
      <w:r w:rsidR="00E34E52">
        <w:t xml:space="preserve"> </w:t>
      </w:r>
      <w:r w:rsidR="00F74059" w:rsidRPr="002A4EC0">
        <w:t>Central, Uva, Eastern</w:t>
      </w:r>
      <w:r w:rsidR="004F5D75">
        <w:t xml:space="preserve"> and </w:t>
      </w:r>
      <w:r w:rsidR="00F74059" w:rsidRPr="002A4EC0">
        <w:t xml:space="preserve">Northern </w:t>
      </w:r>
      <w:r w:rsidR="00F74059">
        <w:t>(Water, Sanitation and Hygiene in Schools, with UNICEF)</w:t>
      </w:r>
      <w:r w:rsidR="004F5D75">
        <w:t>.</w:t>
      </w:r>
    </w:p>
    <w:p w14:paraId="143752DC" w14:textId="77777777" w:rsidR="00A42DBC" w:rsidRDefault="002B163B" w:rsidP="00971C1C">
      <w:pPr>
        <w:pStyle w:val="ListBullet"/>
      </w:pPr>
      <w:r>
        <w:t>P</w:t>
      </w:r>
      <w:r w:rsidR="000C36A2">
        <w:t>rovided</w:t>
      </w:r>
      <w:r>
        <w:t>, through ACRP partners,</w:t>
      </w:r>
      <w:r w:rsidR="000C36A2">
        <w:t xml:space="preserve"> access to safe water for 5690 people, access to sanitation </w:t>
      </w:r>
      <w:r>
        <w:t xml:space="preserve">for </w:t>
      </w:r>
      <w:r w:rsidR="000C36A2">
        <w:t xml:space="preserve">1365 people, increased agricultural incomes </w:t>
      </w:r>
      <w:r>
        <w:t>(</w:t>
      </w:r>
      <w:r w:rsidR="000C36A2">
        <w:t xml:space="preserve">by </w:t>
      </w:r>
      <w:r>
        <w:t>US</w:t>
      </w:r>
      <w:r w:rsidR="000C36A2">
        <w:t>$1.5 million</w:t>
      </w:r>
      <w:r>
        <w:t>)</w:t>
      </w:r>
      <w:r w:rsidR="000C36A2">
        <w:t xml:space="preserve">, improved incomes </w:t>
      </w:r>
      <w:r>
        <w:t xml:space="preserve">for </w:t>
      </w:r>
      <w:r w:rsidR="000C36A2">
        <w:t>7500 women, train</w:t>
      </w:r>
      <w:r w:rsidR="00733598">
        <w:t>ed</w:t>
      </w:r>
      <w:r w:rsidR="000C36A2">
        <w:t xml:space="preserve"> 3000 public servants and support</w:t>
      </w:r>
      <w:r w:rsidR="008B7060">
        <w:t>ed</w:t>
      </w:r>
      <w:r w:rsidR="000C36A2">
        <w:t xml:space="preserve"> 61</w:t>
      </w:r>
      <w:r w:rsidR="00430B82">
        <w:t> </w:t>
      </w:r>
      <w:r w:rsidR="000C36A2">
        <w:t xml:space="preserve">civil society organisations to track service provision </w:t>
      </w:r>
      <w:r w:rsidR="000C36A2" w:rsidRPr="009C708C">
        <w:t xml:space="preserve">across the country. </w:t>
      </w:r>
      <w:r w:rsidR="005919AA" w:rsidRPr="009C708C">
        <w:t xml:space="preserve">While </w:t>
      </w:r>
      <w:r w:rsidR="00440342">
        <w:t xml:space="preserve">the </w:t>
      </w:r>
      <w:r w:rsidR="005919AA" w:rsidRPr="009C708C">
        <w:t>ACRP operates</w:t>
      </w:r>
      <w:r w:rsidR="009C708C" w:rsidRPr="002A4EC0">
        <w:t xml:space="preserve"> in</w:t>
      </w:r>
      <w:r w:rsidR="005919AA" w:rsidRPr="009C708C">
        <w:t xml:space="preserve"> many </w:t>
      </w:r>
      <w:r w:rsidR="00137D06" w:rsidRPr="009C708C">
        <w:t>areas</w:t>
      </w:r>
      <w:r w:rsidR="005919AA" w:rsidRPr="009C708C">
        <w:t xml:space="preserve">, </w:t>
      </w:r>
      <w:r>
        <w:t>most</w:t>
      </w:r>
      <w:r w:rsidR="005919AA" w:rsidRPr="009C708C">
        <w:t xml:space="preserve"> results were delivered in Sri Lanka’s poorest provinces:</w:t>
      </w:r>
      <w:r w:rsidR="008B7060">
        <w:t xml:space="preserve"> </w:t>
      </w:r>
      <w:r w:rsidR="005919AA" w:rsidRPr="009C708C">
        <w:t>Central</w:t>
      </w:r>
      <w:r w:rsidR="008B7060">
        <w:t>, Eastern and Northern</w:t>
      </w:r>
      <w:r w:rsidR="005919AA" w:rsidRPr="009C708C">
        <w:t>.</w:t>
      </w:r>
      <w:r w:rsidR="005919AA">
        <w:t xml:space="preserve"> </w:t>
      </w:r>
    </w:p>
    <w:p w14:paraId="143752DD" w14:textId="77777777" w:rsidR="00A42DBC" w:rsidRDefault="00A42DBC" w:rsidP="00971C1C">
      <w:pPr>
        <w:pStyle w:val="ListBullet"/>
      </w:pPr>
      <w:r>
        <w:t>Repaired and reconstructed 23 schools in Northern Province damaged in the most heavily conflict</w:t>
      </w:r>
      <w:r w:rsidR="002B163B">
        <w:t>-</w:t>
      </w:r>
      <w:r>
        <w:t>affected areas of Kilinochchi and Mullaitvu.</w:t>
      </w:r>
    </w:p>
    <w:p w14:paraId="143752DE" w14:textId="77777777" w:rsidR="00A42DBC" w:rsidRDefault="00A42DBC" w:rsidP="00971C1C">
      <w:pPr>
        <w:pStyle w:val="ListBullet"/>
      </w:pPr>
      <w:r w:rsidRPr="00EE5950">
        <w:t xml:space="preserve">Cleared </w:t>
      </w:r>
      <w:r w:rsidR="00642DF9">
        <w:t>more than 6</w:t>
      </w:r>
      <w:r w:rsidR="00291FC4">
        <w:t xml:space="preserve"> </w:t>
      </w:r>
      <w:r w:rsidRPr="00EE5950">
        <w:t>km</w:t>
      </w:r>
      <w:r w:rsidRPr="004A5083">
        <w:rPr>
          <w:vertAlign w:val="superscript"/>
        </w:rPr>
        <w:t>2</w:t>
      </w:r>
      <w:r w:rsidRPr="00EE5950">
        <w:t xml:space="preserve"> of landmines in conflict</w:t>
      </w:r>
      <w:r w:rsidR="002B163B">
        <w:t>-</w:t>
      </w:r>
      <w:r w:rsidRPr="00EE5950">
        <w:t>affected areas allowing people to return home and rebuild livelihoods.</w:t>
      </w:r>
    </w:p>
    <w:p w14:paraId="143752DF" w14:textId="2A2ACE2F" w:rsidR="00A42DBC" w:rsidRPr="001C749C" w:rsidRDefault="000D7CE2" w:rsidP="00971C1C">
      <w:pPr>
        <w:pStyle w:val="BodyText"/>
      </w:pPr>
      <w:r>
        <w:t xml:space="preserve">A </w:t>
      </w:r>
      <w:r w:rsidR="00AD08C4">
        <w:t>MTR</w:t>
      </w:r>
      <w:r>
        <w:t xml:space="preserve"> of the World Bank’s </w:t>
      </w:r>
      <w:r w:rsidR="00A42DBC" w:rsidRPr="00EE5950">
        <w:t>North and East Local Services Improvement Project (NELSIP)</w:t>
      </w:r>
      <w:r w:rsidR="00A42DBC" w:rsidRPr="00EE5950">
        <w:rPr>
          <w:rStyle w:val="FootnoteReference"/>
        </w:rPr>
        <w:footnoteReference w:id="10"/>
      </w:r>
      <w:r>
        <w:t xml:space="preserve"> </w:t>
      </w:r>
      <w:r w:rsidR="004F5D75">
        <w:t xml:space="preserve">in February 2013 </w:t>
      </w:r>
      <w:r>
        <w:t>documented significant</w:t>
      </w:r>
      <w:r w:rsidR="00C81E22">
        <w:t xml:space="preserve"> achievements</w:t>
      </w:r>
      <w:r w:rsidR="001B0EE4">
        <w:t xml:space="preserve"> </w:t>
      </w:r>
      <w:r w:rsidR="002B163B">
        <w:t xml:space="preserve">from </w:t>
      </w:r>
      <w:r w:rsidR="001B0EE4">
        <w:t xml:space="preserve">the use of </w:t>
      </w:r>
      <w:r w:rsidR="004F5D75">
        <w:t xml:space="preserve">World Bank </w:t>
      </w:r>
      <w:r w:rsidR="001B0EE4">
        <w:t>loan funds</w:t>
      </w:r>
      <w:r>
        <w:t xml:space="preserve">. </w:t>
      </w:r>
      <w:r w:rsidR="002B163B">
        <w:t>Examples include</w:t>
      </w:r>
      <w:r>
        <w:t xml:space="preserve"> construction of rural and village roads (300</w:t>
      </w:r>
      <w:r w:rsidR="00291FC4">
        <w:t xml:space="preserve"> k</w:t>
      </w:r>
      <w:r>
        <w:t xml:space="preserve">m), </w:t>
      </w:r>
      <w:r w:rsidR="002B163B">
        <w:t xml:space="preserve">construction of </w:t>
      </w:r>
      <w:r>
        <w:t>drainage systems</w:t>
      </w:r>
      <w:r w:rsidR="001B0EE4">
        <w:t xml:space="preserve"> (16</w:t>
      </w:r>
      <w:r w:rsidR="00291FC4">
        <w:t xml:space="preserve"> </w:t>
      </w:r>
      <w:r w:rsidR="001B0EE4">
        <w:t>km)</w:t>
      </w:r>
      <w:r>
        <w:t xml:space="preserve"> and electrification of 16 villages</w:t>
      </w:r>
      <w:r w:rsidR="002B163B">
        <w:t xml:space="preserve">. </w:t>
      </w:r>
      <w:r w:rsidR="008B7060">
        <w:t>Other examples</w:t>
      </w:r>
      <w:r w:rsidR="002B163B">
        <w:t xml:space="preserve"> include</w:t>
      </w:r>
      <w:r>
        <w:t xml:space="preserve"> </w:t>
      </w:r>
      <w:r w:rsidR="002B163B">
        <w:lastRenderedPageBreak/>
        <w:t xml:space="preserve">generation of </w:t>
      </w:r>
      <w:r>
        <w:t xml:space="preserve">increased revenue by local government and increased citizen satisfaction </w:t>
      </w:r>
      <w:r w:rsidR="001C749C">
        <w:t>with</w:t>
      </w:r>
      <w:r>
        <w:t xml:space="preserve"> service delivery. </w:t>
      </w:r>
      <w:r w:rsidR="001B0EE4">
        <w:t>M</w:t>
      </w:r>
      <w:r>
        <w:t xml:space="preserve">obilisation of </w:t>
      </w:r>
      <w:r w:rsidR="007523D7">
        <w:t xml:space="preserve">Australian </w:t>
      </w:r>
      <w:r>
        <w:t xml:space="preserve">funds will </w:t>
      </w:r>
      <w:r w:rsidR="001B0EE4">
        <w:t xml:space="preserve">significantly </w:t>
      </w:r>
      <w:r w:rsidRPr="00717FD7">
        <w:t xml:space="preserve">build on these </w:t>
      </w:r>
      <w:r w:rsidRPr="001A0E4B">
        <w:t>achievements</w:t>
      </w:r>
      <w:r w:rsidR="0083415C" w:rsidRPr="001C749C">
        <w:t xml:space="preserve">. </w:t>
      </w:r>
    </w:p>
    <w:p w14:paraId="143752E0" w14:textId="1A59BEDB" w:rsidR="00C81E22" w:rsidRDefault="00DA5AB4" w:rsidP="00971C1C">
      <w:pPr>
        <w:pStyle w:val="BodyText"/>
        <w:rPr>
          <w:szCs w:val="22"/>
        </w:rPr>
      </w:pPr>
      <w:r w:rsidRPr="00DD3572">
        <w:rPr>
          <w:b/>
          <w:szCs w:val="22"/>
        </w:rPr>
        <w:t>The World Bank rema</w:t>
      </w:r>
      <w:r w:rsidRPr="003452C3">
        <w:rPr>
          <w:b/>
          <w:szCs w:val="22"/>
        </w:rPr>
        <w:t xml:space="preserve">ins Australia’s </w:t>
      </w:r>
      <w:r w:rsidR="000C2148" w:rsidRPr="003452C3">
        <w:rPr>
          <w:b/>
          <w:szCs w:val="22"/>
        </w:rPr>
        <w:t xml:space="preserve">principal </w:t>
      </w:r>
      <w:r w:rsidRPr="003452C3">
        <w:rPr>
          <w:b/>
          <w:szCs w:val="22"/>
        </w:rPr>
        <w:t>partner for development assistance to Sri Lanka.</w:t>
      </w:r>
      <w:r w:rsidRPr="00342E31">
        <w:rPr>
          <w:szCs w:val="22"/>
        </w:rPr>
        <w:t xml:space="preserve"> </w:t>
      </w:r>
      <w:r w:rsidR="009A1D03" w:rsidRPr="00342E31">
        <w:rPr>
          <w:szCs w:val="22"/>
        </w:rPr>
        <w:t>Over recent years the World Bank has maintained a productive relationship with the Sri Lankan Government across its broad portfolio</w:t>
      </w:r>
      <w:r w:rsidR="00CD4B44" w:rsidRPr="001A0E4B">
        <w:rPr>
          <w:szCs w:val="22"/>
        </w:rPr>
        <w:t>, with loans totalling</w:t>
      </w:r>
      <w:r w:rsidR="000B0D76" w:rsidRPr="001A0E4B">
        <w:rPr>
          <w:szCs w:val="22"/>
        </w:rPr>
        <w:t xml:space="preserve"> US$205 million in 2011</w:t>
      </w:r>
      <w:r w:rsidR="00543A67" w:rsidRPr="001A0E4B">
        <w:rPr>
          <w:szCs w:val="22"/>
        </w:rPr>
        <w:t xml:space="preserve">. </w:t>
      </w:r>
      <w:r w:rsidR="009A1D03" w:rsidRPr="001A0E4B">
        <w:rPr>
          <w:szCs w:val="22"/>
        </w:rPr>
        <w:t>The World</w:t>
      </w:r>
      <w:r w:rsidR="009A1D03" w:rsidRPr="00A77852">
        <w:rPr>
          <w:szCs w:val="22"/>
        </w:rPr>
        <w:t xml:space="preserve"> Bank has an extensive array of specialist advice which can assist Sri Lanka address its development challenges.</w:t>
      </w:r>
      <w:r w:rsidR="009A1D03">
        <w:t xml:space="preserve"> </w:t>
      </w:r>
      <w:r w:rsidR="009D4933">
        <w:t xml:space="preserve">The </w:t>
      </w:r>
      <w:r w:rsidR="00C77827">
        <w:rPr>
          <w:szCs w:val="22"/>
        </w:rPr>
        <w:t xml:space="preserve">Australian </w:t>
      </w:r>
      <w:r w:rsidR="009D4933">
        <w:rPr>
          <w:szCs w:val="22"/>
        </w:rPr>
        <w:t>Government’s</w:t>
      </w:r>
      <w:r w:rsidR="00C77827" w:rsidRPr="003E371A">
        <w:rPr>
          <w:szCs w:val="22"/>
        </w:rPr>
        <w:t xml:space="preserve"> </w:t>
      </w:r>
      <w:r w:rsidRPr="003E371A">
        <w:rPr>
          <w:szCs w:val="22"/>
        </w:rPr>
        <w:t>$</w:t>
      </w:r>
      <w:r w:rsidR="00F40D38">
        <w:rPr>
          <w:szCs w:val="22"/>
        </w:rPr>
        <w:t>62</w:t>
      </w:r>
      <w:r w:rsidRPr="003E371A">
        <w:rPr>
          <w:szCs w:val="22"/>
        </w:rPr>
        <w:t xml:space="preserve"> million, four-year commitment to two large-scale World Bank loan projects accounts for about 70 per cent of</w:t>
      </w:r>
      <w:r w:rsidR="001C749C">
        <w:rPr>
          <w:szCs w:val="22"/>
        </w:rPr>
        <w:t xml:space="preserve"> our</w:t>
      </w:r>
      <w:r w:rsidRPr="003E371A">
        <w:rPr>
          <w:szCs w:val="22"/>
        </w:rPr>
        <w:t xml:space="preserve"> annual aid to Sri Lanka. The </w:t>
      </w:r>
      <w:r w:rsidR="009A1D03">
        <w:rPr>
          <w:szCs w:val="22"/>
        </w:rPr>
        <w:t>rationale for working with the World Bank on these projects include</w:t>
      </w:r>
      <w:r w:rsidR="00CD4B44">
        <w:rPr>
          <w:szCs w:val="22"/>
        </w:rPr>
        <w:t>s</w:t>
      </w:r>
      <w:r w:rsidR="008B7060">
        <w:rPr>
          <w:szCs w:val="22"/>
        </w:rPr>
        <w:t xml:space="preserve"> the</w:t>
      </w:r>
      <w:r w:rsidR="00C81E22">
        <w:rPr>
          <w:szCs w:val="22"/>
        </w:rPr>
        <w:t>:</w:t>
      </w:r>
      <w:r w:rsidR="000C2148">
        <w:rPr>
          <w:szCs w:val="22"/>
        </w:rPr>
        <w:t xml:space="preserve"> </w:t>
      </w:r>
    </w:p>
    <w:p w14:paraId="143752E1" w14:textId="77777777" w:rsidR="00C81E22" w:rsidRPr="00971C1C" w:rsidRDefault="00DA5AB4" w:rsidP="00971C1C">
      <w:pPr>
        <w:pStyle w:val="ListBullet"/>
      </w:pPr>
      <w:r w:rsidRPr="00971C1C">
        <w:t xml:space="preserve">World Bank’s global reach </w:t>
      </w:r>
      <w:r w:rsidR="00C81E22" w:rsidRPr="00971C1C">
        <w:t xml:space="preserve">and ability </w:t>
      </w:r>
      <w:r w:rsidRPr="00971C1C">
        <w:t>to manage risk and deliver results</w:t>
      </w:r>
    </w:p>
    <w:p w14:paraId="143752E2" w14:textId="77777777" w:rsidR="00C81E22" w:rsidRPr="00971C1C" w:rsidRDefault="009A1D03" w:rsidP="00971C1C">
      <w:pPr>
        <w:pStyle w:val="ListBullet"/>
      </w:pPr>
      <w:r w:rsidRPr="00971C1C">
        <w:t xml:space="preserve">projects’ </w:t>
      </w:r>
      <w:r w:rsidR="00DA5AB4" w:rsidRPr="00971C1C">
        <w:t xml:space="preserve">alignment to the </w:t>
      </w:r>
      <w:r w:rsidRPr="00971C1C">
        <w:t xml:space="preserve">objectives </w:t>
      </w:r>
      <w:r w:rsidR="00DA5AB4" w:rsidRPr="00971C1C">
        <w:t xml:space="preserve">of </w:t>
      </w:r>
      <w:r w:rsidR="001C749C" w:rsidRPr="00971C1C">
        <w:t xml:space="preserve">our </w:t>
      </w:r>
      <w:r w:rsidRPr="00971C1C">
        <w:t xml:space="preserve">aid </w:t>
      </w:r>
      <w:r w:rsidR="00DA5AB4" w:rsidRPr="00971C1C">
        <w:t xml:space="preserve">program </w:t>
      </w:r>
      <w:r w:rsidRPr="00971C1C">
        <w:t xml:space="preserve">in </w:t>
      </w:r>
      <w:r w:rsidR="00C77827" w:rsidRPr="00971C1C">
        <w:t>Sri Lanka</w:t>
      </w:r>
    </w:p>
    <w:p w14:paraId="143752E3" w14:textId="77777777" w:rsidR="00C81E22" w:rsidRPr="004A5083" w:rsidRDefault="00DA5AB4" w:rsidP="00971C1C">
      <w:pPr>
        <w:pStyle w:val="ListBullet"/>
        <w:rPr>
          <w:u w:val="single"/>
        </w:rPr>
      </w:pPr>
      <w:r w:rsidRPr="00971C1C">
        <w:t>Government of Sri Lanka</w:t>
      </w:r>
      <w:r w:rsidR="00C81E22" w:rsidRPr="00971C1C">
        <w:t xml:space="preserve">’s </w:t>
      </w:r>
      <w:r w:rsidR="000C2148" w:rsidRPr="00971C1C">
        <w:t xml:space="preserve">own </w:t>
      </w:r>
      <w:r w:rsidR="00963631" w:rsidRPr="00971C1C">
        <w:t>investment in these activities (through national budget allocations</w:t>
      </w:r>
      <w:r w:rsidR="00963631">
        <w:t xml:space="preserve"> and World Bank loans)</w:t>
      </w:r>
      <w:r w:rsidRPr="003E371A">
        <w:t xml:space="preserve">. </w:t>
      </w:r>
    </w:p>
    <w:p w14:paraId="143752E4" w14:textId="77777777" w:rsidR="002B67FA" w:rsidRDefault="009A1D03" w:rsidP="00971C1C">
      <w:pPr>
        <w:pStyle w:val="BodyText"/>
      </w:pPr>
      <w:r w:rsidRPr="00971C1C">
        <w:rPr>
          <w:b/>
        </w:rPr>
        <w:t>However, there were d</w:t>
      </w:r>
      <w:r w:rsidR="0017504C" w:rsidRPr="00971C1C">
        <w:rPr>
          <w:b/>
        </w:rPr>
        <w:t>elays to mobilis</w:t>
      </w:r>
      <w:r w:rsidR="00C81E22" w:rsidRPr="00971C1C">
        <w:rPr>
          <w:b/>
        </w:rPr>
        <w:t>ing</w:t>
      </w:r>
      <w:r w:rsidR="0017504C" w:rsidRPr="00971C1C">
        <w:rPr>
          <w:b/>
        </w:rPr>
        <w:t xml:space="preserve"> </w:t>
      </w:r>
      <w:r w:rsidR="00440E21" w:rsidRPr="00971C1C">
        <w:rPr>
          <w:b/>
        </w:rPr>
        <w:t xml:space="preserve">Australian funding to </w:t>
      </w:r>
      <w:r w:rsidRPr="00971C1C">
        <w:rPr>
          <w:b/>
        </w:rPr>
        <w:t xml:space="preserve">two </w:t>
      </w:r>
      <w:r w:rsidR="0017504C" w:rsidRPr="00971C1C">
        <w:rPr>
          <w:b/>
        </w:rPr>
        <w:t xml:space="preserve">World Bank </w:t>
      </w:r>
      <w:r w:rsidR="001C749C" w:rsidRPr="00971C1C">
        <w:rPr>
          <w:b/>
        </w:rPr>
        <w:t>projects, which</w:t>
      </w:r>
      <w:r w:rsidR="00543A67" w:rsidRPr="00971C1C">
        <w:rPr>
          <w:b/>
        </w:rPr>
        <w:t xml:space="preserve"> </w:t>
      </w:r>
      <w:r w:rsidR="0017504C" w:rsidRPr="00971C1C">
        <w:rPr>
          <w:b/>
        </w:rPr>
        <w:t xml:space="preserve">seriously undermined </w:t>
      </w:r>
      <w:r w:rsidR="00C77827" w:rsidRPr="00971C1C">
        <w:rPr>
          <w:b/>
        </w:rPr>
        <w:t>the</w:t>
      </w:r>
      <w:r w:rsidR="00440E21" w:rsidRPr="00971C1C">
        <w:rPr>
          <w:b/>
        </w:rPr>
        <w:t xml:space="preserve"> </w:t>
      </w:r>
      <w:r w:rsidR="0017504C" w:rsidRPr="00971C1C">
        <w:rPr>
          <w:b/>
        </w:rPr>
        <w:t>ability to contribute to achieving this objective in 2012</w:t>
      </w:r>
      <w:r w:rsidR="00117C6C" w:rsidRPr="00971C1C">
        <w:rPr>
          <w:b/>
        </w:rPr>
        <w:softHyphen/>
      </w:r>
      <w:r w:rsidR="00971C1C" w:rsidRPr="00971C1C">
        <w:rPr>
          <w:b/>
        </w:rPr>
        <w:t>–</w:t>
      </w:r>
      <w:r w:rsidR="0017504C" w:rsidRPr="00971C1C">
        <w:rPr>
          <w:b/>
        </w:rPr>
        <w:t>13.</w:t>
      </w:r>
      <w:r w:rsidR="00DA43D0">
        <w:t xml:space="preserve"> </w:t>
      </w:r>
      <w:r w:rsidR="00820924">
        <w:t xml:space="preserve">Although the </w:t>
      </w:r>
      <w:r w:rsidR="001C749C">
        <w:t xml:space="preserve">World </w:t>
      </w:r>
      <w:r w:rsidR="00820924">
        <w:t xml:space="preserve">Bank has a broad portfolio in Sri Lanka, </w:t>
      </w:r>
      <w:r w:rsidR="00CD4B44">
        <w:t xml:space="preserve">during the reporting period it did not </w:t>
      </w:r>
      <w:r w:rsidR="009D2D5D">
        <w:t xml:space="preserve">obtain </w:t>
      </w:r>
      <w:r w:rsidR="0017504C">
        <w:t>Go</w:t>
      </w:r>
      <w:r w:rsidR="00C81E22">
        <w:t>vernment of Sri Lanka</w:t>
      </w:r>
      <w:r w:rsidR="0017504C">
        <w:t xml:space="preserve"> </w:t>
      </w:r>
      <w:r w:rsidR="0017504C" w:rsidRPr="009F7AD2">
        <w:t>agreement for</w:t>
      </w:r>
      <w:r w:rsidR="0017504C">
        <w:t xml:space="preserve"> </w:t>
      </w:r>
      <w:r w:rsidR="003452C3">
        <w:t xml:space="preserve">our </w:t>
      </w:r>
      <w:r w:rsidR="0017504C">
        <w:t>support to</w:t>
      </w:r>
      <w:r w:rsidR="0017504C" w:rsidRPr="009F7AD2">
        <w:t xml:space="preserve"> World Bank-led initiatives in infrastructure (NELSIP) and education (T</w:t>
      </w:r>
      <w:r w:rsidR="0017504C">
        <w:t xml:space="preserve">ransforming </w:t>
      </w:r>
      <w:r w:rsidR="0017504C" w:rsidRPr="009F7AD2">
        <w:t>S</w:t>
      </w:r>
      <w:r w:rsidR="0017504C">
        <w:t xml:space="preserve">chool </w:t>
      </w:r>
      <w:r w:rsidR="0017504C" w:rsidRPr="009F7AD2">
        <w:t>E</w:t>
      </w:r>
      <w:r w:rsidR="0017504C">
        <w:t xml:space="preserve">ducation </w:t>
      </w:r>
      <w:r w:rsidR="0017504C" w:rsidRPr="009F7AD2">
        <w:t>P</w:t>
      </w:r>
      <w:r w:rsidR="0017504C">
        <w:t>roject</w:t>
      </w:r>
      <w:r w:rsidR="00342E31">
        <w:t>—</w:t>
      </w:r>
      <w:r w:rsidR="00CD4B44">
        <w:t>TSEP</w:t>
      </w:r>
      <w:r w:rsidR="0017504C" w:rsidRPr="009F7AD2">
        <w:t>)</w:t>
      </w:r>
      <w:r w:rsidR="009D2D5D">
        <w:t xml:space="preserve">. </w:t>
      </w:r>
      <w:r w:rsidR="008F2BD1">
        <w:t xml:space="preserve">The World Bank has </w:t>
      </w:r>
      <w:r w:rsidR="009D2D5D">
        <w:t xml:space="preserve">therefore </w:t>
      </w:r>
      <w:r w:rsidR="008F2BD1">
        <w:t>not been able to disburse p</w:t>
      </w:r>
      <w:r w:rsidR="00DA43D0" w:rsidRPr="00D06E54">
        <w:t xml:space="preserve">revious payments </w:t>
      </w:r>
      <w:r w:rsidR="008F2BD1">
        <w:t xml:space="preserve">received </w:t>
      </w:r>
      <w:r w:rsidR="0034004B">
        <w:t xml:space="preserve">from </w:t>
      </w:r>
      <w:r w:rsidR="008F2BD1">
        <w:t xml:space="preserve">Australia. As a result, </w:t>
      </w:r>
      <w:r w:rsidR="009D2D5D">
        <w:t xml:space="preserve">we </w:t>
      </w:r>
      <w:r w:rsidR="009D2D5D" w:rsidRPr="00137D06">
        <w:t>have</w:t>
      </w:r>
      <w:r w:rsidR="009D2D5D">
        <w:t xml:space="preserve"> not </w:t>
      </w:r>
      <w:r w:rsidR="009D2D5D" w:rsidRPr="00137D06">
        <w:t>yet contribute</w:t>
      </w:r>
      <w:r w:rsidR="009D2D5D">
        <w:t>d</w:t>
      </w:r>
      <w:r w:rsidR="009D2D5D" w:rsidRPr="00137D06">
        <w:t xml:space="preserve"> to these development priorities</w:t>
      </w:r>
      <w:r w:rsidR="009D2D5D">
        <w:t xml:space="preserve">, and </w:t>
      </w:r>
      <w:r w:rsidR="0034004B">
        <w:t xml:space="preserve">anticipated </w:t>
      </w:r>
      <w:r w:rsidR="004F0705">
        <w:t xml:space="preserve">funding for </w:t>
      </w:r>
      <w:r w:rsidR="00DA43D0" w:rsidRPr="00D06E54">
        <w:t>NELSIP</w:t>
      </w:r>
      <w:r w:rsidR="00543A67">
        <w:t xml:space="preserve"> in 2012</w:t>
      </w:r>
      <w:r w:rsidR="001C749C">
        <w:t>–</w:t>
      </w:r>
      <w:r w:rsidR="00543A67">
        <w:t>13</w:t>
      </w:r>
      <w:r w:rsidR="00DA43D0" w:rsidRPr="00D06E54">
        <w:t xml:space="preserve"> </w:t>
      </w:r>
      <w:r w:rsidR="0034004B">
        <w:t xml:space="preserve">was diverted </w:t>
      </w:r>
      <w:r w:rsidR="00DA43D0" w:rsidRPr="00D06E54">
        <w:t>to alternate partners and activi</w:t>
      </w:r>
      <w:r w:rsidR="00CD4B44">
        <w:t xml:space="preserve">ties to support this objective. </w:t>
      </w:r>
    </w:p>
    <w:p w14:paraId="143752E5" w14:textId="749AF5B1" w:rsidR="00543A67" w:rsidRDefault="00542C65" w:rsidP="00971C1C">
      <w:pPr>
        <w:pStyle w:val="BodyText"/>
      </w:pPr>
      <w:r>
        <w:t xml:space="preserve">An agreement between the Government of Sri Lanka and the World Bank for the use of Australian funds to support TSEP was finally reached in late July 2013. </w:t>
      </w:r>
      <w:r w:rsidR="0017504C" w:rsidRPr="00D06E54">
        <w:t xml:space="preserve">The Sri Lanka program is </w:t>
      </w:r>
      <w:r>
        <w:t xml:space="preserve">now </w:t>
      </w:r>
      <w:r w:rsidR="0017504C" w:rsidRPr="00D06E54">
        <w:t xml:space="preserve">working with the World Bank to address </w:t>
      </w:r>
      <w:r>
        <w:t>the ongoing</w:t>
      </w:r>
      <w:r w:rsidR="0017504C" w:rsidRPr="00D06E54">
        <w:t xml:space="preserve"> </w:t>
      </w:r>
      <w:r w:rsidR="002B67FA">
        <w:t>delays</w:t>
      </w:r>
      <w:r>
        <w:t xml:space="preserve"> with the NELSIP agreement, plus separate work to ensure agreements for remaining Australian support to TSEP are secured</w:t>
      </w:r>
      <w:r w:rsidR="0017504C" w:rsidRPr="00D06E54">
        <w:t>.</w:t>
      </w:r>
      <w:r>
        <w:t xml:space="preserve"> </w:t>
      </w:r>
      <w:r w:rsidR="002B67FA">
        <w:t>S</w:t>
      </w:r>
      <w:r w:rsidR="0017504C" w:rsidRPr="009F7AD2">
        <w:t>atisfactory resolution between the World Bank and the Government of Sri Lanka</w:t>
      </w:r>
      <w:r w:rsidR="002B67FA">
        <w:t xml:space="preserve"> is expected,</w:t>
      </w:r>
      <w:r w:rsidR="0017504C" w:rsidRPr="009F7AD2">
        <w:t xml:space="preserve"> although the nature, timing and impact </w:t>
      </w:r>
      <w:r w:rsidR="00E34E52">
        <w:t>are</w:t>
      </w:r>
      <w:r w:rsidR="002B67FA">
        <w:t xml:space="preserve"> uncertain</w:t>
      </w:r>
      <w:r w:rsidR="0017504C">
        <w:t xml:space="preserve">. </w:t>
      </w:r>
      <w:r w:rsidR="002B67FA">
        <w:t>Outcomes</w:t>
      </w:r>
      <w:r w:rsidR="0017504C" w:rsidRPr="009F7AD2">
        <w:t xml:space="preserve"> may require </w:t>
      </w:r>
      <w:r w:rsidR="002B67FA">
        <w:t xml:space="preserve">program </w:t>
      </w:r>
      <w:r w:rsidR="0017504C" w:rsidRPr="009F7AD2">
        <w:t>adjustments</w:t>
      </w:r>
      <w:r w:rsidR="0083415C">
        <w:t xml:space="preserve">. </w:t>
      </w:r>
      <w:r w:rsidR="00963631">
        <w:t xml:space="preserve">In parallel, </w:t>
      </w:r>
      <w:r w:rsidR="007523D7">
        <w:t>the department</w:t>
      </w:r>
      <w:r w:rsidR="00F8136D">
        <w:t xml:space="preserve"> </w:t>
      </w:r>
      <w:r w:rsidR="00963631">
        <w:t xml:space="preserve">is exploring options to </w:t>
      </w:r>
      <w:r w:rsidR="0017504C" w:rsidRPr="009F7AD2">
        <w:t xml:space="preserve">improve standard business processes and legal frameworks </w:t>
      </w:r>
      <w:r w:rsidR="00F40D38">
        <w:t xml:space="preserve">with and </w:t>
      </w:r>
      <w:r w:rsidR="0017504C" w:rsidRPr="009F7AD2">
        <w:t>within</w:t>
      </w:r>
      <w:r w:rsidR="001C749C">
        <w:t xml:space="preserve"> the World Bank</w:t>
      </w:r>
      <w:r w:rsidR="002B67FA">
        <w:t>.</w:t>
      </w:r>
    </w:p>
    <w:p w14:paraId="143752E6" w14:textId="77777777" w:rsidR="00406631" w:rsidRDefault="009952D0" w:rsidP="00A42DBC">
      <w:pPr>
        <w:pStyle w:val="BodyText"/>
      </w:pPr>
      <w:r w:rsidRPr="00980268">
        <w:rPr>
          <w:b/>
        </w:rPr>
        <w:t>P</w:t>
      </w:r>
      <w:r w:rsidR="00406631" w:rsidRPr="00980268">
        <w:rPr>
          <w:b/>
        </w:rPr>
        <w:t xml:space="preserve">eace has allowed </w:t>
      </w:r>
      <w:r w:rsidR="00540D60">
        <w:rPr>
          <w:b/>
        </w:rPr>
        <w:t>the Sri Lankan Government and others</w:t>
      </w:r>
      <w:r w:rsidR="001C749C">
        <w:rPr>
          <w:b/>
        </w:rPr>
        <w:t xml:space="preserve"> to collect data</w:t>
      </w:r>
      <w:r w:rsidR="00406631" w:rsidRPr="00980268">
        <w:rPr>
          <w:b/>
        </w:rPr>
        <w:t xml:space="preserve"> that was difficult or impossible</w:t>
      </w:r>
      <w:r w:rsidR="001C749C">
        <w:rPr>
          <w:b/>
        </w:rPr>
        <w:t xml:space="preserve"> to collect</w:t>
      </w:r>
      <w:r w:rsidR="00406631" w:rsidRPr="00980268">
        <w:rPr>
          <w:b/>
        </w:rPr>
        <w:t xml:space="preserve"> during the conflict.</w:t>
      </w:r>
      <w:r w:rsidR="00120A05">
        <w:rPr>
          <w:b/>
        </w:rPr>
        <w:t xml:space="preserve"> </w:t>
      </w:r>
      <w:r w:rsidR="00120A05" w:rsidRPr="00A91948">
        <w:rPr>
          <w:b/>
        </w:rPr>
        <w:t>However</w:t>
      </w:r>
      <w:r w:rsidR="00120A05" w:rsidRPr="00980268">
        <w:rPr>
          <w:b/>
        </w:rPr>
        <w:t xml:space="preserve">, </w:t>
      </w:r>
      <w:r w:rsidR="00F654BC">
        <w:rPr>
          <w:b/>
        </w:rPr>
        <w:t xml:space="preserve">some data </w:t>
      </w:r>
      <w:r w:rsidR="00543A67">
        <w:rPr>
          <w:b/>
        </w:rPr>
        <w:t xml:space="preserve">are </w:t>
      </w:r>
      <w:r w:rsidR="00F654BC">
        <w:rPr>
          <w:b/>
        </w:rPr>
        <w:t xml:space="preserve">still not complete. This, along with </w:t>
      </w:r>
      <w:r w:rsidR="00120A05">
        <w:rPr>
          <w:b/>
        </w:rPr>
        <w:t>lack of robust baselines</w:t>
      </w:r>
      <w:r w:rsidR="00F654BC">
        <w:rPr>
          <w:b/>
        </w:rPr>
        <w:t>,</w:t>
      </w:r>
      <w:r w:rsidR="00120A05">
        <w:rPr>
          <w:b/>
        </w:rPr>
        <w:t xml:space="preserve"> make</w:t>
      </w:r>
      <w:r w:rsidR="004E2A1B">
        <w:rPr>
          <w:b/>
        </w:rPr>
        <w:t>s it difficult to make confident</w:t>
      </w:r>
      <w:r w:rsidR="00120A05">
        <w:rPr>
          <w:b/>
        </w:rPr>
        <w:t xml:space="preserve"> judgements about </w:t>
      </w:r>
      <w:r w:rsidR="00B13F26">
        <w:rPr>
          <w:b/>
        </w:rPr>
        <w:t xml:space="preserve">our contribution to achieving Objective </w:t>
      </w:r>
      <w:r w:rsidR="00CC14DB">
        <w:rPr>
          <w:b/>
        </w:rPr>
        <w:t>1</w:t>
      </w:r>
      <w:r w:rsidR="00120A05">
        <w:rPr>
          <w:b/>
        </w:rPr>
        <w:t xml:space="preserve">. </w:t>
      </w:r>
      <w:r w:rsidR="004E2A1B">
        <w:t>Q</w:t>
      </w:r>
      <w:r w:rsidR="00B13F26">
        <w:t xml:space="preserve">uality of data on lagging regions has improved. </w:t>
      </w:r>
      <w:r w:rsidR="00406631">
        <w:t xml:space="preserve">The most significant </w:t>
      </w:r>
      <w:r w:rsidR="004E2A1B">
        <w:t xml:space="preserve">example </w:t>
      </w:r>
      <w:r w:rsidR="00406631">
        <w:t xml:space="preserve">was </w:t>
      </w:r>
      <w:r w:rsidR="004E2A1B">
        <w:t>the</w:t>
      </w:r>
      <w:r w:rsidR="00406631">
        <w:t xml:space="preserve"> national census</w:t>
      </w:r>
      <w:r w:rsidR="004E2A1B">
        <w:t xml:space="preserve"> </w:t>
      </w:r>
      <w:r w:rsidR="009E7208">
        <w:t>the Sri Lanka</w:t>
      </w:r>
      <w:r w:rsidR="007D4949">
        <w:t>n</w:t>
      </w:r>
      <w:r w:rsidR="009E7208">
        <w:t xml:space="preserve"> Government </w:t>
      </w:r>
      <w:r w:rsidR="004E2A1B">
        <w:t>conducted in early 2012</w:t>
      </w:r>
      <w:r w:rsidR="001C749C">
        <w:t>. F</w:t>
      </w:r>
      <w:r w:rsidR="009E7208">
        <w:t>or the first time in decades</w:t>
      </w:r>
      <w:r w:rsidR="001C749C">
        <w:t xml:space="preserve"> the census</w:t>
      </w:r>
      <w:r w:rsidR="00DD4DD6">
        <w:t xml:space="preserve"> included</w:t>
      </w:r>
      <w:r w:rsidR="001C749C">
        <w:t xml:space="preserve"> Eastern and</w:t>
      </w:r>
      <w:r w:rsidR="00DD4DD6">
        <w:t xml:space="preserve"> Northern </w:t>
      </w:r>
      <w:r w:rsidR="00CC14DB">
        <w:t>p</w:t>
      </w:r>
      <w:r w:rsidR="00DD4DD6">
        <w:t>rovinces</w:t>
      </w:r>
      <w:r w:rsidR="00F47AC6">
        <w:t xml:space="preserve">. </w:t>
      </w:r>
      <w:r w:rsidR="00540D60">
        <w:t xml:space="preserve">Sri Lankan </w:t>
      </w:r>
      <w:r w:rsidR="00406631">
        <w:t>Government agencies concerned with social development—especially</w:t>
      </w:r>
      <w:r w:rsidR="00540D60">
        <w:t xml:space="preserve"> in </w:t>
      </w:r>
      <w:r w:rsidR="00406631">
        <w:t>health and education—are gaining deeper knowledge on the quality and coverage of essential services in lagging regions. A picture of vital economic indicators in Sri Lanka’s poorest regions—such as household incomes, labour market participation and rates of investment—is steadily emerging from agencies such as the Central Bank of Sri Lanka. Development partners, particularly the U</w:t>
      </w:r>
      <w:r w:rsidR="004E2A1B">
        <w:t xml:space="preserve">nited </w:t>
      </w:r>
      <w:r w:rsidR="00406631">
        <w:t>N</w:t>
      </w:r>
      <w:r w:rsidR="004E2A1B">
        <w:t xml:space="preserve">ations </w:t>
      </w:r>
      <w:r w:rsidR="00406631">
        <w:t>D</w:t>
      </w:r>
      <w:r w:rsidR="004E2A1B">
        <w:t xml:space="preserve">evelopment </w:t>
      </w:r>
      <w:r w:rsidR="00406631">
        <w:t>P</w:t>
      </w:r>
      <w:r w:rsidR="004E2A1B">
        <w:t>rogramme (UNDP)</w:t>
      </w:r>
      <w:r w:rsidR="00406631">
        <w:t xml:space="preserve"> through its 2013 Sri Lanka Human Development Report, are adding insights on how social and economic indicators changed over the reporting period. This includes some data disaggregated by gender, province and ethnicity. </w:t>
      </w:r>
    </w:p>
    <w:p w14:paraId="143752E7" w14:textId="12B7C8B5" w:rsidR="00F94E5E" w:rsidRDefault="009E7208" w:rsidP="002770D2">
      <w:pPr>
        <w:pStyle w:val="BodyText"/>
      </w:pPr>
      <w:r>
        <w:t>Despite progress in collecting data,</w:t>
      </w:r>
      <w:r w:rsidR="00B13F26">
        <w:t xml:space="preserve"> robust baselines on economic and social development are only just emerging.</w:t>
      </w:r>
      <w:r w:rsidR="00130265">
        <w:t xml:space="preserve"> This, combined with </w:t>
      </w:r>
      <w:r w:rsidR="007E37B3">
        <w:t>in</w:t>
      </w:r>
      <w:r w:rsidR="00130265">
        <w:t>sufficient data at provincial level,</w:t>
      </w:r>
      <w:r w:rsidR="00B13F26">
        <w:t xml:space="preserve"> hampers our ability </w:t>
      </w:r>
      <w:r w:rsidR="00B13F26" w:rsidRPr="00980268">
        <w:t>to form</w:t>
      </w:r>
      <w:r w:rsidR="007E37B3">
        <w:t xml:space="preserve"> confident</w:t>
      </w:r>
      <w:r w:rsidR="00B13F26" w:rsidRPr="00980268">
        <w:t xml:space="preserve"> judgements about the significance of the results </w:t>
      </w:r>
      <w:r w:rsidR="007E37B3">
        <w:t xml:space="preserve">of </w:t>
      </w:r>
      <w:r w:rsidR="00DD3572">
        <w:t>our</w:t>
      </w:r>
      <w:r w:rsidR="00DD3572" w:rsidRPr="00980268">
        <w:t xml:space="preserve"> </w:t>
      </w:r>
      <w:r w:rsidR="00B13F26" w:rsidRPr="00980268">
        <w:t xml:space="preserve">funding </w:t>
      </w:r>
      <w:r w:rsidR="00130265">
        <w:lastRenderedPageBreak/>
        <w:t xml:space="preserve">against Objective </w:t>
      </w:r>
      <w:r w:rsidR="004E2A1B">
        <w:t>1</w:t>
      </w:r>
      <w:r w:rsidR="00B13F26" w:rsidRPr="00980268">
        <w:t>.</w:t>
      </w:r>
      <w:r w:rsidR="00B13F26">
        <w:rPr>
          <w:b/>
        </w:rPr>
        <w:t xml:space="preserve"> </w:t>
      </w:r>
      <w:r w:rsidR="00F40D38">
        <w:rPr>
          <w:b/>
        </w:rPr>
        <w:t xml:space="preserve">Available </w:t>
      </w:r>
      <w:r w:rsidR="00F40D38">
        <w:t>d</w:t>
      </w:r>
      <w:r w:rsidR="00406631">
        <w:t>ata show</w:t>
      </w:r>
      <w:r w:rsidR="00430B82">
        <w:t>s</w:t>
      </w:r>
      <w:r w:rsidR="00406631">
        <w:t xml:space="preserve"> that unemployment rates in East</w:t>
      </w:r>
      <w:r w:rsidR="00F40D38">
        <w:t>ern</w:t>
      </w:r>
      <w:r w:rsidR="00406631">
        <w:t xml:space="preserve"> Province are twice the national rate </w:t>
      </w:r>
      <w:r w:rsidR="007E37B3">
        <w:t>(</w:t>
      </w:r>
      <w:r w:rsidR="00406631">
        <w:t>8.6</w:t>
      </w:r>
      <w:r w:rsidR="00C57626">
        <w:t xml:space="preserve"> per cent</w:t>
      </w:r>
      <w:r w:rsidR="007E37B3">
        <w:t>) and that</w:t>
      </w:r>
      <w:r w:rsidR="00406631">
        <w:t xml:space="preserve"> the female</w:t>
      </w:r>
      <w:r w:rsidR="00DD3572">
        <w:t xml:space="preserve"> employment</w:t>
      </w:r>
      <w:r w:rsidR="00406631">
        <w:t xml:space="preserve"> rate in</w:t>
      </w:r>
      <w:r w:rsidR="007E37B3">
        <w:t>-p</w:t>
      </w:r>
      <w:r w:rsidR="00406631">
        <w:t>rovince</w:t>
      </w:r>
      <w:r w:rsidR="007E37B3">
        <w:t xml:space="preserve"> is</w:t>
      </w:r>
      <w:r w:rsidR="00406631">
        <w:t xml:space="preserve"> almost five times the national rate </w:t>
      </w:r>
      <w:r w:rsidR="007E37B3">
        <w:t>(</w:t>
      </w:r>
      <w:r w:rsidR="00406631">
        <w:t>18.6</w:t>
      </w:r>
      <w:r w:rsidR="00C57626">
        <w:t xml:space="preserve"> per cent</w:t>
      </w:r>
      <w:r w:rsidR="007E37B3">
        <w:t>)</w:t>
      </w:r>
      <w:r w:rsidR="00406631">
        <w:t xml:space="preserve">. </w:t>
      </w:r>
      <w:r w:rsidR="00787668" w:rsidRPr="00876322">
        <w:t xml:space="preserve">Also, </w:t>
      </w:r>
      <w:r w:rsidR="0005487D">
        <w:t>as at December 2012, around 16</w:t>
      </w:r>
      <w:r w:rsidR="004E2A1B">
        <w:t xml:space="preserve"> </w:t>
      </w:r>
      <w:r w:rsidR="0005487D">
        <w:t>000</w:t>
      </w:r>
      <w:r w:rsidR="00787668" w:rsidRPr="00876322">
        <w:t xml:space="preserve"> people</w:t>
      </w:r>
      <w:r w:rsidR="00642DF9">
        <w:t xml:space="preserve"> were</w:t>
      </w:r>
      <w:r w:rsidR="00787668" w:rsidRPr="00876322">
        <w:t xml:space="preserve"> </w:t>
      </w:r>
      <w:r w:rsidR="007E37B3">
        <w:t xml:space="preserve">still </w:t>
      </w:r>
      <w:r w:rsidR="00787668" w:rsidRPr="00876322">
        <w:t xml:space="preserve">displaced by the end of civil conflict </w:t>
      </w:r>
      <w:r w:rsidR="007E37B3">
        <w:t>and</w:t>
      </w:r>
      <w:r w:rsidR="00787668" w:rsidRPr="00876322">
        <w:t xml:space="preserve"> unable to return home</w:t>
      </w:r>
      <w:r w:rsidR="00DD3572">
        <w:t>. These people</w:t>
      </w:r>
      <w:r w:rsidR="00787668" w:rsidRPr="00876322">
        <w:t xml:space="preserve"> </w:t>
      </w:r>
      <w:r w:rsidR="007E37B3">
        <w:t xml:space="preserve">were </w:t>
      </w:r>
      <w:r w:rsidR="00787668" w:rsidRPr="00876322">
        <w:t>liv</w:t>
      </w:r>
      <w:r w:rsidR="0005487D">
        <w:t>ing</w:t>
      </w:r>
      <w:r w:rsidR="00787668" w:rsidRPr="00876322">
        <w:t xml:space="preserve"> with host families or on state-owned land awaiting resolution to land</w:t>
      </w:r>
      <w:r w:rsidR="007E37B3">
        <w:t xml:space="preserve"> </w:t>
      </w:r>
      <w:r w:rsidR="00787668" w:rsidRPr="00876322">
        <w:t>tenure and other issues</w:t>
      </w:r>
      <w:r w:rsidR="00120A05">
        <w:t xml:space="preserve">. </w:t>
      </w:r>
    </w:p>
    <w:p w14:paraId="143752E8" w14:textId="7E70EE76" w:rsidR="002770D2" w:rsidRDefault="004E2A1B" w:rsidP="002770D2">
      <w:pPr>
        <w:pStyle w:val="BodyText"/>
      </w:pPr>
      <w:r>
        <w:rPr>
          <w:b/>
        </w:rPr>
        <w:t xml:space="preserve">The Department of Immigration and </w:t>
      </w:r>
      <w:r w:rsidR="00F40D38">
        <w:rPr>
          <w:b/>
        </w:rPr>
        <w:t>Border Protection</w:t>
      </w:r>
      <w:r w:rsidR="002770D2">
        <w:rPr>
          <w:b/>
        </w:rPr>
        <w:t xml:space="preserve"> supports a multi-year aid program </w:t>
      </w:r>
      <w:r>
        <w:rPr>
          <w:b/>
        </w:rPr>
        <w:t>focusing</w:t>
      </w:r>
      <w:r w:rsidR="002770D2">
        <w:rPr>
          <w:b/>
        </w:rPr>
        <w:t xml:space="preserve"> on Sri Lanka’s displaced people. </w:t>
      </w:r>
      <w:r w:rsidR="004F5D75">
        <w:rPr>
          <w:b/>
        </w:rPr>
        <w:t>Currently i</w:t>
      </w:r>
      <w:r w:rsidR="002770D2">
        <w:rPr>
          <w:b/>
        </w:rPr>
        <w:t>t is not possible to judge how this</w:t>
      </w:r>
      <w:r w:rsidR="00F81023">
        <w:rPr>
          <w:b/>
        </w:rPr>
        <w:t xml:space="preserve"> contributes to achieving O</w:t>
      </w:r>
      <w:r w:rsidR="002770D2">
        <w:rPr>
          <w:b/>
        </w:rPr>
        <w:t>bjecti</w:t>
      </w:r>
      <w:r w:rsidR="00F81023">
        <w:rPr>
          <w:b/>
        </w:rPr>
        <w:t xml:space="preserve">ve </w:t>
      </w:r>
      <w:r>
        <w:rPr>
          <w:b/>
        </w:rPr>
        <w:t>1</w:t>
      </w:r>
      <w:r w:rsidR="002770D2">
        <w:rPr>
          <w:b/>
        </w:rPr>
        <w:t xml:space="preserve">. </w:t>
      </w:r>
      <w:r w:rsidR="002770D2">
        <w:t xml:space="preserve">The Department of Immigration and </w:t>
      </w:r>
      <w:r w:rsidR="00F40D38">
        <w:t>Border Protection</w:t>
      </w:r>
      <w:r w:rsidR="007E37B3">
        <w:t>, through its Displaced Persons Program,</w:t>
      </w:r>
      <w:r w:rsidR="007E37B3" w:rsidDel="004E2A1B">
        <w:t xml:space="preserve"> </w:t>
      </w:r>
      <w:r w:rsidR="002770D2">
        <w:t>supports Australian</w:t>
      </w:r>
      <w:r>
        <w:t xml:space="preserve"> non-government organisations</w:t>
      </w:r>
      <w:r w:rsidR="002770D2">
        <w:t xml:space="preserve"> </w:t>
      </w:r>
      <w:r w:rsidR="003452C3">
        <w:t xml:space="preserve">(NGOs) </w:t>
      </w:r>
      <w:r w:rsidR="002770D2">
        <w:t xml:space="preserve">and international development bodies to work in Sri Lanka’s lagging regions. The program focuses on improving the lives of internally and externally displaced </w:t>
      </w:r>
      <w:r w:rsidR="007E37B3">
        <w:t>people</w:t>
      </w:r>
      <w:r w:rsidR="002770D2">
        <w:t>.</w:t>
      </w:r>
      <w:r w:rsidR="002770D2">
        <w:rPr>
          <w:rStyle w:val="FootnoteReference"/>
        </w:rPr>
        <w:footnoteReference w:id="11"/>
      </w:r>
      <w:r w:rsidR="002770D2">
        <w:t xml:space="preserve"> </w:t>
      </w:r>
      <w:r>
        <w:t>It</w:t>
      </w:r>
      <w:r w:rsidR="002770D2">
        <w:t xml:space="preserve"> </w:t>
      </w:r>
      <w:r w:rsidR="007E37B3">
        <w:t>started</w:t>
      </w:r>
      <w:r w:rsidR="002770D2">
        <w:t xml:space="preserve"> implementation in Sri Lanka </w:t>
      </w:r>
      <w:r w:rsidR="007E37B3">
        <w:t xml:space="preserve">in </w:t>
      </w:r>
      <w:r w:rsidR="00876322">
        <w:t>at least 2009</w:t>
      </w:r>
      <w:r w:rsidR="00DD3572">
        <w:t>–</w:t>
      </w:r>
      <w:r w:rsidR="00876322">
        <w:t>10</w:t>
      </w:r>
      <w:r w:rsidR="007E37B3">
        <w:t xml:space="preserve"> and</w:t>
      </w:r>
      <w:r w:rsidR="002770D2">
        <w:t xml:space="preserve"> has supported the implementation of </w:t>
      </w:r>
      <w:r w:rsidR="007E37B3">
        <w:t xml:space="preserve">12 </w:t>
      </w:r>
      <w:r w:rsidR="002770D2">
        <w:t xml:space="preserve">activities with </w:t>
      </w:r>
      <w:r w:rsidR="00876322">
        <w:t>five</w:t>
      </w:r>
      <w:r w:rsidR="002770D2">
        <w:t xml:space="preserve"> implementing partners. </w:t>
      </w:r>
      <w:r w:rsidR="009E7208">
        <w:t>E</w:t>
      </w:r>
      <w:r w:rsidR="002770D2">
        <w:t xml:space="preserve">xpenditure </w:t>
      </w:r>
      <w:r w:rsidR="00876322">
        <w:t>si</w:t>
      </w:r>
      <w:r w:rsidR="003576E6">
        <w:t>nce 2009</w:t>
      </w:r>
      <w:r w:rsidR="00DD3572">
        <w:t>–</w:t>
      </w:r>
      <w:r w:rsidR="003576E6">
        <w:t xml:space="preserve">10 </w:t>
      </w:r>
      <w:r w:rsidR="007E37B3">
        <w:t xml:space="preserve">was </w:t>
      </w:r>
      <w:r w:rsidR="003576E6">
        <w:t>$8.6</w:t>
      </w:r>
      <w:r w:rsidR="009E7208">
        <w:t xml:space="preserve"> </w:t>
      </w:r>
      <w:r w:rsidR="00876322">
        <w:t>m</w:t>
      </w:r>
      <w:r w:rsidR="009E7208">
        <w:t>illion</w:t>
      </w:r>
      <w:r w:rsidR="00876322">
        <w:t>, with $2.7</w:t>
      </w:r>
      <w:r w:rsidR="009E7208">
        <w:t xml:space="preserve"> </w:t>
      </w:r>
      <w:r w:rsidR="003576E6">
        <w:t>m</w:t>
      </w:r>
      <w:r w:rsidR="009E7208">
        <w:t>illion</w:t>
      </w:r>
      <w:r w:rsidR="002770D2">
        <w:t xml:space="preserve"> spent in </w:t>
      </w:r>
      <w:r w:rsidR="00876322">
        <w:t>2012</w:t>
      </w:r>
      <w:r w:rsidR="00DD3572">
        <w:t>–</w:t>
      </w:r>
      <w:r w:rsidR="00876322">
        <w:t xml:space="preserve">13. </w:t>
      </w:r>
    </w:p>
    <w:p w14:paraId="143752E9" w14:textId="77777777" w:rsidR="002F5B91" w:rsidRDefault="002770D2" w:rsidP="002F5B91">
      <w:pPr>
        <w:pStyle w:val="BodyText"/>
      </w:pPr>
      <w:r>
        <w:t xml:space="preserve">The </w:t>
      </w:r>
      <w:r w:rsidR="004E2A1B">
        <w:t xml:space="preserve">Displaced Persons Program </w:t>
      </w:r>
      <w:r>
        <w:t xml:space="preserve">is aligned to </w:t>
      </w:r>
      <w:r w:rsidR="003576E6">
        <w:t xml:space="preserve">the </w:t>
      </w:r>
      <w:r>
        <w:t xml:space="preserve">strategic intent of Australian aid to Sri Lanka. </w:t>
      </w:r>
      <w:r w:rsidR="006766B5">
        <w:t xml:space="preserve">Increased performance reporting would assist us to </w:t>
      </w:r>
      <w:r>
        <w:t>judge whether th</w:t>
      </w:r>
      <w:r w:rsidR="007E37B3">
        <w:t>e</w:t>
      </w:r>
      <w:r>
        <w:t xml:space="preserve"> program is making a significant contribution to achieving </w:t>
      </w:r>
      <w:r w:rsidR="004E2A1B">
        <w:t>O</w:t>
      </w:r>
      <w:r>
        <w:t xml:space="preserve">bjective </w:t>
      </w:r>
      <w:r w:rsidR="004E2A1B">
        <w:t>1</w:t>
      </w:r>
      <w:r>
        <w:t>.</w:t>
      </w:r>
    </w:p>
    <w:p w14:paraId="143752EA" w14:textId="6A1061D2" w:rsidR="002770D2" w:rsidRDefault="002F5B91" w:rsidP="002F5B91">
      <w:pPr>
        <w:pStyle w:val="BodyText"/>
      </w:pPr>
      <w:r>
        <w:t xml:space="preserve">To strengthen Australian aid delivered by other government agencies, </w:t>
      </w:r>
      <w:r w:rsidR="001F5785">
        <w:t xml:space="preserve">the </w:t>
      </w:r>
      <w:r w:rsidR="009D4933">
        <w:t>Government</w:t>
      </w:r>
      <w:r>
        <w:t xml:space="preserve"> </w:t>
      </w:r>
      <w:r w:rsidR="00321D03">
        <w:t>has introduced</w:t>
      </w:r>
      <w:r>
        <w:t xml:space="preserve"> a set of uniform standards to be applied by all Australia</w:t>
      </w:r>
      <w:r w:rsidR="00820924">
        <w:t>n</w:t>
      </w:r>
      <w:r>
        <w:t xml:space="preserve"> Government agencies in planning, deliver</w:t>
      </w:r>
      <w:r w:rsidR="00DD3572">
        <w:t>ing</w:t>
      </w:r>
      <w:r>
        <w:t xml:space="preserve">, monitoring and reporting of Australia’s aid program. </w:t>
      </w:r>
    </w:p>
    <w:p w14:paraId="143752EB" w14:textId="77777777" w:rsidR="00100B0C" w:rsidRPr="00971C1C" w:rsidRDefault="00100B0C" w:rsidP="00971C1C">
      <w:pPr>
        <w:pStyle w:val="Heading2"/>
      </w:pPr>
      <w:r w:rsidRPr="00971C1C">
        <w:t xml:space="preserve">Objective 2: </w:t>
      </w:r>
      <w:r w:rsidR="000E495F" w:rsidRPr="00971C1C">
        <w:t>Policies and programs for inclusive growth and improved service delivery implemented at national and sub-national levels.</w:t>
      </w:r>
    </w:p>
    <w:p w14:paraId="143752EC" w14:textId="77777777" w:rsidR="006C7B57" w:rsidRPr="00971C1C" w:rsidRDefault="002E47C6" w:rsidP="00971C1C">
      <w:pPr>
        <w:pStyle w:val="BodyText"/>
        <w:rPr>
          <w:i/>
        </w:rPr>
      </w:pPr>
      <w:r w:rsidRPr="00971C1C">
        <w:rPr>
          <w:i/>
        </w:rPr>
        <w:t xml:space="preserve">The rating is based on good performance by </w:t>
      </w:r>
      <w:r w:rsidR="00543A67" w:rsidRPr="00971C1C">
        <w:rPr>
          <w:i/>
        </w:rPr>
        <w:t xml:space="preserve">some implementing </w:t>
      </w:r>
      <w:r w:rsidR="00A82AF7" w:rsidRPr="00971C1C">
        <w:rPr>
          <w:i/>
        </w:rPr>
        <w:t>partners</w:t>
      </w:r>
      <w:r w:rsidR="00AE767C" w:rsidRPr="00971C1C">
        <w:rPr>
          <w:i/>
        </w:rPr>
        <w:t xml:space="preserve">, important policy reform wins in education and timely efforts to support national efforts to rid Sri Lanka of landmines. </w:t>
      </w:r>
      <w:r w:rsidR="00542C65" w:rsidRPr="00971C1C">
        <w:rPr>
          <w:i/>
        </w:rPr>
        <w:t>The protracted delay with the funding agreement for Australia support to our joint education project with the World Bank has</w:t>
      </w:r>
      <w:r w:rsidR="00543A67" w:rsidRPr="00971C1C">
        <w:rPr>
          <w:i/>
        </w:rPr>
        <w:t xml:space="preserve"> contributed to an amber rating for this objective. </w:t>
      </w:r>
    </w:p>
    <w:p w14:paraId="143752ED" w14:textId="0AC846E8" w:rsidR="001A0150" w:rsidRPr="001A0150" w:rsidRDefault="00EA3C2E" w:rsidP="00971C1C">
      <w:pPr>
        <w:pStyle w:val="BodyText"/>
      </w:pPr>
      <w:r w:rsidRPr="00E716FC">
        <w:rPr>
          <w:b/>
          <w:bCs/>
        </w:rPr>
        <w:t xml:space="preserve">Complementary </w:t>
      </w:r>
      <w:r w:rsidR="001A0150" w:rsidRPr="00E716FC">
        <w:rPr>
          <w:b/>
          <w:bCs/>
        </w:rPr>
        <w:t>investments with a range of partners have enabled Australia to support education reform at national</w:t>
      </w:r>
      <w:r w:rsidR="001A0150" w:rsidRPr="00342E31">
        <w:rPr>
          <w:b/>
          <w:bCs/>
        </w:rPr>
        <w:t xml:space="preserve"> and provincial levels. </w:t>
      </w:r>
      <w:r w:rsidR="001A0150" w:rsidRPr="00342E31">
        <w:t>Building on existing work with UNICEF through the B</w:t>
      </w:r>
      <w:r w:rsidR="00A82AF7" w:rsidRPr="00E716FC">
        <w:t xml:space="preserve">ESP, </w:t>
      </w:r>
      <w:r w:rsidR="001A0150" w:rsidRPr="00E716FC">
        <w:t xml:space="preserve">Australia </w:t>
      </w:r>
      <w:r w:rsidR="00D95DC5" w:rsidRPr="00E716FC">
        <w:t>began</w:t>
      </w:r>
      <w:r w:rsidR="00D95DC5">
        <w:t xml:space="preserve"> to </w:t>
      </w:r>
      <w:r w:rsidR="001A0150" w:rsidRPr="001A0150">
        <w:t>support the Government of Sri Lanka’s Education Sector Development Framework and Program (ESDFP</w:t>
      </w:r>
      <w:r w:rsidR="00AD08C4">
        <w:t>)</w:t>
      </w:r>
      <w:r w:rsidR="00E34E52">
        <w:t xml:space="preserve"> </w:t>
      </w:r>
      <w:r w:rsidR="001A0150" w:rsidRPr="001A0150">
        <w:t>in 2012. Australia</w:t>
      </w:r>
      <w:r w:rsidR="00941DB7">
        <w:t>n</w:t>
      </w:r>
      <w:r w:rsidR="004735BB">
        <w:t xml:space="preserve"> funds </w:t>
      </w:r>
      <w:r w:rsidR="006766B5">
        <w:t>will be</w:t>
      </w:r>
      <w:r w:rsidR="004735BB">
        <w:t xml:space="preserve"> channelled </w:t>
      </w:r>
      <w:r w:rsidR="00941DB7">
        <w:t xml:space="preserve">into the ESDFP </w:t>
      </w:r>
      <w:r w:rsidR="004735BB">
        <w:t>thro</w:t>
      </w:r>
      <w:r w:rsidR="0097695D">
        <w:t xml:space="preserve">ugh the TSEP. </w:t>
      </w:r>
    </w:p>
    <w:p w14:paraId="143752EE" w14:textId="77777777" w:rsidR="001A6FFD" w:rsidRDefault="00085DDA" w:rsidP="00971C1C">
      <w:pPr>
        <w:pStyle w:val="BodyText"/>
      </w:pPr>
      <w:r>
        <w:t>Our</w:t>
      </w:r>
      <w:r w:rsidRPr="001A0150">
        <w:t xml:space="preserve"> </w:t>
      </w:r>
      <w:r w:rsidR="001A0150" w:rsidRPr="001A0150">
        <w:t>involvement included substantial input on</w:t>
      </w:r>
      <w:r w:rsidR="00642DF9">
        <w:t xml:space="preserve"> the design of TSEP and ESDFP</w:t>
      </w:r>
      <w:r w:rsidR="00C0478C">
        <w:t>, including through policy dialogue</w:t>
      </w:r>
      <w:r w:rsidR="00A82AF7">
        <w:t xml:space="preserve">. This </w:t>
      </w:r>
      <w:r w:rsidR="001A0150" w:rsidRPr="001A0150">
        <w:t xml:space="preserve">enabled </w:t>
      </w:r>
      <w:r w:rsidR="00941DB7">
        <w:t>us</w:t>
      </w:r>
      <w:r w:rsidR="00941DB7" w:rsidRPr="001A0150">
        <w:t xml:space="preserve"> </w:t>
      </w:r>
      <w:r w:rsidR="001A0150" w:rsidRPr="001A0150">
        <w:t>to influence national education policy and reform</w:t>
      </w:r>
      <w:r w:rsidR="00A82AF7">
        <w:t xml:space="preserve"> in important ways</w:t>
      </w:r>
      <w:r w:rsidR="00941DB7">
        <w:t>, including those listed here.</w:t>
      </w:r>
      <w:r w:rsidR="00E34E52">
        <w:t xml:space="preserve"> </w:t>
      </w:r>
    </w:p>
    <w:p w14:paraId="143752EF" w14:textId="77777777" w:rsidR="001A6FFD" w:rsidRPr="001A0150" w:rsidRDefault="001A6FFD" w:rsidP="00971C1C">
      <w:pPr>
        <w:pStyle w:val="ListBullet"/>
      </w:pPr>
      <w:r>
        <w:t>A</w:t>
      </w:r>
      <w:r w:rsidR="007C51B4">
        <w:t xml:space="preserve">doption </w:t>
      </w:r>
      <w:r w:rsidR="00842125">
        <w:t>of the</w:t>
      </w:r>
      <w:r w:rsidR="007C51B4">
        <w:t xml:space="preserve"> principles of </w:t>
      </w:r>
      <w:r w:rsidRPr="001A0150">
        <w:t>child</w:t>
      </w:r>
      <w:r>
        <w:t>-</w:t>
      </w:r>
      <w:r w:rsidRPr="001A0150">
        <w:t>friendly</w:t>
      </w:r>
      <w:r w:rsidR="007C51B4">
        <w:t xml:space="preserve"> schools</w:t>
      </w:r>
      <w:r>
        <w:rPr>
          <w:rStyle w:val="FootnoteReference"/>
        </w:rPr>
        <w:footnoteReference w:id="12"/>
      </w:r>
      <w:r w:rsidRPr="001A0150">
        <w:t xml:space="preserve"> as modelled through the BESP. </w:t>
      </w:r>
      <w:r>
        <w:t>The Sri Lanka</w:t>
      </w:r>
      <w:r w:rsidR="007D4949">
        <w:t>n</w:t>
      </w:r>
      <w:r>
        <w:t xml:space="preserve"> Government has taken ownership of implementation, including through the </w:t>
      </w:r>
      <w:r w:rsidRPr="001A0150">
        <w:lastRenderedPageBreak/>
        <w:t>Presidential Secretariat</w:t>
      </w:r>
      <w:r w:rsidR="008826E5">
        <w:t xml:space="preserve">. The child-friendly approach </w:t>
      </w:r>
      <w:r>
        <w:t xml:space="preserve">may be </w:t>
      </w:r>
      <w:r w:rsidR="00842125">
        <w:t>incorporated into the national</w:t>
      </w:r>
      <w:r w:rsidRPr="001A0150">
        <w:t xml:space="preserve"> Program for School Improvement, which</w:t>
      </w:r>
      <w:r w:rsidR="00377124">
        <w:t xml:space="preserve"> aims to increase participation, equity and transparency in the education system</w:t>
      </w:r>
      <w:r w:rsidRPr="001A0150">
        <w:t xml:space="preserve">. </w:t>
      </w:r>
    </w:p>
    <w:p w14:paraId="143752F0" w14:textId="77777777" w:rsidR="001A0150" w:rsidRPr="001A0150" w:rsidRDefault="00FE421E" w:rsidP="00971C1C">
      <w:pPr>
        <w:pStyle w:val="ListBullet"/>
        <w:rPr>
          <w:szCs w:val="22"/>
        </w:rPr>
      </w:pPr>
      <w:r>
        <w:rPr>
          <w:szCs w:val="22"/>
        </w:rPr>
        <w:t xml:space="preserve">Advocacy with the </w:t>
      </w:r>
      <w:r w:rsidR="001A0150" w:rsidRPr="001A0150">
        <w:rPr>
          <w:szCs w:val="22"/>
        </w:rPr>
        <w:t>N</w:t>
      </w:r>
      <w:r w:rsidR="00842125">
        <w:rPr>
          <w:szCs w:val="22"/>
        </w:rPr>
        <w:t xml:space="preserve">ational Institute of Education </w:t>
      </w:r>
      <w:r w:rsidR="001A0150" w:rsidRPr="001A0150">
        <w:rPr>
          <w:szCs w:val="22"/>
        </w:rPr>
        <w:t xml:space="preserve">to revise </w:t>
      </w:r>
      <w:r w:rsidR="004735BB">
        <w:rPr>
          <w:szCs w:val="22"/>
        </w:rPr>
        <w:t>student</w:t>
      </w:r>
      <w:r w:rsidR="004735BB" w:rsidRPr="001A0150">
        <w:rPr>
          <w:szCs w:val="22"/>
        </w:rPr>
        <w:t xml:space="preserve"> </w:t>
      </w:r>
      <w:r w:rsidR="001A0150" w:rsidRPr="001A0150">
        <w:rPr>
          <w:szCs w:val="22"/>
        </w:rPr>
        <w:t>and teacher training curricul</w:t>
      </w:r>
      <w:r w:rsidR="00941DB7">
        <w:rPr>
          <w:szCs w:val="22"/>
        </w:rPr>
        <w:t xml:space="preserve">a </w:t>
      </w:r>
      <w:r w:rsidR="001A0150" w:rsidRPr="001A0150">
        <w:rPr>
          <w:szCs w:val="22"/>
        </w:rPr>
        <w:t xml:space="preserve">to promote social cohesion and inclusiveness. </w:t>
      </w:r>
    </w:p>
    <w:p w14:paraId="143752F1" w14:textId="77777777" w:rsidR="001A0150" w:rsidRPr="001A0150" w:rsidRDefault="00CF46C7" w:rsidP="00971C1C">
      <w:pPr>
        <w:pStyle w:val="ListBullet"/>
        <w:rPr>
          <w:szCs w:val="22"/>
        </w:rPr>
      </w:pPr>
      <w:r>
        <w:rPr>
          <w:szCs w:val="22"/>
        </w:rPr>
        <w:t>E</w:t>
      </w:r>
      <w:r w:rsidR="001A0150" w:rsidRPr="001A0150">
        <w:rPr>
          <w:szCs w:val="22"/>
        </w:rPr>
        <w:t>nhanced appreciation of primary and secondary education as separate phases of learning that require distinct support and resourcing in national and sub-national education policy and management.</w:t>
      </w:r>
    </w:p>
    <w:p w14:paraId="143752F2" w14:textId="77777777" w:rsidR="00FE421E" w:rsidRDefault="00FE421E" w:rsidP="00971C1C">
      <w:pPr>
        <w:pStyle w:val="ListBullet"/>
        <w:rPr>
          <w:szCs w:val="22"/>
        </w:rPr>
      </w:pPr>
      <w:r>
        <w:rPr>
          <w:szCs w:val="22"/>
        </w:rPr>
        <w:t xml:space="preserve">Some evidence of increased </w:t>
      </w:r>
      <w:r w:rsidR="001A0150" w:rsidRPr="001A0150">
        <w:rPr>
          <w:szCs w:val="22"/>
        </w:rPr>
        <w:t>data disaggregation</w:t>
      </w:r>
      <w:r w:rsidR="00085DDA">
        <w:rPr>
          <w:szCs w:val="22"/>
        </w:rPr>
        <w:t>,</w:t>
      </w:r>
      <w:r w:rsidRPr="001A0150">
        <w:rPr>
          <w:szCs w:val="22"/>
        </w:rPr>
        <w:t xml:space="preserve"> including by gender, region and medium of instruction (Sinhala and Tamil)</w:t>
      </w:r>
      <w:r>
        <w:rPr>
          <w:szCs w:val="22"/>
        </w:rPr>
        <w:t xml:space="preserve"> </w:t>
      </w:r>
      <w:r w:rsidRPr="00FE421E">
        <w:rPr>
          <w:szCs w:val="22"/>
        </w:rPr>
        <w:t>at provincial</w:t>
      </w:r>
      <w:r>
        <w:rPr>
          <w:szCs w:val="22"/>
        </w:rPr>
        <w:t>,</w:t>
      </w:r>
      <w:r w:rsidRPr="00FE421E">
        <w:rPr>
          <w:szCs w:val="22"/>
        </w:rPr>
        <w:t xml:space="preserve"> zonal</w:t>
      </w:r>
      <w:r>
        <w:rPr>
          <w:szCs w:val="22"/>
        </w:rPr>
        <w:t xml:space="preserve"> and district</w:t>
      </w:r>
      <w:r w:rsidRPr="00FE421E">
        <w:rPr>
          <w:szCs w:val="22"/>
        </w:rPr>
        <w:t xml:space="preserve"> levels</w:t>
      </w:r>
      <w:r w:rsidR="00085DDA">
        <w:rPr>
          <w:szCs w:val="22"/>
        </w:rPr>
        <w:t>.</w:t>
      </w:r>
      <w:r w:rsidRPr="00FE421E" w:rsidDel="00FE421E">
        <w:rPr>
          <w:szCs w:val="22"/>
        </w:rPr>
        <w:t xml:space="preserve"> </w:t>
      </w:r>
    </w:p>
    <w:p w14:paraId="143752F3" w14:textId="7404FB2E" w:rsidR="00CF46C7" w:rsidRPr="00FE421E" w:rsidRDefault="00CF46C7" w:rsidP="00971C1C">
      <w:pPr>
        <w:pStyle w:val="BodyText"/>
      </w:pPr>
      <w:r w:rsidRPr="00FE421E">
        <w:t>Th</w:t>
      </w:r>
      <w:r w:rsidR="00FE421E">
        <w:t>is</w:t>
      </w:r>
      <w:r w:rsidRPr="00FE421E">
        <w:t xml:space="preserve"> policy </w:t>
      </w:r>
      <w:r w:rsidR="00C0478C">
        <w:t>discussion</w:t>
      </w:r>
      <w:r w:rsidR="00C0478C" w:rsidRPr="00FE421E">
        <w:t xml:space="preserve"> </w:t>
      </w:r>
      <w:r w:rsidR="00842125" w:rsidRPr="00FE421E">
        <w:t>w</w:t>
      </w:r>
      <w:r w:rsidR="00FE421E">
        <w:t>as</w:t>
      </w:r>
      <w:r w:rsidR="00842125" w:rsidRPr="00FE421E">
        <w:t xml:space="preserve"> achieved</w:t>
      </w:r>
      <w:r w:rsidRPr="00FE421E">
        <w:t xml:space="preserve"> through intensive </w:t>
      </w:r>
      <w:r w:rsidR="00842125" w:rsidRPr="00FE421E">
        <w:t>efforts by</w:t>
      </w:r>
      <w:r w:rsidRPr="00FE421E">
        <w:t xml:space="preserve"> </w:t>
      </w:r>
      <w:r w:rsidR="009D4933">
        <w:t>High Commission</w:t>
      </w:r>
      <w:r w:rsidR="00525103">
        <w:t xml:space="preserve"> </w:t>
      </w:r>
      <w:r w:rsidR="00C0478C">
        <w:t>staff in</w:t>
      </w:r>
      <w:r w:rsidRPr="00FE421E">
        <w:t xml:space="preserve"> Colombo, </w:t>
      </w:r>
      <w:r w:rsidR="00525103">
        <w:t>the</w:t>
      </w:r>
      <w:r w:rsidRPr="00FE421E">
        <w:t xml:space="preserve"> Regional Education Advisor</w:t>
      </w:r>
      <w:r w:rsidR="005370CF" w:rsidRPr="00FE421E">
        <w:t xml:space="preserve"> (</w:t>
      </w:r>
      <w:r w:rsidRPr="00FE421E">
        <w:t>based in Dhaka</w:t>
      </w:r>
      <w:r w:rsidR="005370CF" w:rsidRPr="00FE421E">
        <w:t>)</w:t>
      </w:r>
      <w:r w:rsidRPr="00FE421E">
        <w:t>, and</w:t>
      </w:r>
      <w:r w:rsidR="005370CF" w:rsidRPr="00FE421E">
        <w:t xml:space="preserve"> Aus</w:t>
      </w:r>
      <w:r w:rsidR="00525103">
        <w:t xml:space="preserve">tralian </w:t>
      </w:r>
      <w:r w:rsidR="005370CF" w:rsidRPr="00FE421E">
        <w:t>funded</w:t>
      </w:r>
      <w:r w:rsidRPr="00FE421E">
        <w:t xml:space="preserve"> education experts. </w:t>
      </w:r>
      <w:r w:rsidR="00C0478C">
        <w:t>Topics</w:t>
      </w:r>
      <w:r w:rsidR="00542C65">
        <w:t xml:space="preserve"> included</w:t>
      </w:r>
      <w:r w:rsidRPr="00FE421E">
        <w:t xml:space="preserve"> participation in regular program monitoring</w:t>
      </w:r>
      <w:r w:rsidR="005370CF" w:rsidRPr="00FE421E">
        <w:t>,</w:t>
      </w:r>
      <w:r w:rsidRPr="00FE421E">
        <w:t xml:space="preserve"> provision of technical advice to national and sub-national education officials</w:t>
      </w:r>
      <w:r w:rsidR="00040EF6" w:rsidRPr="00FE421E">
        <w:t xml:space="preserve">, and regular engagement between </w:t>
      </w:r>
      <w:r w:rsidR="00321D03">
        <w:t>High Commission</w:t>
      </w:r>
      <w:r w:rsidR="00525103">
        <w:t xml:space="preserve"> staff</w:t>
      </w:r>
      <w:r w:rsidR="00040EF6" w:rsidRPr="00FE421E">
        <w:t xml:space="preserve"> and </w:t>
      </w:r>
      <w:r w:rsidR="005370CF" w:rsidRPr="00FE421E">
        <w:t xml:space="preserve">the </w:t>
      </w:r>
      <w:r w:rsidR="00040EF6" w:rsidRPr="00FE421E">
        <w:t>World Bank in Colombo</w:t>
      </w:r>
      <w:r w:rsidRPr="00FE421E">
        <w:t xml:space="preserve">. Australia’s </w:t>
      </w:r>
      <w:r w:rsidR="00842125" w:rsidRPr="00FE421E">
        <w:t xml:space="preserve">positive </w:t>
      </w:r>
      <w:r w:rsidRPr="00FE421E">
        <w:t xml:space="preserve">contribution to ESDFP has been </w:t>
      </w:r>
      <w:r w:rsidR="00842125" w:rsidRPr="00FE421E">
        <w:t>acknowledged</w:t>
      </w:r>
      <w:r w:rsidRPr="00FE421E">
        <w:t xml:space="preserve"> by individuals in the Sri Lanka education </w:t>
      </w:r>
      <w:r w:rsidR="005370CF" w:rsidRPr="00FE421E">
        <w:t>system</w:t>
      </w:r>
      <w:r w:rsidR="008C50B8" w:rsidRPr="00FE421E">
        <w:t xml:space="preserve">. </w:t>
      </w:r>
      <w:r w:rsidR="00FE421E">
        <w:t>Ongoing advocacy about a range of policy issues to improve the quality of and access to education is needed.</w:t>
      </w:r>
    </w:p>
    <w:p w14:paraId="143752F4" w14:textId="77777777" w:rsidR="001A0150" w:rsidRDefault="000A5886" w:rsidP="00971C1C">
      <w:pPr>
        <w:pStyle w:val="BodyText"/>
      </w:pPr>
      <w:r>
        <w:t xml:space="preserve">A protracted delay </w:t>
      </w:r>
      <w:r w:rsidR="001A0150" w:rsidRPr="001A0150">
        <w:t xml:space="preserve">in signing the agreement between the Sri Lankan Government and the World Bank for </w:t>
      </w:r>
      <w:r w:rsidR="00440342">
        <w:t>Australia’s</w:t>
      </w:r>
      <w:r w:rsidR="00440342" w:rsidRPr="001A0150">
        <w:t xml:space="preserve"> </w:t>
      </w:r>
      <w:r>
        <w:t xml:space="preserve">support to TSEP undermined </w:t>
      </w:r>
      <w:r w:rsidR="00440342">
        <w:t xml:space="preserve">our </w:t>
      </w:r>
      <w:r>
        <w:t>contribution towards achieving this objective. With the agreement for use of our first two tranches of support to TSEP signed</w:t>
      </w:r>
      <w:r w:rsidR="00D35A8D">
        <w:t xml:space="preserve"> in late July 2013</w:t>
      </w:r>
      <w:r>
        <w:t xml:space="preserve">, our attention will shift to ensuring </w:t>
      </w:r>
      <w:r w:rsidR="00440342">
        <w:t xml:space="preserve">that </w:t>
      </w:r>
      <w:r>
        <w:t>necessary agreements for</w:t>
      </w:r>
      <w:r w:rsidR="00440342">
        <w:t xml:space="preserve"> our</w:t>
      </w:r>
      <w:r>
        <w:t xml:space="preserve"> remaining support in 2013</w:t>
      </w:r>
      <w:r w:rsidR="003452C3">
        <w:t>–</w:t>
      </w:r>
      <w:r>
        <w:t>14 and 2014</w:t>
      </w:r>
      <w:r w:rsidR="003452C3">
        <w:t>–</w:t>
      </w:r>
      <w:r>
        <w:t>15 are secured. These ongoing efforts</w:t>
      </w:r>
      <w:r w:rsidR="001A0150" w:rsidRPr="001A0150">
        <w:t xml:space="preserve">, including </w:t>
      </w:r>
      <w:r>
        <w:t xml:space="preserve">plans to deepen policy </w:t>
      </w:r>
      <w:r w:rsidR="00C0478C">
        <w:t xml:space="preserve">discussion </w:t>
      </w:r>
      <w:r>
        <w:t>in the education section, are</w:t>
      </w:r>
      <w:r w:rsidR="001A0150" w:rsidRPr="001A0150">
        <w:t xml:space="preserve"> discussed </w:t>
      </w:r>
      <w:r w:rsidR="005370CF">
        <w:t xml:space="preserve">under </w:t>
      </w:r>
      <w:r w:rsidR="001A0150" w:rsidRPr="001A0150">
        <w:t xml:space="preserve">Management </w:t>
      </w:r>
      <w:r w:rsidR="003452C3">
        <w:t>c</w:t>
      </w:r>
      <w:r w:rsidR="001A0150" w:rsidRPr="001A0150">
        <w:t>onsequences</w:t>
      </w:r>
      <w:r w:rsidR="00543A67">
        <w:t>.</w:t>
      </w:r>
      <w:r w:rsidR="001A0150" w:rsidRPr="001A0150">
        <w:t xml:space="preserve"> </w:t>
      </w:r>
    </w:p>
    <w:p w14:paraId="143752F5" w14:textId="381A9D1E" w:rsidR="009F1AE8" w:rsidRPr="001A0150" w:rsidRDefault="0000308F" w:rsidP="00971C1C">
      <w:pPr>
        <w:pStyle w:val="BodyText"/>
      </w:pPr>
      <w:r w:rsidRPr="00F85245">
        <w:rPr>
          <w:b/>
        </w:rPr>
        <w:t xml:space="preserve">UNICEF has been a long-standing humanitarian and development partner in Sri Lanka, playing a strong and positive leadership role in several sectors, </w:t>
      </w:r>
      <w:r w:rsidR="00D22E2B">
        <w:rPr>
          <w:b/>
        </w:rPr>
        <w:t>especially</w:t>
      </w:r>
      <w:r w:rsidRPr="00F85245">
        <w:rPr>
          <w:b/>
        </w:rPr>
        <w:t xml:space="preserve"> in education. </w:t>
      </w:r>
      <w:r w:rsidRPr="00F85245">
        <w:t xml:space="preserve">As mentioned </w:t>
      </w:r>
      <w:r w:rsidR="00D22E2B">
        <w:t>earlier</w:t>
      </w:r>
      <w:r w:rsidR="00440342">
        <w:t xml:space="preserve"> in this </w:t>
      </w:r>
      <w:r w:rsidR="00F40D38">
        <w:t>report</w:t>
      </w:r>
      <w:r w:rsidRPr="00F85245">
        <w:t xml:space="preserve">, the </w:t>
      </w:r>
      <w:r w:rsidR="009D4933">
        <w:t>Australian</w:t>
      </w:r>
      <w:r w:rsidR="00525103">
        <w:t xml:space="preserve"> </w:t>
      </w:r>
      <w:r w:rsidRPr="00F85245">
        <w:t xml:space="preserve">-funded BESP, completed in December 2012, </w:t>
      </w:r>
      <w:r w:rsidR="00D22E2B">
        <w:t>supported</w:t>
      </w:r>
      <w:r w:rsidRPr="00F85245">
        <w:t xml:space="preserve"> child</w:t>
      </w:r>
      <w:r w:rsidR="00D22E2B">
        <w:t>-</w:t>
      </w:r>
      <w:r w:rsidRPr="00F85245">
        <w:t xml:space="preserve">friendly education outcomes and reform in Sri Lanka. Australia has partnered with UNICEF on school reconstruction and a program to support water, sanitation and hygiene in schools. UNICEF has been responsive, flexible and reliable in delivering results under </w:t>
      </w:r>
      <w:r w:rsidR="004E2A1B">
        <w:t>O</w:t>
      </w:r>
      <w:r w:rsidRPr="00F85245">
        <w:t>bjective</w:t>
      </w:r>
      <w:r w:rsidR="0016407D">
        <w:t>s</w:t>
      </w:r>
      <w:r w:rsidRPr="00F85245">
        <w:t xml:space="preserve"> </w:t>
      </w:r>
      <w:r w:rsidR="004E2A1B">
        <w:t>1</w:t>
      </w:r>
      <w:r w:rsidR="004E2A1B" w:rsidRPr="00F85245">
        <w:t xml:space="preserve"> </w:t>
      </w:r>
      <w:r w:rsidRPr="00F85245">
        <w:t xml:space="preserve">and </w:t>
      </w:r>
      <w:r w:rsidR="0016407D">
        <w:t>2</w:t>
      </w:r>
      <w:r w:rsidRPr="00F85245">
        <w:t xml:space="preserve">. </w:t>
      </w:r>
      <w:r w:rsidR="00842125">
        <w:t>UNICEF</w:t>
      </w:r>
      <w:r w:rsidR="008E7D8B" w:rsidRPr="00F85245">
        <w:t xml:space="preserve"> </w:t>
      </w:r>
      <w:r w:rsidRPr="00F85245">
        <w:t xml:space="preserve">follows </w:t>
      </w:r>
      <w:r w:rsidR="008E7D8B">
        <w:t xml:space="preserve">a </w:t>
      </w:r>
      <w:r w:rsidRPr="00F85245">
        <w:t>child</w:t>
      </w:r>
      <w:r w:rsidR="001A6FFD">
        <w:t>-</w:t>
      </w:r>
      <w:r w:rsidRPr="00F85245">
        <w:t>friendly, gender-sensitive approach</w:t>
      </w:r>
      <w:r w:rsidR="008E7D8B">
        <w:t xml:space="preserve"> that</w:t>
      </w:r>
      <w:r w:rsidRPr="00F85245">
        <w:t xml:space="preserve"> emphasis</w:t>
      </w:r>
      <w:r w:rsidR="008E7D8B">
        <w:t>es</w:t>
      </w:r>
      <w:r w:rsidRPr="00F85245">
        <w:t xml:space="preserve"> broader community participation at every level. </w:t>
      </w:r>
      <w:r w:rsidR="00440342">
        <w:t>It</w:t>
      </w:r>
      <w:r w:rsidR="00440342" w:rsidRPr="00F85245">
        <w:t xml:space="preserve"> </w:t>
      </w:r>
      <w:r w:rsidRPr="00F85245">
        <w:t xml:space="preserve">has </w:t>
      </w:r>
      <w:r w:rsidR="008E7D8B">
        <w:t xml:space="preserve">a </w:t>
      </w:r>
      <w:r w:rsidRPr="00F85245">
        <w:t>good working relationship with the Sri Lankan Government and is highly regarded for its strong technical skills and field presence.</w:t>
      </w:r>
    </w:p>
    <w:p w14:paraId="143752F6" w14:textId="77777777" w:rsidR="001A0150" w:rsidRPr="001A0150" w:rsidRDefault="001A0150" w:rsidP="00971C1C">
      <w:pPr>
        <w:pStyle w:val="BodyText"/>
      </w:pPr>
      <w:r w:rsidRPr="001A0150">
        <w:rPr>
          <w:b/>
          <w:bCs/>
        </w:rPr>
        <w:t>Australia</w:t>
      </w:r>
      <w:r w:rsidR="00CF46C7">
        <w:rPr>
          <w:b/>
          <w:bCs/>
        </w:rPr>
        <w:t>n aid</w:t>
      </w:r>
      <w:r w:rsidRPr="001A0150">
        <w:rPr>
          <w:b/>
          <w:bCs/>
        </w:rPr>
        <w:t xml:space="preserve"> </w:t>
      </w:r>
      <w:r w:rsidR="00787668" w:rsidRPr="00787668">
        <w:rPr>
          <w:b/>
        </w:rPr>
        <w:t xml:space="preserve">has </w:t>
      </w:r>
      <w:r w:rsidR="00540D60">
        <w:rPr>
          <w:b/>
        </w:rPr>
        <w:t>supported</w:t>
      </w:r>
      <w:r w:rsidR="00787668" w:rsidRPr="00787668">
        <w:rPr>
          <w:b/>
        </w:rPr>
        <w:t xml:space="preserve"> more inclusive national and sub-national governance and service delivery programs.</w:t>
      </w:r>
      <w:r w:rsidR="00040EF6" w:rsidRPr="001A0150">
        <w:t xml:space="preserve"> </w:t>
      </w:r>
      <w:r w:rsidRPr="001A0150">
        <w:t xml:space="preserve">Partnering with three multilateral </w:t>
      </w:r>
      <w:r w:rsidR="00440342">
        <w:t>organisations</w:t>
      </w:r>
      <w:r w:rsidRPr="001A0150">
        <w:t xml:space="preserve">, </w:t>
      </w:r>
      <w:r w:rsidR="00440342">
        <w:t>three</w:t>
      </w:r>
      <w:r w:rsidR="00440342" w:rsidRPr="001A0150">
        <w:t xml:space="preserve"> </w:t>
      </w:r>
      <w:r w:rsidRPr="001A0150">
        <w:t xml:space="preserve">international </w:t>
      </w:r>
      <w:r w:rsidR="004E2A1B">
        <w:t>NGOs</w:t>
      </w:r>
      <w:r w:rsidR="00440342">
        <w:t>,</w:t>
      </w:r>
      <w:r w:rsidRPr="001A0150">
        <w:t xml:space="preserve"> one technical agency</w:t>
      </w:r>
      <w:r w:rsidR="00440342">
        <w:t xml:space="preserve"> and one foundation,</w:t>
      </w:r>
      <w:r w:rsidRPr="001A0150">
        <w:t xml:space="preserve"> the third phase of the </w:t>
      </w:r>
      <w:r w:rsidR="00262E15">
        <w:t>A</w:t>
      </w:r>
      <w:r w:rsidR="00440342">
        <w:t>CRP</w:t>
      </w:r>
      <w:r w:rsidR="0016407D">
        <w:rPr>
          <w:rStyle w:val="FootnoteReference"/>
        </w:rPr>
        <w:footnoteReference w:id="13"/>
      </w:r>
      <w:r w:rsidR="0016407D" w:rsidRPr="00787668">
        <w:rPr>
          <w:bCs/>
        </w:rPr>
        <w:t xml:space="preserve"> </w:t>
      </w:r>
      <w:r w:rsidR="00787668" w:rsidRPr="00787668">
        <w:rPr>
          <w:bCs/>
        </w:rPr>
        <w:t>supported the pilot of community empowerment and participation</w:t>
      </w:r>
      <w:r w:rsidR="00842125">
        <w:rPr>
          <w:bCs/>
        </w:rPr>
        <w:t xml:space="preserve"> approaches, some of which </w:t>
      </w:r>
      <w:r w:rsidR="00787668" w:rsidRPr="00787668">
        <w:rPr>
          <w:bCs/>
        </w:rPr>
        <w:t xml:space="preserve">have been adopted by the Government of Sri Lanka. </w:t>
      </w:r>
      <w:r w:rsidR="00440342">
        <w:t>Support included</w:t>
      </w:r>
      <w:r w:rsidRPr="001A0150">
        <w:t xml:space="preserve">: </w:t>
      </w:r>
    </w:p>
    <w:p w14:paraId="143752F7" w14:textId="700A6B8D" w:rsidR="001A0150" w:rsidRPr="00F17BCD" w:rsidRDefault="003452C3" w:rsidP="00971C1C">
      <w:pPr>
        <w:pStyle w:val="ListBullet"/>
      </w:pPr>
      <w:r>
        <w:lastRenderedPageBreak/>
        <w:t>I</w:t>
      </w:r>
      <w:r w:rsidR="001A0150" w:rsidRPr="00F17BCD">
        <w:t>ntegrati</w:t>
      </w:r>
      <w:r>
        <w:t>ng,</w:t>
      </w:r>
      <w:r w:rsidR="001A0150" w:rsidRPr="00F17BCD">
        <w:t xml:space="preserve"> by the Sri Lanka</w:t>
      </w:r>
      <w:r w:rsidR="00136575">
        <w:t>n</w:t>
      </w:r>
      <w:r w:rsidR="001A0150" w:rsidRPr="00F17BCD">
        <w:t xml:space="preserve"> Government</w:t>
      </w:r>
      <w:r>
        <w:t>,</w:t>
      </w:r>
      <w:r w:rsidR="001A0150" w:rsidRPr="00F17BCD">
        <w:t xml:space="preserve"> ACRP</w:t>
      </w:r>
      <w:r w:rsidR="008E7D8B">
        <w:t>-</w:t>
      </w:r>
      <w:r w:rsidR="004735BB" w:rsidRPr="00F17BCD">
        <w:t xml:space="preserve">modelled </w:t>
      </w:r>
      <w:r w:rsidR="001A0150" w:rsidRPr="00F17BCD">
        <w:t xml:space="preserve">approaches to public redress </w:t>
      </w:r>
      <w:r w:rsidR="00F17BCD" w:rsidRPr="00F17BCD">
        <w:t>in all local government authorities in the</w:t>
      </w:r>
      <w:r>
        <w:t xml:space="preserve"> East and</w:t>
      </w:r>
      <w:r w:rsidR="00F17BCD" w:rsidRPr="00F17BCD">
        <w:t xml:space="preserve"> North, </w:t>
      </w:r>
      <w:r w:rsidR="00DC0B4F" w:rsidRPr="00F17BCD">
        <w:t>and participatory</w:t>
      </w:r>
      <w:r w:rsidR="001A0150" w:rsidRPr="00F17BCD">
        <w:t xml:space="preserve"> </w:t>
      </w:r>
      <w:r w:rsidR="003576E6" w:rsidRPr="00F17BCD">
        <w:t xml:space="preserve">budgeting </w:t>
      </w:r>
      <w:r w:rsidR="00F17BCD" w:rsidRPr="00F17BCD">
        <w:t xml:space="preserve">in </w:t>
      </w:r>
      <w:r w:rsidR="00F17BCD">
        <w:t xml:space="preserve">major </w:t>
      </w:r>
      <w:r w:rsidR="00F17BCD" w:rsidRPr="00F17BCD">
        <w:t xml:space="preserve">towns </w:t>
      </w:r>
      <w:r w:rsidR="001A0150" w:rsidRPr="00F17BCD">
        <w:t>across</w:t>
      </w:r>
      <w:r w:rsidR="00F17BCD">
        <w:t xml:space="preserve"> three</w:t>
      </w:r>
      <w:r w:rsidR="001A0150" w:rsidRPr="00F17BCD">
        <w:t xml:space="preserve"> provinces.</w:t>
      </w:r>
      <w:r w:rsidR="00360620">
        <w:rPr>
          <w:rStyle w:val="FootnoteReference"/>
        </w:rPr>
        <w:footnoteReference w:id="14"/>
      </w:r>
      <w:r w:rsidR="001A0150" w:rsidRPr="00F17BCD">
        <w:t xml:space="preserve"> The </w:t>
      </w:r>
      <w:r w:rsidR="00F40D38">
        <w:t>mid-term review</w:t>
      </w:r>
      <w:r w:rsidR="00360620">
        <w:t xml:space="preserve"> </w:t>
      </w:r>
      <w:r w:rsidR="008E7D8B">
        <w:t xml:space="preserve">of </w:t>
      </w:r>
      <w:r w:rsidR="00440342">
        <w:t xml:space="preserve">the </w:t>
      </w:r>
      <w:r w:rsidR="008E7D8B">
        <w:t xml:space="preserve">ACRP described the </w:t>
      </w:r>
      <w:r w:rsidR="001A0150" w:rsidRPr="00F17BCD">
        <w:t>impact of these measures on property dispute mediation by local government authorities as potentially transformative</w:t>
      </w:r>
      <w:r w:rsidR="008E7D8B">
        <w:t xml:space="preserve"> </w:t>
      </w:r>
      <w:r w:rsidR="001A0150" w:rsidRPr="00F17BCD">
        <w:t xml:space="preserve">given </w:t>
      </w:r>
      <w:r w:rsidR="00AD08C4">
        <w:t>the</w:t>
      </w:r>
      <w:r w:rsidR="001A0150" w:rsidRPr="00F17BCD">
        <w:t xml:space="preserve"> role </w:t>
      </w:r>
      <w:r w:rsidR="00AD08C4">
        <w:t xml:space="preserve">of the authorities </w:t>
      </w:r>
      <w:r w:rsidR="001A0150" w:rsidRPr="00F17BCD">
        <w:t>in delivering services at grassroots level</w:t>
      </w:r>
      <w:r w:rsidR="00F17BCD">
        <w:t>.</w:t>
      </w:r>
    </w:p>
    <w:p w14:paraId="143752F8" w14:textId="77777777" w:rsidR="001A0150" w:rsidRPr="001A0150" w:rsidRDefault="003452C3" w:rsidP="00971C1C">
      <w:pPr>
        <w:pStyle w:val="ListBullet"/>
      </w:pPr>
      <w:r>
        <w:t>M</w:t>
      </w:r>
      <w:r w:rsidR="001A0150" w:rsidRPr="001A0150">
        <w:t>ainstreaming a UNDP</w:t>
      </w:r>
      <w:r w:rsidR="008E7D8B">
        <w:t>-</w:t>
      </w:r>
      <w:r w:rsidR="001A0150" w:rsidRPr="001A0150">
        <w:t>modelled school twinning approach</w:t>
      </w:r>
      <w:r w:rsidR="008E7D8B">
        <w:t xml:space="preserve"> by the Ministry of Education</w:t>
      </w:r>
      <w:r w:rsidR="001A0150" w:rsidRPr="001A0150">
        <w:t>, which has contributed to inter-ethnic reconciliation and trust-building.</w:t>
      </w:r>
    </w:p>
    <w:p w14:paraId="143752F9" w14:textId="77777777" w:rsidR="001A0150" w:rsidRPr="001A0150" w:rsidRDefault="003452C3" w:rsidP="00971C1C">
      <w:pPr>
        <w:pStyle w:val="ListBullet"/>
      </w:pPr>
      <w:r>
        <w:t>A</w:t>
      </w:r>
      <w:r w:rsidR="001A0150" w:rsidRPr="001A0150">
        <w:t>ppl</w:t>
      </w:r>
      <w:r>
        <w:t>ying</w:t>
      </w:r>
      <w:r w:rsidR="001A0150" w:rsidRPr="001A0150">
        <w:t xml:space="preserve"> T</w:t>
      </w:r>
      <w:r w:rsidR="00440342">
        <w:t>he Asia Foundation</w:t>
      </w:r>
      <w:r w:rsidR="008E7D8B">
        <w:t>-</w:t>
      </w:r>
      <w:r w:rsidR="004735BB">
        <w:t xml:space="preserve">modelled </w:t>
      </w:r>
      <w:r w:rsidR="001A0150" w:rsidRPr="001A0150">
        <w:t>systems for local government performance assessment by the Ministry of Local Government and Provincial Councils across the country. This ACRP</w:t>
      </w:r>
      <w:r w:rsidR="008E7D8B">
        <w:t>-</w:t>
      </w:r>
      <w:r w:rsidR="001A0150" w:rsidRPr="001A0150">
        <w:t xml:space="preserve">inspired system is also used for national awards presented by the Presidential </w:t>
      </w:r>
      <w:r w:rsidR="008E7D8B">
        <w:t>O</w:t>
      </w:r>
      <w:r w:rsidR="001A0150" w:rsidRPr="001A0150">
        <w:t>ffice to high performing local government authorities.</w:t>
      </w:r>
    </w:p>
    <w:p w14:paraId="143752FA" w14:textId="2C829D41" w:rsidR="001A0150" w:rsidRDefault="00440342" w:rsidP="00971C1C">
      <w:pPr>
        <w:pStyle w:val="BodyText"/>
      </w:pPr>
      <w:r>
        <w:t xml:space="preserve">The </w:t>
      </w:r>
      <w:r w:rsidR="001A0150" w:rsidRPr="001A0150">
        <w:t xml:space="preserve">ACRP has </w:t>
      </w:r>
      <w:r w:rsidR="009D3F62">
        <w:t xml:space="preserve">also </w:t>
      </w:r>
      <w:r w:rsidR="001A0150" w:rsidRPr="001A0150">
        <w:t>modelled high</w:t>
      </w:r>
      <w:r w:rsidR="009D3F62">
        <w:t>-</w:t>
      </w:r>
      <w:r w:rsidR="001A0150" w:rsidRPr="001A0150">
        <w:t xml:space="preserve">quality partnership sharing and collaboration, which the independent MTR </w:t>
      </w:r>
      <w:r w:rsidR="009D3F62">
        <w:t>suggested</w:t>
      </w:r>
      <w:r w:rsidR="00525103">
        <w:t xml:space="preserve"> Australia</w:t>
      </w:r>
      <w:r w:rsidR="001A0150" w:rsidRPr="001A0150">
        <w:t xml:space="preserve"> and other donors emulate</w:t>
      </w:r>
      <w:r w:rsidR="0097695D">
        <w:t>.</w:t>
      </w:r>
      <w:r w:rsidR="00F17BCD">
        <w:t xml:space="preserve"> The lessons from ACRP partnerships are being considered by areas of </w:t>
      </w:r>
      <w:r w:rsidR="00525103">
        <w:t>the department responsible</w:t>
      </w:r>
      <w:r w:rsidR="00F17BCD">
        <w:t xml:space="preserve"> for civil society programming.</w:t>
      </w:r>
      <w:r w:rsidR="0097695D">
        <w:t xml:space="preserve"> </w:t>
      </w:r>
    </w:p>
    <w:p w14:paraId="143752FB" w14:textId="4B87899D" w:rsidR="0000308F" w:rsidRDefault="0000308F" w:rsidP="00971C1C">
      <w:pPr>
        <w:pStyle w:val="BodyText"/>
      </w:pPr>
      <w:r w:rsidRPr="002A4EC0">
        <w:rPr>
          <w:b/>
        </w:rPr>
        <w:t xml:space="preserve">ACRP </w:t>
      </w:r>
      <w:r w:rsidRPr="00977E31">
        <w:rPr>
          <w:b/>
        </w:rPr>
        <w:t>partners continue to be responsive</w:t>
      </w:r>
      <w:r w:rsidR="00977E31">
        <w:rPr>
          <w:b/>
        </w:rPr>
        <w:t xml:space="preserve"> and</w:t>
      </w:r>
      <w:r w:rsidRPr="00977E31">
        <w:rPr>
          <w:b/>
        </w:rPr>
        <w:t xml:space="preserve"> flexible </w:t>
      </w:r>
      <w:r w:rsidR="00977E31">
        <w:rPr>
          <w:b/>
        </w:rPr>
        <w:t>in</w:t>
      </w:r>
      <w:r w:rsidRPr="00977E31">
        <w:rPr>
          <w:b/>
        </w:rPr>
        <w:t xml:space="preserve"> delivering </w:t>
      </w:r>
      <w:r w:rsidRPr="004A5083">
        <w:rPr>
          <w:b/>
        </w:rPr>
        <w:t>results</w:t>
      </w:r>
      <w:r w:rsidR="00E946A0">
        <w:rPr>
          <w:b/>
        </w:rPr>
        <w:t>,</w:t>
      </w:r>
      <w:r w:rsidR="001A6FFD">
        <w:rPr>
          <w:b/>
        </w:rPr>
        <w:t xml:space="preserve"> </w:t>
      </w:r>
      <w:r w:rsidR="00977E31">
        <w:rPr>
          <w:b/>
        </w:rPr>
        <w:t>with</w:t>
      </w:r>
      <w:r w:rsidR="00977E31" w:rsidRPr="00977E31">
        <w:rPr>
          <w:b/>
        </w:rPr>
        <w:t xml:space="preserve"> </w:t>
      </w:r>
      <w:r w:rsidRPr="00977E31">
        <w:rPr>
          <w:b/>
        </w:rPr>
        <w:t>significant policy</w:t>
      </w:r>
      <w:r w:rsidRPr="002A4EC0">
        <w:rPr>
          <w:b/>
        </w:rPr>
        <w:t xml:space="preserve"> dialogue</w:t>
      </w:r>
      <w:r w:rsidR="00977E31">
        <w:rPr>
          <w:b/>
        </w:rPr>
        <w:t>,</w:t>
      </w:r>
      <w:r w:rsidRPr="002A4EC0">
        <w:rPr>
          <w:b/>
        </w:rPr>
        <w:t xml:space="preserve"> pro-poor reform and tangible development outcomes for poor and vulnerable communities</w:t>
      </w:r>
      <w:r w:rsidR="0083415C">
        <w:rPr>
          <w:b/>
        </w:rPr>
        <w:t xml:space="preserve">. </w:t>
      </w:r>
      <w:r w:rsidR="009D4933">
        <w:rPr>
          <w:b/>
        </w:rPr>
        <w:t>The Australian G</w:t>
      </w:r>
      <w:r w:rsidR="00182829">
        <w:rPr>
          <w:b/>
        </w:rPr>
        <w:t xml:space="preserve">overnment </w:t>
      </w:r>
      <w:r>
        <w:t xml:space="preserve">and ACRP partners </w:t>
      </w:r>
      <w:r w:rsidR="00977E31">
        <w:t xml:space="preserve">have </w:t>
      </w:r>
      <w:r>
        <w:t xml:space="preserve">strong mutual understanding forged through close engagement over a long </w:t>
      </w:r>
      <w:r w:rsidR="00977E31">
        <w:t>time</w:t>
      </w:r>
      <w:r w:rsidR="00440342">
        <w:t xml:space="preserve">. The </w:t>
      </w:r>
      <w:r>
        <w:t xml:space="preserve">ACRP is in </w:t>
      </w:r>
      <w:r w:rsidR="003A121E">
        <w:t>Phase 3</w:t>
      </w:r>
      <w:r w:rsidR="00977E31">
        <w:t xml:space="preserve"> and</w:t>
      </w:r>
      <w:r>
        <w:t xml:space="preserve"> some partners </w:t>
      </w:r>
      <w:r w:rsidR="00977E31">
        <w:t>have been</w:t>
      </w:r>
      <w:r>
        <w:t xml:space="preserve"> involved </w:t>
      </w:r>
      <w:r w:rsidR="00977E31">
        <w:t xml:space="preserve">since </w:t>
      </w:r>
      <w:r>
        <w:t>the program</w:t>
      </w:r>
      <w:r w:rsidR="00977E31">
        <w:t xml:space="preserve"> started</w:t>
      </w:r>
      <w:r>
        <w:t xml:space="preserve"> </w:t>
      </w:r>
      <w:r w:rsidR="008E7D8B">
        <w:t>12</w:t>
      </w:r>
      <w:r>
        <w:t xml:space="preserve"> years</w:t>
      </w:r>
      <w:r w:rsidR="0034004B">
        <w:t xml:space="preserve"> ago</w:t>
      </w:r>
      <w:r>
        <w:t xml:space="preserve">. ACRP partners maintain a strong grassroots presence in the communities where they work, </w:t>
      </w:r>
      <w:r w:rsidR="00977E31">
        <w:t xml:space="preserve">which are </w:t>
      </w:r>
      <w:r>
        <w:t xml:space="preserve">often in </w:t>
      </w:r>
      <w:r w:rsidR="00977E31">
        <w:t xml:space="preserve">Sri Lanka’s </w:t>
      </w:r>
      <w:r>
        <w:t>most difficult operati</w:t>
      </w:r>
      <w:r w:rsidR="00977E31">
        <w:t>ng</w:t>
      </w:r>
      <w:r>
        <w:t xml:space="preserve"> environments. </w:t>
      </w:r>
      <w:r w:rsidR="00977E31">
        <w:t xml:space="preserve">Through </w:t>
      </w:r>
      <w:r w:rsidR="00440342">
        <w:t xml:space="preserve">the </w:t>
      </w:r>
      <w:r w:rsidR="00977E31">
        <w:t>ACRP,</w:t>
      </w:r>
      <w:r>
        <w:t xml:space="preserve"> Australia </w:t>
      </w:r>
      <w:r w:rsidR="00977E31">
        <w:t>has</w:t>
      </w:r>
      <w:r>
        <w:t xml:space="preserve"> </w:t>
      </w:r>
      <w:r w:rsidR="005B3AC7">
        <w:t xml:space="preserve">been able to target populations acutely vulnerable to economic shocks and ethnic and religious violence. </w:t>
      </w:r>
      <w:r w:rsidR="00977E31">
        <w:t xml:space="preserve">More </w:t>
      </w:r>
      <w:r>
        <w:t xml:space="preserve">information on ACRP partners is in the </w:t>
      </w:r>
      <w:r w:rsidR="00440342">
        <w:t>MTR</w:t>
      </w:r>
      <w:r>
        <w:t xml:space="preserve">. </w:t>
      </w:r>
    </w:p>
    <w:p w14:paraId="143752FC" w14:textId="5ACCF064" w:rsidR="001A0150" w:rsidRPr="001A0150" w:rsidRDefault="001A0150" w:rsidP="00971C1C">
      <w:pPr>
        <w:pStyle w:val="BodyText"/>
      </w:pPr>
      <w:r w:rsidRPr="001A0150">
        <w:rPr>
          <w:b/>
          <w:bCs/>
        </w:rPr>
        <w:t xml:space="preserve">Australian support for the transition of de-mining to full government ownership </w:t>
      </w:r>
      <w:r w:rsidR="00071F16">
        <w:rPr>
          <w:b/>
          <w:bCs/>
        </w:rPr>
        <w:t>is maintaining</w:t>
      </w:r>
      <w:r w:rsidR="00071F16" w:rsidRPr="001A0150">
        <w:rPr>
          <w:b/>
          <w:bCs/>
        </w:rPr>
        <w:t xml:space="preserve"> </w:t>
      </w:r>
      <w:r w:rsidRPr="001A0150">
        <w:rPr>
          <w:b/>
          <w:bCs/>
        </w:rPr>
        <w:t xml:space="preserve">international standards. </w:t>
      </w:r>
      <w:r w:rsidRPr="001A0150">
        <w:t xml:space="preserve">Australia </w:t>
      </w:r>
      <w:r w:rsidR="00E946A0">
        <w:t>remains</w:t>
      </w:r>
      <w:r w:rsidRPr="001A0150">
        <w:t xml:space="preserve"> a leading donor in demining efforts in Sri Lanka</w:t>
      </w:r>
      <w:r w:rsidR="00D35A8D">
        <w:t>.</w:t>
      </w:r>
      <w:r w:rsidRPr="001A0150">
        <w:t xml:space="preserve"> </w:t>
      </w:r>
      <w:r w:rsidR="00D35A8D">
        <w:t>S</w:t>
      </w:r>
      <w:r w:rsidR="003A121E">
        <w:t>ince</w:t>
      </w:r>
      <w:r w:rsidR="003A121E" w:rsidRPr="001A0150">
        <w:t xml:space="preserve"> </w:t>
      </w:r>
      <w:r w:rsidRPr="001A0150">
        <w:t xml:space="preserve">the end of the civil </w:t>
      </w:r>
      <w:r w:rsidR="009E7208">
        <w:t>conflict</w:t>
      </w:r>
      <w:r w:rsidR="00D35A8D">
        <w:t xml:space="preserve"> our aid has cleared 74</w:t>
      </w:r>
      <w:r w:rsidR="00E946A0">
        <w:t xml:space="preserve"> </w:t>
      </w:r>
      <w:r w:rsidR="00D35A8D">
        <w:t>km</w:t>
      </w:r>
      <w:r w:rsidR="00D35A8D">
        <w:rPr>
          <w:vertAlign w:val="superscript"/>
        </w:rPr>
        <w:t>2</w:t>
      </w:r>
      <w:r w:rsidR="00D35A8D">
        <w:t xml:space="preserve"> of land </w:t>
      </w:r>
      <w:r w:rsidR="00DF6C2D">
        <w:t xml:space="preserve">and </w:t>
      </w:r>
      <w:r w:rsidR="00D35A8D">
        <w:t>supported substantial capacity building efforts with the Government of Sri Lanka. W</w:t>
      </w:r>
      <w:r w:rsidR="003A121E">
        <w:t>e are o</w:t>
      </w:r>
      <w:r w:rsidR="00F81023">
        <w:t>n track to complete our $20</w:t>
      </w:r>
      <w:r w:rsidR="009E7208">
        <w:t xml:space="preserve"> </w:t>
      </w:r>
      <w:r w:rsidR="00F81023">
        <w:t>m</w:t>
      </w:r>
      <w:r w:rsidR="009E7208">
        <w:t>illion</w:t>
      </w:r>
      <w:r w:rsidR="00F81023">
        <w:t xml:space="preserve">, </w:t>
      </w:r>
      <w:r w:rsidR="009E7208">
        <w:t>five</w:t>
      </w:r>
      <w:r w:rsidR="00F81023">
        <w:t>-</w:t>
      </w:r>
      <w:r w:rsidR="00DF6C2D">
        <w:t xml:space="preserve">year pledge in </w:t>
      </w:r>
      <w:r w:rsidR="00F47AC6">
        <w:t>2014</w:t>
      </w:r>
      <w:r w:rsidR="00AF1A26">
        <w:t>.</w:t>
      </w:r>
      <w:r w:rsidRPr="001A0150">
        <w:t xml:space="preserve"> The Sri Lankan Government has committed to making </w:t>
      </w:r>
      <w:r w:rsidR="003A121E">
        <w:t>the country</w:t>
      </w:r>
      <w:r w:rsidRPr="001A0150">
        <w:t xml:space="preserve"> mine</w:t>
      </w:r>
      <w:r w:rsidR="00F40D38">
        <w:t>-</w:t>
      </w:r>
      <w:r w:rsidRPr="001A0150">
        <w:t xml:space="preserve">free by 2020 and </w:t>
      </w:r>
      <w:r w:rsidR="00752066">
        <w:t>the</w:t>
      </w:r>
      <w:r w:rsidR="003A121E">
        <w:t xml:space="preserve"> </w:t>
      </w:r>
      <w:r w:rsidR="000C4AFF">
        <w:t>Ministry of Defence</w:t>
      </w:r>
      <w:r w:rsidR="00D45A62">
        <w:t xml:space="preserve"> </w:t>
      </w:r>
      <w:r w:rsidR="000C4AFF">
        <w:t xml:space="preserve">will </w:t>
      </w:r>
      <w:r w:rsidR="00AE0F31">
        <w:t>take the lead role in de-mining</w:t>
      </w:r>
      <w:r w:rsidR="009E7208">
        <w:t xml:space="preserve"> from 2014</w:t>
      </w:r>
      <w:r w:rsidR="00AE0F31">
        <w:t xml:space="preserve">. </w:t>
      </w:r>
      <w:r w:rsidRPr="001A0150">
        <w:t>Building on collaboration with</w:t>
      </w:r>
      <w:r w:rsidR="003A121E">
        <w:t xml:space="preserve"> the</w:t>
      </w:r>
      <w:r w:rsidRPr="001A0150">
        <w:t xml:space="preserve"> UNDP to support the National Mine Action Centre, Australia is assisting national, regional and district </w:t>
      </w:r>
      <w:r w:rsidR="00977E31">
        <w:t>Centre</w:t>
      </w:r>
      <w:r w:rsidR="00977E31" w:rsidRPr="001A0150">
        <w:t xml:space="preserve"> </w:t>
      </w:r>
      <w:r w:rsidRPr="001A0150">
        <w:t>offices to build capacity</w:t>
      </w:r>
      <w:r w:rsidR="003A121E">
        <w:t xml:space="preserve"> to</w:t>
      </w:r>
      <w:r w:rsidRPr="001A0150">
        <w:t xml:space="preserve"> embed international demining standards</w:t>
      </w:r>
      <w:r w:rsidR="00F95870">
        <w:t xml:space="preserve"> to guide the planning, implement</w:t>
      </w:r>
      <w:r w:rsidR="00E946A0">
        <w:t>ing</w:t>
      </w:r>
      <w:r w:rsidR="00F95870">
        <w:t xml:space="preserve"> and manag</w:t>
      </w:r>
      <w:r w:rsidR="00E946A0">
        <w:t>ing</w:t>
      </w:r>
      <w:r w:rsidR="00F95870">
        <w:t xml:space="preserve"> of safe mine action programs</w:t>
      </w:r>
      <w:r w:rsidR="0083415C">
        <w:t xml:space="preserve">. </w:t>
      </w:r>
    </w:p>
    <w:p w14:paraId="143752FD" w14:textId="29B71970" w:rsidR="00876322" w:rsidRDefault="007523D7" w:rsidP="00971C1C">
      <w:pPr>
        <w:pStyle w:val="BodyText"/>
      </w:pPr>
      <w:r>
        <w:rPr>
          <w:b/>
          <w:bCs/>
        </w:rPr>
        <w:t>Australia</w:t>
      </w:r>
      <w:r w:rsidR="005F626C">
        <w:rPr>
          <w:b/>
          <w:bCs/>
        </w:rPr>
        <w:t xml:space="preserve"> </w:t>
      </w:r>
      <w:r w:rsidR="001A0150" w:rsidRPr="001A0150">
        <w:rPr>
          <w:b/>
          <w:bCs/>
        </w:rPr>
        <w:t xml:space="preserve">is </w:t>
      </w:r>
      <w:r w:rsidR="0000308F">
        <w:rPr>
          <w:b/>
          <w:bCs/>
        </w:rPr>
        <w:t>supporting</w:t>
      </w:r>
      <w:r w:rsidR="003A121E">
        <w:rPr>
          <w:b/>
          <w:bCs/>
        </w:rPr>
        <w:t xml:space="preserve"> </w:t>
      </w:r>
      <w:r w:rsidR="0000308F">
        <w:rPr>
          <w:b/>
          <w:bCs/>
        </w:rPr>
        <w:t>UN</w:t>
      </w:r>
      <w:r w:rsidR="00913015">
        <w:rPr>
          <w:b/>
          <w:bCs/>
        </w:rPr>
        <w:t>-</w:t>
      </w:r>
      <w:r w:rsidR="00350AC3">
        <w:rPr>
          <w:b/>
          <w:bCs/>
        </w:rPr>
        <w:t>Habitat</w:t>
      </w:r>
      <w:r w:rsidR="0000308F">
        <w:rPr>
          <w:b/>
          <w:bCs/>
        </w:rPr>
        <w:t xml:space="preserve"> to </w:t>
      </w:r>
      <w:r w:rsidR="001A0150" w:rsidRPr="001A0150">
        <w:rPr>
          <w:b/>
          <w:bCs/>
        </w:rPr>
        <w:t xml:space="preserve">strengthen Sri Lankan disaster preparedness, management and risk reduction. </w:t>
      </w:r>
      <w:r w:rsidR="001A0150" w:rsidRPr="001A0150">
        <w:t xml:space="preserve">Australian support </w:t>
      </w:r>
      <w:r w:rsidR="00D72129">
        <w:t>for</w:t>
      </w:r>
      <w:r w:rsidR="00D72129" w:rsidRPr="001A0150">
        <w:t xml:space="preserve"> </w:t>
      </w:r>
      <w:r w:rsidR="00350AC3">
        <w:t>disaster</w:t>
      </w:r>
      <w:r w:rsidR="00913015">
        <w:t xml:space="preserve"> risk</w:t>
      </w:r>
      <w:r w:rsidR="00350AC3">
        <w:t xml:space="preserve"> planning and </w:t>
      </w:r>
      <w:r w:rsidR="001A0150" w:rsidRPr="001A0150">
        <w:t xml:space="preserve">strengthened building </w:t>
      </w:r>
      <w:r w:rsidR="00913015">
        <w:t xml:space="preserve">guidelines was </w:t>
      </w:r>
      <w:r w:rsidR="00D72129">
        <w:t>continue</w:t>
      </w:r>
      <w:r w:rsidR="00913015">
        <w:t>d</w:t>
      </w:r>
      <w:r w:rsidR="00D72129">
        <w:t xml:space="preserve"> </w:t>
      </w:r>
      <w:r w:rsidR="001A0150" w:rsidRPr="003576E6">
        <w:t>in 2012</w:t>
      </w:r>
      <w:r w:rsidR="003452C3">
        <w:t>–</w:t>
      </w:r>
      <w:r w:rsidR="001A0150" w:rsidRPr="003576E6">
        <w:t>13.</w:t>
      </w:r>
      <w:r w:rsidR="00913015">
        <w:t xml:space="preserve"> The development of city disaster management plans will reduce the human and economic costs of natural disaster</w:t>
      </w:r>
      <w:r w:rsidR="006B4DD8">
        <w:t>s in target towns and provide a</w:t>
      </w:r>
      <w:r w:rsidR="00E946A0">
        <w:t>n example</w:t>
      </w:r>
      <w:r w:rsidR="006B4DD8">
        <w:t xml:space="preserve"> for other towns</w:t>
      </w:r>
      <w:r w:rsidR="00E946A0">
        <w:t xml:space="preserve"> to follow</w:t>
      </w:r>
      <w:r w:rsidR="006B4DD8">
        <w:t>.</w:t>
      </w:r>
    </w:p>
    <w:p w14:paraId="143752FE" w14:textId="77777777" w:rsidR="000C62F4" w:rsidRDefault="003A121E" w:rsidP="00971C1C">
      <w:pPr>
        <w:pStyle w:val="BodyText"/>
      </w:pPr>
      <w:r>
        <w:rPr>
          <w:b/>
          <w:bCs/>
        </w:rPr>
        <w:t>Despite achievements</w:t>
      </w:r>
      <w:r w:rsidR="00FD0AD2">
        <w:rPr>
          <w:b/>
          <w:bCs/>
        </w:rPr>
        <w:t xml:space="preserve">, </w:t>
      </w:r>
      <w:r w:rsidR="00FD0AD2" w:rsidRPr="001A0150">
        <w:rPr>
          <w:b/>
          <w:bCs/>
        </w:rPr>
        <w:t>Australia’s influence in Sri Lanka is modest.</w:t>
      </w:r>
      <w:r w:rsidR="00FD0AD2" w:rsidRPr="001A0150">
        <w:t xml:space="preserve"> Australian aid to Sri</w:t>
      </w:r>
      <w:r w:rsidR="00430B82">
        <w:t> </w:t>
      </w:r>
      <w:r w:rsidR="00FD0AD2" w:rsidRPr="001A0150">
        <w:t xml:space="preserve">Lanka represents </w:t>
      </w:r>
      <w:r w:rsidR="00245CC7">
        <w:t>about 5 per cent</w:t>
      </w:r>
      <w:r w:rsidR="00245CC7" w:rsidRPr="001A0150">
        <w:t xml:space="preserve"> </w:t>
      </w:r>
      <w:r w:rsidR="00FD0AD2" w:rsidRPr="001A0150">
        <w:t>of aid flows</w:t>
      </w:r>
      <w:r w:rsidR="00245CC7">
        <w:t>,</w:t>
      </w:r>
      <w:r w:rsidR="00FD0AD2" w:rsidRPr="001A0150">
        <w:t xml:space="preserve"> which </w:t>
      </w:r>
      <w:r w:rsidR="00245CC7">
        <w:t xml:space="preserve">collectively account for just 1.2 per cent of </w:t>
      </w:r>
      <w:r w:rsidR="009D3F62">
        <w:t>g</w:t>
      </w:r>
      <w:r w:rsidR="00245CC7">
        <w:t xml:space="preserve">ross </w:t>
      </w:r>
      <w:r w:rsidR="009D3F62">
        <w:t>n</w:t>
      </w:r>
      <w:r w:rsidR="00245CC7">
        <w:t xml:space="preserve">ational </w:t>
      </w:r>
      <w:r w:rsidR="009D3F62">
        <w:t>i</w:t>
      </w:r>
      <w:r w:rsidR="00245CC7">
        <w:t>ncome</w:t>
      </w:r>
      <w:r w:rsidR="00FD0AD2" w:rsidRPr="001A0150">
        <w:t xml:space="preserve">. As such, </w:t>
      </w:r>
      <w:r w:rsidR="00E946A0">
        <w:t>our</w:t>
      </w:r>
      <w:r w:rsidR="00E946A0" w:rsidRPr="001A0150">
        <w:t xml:space="preserve"> </w:t>
      </w:r>
      <w:r w:rsidR="00FD0AD2" w:rsidRPr="001A0150">
        <w:t xml:space="preserve">performance against this objective </w:t>
      </w:r>
      <w:r w:rsidR="00D74021">
        <w:t>has been judged</w:t>
      </w:r>
      <w:r w:rsidR="00FD0AD2" w:rsidRPr="001A0150">
        <w:t xml:space="preserve"> proportionally</w:t>
      </w:r>
      <w:r w:rsidR="00E946A0">
        <w:t>. It</w:t>
      </w:r>
      <w:r w:rsidR="00FD0AD2" w:rsidRPr="001A0150">
        <w:t xml:space="preserve"> </w:t>
      </w:r>
      <w:r w:rsidR="006B7ED0">
        <w:t>has been</w:t>
      </w:r>
      <w:r w:rsidR="00FD0AD2" w:rsidRPr="001A0150">
        <w:t xml:space="preserve"> largely progressed by opportunistic programming and policy </w:t>
      </w:r>
      <w:r w:rsidR="00C0478C">
        <w:t>discussion</w:t>
      </w:r>
      <w:r w:rsidR="00C0478C" w:rsidRPr="001A0150">
        <w:t xml:space="preserve"> </w:t>
      </w:r>
      <w:r w:rsidR="00FD0AD2" w:rsidRPr="001A0150">
        <w:t xml:space="preserve">that seeks to </w:t>
      </w:r>
      <w:r w:rsidR="00FD0AD2" w:rsidRPr="006C7B57">
        <w:t xml:space="preserve">broker relationships, pilot and demonstrate pro-poor policy and </w:t>
      </w:r>
      <w:r w:rsidR="00FD0AD2" w:rsidRPr="006C7B57">
        <w:lastRenderedPageBreak/>
        <w:t>programs, and support the integration of inclusive and pro-poor considerations into government activities.</w:t>
      </w:r>
    </w:p>
    <w:p w14:paraId="143752FF" w14:textId="77777777" w:rsidR="00FD0AD2" w:rsidRDefault="00FD0AD2" w:rsidP="00971C1C">
      <w:pPr>
        <w:pStyle w:val="BodyText"/>
      </w:pPr>
      <w:r w:rsidRPr="000C62F4">
        <w:t>While objectives</w:t>
      </w:r>
      <w:r w:rsidR="00B5336D">
        <w:t xml:space="preserve"> for policy discussion</w:t>
      </w:r>
      <w:r w:rsidRPr="000C62F4">
        <w:t xml:space="preserve"> do not always lend themselves to simple design or monitoring, </w:t>
      </w:r>
      <w:r w:rsidR="003576E6" w:rsidRPr="000C62F4">
        <w:t xml:space="preserve">there </w:t>
      </w:r>
      <w:r w:rsidR="00E946A0">
        <w:t>were</w:t>
      </w:r>
      <w:r w:rsidR="00E946A0" w:rsidRPr="000C62F4">
        <w:t xml:space="preserve"> </w:t>
      </w:r>
      <w:r w:rsidR="003576E6" w:rsidRPr="000C62F4">
        <w:t>many success stories against this objective in 2012-13. C</w:t>
      </w:r>
      <w:r w:rsidRPr="000C62F4">
        <w:t xml:space="preserve">ompletion of the </w:t>
      </w:r>
      <w:r w:rsidR="00B5336D">
        <w:t xml:space="preserve">new program strategy’s </w:t>
      </w:r>
      <w:r w:rsidR="009D3F62">
        <w:t>performance assessment framework</w:t>
      </w:r>
      <w:r w:rsidRPr="000C62F4">
        <w:t xml:space="preserve"> will enhance the ability to</w:t>
      </w:r>
      <w:r w:rsidR="00B5336D">
        <w:t xml:space="preserve"> make further progress against this objective as well as to</w:t>
      </w:r>
      <w:r w:rsidRPr="000C62F4">
        <w:t xml:space="preserve"> monitor</w:t>
      </w:r>
      <w:r w:rsidR="00B5336D">
        <w:t xml:space="preserve"> and evaluate such progress.</w:t>
      </w:r>
      <w:r w:rsidRPr="000C62F4">
        <w:t xml:space="preserve"> </w:t>
      </w:r>
    </w:p>
    <w:p w14:paraId="14375300" w14:textId="77777777" w:rsidR="00100B0C" w:rsidRDefault="00100B0C" w:rsidP="00971C1C">
      <w:pPr>
        <w:pStyle w:val="Heading2"/>
      </w:pPr>
      <w:r w:rsidRPr="00100B0C">
        <w:t xml:space="preserve">Program </w:t>
      </w:r>
      <w:r w:rsidR="009D3F62">
        <w:t>m</w:t>
      </w:r>
      <w:r w:rsidRPr="00100B0C">
        <w:t>anagement</w:t>
      </w:r>
      <w:r w:rsidR="00524918">
        <w:t xml:space="preserve"> </w:t>
      </w:r>
    </w:p>
    <w:p w14:paraId="14375301" w14:textId="77777777" w:rsidR="004B26D2" w:rsidRDefault="009D3F62" w:rsidP="00E96E29">
      <w:pPr>
        <w:pStyle w:val="BodyText"/>
      </w:pPr>
      <w:r>
        <w:rPr>
          <w:b/>
        </w:rPr>
        <w:t xml:space="preserve">While </w:t>
      </w:r>
      <w:r w:rsidR="00B5336D">
        <w:rPr>
          <w:b/>
        </w:rPr>
        <w:t xml:space="preserve">the </w:t>
      </w:r>
      <w:r w:rsidR="00E946A0">
        <w:rPr>
          <w:b/>
        </w:rPr>
        <w:t xml:space="preserve">start </w:t>
      </w:r>
      <w:r w:rsidR="00B5336D">
        <w:rPr>
          <w:b/>
        </w:rPr>
        <w:t>of the</w:t>
      </w:r>
      <w:r w:rsidR="0045795A">
        <w:rPr>
          <w:b/>
        </w:rPr>
        <w:t xml:space="preserve"> new</w:t>
      </w:r>
      <w:r w:rsidR="00E96E29" w:rsidRPr="00E96E29">
        <w:rPr>
          <w:b/>
        </w:rPr>
        <w:t xml:space="preserve"> </w:t>
      </w:r>
      <w:r>
        <w:rPr>
          <w:b/>
        </w:rPr>
        <w:t>p</w:t>
      </w:r>
      <w:r w:rsidR="00E96E29" w:rsidRPr="00E96E29">
        <w:rPr>
          <w:b/>
        </w:rPr>
        <w:t xml:space="preserve">rogram </w:t>
      </w:r>
      <w:r>
        <w:rPr>
          <w:b/>
        </w:rPr>
        <w:t>s</w:t>
      </w:r>
      <w:r w:rsidR="00E96E29" w:rsidRPr="00E96E29">
        <w:rPr>
          <w:b/>
        </w:rPr>
        <w:t>trategy for Australian aid to Sri Lanka</w:t>
      </w:r>
      <w:r w:rsidR="00B5336D">
        <w:rPr>
          <w:b/>
        </w:rPr>
        <w:t xml:space="preserve"> has</w:t>
      </w:r>
      <w:r w:rsidR="00E96E29" w:rsidRPr="00E96E29">
        <w:rPr>
          <w:b/>
        </w:rPr>
        <w:t xml:space="preserve"> allowed us to pursue a more </w:t>
      </w:r>
      <w:r w:rsidR="00777C21" w:rsidRPr="00E96E29">
        <w:rPr>
          <w:b/>
        </w:rPr>
        <w:t>deliberate</w:t>
      </w:r>
      <w:r w:rsidR="00E96E29" w:rsidRPr="00E96E29">
        <w:rPr>
          <w:b/>
        </w:rPr>
        <w:t xml:space="preserve"> approach to</w:t>
      </w:r>
      <w:r w:rsidR="0045795A">
        <w:rPr>
          <w:b/>
        </w:rPr>
        <w:t xml:space="preserve"> all aspects of aid management</w:t>
      </w:r>
      <w:r>
        <w:rPr>
          <w:b/>
        </w:rPr>
        <w:t>,</w:t>
      </w:r>
      <w:r w:rsidR="0045795A">
        <w:rPr>
          <w:b/>
        </w:rPr>
        <w:t xml:space="preserve"> important work remains. </w:t>
      </w:r>
      <w:r w:rsidR="0045795A">
        <w:t>In 2012</w:t>
      </w:r>
      <w:r w:rsidR="004110DB">
        <w:t>, the</w:t>
      </w:r>
      <w:r w:rsidR="001A6FFD">
        <w:t xml:space="preserve"> </w:t>
      </w:r>
      <w:r w:rsidR="009F24B4">
        <w:t>new program strategy (2012</w:t>
      </w:r>
      <w:r w:rsidR="003452C3">
        <w:t>–</w:t>
      </w:r>
      <w:r w:rsidR="009F24B4">
        <w:t>16)</w:t>
      </w:r>
      <w:r w:rsidR="00B5336D">
        <w:t xml:space="preserve"> was finalised</w:t>
      </w:r>
      <w:r w:rsidR="009F24B4">
        <w:t>,</w:t>
      </w:r>
      <w:r w:rsidR="00DC0B4F">
        <w:t xml:space="preserve"> </w:t>
      </w:r>
      <w:r w:rsidR="009F24B4">
        <w:t xml:space="preserve">communicating </w:t>
      </w:r>
      <w:r w:rsidR="004B26D2">
        <w:t xml:space="preserve">the purpose of </w:t>
      </w:r>
      <w:r w:rsidR="00351903">
        <w:t xml:space="preserve">our </w:t>
      </w:r>
      <w:r w:rsidR="004B26D2">
        <w:t xml:space="preserve">aid to Sri Lanka and </w:t>
      </w:r>
      <w:r w:rsidR="00DC0B4F">
        <w:t xml:space="preserve">informing </w:t>
      </w:r>
      <w:r w:rsidR="009F24B4">
        <w:t>ongoing program development</w:t>
      </w:r>
      <w:r w:rsidR="004B26D2">
        <w:t xml:space="preserve"> (for example, in </w:t>
      </w:r>
      <w:r w:rsidR="00351903">
        <w:t>technical and vocational education and training</w:t>
      </w:r>
      <w:r w:rsidR="004B26D2">
        <w:t xml:space="preserve"> and nutrition). </w:t>
      </w:r>
    </w:p>
    <w:p w14:paraId="14375302" w14:textId="77777777" w:rsidR="00AF1A26" w:rsidRPr="00971C1C" w:rsidRDefault="00EA3C2E" w:rsidP="00971C1C">
      <w:pPr>
        <w:pStyle w:val="BodyText"/>
      </w:pPr>
      <w:r w:rsidRPr="00971C1C">
        <w:t xml:space="preserve">Further </w:t>
      </w:r>
      <w:r w:rsidR="004B26D2" w:rsidRPr="00971C1C">
        <w:t xml:space="preserve">work to </w:t>
      </w:r>
      <w:r w:rsidR="009F24B4" w:rsidRPr="00971C1C">
        <w:t>support program delivery and performance management</w:t>
      </w:r>
      <w:r w:rsidR="00777C21" w:rsidRPr="00971C1C">
        <w:t xml:space="preserve"> </w:t>
      </w:r>
      <w:r w:rsidRPr="00971C1C">
        <w:t>will include</w:t>
      </w:r>
      <w:r w:rsidR="00B5336D" w:rsidRPr="00971C1C">
        <w:t xml:space="preserve"> </w:t>
      </w:r>
      <w:r w:rsidR="00C832D4" w:rsidRPr="00971C1C">
        <w:t xml:space="preserve">starting a </w:t>
      </w:r>
      <w:r w:rsidRPr="00971C1C">
        <w:t>delivery strateg</w:t>
      </w:r>
      <w:r w:rsidR="00AF1A26" w:rsidRPr="00971C1C">
        <w:t>y</w:t>
      </w:r>
      <w:r w:rsidRPr="00971C1C">
        <w:t xml:space="preserve"> for economic development</w:t>
      </w:r>
      <w:r w:rsidR="009F24B4" w:rsidRPr="00971C1C">
        <w:t xml:space="preserve"> </w:t>
      </w:r>
      <w:r w:rsidR="009F1AE8" w:rsidRPr="00971C1C">
        <w:t>investments</w:t>
      </w:r>
      <w:r w:rsidRPr="00971C1C">
        <w:t xml:space="preserve"> a</w:t>
      </w:r>
      <w:r w:rsidR="00B5336D" w:rsidRPr="00971C1C">
        <w:t>nd</w:t>
      </w:r>
      <w:r w:rsidRPr="00971C1C">
        <w:t xml:space="preserve"> </w:t>
      </w:r>
      <w:r w:rsidR="0016407D" w:rsidRPr="00971C1C">
        <w:t xml:space="preserve">completing </w:t>
      </w:r>
      <w:r w:rsidRPr="00971C1C">
        <w:t xml:space="preserve">the </w:t>
      </w:r>
      <w:r w:rsidR="009F24B4" w:rsidRPr="00971C1C">
        <w:t>program performance assessment framework</w:t>
      </w:r>
      <w:r w:rsidRPr="00971C1C">
        <w:t>.</w:t>
      </w:r>
      <w:r w:rsidR="00DD12AF" w:rsidRPr="00971C1C">
        <w:t xml:space="preserve"> </w:t>
      </w:r>
      <w:r w:rsidR="00B5336D" w:rsidRPr="00971C1C">
        <w:t xml:space="preserve">Work </w:t>
      </w:r>
      <w:r w:rsidR="009F24B4" w:rsidRPr="00971C1C">
        <w:t xml:space="preserve">will </w:t>
      </w:r>
      <w:r w:rsidR="00B5336D" w:rsidRPr="00971C1C">
        <w:t xml:space="preserve">involve </w:t>
      </w:r>
      <w:r w:rsidR="009F24B4" w:rsidRPr="00971C1C">
        <w:t>closer engagement</w:t>
      </w:r>
      <w:r w:rsidR="00777C21" w:rsidRPr="00971C1C">
        <w:t xml:space="preserve"> with all Australian Government agencies managing </w:t>
      </w:r>
      <w:r w:rsidR="007E37B3" w:rsidRPr="00971C1C">
        <w:t>official development assist</w:t>
      </w:r>
      <w:r w:rsidR="00B5336D" w:rsidRPr="00971C1C">
        <w:t>ance</w:t>
      </w:r>
      <w:r w:rsidR="00777C21" w:rsidRPr="00971C1C">
        <w:t xml:space="preserve"> to Sri Lanka</w:t>
      </w:r>
      <w:r w:rsidR="009F24B4" w:rsidRPr="00971C1C">
        <w:t>, in program development and ongo</w:t>
      </w:r>
      <w:r w:rsidR="00B5336D" w:rsidRPr="00971C1C">
        <w:t>i</w:t>
      </w:r>
      <w:r w:rsidR="009F24B4" w:rsidRPr="00971C1C">
        <w:t>ng performance management</w:t>
      </w:r>
      <w:r w:rsidR="00642DF9" w:rsidRPr="00971C1C">
        <w:t xml:space="preserve">. </w:t>
      </w:r>
    </w:p>
    <w:p w14:paraId="14375303" w14:textId="7057A983" w:rsidR="003576E6" w:rsidRPr="00971C1C" w:rsidRDefault="00B5336D" w:rsidP="00971C1C">
      <w:pPr>
        <w:pStyle w:val="BodyText"/>
      </w:pPr>
      <w:r>
        <w:rPr>
          <w:b/>
          <w:bCs/>
        </w:rPr>
        <w:t>Australia maintained a</w:t>
      </w:r>
      <w:r w:rsidR="00E34E52">
        <w:rPr>
          <w:b/>
          <w:bCs/>
        </w:rPr>
        <w:t xml:space="preserve"> r</w:t>
      </w:r>
      <w:r w:rsidR="001E670E">
        <w:rPr>
          <w:b/>
          <w:bCs/>
        </w:rPr>
        <w:t xml:space="preserve">ange of </w:t>
      </w:r>
      <w:r w:rsidR="00AE767C">
        <w:rPr>
          <w:b/>
          <w:bCs/>
        </w:rPr>
        <w:t>partnerships</w:t>
      </w:r>
      <w:r>
        <w:rPr>
          <w:b/>
          <w:bCs/>
        </w:rPr>
        <w:t xml:space="preserve">, at varying stages of development, </w:t>
      </w:r>
      <w:r w:rsidR="00F654BC">
        <w:rPr>
          <w:b/>
          <w:bCs/>
        </w:rPr>
        <w:t>during</w:t>
      </w:r>
      <w:r>
        <w:rPr>
          <w:b/>
          <w:bCs/>
        </w:rPr>
        <w:t xml:space="preserve"> the reporting period</w:t>
      </w:r>
      <w:r w:rsidR="00642DF9">
        <w:rPr>
          <w:b/>
          <w:bCs/>
        </w:rPr>
        <w:t xml:space="preserve">. </w:t>
      </w:r>
      <w:r w:rsidR="00AE767C" w:rsidRPr="00971C1C">
        <w:t xml:space="preserve">Most </w:t>
      </w:r>
      <w:r w:rsidR="0081742D" w:rsidRPr="00971C1C">
        <w:t>partners delivered</w:t>
      </w:r>
      <w:r w:rsidR="00AE767C" w:rsidRPr="00971C1C">
        <w:t xml:space="preserve"> </w:t>
      </w:r>
      <w:r w:rsidR="0081742D" w:rsidRPr="00971C1C">
        <w:t>strong results</w:t>
      </w:r>
      <w:r w:rsidRPr="00971C1C">
        <w:t>,</w:t>
      </w:r>
      <w:r w:rsidR="0081742D" w:rsidRPr="00971C1C">
        <w:t xml:space="preserve"> </w:t>
      </w:r>
      <w:r w:rsidRPr="00971C1C">
        <w:t>responded</w:t>
      </w:r>
      <w:r w:rsidR="00AE767C" w:rsidRPr="00971C1C">
        <w:t xml:space="preserve"> to </w:t>
      </w:r>
      <w:r w:rsidR="00182829">
        <w:t>Australian government</w:t>
      </w:r>
      <w:r w:rsidR="00182829" w:rsidRPr="00971C1C">
        <w:t xml:space="preserve"> </w:t>
      </w:r>
      <w:r w:rsidR="00AE767C" w:rsidRPr="00971C1C">
        <w:t xml:space="preserve">requests </w:t>
      </w:r>
      <w:r w:rsidR="0081742D" w:rsidRPr="00971C1C">
        <w:t xml:space="preserve">for information and </w:t>
      </w:r>
      <w:r w:rsidR="00D74021" w:rsidRPr="00971C1C">
        <w:t xml:space="preserve">participated in </w:t>
      </w:r>
      <w:r w:rsidR="0081742D" w:rsidRPr="00971C1C">
        <w:t xml:space="preserve">important policy </w:t>
      </w:r>
      <w:r w:rsidRPr="00971C1C">
        <w:t>discussion</w:t>
      </w:r>
      <w:r w:rsidR="00842125" w:rsidRPr="00971C1C">
        <w:t>.</w:t>
      </w:r>
      <w:r w:rsidR="00762D18" w:rsidRPr="00971C1C">
        <w:t xml:space="preserve"> Partner-to-partner exchange mechanisms have been developed under </w:t>
      </w:r>
      <w:r w:rsidR="00440342" w:rsidRPr="00971C1C">
        <w:t xml:space="preserve">the </w:t>
      </w:r>
      <w:r w:rsidR="00762D18" w:rsidRPr="00971C1C">
        <w:t>ACRP, enabl</w:t>
      </w:r>
      <w:r w:rsidR="00042DB8" w:rsidRPr="00971C1C">
        <w:t>ing</w:t>
      </w:r>
      <w:r w:rsidR="00762D18" w:rsidRPr="00971C1C">
        <w:t xml:space="preserve"> partners to share experiences and approaches</w:t>
      </w:r>
      <w:r w:rsidR="00430B82" w:rsidRPr="00971C1C">
        <w:t>.</w:t>
      </w:r>
      <w:r w:rsidR="00042DB8" w:rsidRPr="00971C1C">
        <w:t xml:space="preserve"> This </w:t>
      </w:r>
      <w:r w:rsidR="00762D18" w:rsidRPr="00971C1C">
        <w:t>has resulted in innovative approaches to community-level poverty reduction</w:t>
      </w:r>
      <w:r w:rsidR="00543A67" w:rsidRPr="00971C1C">
        <w:t xml:space="preserve">. </w:t>
      </w:r>
      <w:r w:rsidR="00042DB8" w:rsidRPr="00971C1C">
        <w:t xml:space="preserve">It </w:t>
      </w:r>
      <w:r w:rsidRPr="00971C1C">
        <w:t xml:space="preserve">has </w:t>
      </w:r>
      <w:r w:rsidR="00042DB8" w:rsidRPr="00971C1C">
        <w:t xml:space="preserve">also </w:t>
      </w:r>
      <w:r w:rsidRPr="00971C1C">
        <w:t xml:space="preserve">included </w:t>
      </w:r>
      <w:r w:rsidR="0096741B" w:rsidRPr="00971C1C">
        <w:t>ongoing and flexible technical support to partners in conflict-mapping, gender inclusion</w:t>
      </w:r>
      <w:r w:rsidR="00042DB8" w:rsidRPr="00971C1C">
        <w:t>,</w:t>
      </w:r>
      <w:r w:rsidR="0096741B" w:rsidRPr="00971C1C">
        <w:t xml:space="preserve"> organisational capacity</w:t>
      </w:r>
      <w:r w:rsidR="001E670E" w:rsidRPr="00971C1C">
        <w:t>-</w:t>
      </w:r>
      <w:r w:rsidR="0096741B" w:rsidRPr="00971C1C">
        <w:t>building</w:t>
      </w:r>
      <w:r w:rsidR="00762D18" w:rsidRPr="00971C1C">
        <w:t xml:space="preserve"> and thematic based discussion forums</w:t>
      </w:r>
      <w:r w:rsidR="0096741B" w:rsidRPr="00971C1C">
        <w:t xml:space="preserve">. </w:t>
      </w:r>
    </w:p>
    <w:p w14:paraId="14375304" w14:textId="507BF764" w:rsidR="008C50B8" w:rsidRPr="00971C1C" w:rsidRDefault="003576E6" w:rsidP="00971C1C">
      <w:pPr>
        <w:pStyle w:val="BodyText"/>
      </w:pPr>
      <w:r w:rsidRPr="00971C1C">
        <w:t xml:space="preserve">However, more work is needed </w:t>
      </w:r>
      <w:r w:rsidR="00B5336D" w:rsidRPr="00971C1C">
        <w:t xml:space="preserve">in some areas. We need </w:t>
      </w:r>
      <w:r w:rsidRPr="00971C1C">
        <w:t>to build a strong</w:t>
      </w:r>
      <w:r w:rsidR="001E670E" w:rsidRPr="00971C1C">
        <w:t>er</w:t>
      </w:r>
      <w:r w:rsidRPr="00971C1C">
        <w:t xml:space="preserve"> relationship with the </w:t>
      </w:r>
      <w:r w:rsidR="0096741B" w:rsidRPr="00971C1C">
        <w:t>World Bank</w:t>
      </w:r>
      <w:r w:rsidRPr="00971C1C">
        <w:t>,</w:t>
      </w:r>
      <w:r w:rsidR="006B7ED0" w:rsidRPr="00971C1C">
        <w:t xml:space="preserve"> in particular</w:t>
      </w:r>
      <w:r w:rsidR="00B5336D" w:rsidRPr="00971C1C">
        <w:t>.</w:t>
      </w:r>
      <w:r w:rsidR="0083415C" w:rsidRPr="00971C1C">
        <w:t xml:space="preserve"> </w:t>
      </w:r>
      <w:r w:rsidR="009D4933">
        <w:t>High Commission</w:t>
      </w:r>
      <w:r w:rsidR="00182829">
        <w:t xml:space="preserve"> </w:t>
      </w:r>
      <w:r w:rsidR="00AE767C" w:rsidRPr="00971C1C">
        <w:t xml:space="preserve">staff in Colombo </w:t>
      </w:r>
      <w:r w:rsidR="006B7ED0" w:rsidRPr="00971C1C">
        <w:t>are</w:t>
      </w:r>
      <w:r w:rsidR="00AE767C" w:rsidRPr="00971C1C">
        <w:t xml:space="preserve"> intensi</w:t>
      </w:r>
      <w:r w:rsidR="00B5336D" w:rsidRPr="00971C1C">
        <w:t>fy</w:t>
      </w:r>
      <w:r w:rsidR="006B7ED0" w:rsidRPr="00971C1C">
        <w:t>ing</w:t>
      </w:r>
      <w:r w:rsidR="00AE767C" w:rsidRPr="00971C1C">
        <w:t xml:space="preserve"> efforts </w:t>
      </w:r>
      <w:r w:rsidR="00F62E8E" w:rsidRPr="00971C1C">
        <w:t xml:space="preserve">to </w:t>
      </w:r>
      <w:r w:rsidRPr="00971C1C">
        <w:t xml:space="preserve">strengthen the partnership with the World Bank, including </w:t>
      </w:r>
      <w:r w:rsidR="00B5336D" w:rsidRPr="00971C1C">
        <w:t xml:space="preserve">by </w:t>
      </w:r>
      <w:r w:rsidRPr="00971C1C">
        <w:t>communicatin</w:t>
      </w:r>
      <w:r w:rsidR="00B5336D" w:rsidRPr="00971C1C">
        <w:t>g</w:t>
      </w:r>
      <w:r w:rsidRPr="00971C1C">
        <w:t xml:space="preserve"> key policy priorities and reporting requirements, </w:t>
      </w:r>
      <w:r w:rsidR="00AE767C" w:rsidRPr="00971C1C">
        <w:t>participatin</w:t>
      </w:r>
      <w:r w:rsidR="00B5336D" w:rsidRPr="00971C1C">
        <w:t>g</w:t>
      </w:r>
      <w:r w:rsidR="00AE767C" w:rsidRPr="00971C1C">
        <w:t xml:space="preserve"> in monitoring activities</w:t>
      </w:r>
      <w:r w:rsidRPr="00971C1C">
        <w:t>,</w:t>
      </w:r>
      <w:r w:rsidR="00AE767C" w:rsidRPr="00971C1C">
        <w:t xml:space="preserve"> and </w:t>
      </w:r>
      <w:r w:rsidR="00D74021" w:rsidRPr="00971C1C">
        <w:t xml:space="preserve">holding </w:t>
      </w:r>
      <w:r w:rsidR="00FA3B4B" w:rsidRPr="00971C1C">
        <w:t xml:space="preserve">(at </w:t>
      </w:r>
      <w:r w:rsidR="00182829">
        <w:t>the High Commission’s</w:t>
      </w:r>
      <w:r w:rsidR="00182829" w:rsidRPr="00971C1C">
        <w:t xml:space="preserve"> </w:t>
      </w:r>
      <w:r w:rsidR="00FA3B4B" w:rsidRPr="00971C1C">
        <w:t xml:space="preserve">initiative) </w:t>
      </w:r>
      <w:r w:rsidR="0085531D" w:rsidRPr="00971C1C">
        <w:t xml:space="preserve">quarterly </w:t>
      </w:r>
      <w:r w:rsidR="00AE767C" w:rsidRPr="00971C1C">
        <w:t xml:space="preserve">meetings </w:t>
      </w:r>
      <w:r w:rsidR="00A90944" w:rsidRPr="00971C1C">
        <w:t>at</w:t>
      </w:r>
      <w:r w:rsidR="0085531D" w:rsidRPr="00971C1C">
        <w:t xml:space="preserve"> </w:t>
      </w:r>
      <w:r w:rsidR="00042DB8" w:rsidRPr="00971C1C">
        <w:t>c</w:t>
      </w:r>
      <w:r w:rsidR="0085531D" w:rsidRPr="00971C1C">
        <w:t>ountry</w:t>
      </w:r>
      <w:r w:rsidR="00042DB8" w:rsidRPr="00971C1C">
        <w:t>-h</w:t>
      </w:r>
      <w:r w:rsidR="0085531D" w:rsidRPr="00971C1C">
        <w:t>ead level</w:t>
      </w:r>
      <w:r w:rsidR="0083415C" w:rsidRPr="00971C1C">
        <w:t xml:space="preserve">. </w:t>
      </w:r>
    </w:p>
    <w:p w14:paraId="14375305" w14:textId="3ECE9344" w:rsidR="004C66AA" w:rsidRDefault="00E96E29" w:rsidP="00FA3B4B">
      <w:pPr>
        <w:pStyle w:val="BodyText"/>
        <w:rPr>
          <w:szCs w:val="22"/>
        </w:rPr>
      </w:pPr>
      <w:r w:rsidRPr="00AB008F">
        <w:rPr>
          <w:b/>
          <w:szCs w:val="22"/>
        </w:rPr>
        <w:t>Through a period of transition</w:t>
      </w:r>
      <w:r w:rsidR="00AB008F">
        <w:rPr>
          <w:b/>
          <w:szCs w:val="22"/>
        </w:rPr>
        <w:t>, substantial</w:t>
      </w:r>
      <w:r w:rsidRPr="00AB008F">
        <w:rPr>
          <w:b/>
          <w:szCs w:val="22"/>
        </w:rPr>
        <w:t xml:space="preserve"> efforts to build a </w:t>
      </w:r>
      <w:r w:rsidR="00CC54C3" w:rsidRPr="00AB008F">
        <w:rPr>
          <w:b/>
          <w:szCs w:val="22"/>
        </w:rPr>
        <w:t>comp</w:t>
      </w:r>
      <w:r w:rsidR="00CC54C3">
        <w:rPr>
          <w:b/>
          <w:szCs w:val="22"/>
        </w:rPr>
        <w:t>etent</w:t>
      </w:r>
      <w:r w:rsidRPr="00AB008F">
        <w:rPr>
          <w:b/>
          <w:szCs w:val="22"/>
        </w:rPr>
        <w:t xml:space="preserve"> and cohesive </w:t>
      </w:r>
      <w:r w:rsidR="009D4933">
        <w:rPr>
          <w:b/>
          <w:szCs w:val="22"/>
        </w:rPr>
        <w:t xml:space="preserve">aid management </w:t>
      </w:r>
      <w:r w:rsidRPr="00AB008F">
        <w:rPr>
          <w:b/>
          <w:szCs w:val="22"/>
        </w:rPr>
        <w:t xml:space="preserve">team </w:t>
      </w:r>
      <w:r w:rsidR="00FB2D9A">
        <w:rPr>
          <w:b/>
          <w:szCs w:val="22"/>
        </w:rPr>
        <w:t xml:space="preserve">in </w:t>
      </w:r>
      <w:r w:rsidR="00182829">
        <w:rPr>
          <w:b/>
          <w:szCs w:val="22"/>
        </w:rPr>
        <w:t xml:space="preserve">Colombo </w:t>
      </w:r>
      <w:r w:rsidRPr="00AB008F">
        <w:rPr>
          <w:b/>
          <w:szCs w:val="22"/>
        </w:rPr>
        <w:t xml:space="preserve">have paid off. </w:t>
      </w:r>
      <w:r w:rsidR="0099684A">
        <w:rPr>
          <w:b/>
          <w:szCs w:val="22"/>
        </w:rPr>
        <w:t>Building on this foundation will</w:t>
      </w:r>
      <w:r w:rsidRPr="00AB008F">
        <w:rPr>
          <w:b/>
          <w:szCs w:val="22"/>
        </w:rPr>
        <w:t xml:space="preserve"> </w:t>
      </w:r>
      <w:r w:rsidR="00F654BC">
        <w:rPr>
          <w:b/>
          <w:szCs w:val="22"/>
        </w:rPr>
        <w:t>be</w:t>
      </w:r>
      <w:r w:rsidR="00F654BC" w:rsidRPr="00AB008F">
        <w:rPr>
          <w:b/>
          <w:szCs w:val="22"/>
        </w:rPr>
        <w:t xml:space="preserve"> </w:t>
      </w:r>
      <w:r w:rsidRPr="00AB008F">
        <w:rPr>
          <w:b/>
          <w:szCs w:val="22"/>
        </w:rPr>
        <w:t xml:space="preserve">a priority for the year ahead. </w:t>
      </w:r>
      <w:r w:rsidR="00A90944">
        <w:rPr>
          <w:szCs w:val="22"/>
        </w:rPr>
        <w:t>I</w:t>
      </w:r>
      <w:r w:rsidR="00777C21" w:rsidRPr="00AB008F">
        <w:rPr>
          <w:szCs w:val="22"/>
        </w:rPr>
        <w:t xml:space="preserve">mportant achievements </w:t>
      </w:r>
      <w:r w:rsidR="00A90944">
        <w:rPr>
          <w:szCs w:val="22"/>
        </w:rPr>
        <w:t>were made in</w:t>
      </w:r>
      <w:r w:rsidR="00042DB8">
        <w:rPr>
          <w:szCs w:val="22"/>
        </w:rPr>
        <w:t>:</w:t>
      </w:r>
      <w:r w:rsidR="00777C21" w:rsidRPr="00AB008F">
        <w:rPr>
          <w:szCs w:val="22"/>
        </w:rPr>
        <w:t xml:space="preserve"> </w:t>
      </w:r>
      <w:r w:rsidR="00FA3B4B" w:rsidRPr="00AB008F">
        <w:rPr>
          <w:szCs w:val="22"/>
        </w:rPr>
        <w:t xml:space="preserve">team </w:t>
      </w:r>
      <w:r w:rsidR="00777C21" w:rsidRPr="00AB008F">
        <w:rPr>
          <w:szCs w:val="22"/>
        </w:rPr>
        <w:t>planning; train</w:t>
      </w:r>
      <w:r w:rsidR="00787668" w:rsidRPr="00787668">
        <w:rPr>
          <w:szCs w:val="22"/>
        </w:rPr>
        <w:t>ing and development; and securing additional human resources</w:t>
      </w:r>
      <w:r w:rsidR="004110DB">
        <w:rPr>
          <w:szCs w:val="22"/>
        </w:rPr>
        <w:t xml:space="preserve"> (including a </w:t>
      </w:r>
      <w:r w:rsidR="00344573">
        <w:rPr>
          <w:szCs w:val="22"/>
        </w:rPr>
        <w:t>s</w:t>
      </w:r>
      <w:r w:rsidR="004110DB">
        <w:rPr>
          <w:szCs w:val="22"/>
        </w:rPr>
        <w:t>hort</w:t>
      </w:r>
      <w:r w:rsidR="00042DB8">
        <w:rPr>
          <w:szCs w:val="22"/>
        </w:rPr>
        <w:t>-</w:t>
      </w:r>
      <w:r w:rsidR="00430B82">
        <w:rPr>
          <w:szCs w:val="22"/>
        </w:rPr>
        <w:t>t</w:t>
      </w:r>
      <w:r w:rsidR="004110DB">
        <w:rPr>
          <w:szCs w:val="22"/>
        </w:rPr>
        <w:t xml:space="preserve">erm Mission by </w:t>
      </w:r>
      <w:r w:rsidR="004110DB" w:rsidRPr="00787668">
        <w:rPr>
          <w:szCs w:val="22"/>
        </w:rPr>
        <w:t xml:space="preserve">an experienced </w:t>
      </w:r>
      <w:r w:rsidR="004110DB">
        <w:rPr>
          <w:szCs w:val="22"/>
        </w:rPr>
        <w:t>overseas</w:t>
      </w:r>
      <w:r w:rsidR="004110DB" w:rsidRPr="00787668">
        <w:rPr>
          <w:szCs w:val="22"/>
        </w:rPr>
        <w:t xml:space="preserve">-based officer from Jakarta Post </w:t>
      </w:r>
      <w:r w:rsidR="004110DB">
        <w:rPr>
          <w:szCs w:val="22"/>
        </w:rPr>
        <w:t xml:space="preserve">to </w:t>
      </w:r>
      <w:r w:rsidR="004110DB" w:rsidRPr="00787668">
        <w:rPr>
          <w:szCs w:val="22"/>
        </w:rPr>
        <w:t xml:space="preserve">cover an </w:t>
      </w:r>
      <w:r w:rsidR="004110DB">
        <w:rPr>
          <w:szCs w:val="22"/>
        </w:rPr>
        <w:t>overseas</w:t>
      </w:r>
      <w:r w:rsidR="004110DB" w:rsidRPr="004110DB">
        <w:rPr>
          <w:szCs w:val="22"/>
        </w:rPr>
        <w:t xml:space="preserve">-based staffing vacancy while recruitment processes are completed). </w:t>
      </w:r>
      <w:r w:rsidR="004110DB" w:rsidRPr="00A77852">
        <w:rPr>
          <w:szCs w:val="22"/>
        </w:rPr>
        <w:t>Substantial reforms were also made to the Corporate Team at Post to improve effectiveness and efficiency.</w:t>
      </w:r>
    </w:p>
    <w:p w14:paraId="14375308" w14:textId="77777777" w:rsidR="00180B19" w:rsidRPr="00971C1C" w:rsidRDefault="00180B19" w:rsidP="00971C1C">
      <w:pPr>
        <w:pStyle w:val="Heading1"/>
      </w:pPr>
      <w:r w:rsidRPr="00971C1C">
        <w:t xml:space="preserve">Management </w:t>
      </w:r>
      <w:r w:rsidR="004E2A1B" w:rsidRPr="00971C1C">
        <w:t>c</w:t>
      </w:r>
      <w:r w:rsidRPr="00971C1C">
        <w:t>onsequences</w:t>
      </w:r>
    </w:p>
    <w:p w14:paraId="14375309" w14:textId="3A557CEC" w:rsidR="00D02405" w:rsidRDefault="0017504C" w:rsidP="0074537D">
      <w:pPr>
        <w:pStyle w:val="BodyText"/>
      </w:pPr>
      <w:r w:rsidRPr="0074537D">
        <w:rPr>
          <w:b/>
        </w:rPr>
        <w:t xml:space="preserve">Strengthen </w:t>
      </w:r>
      <w:r w:rsidR="00C77827" w:rsidRPr="0074537D">
        <w:rPr>
          <w:b/>
        </w:rPr>
        <w:t xml:space="preserve">Australian aid’s </w:t>
      </w:r>
      <w:r w:rsidRPr="0074537D">
        <w:rPr>
          <w:b/>
        </w:rPr>
        <w:t>formal relationships with the Sri Lankan Govern</w:t>
      </w:r>
      <w:r w:rsidR="00D35A8D" w:rsidRPr="0074537D">
        <w:rPr>
          <w:b/>
        </w:rPr>
        <w:t xml:space="preserve">ment and implementing partners </w:t>
      </w:r>
      <w:r w:rsidRPr="0074537D">
        <w:rPr>
          <w:b/>
        </w:rPr>
        <w:t xml:space="preserve">to improve policy dialogue </w:t>
      </w:r>
      <w:r w:rsidR="00A848FE" w:rsidRPr="0074537D">
        <w:rPr>
          <w:b/>
        </w:rPr>
        <w:t>on development issues</w:t>
      </w:r>
      <w:r w:rsidR="00D35A8D" w:rsidRPr="0074537D">
        <w:rPr>
          <w:b/>
        </w:rPr>
        <w:t xml:space="preserve">. Particular priority will be placed on </w:t>
      </w:r>
      <w:r w:rsidRPr="0074537D">
        <w:rPr>
          <w:b/>
        </w:rPr>
        <w:t>resolv</w:t>
      </w:r>
      <w:r w:rsidR="00042DB8" w:rsidRPr="0074537D">
        <w:rPr>
          <w:b/>
        </w:rPr>
        <w:t>ing</w:t>
      </w:r>
      <w:r w:rsidRPr="0074537D">
        <w:rPr>
          <w:b/>
        </w:rPr>
        <w:t xml:space="preserve"> issues</w:t>
      </w:r>
      <w:r w:rsidR="00042DB8" w:rsidRPr="0074537D">
        <w:rPr>
          <w:b/>
        </w:rPr>
        <w:t xml:space="preserve"> relating to</w:t>
      </w:r>
      <w:r w:rsidRPr="0074537D">
        <w:rPr>
          <w:b/>
        </w:rPr>
        <w:t xml:space="preserve"> </w:t>
      </w:r>
      <w:r w:rsidR="00D35A8D" w:rsidRPr="0074537D">
        <w:rPr>
          <w:b/>
        </w:rPr>
        <w:t xml:space="preserve">our joint </w:t>
      </w:r>
      <w:r w:rsidRPr="0074537D">
        <w:rPr>
          <w:b/>
        </w:rPr>
        <w:t>education and economic infrastructure</w:t>
      </w:r>
      <w:r w:rsidR="00537B29" w:rsidRPr="0074537D">
        <w:rPr>
          <w:b/>
        </w:rPr>
        <w:t xml:space="preserve"> </w:t>
      </w:r>
      <w:r w:rsidR="009C7EBC" w:rsidRPr="0074537D">
        <w:rPr>
          <w:b/>
        </w:rPr>
        <w:t>projects</w:t>
      </w:r>
      <w:r w:rsidR="00D35A8D" w:rsidRPr="0074537D">
        <w:rPr>
          <w:b/>
        </w:rPr>
        <w:t xml:space="preserve"> with the World Bank</w:t>
      </w:r>
      <w:r w:rsidRPr="0074537D">
        <w:rPr>
          <w:b/>
        </w:rPr>
        <w:t>.</w:t>
      </w:r>
      <w:r w:rsidRPr="0074537D">
        <w:rPr>
          <w:b/>
          <w:bCs/>
          <w:color w:val="1F497D"/>
        </w:rPr>
        <w:t xml:space="preserve"> </w:t>
      </w:r>
      <w:r w:rsidRPr="00D06E54">
        <w:t xml:space="preserve">This will include </w:t>
      </w:r>
      <w:r w:rsidR="00537B29">
        <w:t xml:space="preserve">continued </w:t>
      </w:r>
      <w:r w:rsidRPr="00D06E54">
        <w:t>engagement in both</w:t>
      </w:r>
      <w:r w:rsidR="00AA6A08">
        <w:t xml:space="preserve"> World Bank</w:t>
      </w:r>
      <w:r w:rsidRPr="00D06E54">
        <w:t xml:space="preserve"> </w:t>
      </w:r>
      <w:r w:rsidR="0016407D">
        <w:t>projects</w:t>
      </w:r>
      <w:r w:rsidR="0016407D" w:rsidRPr="00D06E54">
        <w:t xml:space="preserve"> </w:t>
      </w:r>
      <w:r w:rsidR="00DA5AB4">
        <w:t>in</w:t>
      </w:r>
      <w:r w:rsidRPr="00D06E54">
        <w:t xml:space="preserve"> </w:t>
      </w:r>
      <w:r w:rsidR="008F2BD1">
        <w:t>20</w:t>
      </w:r>
      <w:r w:rsidRPr="00D06E54">
        <w:t>13</w:t>
      </w:r>
      <w:r w:rsidR="003452C3">
        <w:t>–</w:t>
      </w:r>
      <w:r w:rsidRPr="00D06E54">
        <w:t>14</w:t>
      </w:r>
      <w:r w:rsidR="00E137C7">
        <w:t>.</w:t>
      </w:r>
      <w:r w:rsidR="00D4758F">
        <w:t xml:space="preserve"> We will </w:t>
      </w:r>
      <w:r w:rsidR="0084412D">
        <w:t xml:space="preserve">intensify existing work to </w:t>
      </w:r>
      <w:r w:rsidR="00D4758F">
        <w:t>strengthen our direct relationships with the Sri Lankan Government, focus</w:t>
      </w:r>
      <w:r w:rsidR="00042DB8">
        <w:t>ing</w:t>
      </w:r>
      <w:r w:rsidR="00D4758F">
        <w:t xml:space="preserve"> on central and line</w:t>
      </w:r>
      <w:r w:rsidR="00D4758F" w:rsidRPr="003B6F9E">
        <w:t xml:space="preserve"> ministries related to existing and prospective investments. </w:t>
      </w:r>
      <w:r w:rsidR="003B6F9E" w:rsidRPr="003B6F9E">
        <w:t xml:space="preserve">We will </w:t>
      </w:r>
      <w:r w:rsidR="003B6F9E" w:rsidRPr="00A77852">
        <w:t xml:space="preserve">increase the level of direct communication and not always rely on other partners to facilitate discussions with ministries. </w:t>
      </w:r>
      <w:r w:rsidR="00D4758F">
        <w:t>We will</w:t>
      </w:r>
      <w:r w:rsidR="00226494">
        <w:t xml:space="preserve"> seek to involve government officials more closely in </w:t>
      </w:r>
      <w:r w:rsidR="002060F9">
        <w:t>DFAT</w:t>
      </w:r>
      <w:r w:rsidR="00226494">
        <w:t xml:space="preserve"> operations, such as inviting them </w:t>
      </w:r>
      <w:r w:rsidR="00D4758F">
        <w:t xml:space="preserve">to </w:t>
      </w:r>
      <w:r w:rsidR="00226494">
        <w:t xml:space="preserve">join </w:t>
      </w:r>
      <w:r w:rsidR="00226494">
        <w:lastRenderedPageBreak/>
        <w:t xml:space="preserve">program monitoring </w:t>
      </w:r>
      <w:r w:rsidR="0084412D">
        <w:t xml:space="preserve">field </w:t>
      </w:r>
      <w:r w:rsidR="00D35A8D">
        <w:t xml:space="preserve">visits, </w:t>
      </w:r>
      <w:r w:rsidR="00D4758F">
        <w:t xml:space="preserve">participate in </w:t>
      </w:r>
      <w:r w:rsidR="001D5126">
        <w:t>department</w:t>
      </w:r>
      <w:r w:rsidR="00226494">
        <w:t>-led</w:t>
      </w:r>
      <w:r w:rsidR="00D4758F">
        <w:t xml:space="preserve"> training sessions</w:t>
      </w:r>
      <w:r w:rsidR="00D35A8D">
        <w:t xml:space="preserve"> and</w:t>
      </w:r>
      <w:r w:rsidR="00042DB8">
        <w:t xml:space="preserve">, </w:t>
      </w:r>
      <w:r w:rsidR="00D35A8D">
        <w:t>where appropriate</w:t>
      </w:r>
      <w:r w:rsidR="00042DB8">
        <w:t xml:space="preserve">, </w:t>
      </w:r>
      <w:r w:rsidR="00D35A8D">
        <w:t xml:space="preserve">strategic planning processes. </w:t>
      </w:r>
      <w:r w:rsidR="00226494">
        <w:t xml:space="preserve">We will also </w:t>
      </w:r>
      <w:r w:rsidR="0084412D">
        <w:t xml:space="preserve">look for opportunities to </w:t>
      </w:r>
      <w:r w:rsidR="00226494">
        <w:t xml:space="preserve">invite officials to participate in project steering committee meetings and attend </w:t>
      </w:r>
      <w:r w:rsidR="0084412D">
        <w:t xml:space="preserve">partner </w:t>
      </w:r>
      <w:r w:rsidR="00226494">
        <w:t xml:space="preserve">presentations on </w:t>
      </w:r>
      <w:r w:rsidR="001D5126">
        <w:t>Australian government</w:t>
      </w:r>
      <w:r w:rsidR="0084412D">
        <w:t xml:space="preserve">-funded </w:t>
      </w:r>
      <w:r w:rsidR="00226494">
        <w:t>projects.</w:t>
      </w:r>
      <w:r w:rsidR="00D35A8D">
        <w:t xml:space="preserve"> W</w:t>
      </w:r>
      <w:r w:rsidR="00226494">
        <w:t xml:space="preserve">e will invite </w:t>
      </w:r>
      <w:r w:rsidR="0084412D">
        <w:t xml:space="preserve">senior </w:t>
      </w:r>
      <w:r w:rsidR="00226494">
        <w:t xml:space="preserve">government officials to </w:t>
      </w:r>
      <w:r w:rsidR="00D35A8D">
        <w:t xml:space="preserve">Australian </w:t>
      </w:r>
      <w:r w:rsidR="00226494">
        <w:t xml:space="preserve">functions where they can interact informally with </w:t>
      </w:r>
      <w:r w:rsidR="001D5126">
        <w:t>High Commission s</w:t>
      </w:r>
      <w:r w:rsidR="00226494">
        <w:t xml:space="preserve">taff and our implementing partners. We will seek regular meetings with central agency officials to update them on the progress of our programs. </w:t>
      </w:r>
    </w:p>
    <w:p w14:paraId="1437530A" w14:textId="77777777" w:rsidR="0084412D" w:rsidRDefault="0084412D" w:rsidP="0074537D">
      <w:pPr>
        <w:pStyle w:val="BodyText"/>
      </w:pPr>
      <w:r>
        <w:t xml:space="preserve">We will also strengthen </w:t>
      </w:r>
      <w:r w:rsidR="006647D0">
        <w:t xml:space="preserve">and maintain </w:t>
      </w:r>
      <w:r>
        <w:t>alliance</w:t>
      </w:r>
      <w:r w:rsidR="006647D0">
        <w:t>s</w:t>
      </w:r>
      <w:r>
        <w:t xml:space="preserve"> with other Australian Government departments active in Sri </w:t>
      </w:r>
      <w:r w:rsidR="006647D0">
        <w:t>Lanka</w:t>
      </w:r>
      <w:r w:rsidR="00042DB8">
        <w:t xml:space="preserve"> to</w:t>
      </w:r>
      <w:r w:rsidR="006647D0">
        <w:t xml:space="preserve">: build a strong linked-up approach; facilitate sharing of information and lessons; and develop a broader approach that draws on the different interests and strengths of the Australian and Sri Lankan governments. </w:t>
      </w:r>
    </w:p>
    <w:p w14:paraId="1437530B" w14:textId="77777777" w:rsidR="0017504C" w:rsidRPr="00D06E54" w:rsidRDefault="006647D0" w:rsidP="0074537D">
      <w:pPr>
        <w:pStyle w:val="BodyText"/>
      </w:pPr>
      <w:r w:rsidRPr="00A77852">
        <w:rPr>
          <w:b/>
        </w:rPr>
        <w:t xml:space="preserve">Develop </w:t>
      </w:r>
      <w:r>
        <w:rPr>
          <w:b/>
        </w:rPr>
        <w:t xml:space="preserve">and implement </w:t>
      </w:r>
      <w:r w:rsidRPr="00A77852">
        <w:rPr>
          <w:b/>
        </w:rPr>
        <w:t xml:space="preserve">plans to identify, design, quality assure and contract alternative programs </w:t>
      </w:r>
      <w:r>
        <w:rPr>
          <w:b/>
        </w:rPr>
        <w:t xml:space="preserve">(in education and infrastructure) </w:t>
      </w:r>
      <w:r w:rsidRPr="00A77852">
        <w:rPr>
          <w:b/>
        </w:rPr>
        <w:t>if currently planned investments in partnership with the World Bank do not proceed</w:t>
      </w:r>
      <w:r>
        <w:rPr>
          <w:b/>
        </w:rPr>
        <w:t xml:space="preserve"> in 2013</w:t>
      </w:r>
      <w:r w:rsidR="003452C3">
        <w:rPr>
          <w:b/>
        </w:rPr>
        <w:t>–</w:t>
      </w:r>
      <w:r>
        <w:rPr>
          <w:b/>
        </w:rPr>
        <w:t>14</w:t>
      </w:r>
      <w:r>
        <w:t xml:space="preserve">. We will continue to assess the potential for new aid investments in nutrition and vocational training. </w:t>
      </w:r>
      <w:r w:rsidRPr="00A77852">
        <w:t>We will also e</w:t>
      </w:r>
      <w:r w:rsidR="0017504C" w:rsidRPr="00A77852">
        <w:t xml:space="preserve">xplore </w:t>
      </w:r>
      <w:r w:rsidR="00537B29" w:rsidRPr="00A77852">
        <w:t xml:space="preserve">the </w:t>
      </w:r>
      <w:r w:rsidR="0017504C" w:rsidRPr="00A77852">
        <w:t xml:space="preserve">potential to diversify </w:t>
      </w:r>
      <w:r w:rsidR="00537B29" w:rsidRPr="00A77852">
        <w:t xml:space="preserve">Australia’s investment </w:t>
      </w:r>
      <w:r w:rsidR="0017504C" w:rsidRPr="00A77852">
        <w:t>portfolio</w:t>
      </w:r>
      <w:r w:rsidR="00537B29" w:rsidRPr="00A77852">
        <w:t xml:space="preserve"> across</w:t>
      </w:r>
      <w:r w:rsidR="0017504C" w:rsidRPr="00A77852">
        <w:t xml:space="preserve"> a broader range of multilateral, private sector and NGO partners.</w:t>
      </w:r>
      <w:r w:rsidR="0017504C" w:rsidRPr="00A77852">
        <w:rPr>
          <w:bCs/>
          <w:color w:val="1F497D"/>
        </w:rPr>
        <w:t xml:space="preserve"> </w:t>
      </w:r>
    </w:p>
    <w:p w14:paraId="1437530C" w14:textId="77777777" w:rsidR="003C2894" w:rsidRPr="003F7740" w:rsidRDefault="00C960C5" w:rsidP="0074537D">
      <w:pPr>
        <w:pStyle w:val="BodyText"/>
      </w:pPr>
      <w:r>
        <w:rPr>
          <w:b/>
        </w:rPr>
        <w:t xml:space="preserve">Continue to undertake </w:t>
      </w:r>
      <w:r w:rsidR="0078122B" w:rsidRPr="003F7740">
        <w:rPr>
          <w:b/>
        </w:rPr>
        <w:t>analytical work to underpin strategic programming, activity management an</w:t>
      </w:r>
      <w:r w:rsidR="0078122B" w:rsidRPr="00C0478C">
        <w:rPr>
          <w:b/>
        </w:rPr>
        <w:t>d policy dialogue</w:t>
      </w:r>
      <w:r w:rsidR="0078122B" w:rsidRPr="003F7740">
        <w:rPr>
          <w:b/>
        </w:rPr>
        <w:t>.</w:t>
      </w:r>
      <w:r w:rsidR="0078122B" w:rsidRPr="003F7740">
        <w:t xml:space="preserve"> </w:t>
      </w:r>
      <w:r w:rsidR="003F7740" w:rsidRPr="003F7740">
        <w:t xml:space="preserve">We need deeper understanding to manage risks, seize opportunities for policy </w:t>
      </w:r>
      <w:r w:rsidR="00C0478C">
        <w:t>discussion</w:t>
      </w:r>
      <w:r w:rsidR="00C0478C" w:rsidRPr="003F7740">
        <w:t xml:space="preserve"> </w:t>
      </w:r>
      <w:r w:rsidR="003F7740" w:rsidRPr="003F7740">
        <w:t xml:space="preserve">and shape </w:t>
      </w:r>
      <w:r w:rsidR="00C77827">
        <w:t>Australian</w:t>
      </w:r>
      <w:r w:rsidR="00C77827" w:rsidRPr="003F7740">
        <w:t xml:space="preserve"> </w:t>
      </w:r>
      <w:r w:rsidR="003F7740" w:rsidRPr="003F7740">
        <w:t xml:space="preserve">aid investments. </w:t>
      </w:r>
      <w:r w:rsidR="008817D7">
        <w:t xml:space="preserve">We will </w:t>
      </w:r>
      <w:r w:rsidR="006B4DD8">
        <w:t xml:space="preserve">start work on </w:t>
      </w:r>
      <w:r w:rsidR="00DF7121" w:rsidRPr="003F7740">
        <w:t xml:space="preserve">a </w:t>
      </w:r>
      <w:r w:rsidR="00042DB8">
        <w:t>d</w:t>
      </w:r>
      <w:r w:rsidR="00DF7121" w:rsidRPr="003F7740">
        <w:t xml:space="preserve">elivery </w:t>
      </w:r>
      <w:r w:rsidR="00042DB8">
        <w:t>s</w:t>
      </w:r>
      <w:r w:rsidR="00DF7121" w:rsidRPr="003F7740">
        <w:t>trategy</w:t>
      </w:r>
      <w:r w:rsidR="00DF7121" w:rsidRPr="003F7740">
        <w:rPr>
          <w:i/>
        </w:rPr>
        <w:t xml:space="preserve"> </w:t>
      </w:r>
      <w:r w:rsidR="00DF7121" w:rsidRPr="003F7740">
        <w:t xml:space="preserve">for </w:t>
      </w:r>
      <w:r w:rsidR="00042DB8">
        <w:t>s</w:t>
      </w:r>
      <w:r w:rsidR="00DF7121" w:rsidRPr="003F7740">
        <w:t xml:space="preserve">ustainable </w:t>
      </w:r>
      <w:r w:rsidR="00042DB8">
        <w:t>e</w:t>
      </w:r>
      <w:r w:rsidR="00DF7121" w:rsidRPr="003F7740">
        <w:t xml:space="preserve">conomic </w:t>
      </w:r>
      <w:r w:rsidR="00042DB8">
        <w:t>d</w:t>
      </w:r>
      <w:r w:rsidR="00DF7121" w:rsidRPr="003F7740">
        <w:t>evelopment</w:t>
      </w:r>
      <w:r w:rsidR="003F7740" w:rsidRPr="003F7740">
        <w:t xml:space="preserve"> (the first pillar of our </w:t>
      </w:r>
      <w:r w:rsidR="00F17FC9">
        <w:t>new p</w:t>
      </w:r>
      <w:r w:rsidR="003F7740" w:rsidRPr="003F7740">
        <w:t xml:space="preserve">rogram </w:t>
      </w:r>
      <w:r w:rsidR="00F17FC9">
        <w:t>s</w:t>
      </w:r>
      <w:r w:rsidR="003F7740" w:rsidRPr="003F7740">
        <w:t>trategy)</w:t>
      </w:r>
      <w:r w:rsidR="00C832D4">
        <w:t xml:space="preserve"> and an assessment of civil society organisations in Sri Lanka</w:t>
      </w:r>
      <w:r w:rsidR="00DF7121" w:rsidRPr="003F7740">
        <w:t>. Th</w:t>
      </w:r>
      <w:r w:rsidR="00C832D4">
        <w:t xml:space="preserve">ese </w:t>
      </w:r>
      <w:r w:rsidR="00042DB8">
        <w:t>initiatives will</w:t>
      </w:r>
      <w:r w:rsidR="00C832D4">
        <w:t xml:space="preserve"> </w:t>
      </w:r>
      <w:r w:rsidR="00DF7121" w:rsidRPr="003F7740">
        <w:t xml:space="preserve">inform </w:t>
      </w:r>
      <w:r w:rsidR="0000572F">
        <w:t xml:space="preserve">ongoing </w:t>
      </w:r>
      <w:r w:rsidR="0000572F" w:rsidRPr="003F7740">
        <w:t>program</w:t>
      </w:r>
      <w:r w:rsidR="0000572F">
        <w:t xml:space="preserve"> development</w:t>
      </w:r>
      <w:r w:rsidR="00DF7121" w:rsidRPr="003F7740">
        <w:t xml:space="preserve"> and policy engagement to help address </w:t>
      </w:r>
      <w:r w:rsidR="00537B29">
        <w:t xml:space="preserve">the multiple challenges </w:t>
      </w:r>
      <w:r w:rsidR="00DF7121" w:rsidRPr="003F7740">
        <w:t>Sri Lanka</w:t>
      </w:r>
      <w:r w:rsidR="00537B29">
        <w:t xml:space="preserve"> faces</w:t>
      </w:r>
      <w:r w:rsidR="00DF7121" w:rsidRPr="003F7740">
        <w:t xml:space="preserve"> </w:t>
      </w:r>
      <w:r w:rsidR="00042DB8">
        <w:t>in</w:t>
      </w:r>
      <w:r w:rsidR="00042DB8" w:rsidRPr="003F7740">
        <w:t xml:space="preserve"> </w:t>
      </w:r>
      <w:r w:rsidR="00DF7121" w:rsidRPr="003F7740">
        <w:t xml:space="preserve">sustaining and growing inclusive economic development. </w:t>
      </w:r>
    </w:p>
    <w:p w14:paraId="1437530D" w14:textId="032F0306" w:rsidR="008E27DD" w:rsidRDefault="00982070" w:rsidP="0074537D">
      <w:pPr>
        <w:pStyle w:val="BodyText"/>
      </w:pPr>
      <w:r w:rsidRPr="0074537D">
        <w:rPr>
          <w:b/>
        </w:rPr>
        <w:t xml:space="preserve">Complete a </w:t>
      </w:r>
      <w:r w:rsidR="009D3F62" w:rsidRPr="0074537D">
        <w:rPr>
          <w:b/>
        </w:rPr>
        <w:t>p</w:t>
      </w:r>
      <w:r w:rsidRPr="0074537D">
        <w:rPr>
          <w:b/>
        </w:rPr>
        <w:t xml:space="preserve">erformance </w:t>
      </w:r>
      <w:r w:rsidR="009D3F62" w:rsidRPr="0074537D">
        <w:rPr>
          <w:b/>
        </w:rPr>
        <w:t>a</w:t>
      </w:r>
      <w:r w:rsidRPr="0074537D">
        <w:rPr>
          <w:b/>
        </w:rPr>
        <w:t xml:space="preserve">ssessment </w:t>
      </w:r>
      <w:r w:rsidR="009D3F62" w:rsidRPr="0074537D">
        <w:rPr>
          <w:b/>
        </w:rPr>
        <w:t>f</w:t>
      </w:r>
      <w:r w:rsidRPr="0074537D">
        <w:rPr>
          <w:b/>
        </w:rPr>
        <w:t>ramework</w:t>
      </w:r>
      <w:r w:rsidR="00F654BC" w:rsidRPr="0074537D">
        <w:rPr>
          <w:b/>
        </w:rPr>
        <w:t>,</w:t>
      </w:r>
      <w:r w:rsidRPr="0074537D">
        <w:rPr>
          <w:b/>
        </w:rPr>
        <w:t xml:space="preserve"> </w:t>
      </w:r>
      <w:r w:rsidR="00042DB8" w:rsidRPr="0074537D">
        <w:rPr>
          <w:b/>
        </w:rPr>
        <w:t xml:space="preserve">incorporating </w:t>
      </w:r>
      <w:r w:rsidR="00873DA3" w:rsidRPr="0074537D">
        <w:rPr>
          <w:b/>
        </w:rPr>
        <w:t>gender-disaggregated data</w:t>
      </w:r>
      <w:r w:rsidR="003E7273" w:rsidRPr="0074537D">
        <w:rPr>
          <w:b/>
        </w:rPr>
        <w:t xml:space="preserve"> where possible</w:t>
      </w:r>
      <w:r w:rsidR="00F654BC" w:rsidRPr="0074537D">
        <w:rPr>
          <w:b/>
        </w:rPr>
        <w:t>,</w:t>
      </w:r>
      <w:r w:rsidRPr="0074537D">
        <w:rPr>
          <w:b/>
        </w:rPr>
        <w:t xml:space="preserve"> and establish a system for regular</w:t>
      </w:r>
      <w:r w:rsidR="00F654BC" w:rsidRPr="0074537D">
        <w:rPr>
          <w:b/>
        </w:rPr>
        <w:t>ly</w:t>
      </w:r>
      <w:r w:rsidRPr="0074537D">
        <w:rPr>
          <w:b/>
        </w:rPr>
        <w:t xml:space="preserve"> updating data.</w:t>
      </w:r>
      <w:r w:rsidRPr="00982070">
        <w:t xml:space="preserve"> A finalised </w:t>
      </w:r>
      <w:r w:rsidR="009D3F62">
        <w:t>framework</w:t>
      </w:r>
      <w:r w:rsidRPr="00982070">
        <w:t xml:space="preserve"> with sufficient levels of disaggregation </w:t>
      </w:r>
      <w:r w:rsidR="00246BBC">
        <w:t>to</w:t>
      </w:r>
      <w:r w:rsidR="00246BBC" w:rsidRPr="00982070">
        <w:t xml:space="preserve"> </w:t>
      </w:r>
      <w:r w:rsidRPr="00982070">
        <w:t>enable the program to effectively judge progress against objectives will be completed by 31</w:t>
      </w:r>
      <w:r w:rsidR="003E56FC">
        <w:t xml:space="preserve"> December</w:t>
      </w:r>
      <w:r w:rsidRPr="00982070">
        <w:t xml:space="preserve"> 2013</w:t>
      </w:r>
      <w:r w:rsidR="000667EA">
        <w:t>.</w:t>
      </w:r>
      <w:r w:rsidRPr="00982070">
        <w:t xml:space="preserve"> </w:t>
      </w:r>
      <w:r w:rsidR="000667EA">
        <w:t>R</w:t>
      </w:r>
      <w:r w:rsidRPr="00982070">
        <w:t xml:space="preserve">esponsibilities will be assigned at </w:t>
      </w:r>
      <w:r w:rsidR="00C75480">
        <w:t>P</w:t>
      </w:r>
      <w:r w:rsidR="00C75480" w:rsidRPr="00982070">
        <w:t xml:space="preserve">ost </w:t>
      </w:r>
      <w:r w:rsidRPr="00982070">
        <w:t xml:space="preserve">so </w:t>
      </w:r>
      <w:r w:rsidR="00042DB8">
        <w:t xml:space="preserve">new </w:t>
      </w:r>
      <w:r w:rsidR="00B35B58">
        <w:t xml:space="preserve">data for </w:t>
      </w:r>
      <w:r w:rsidRPr="00982070">
        <w:t xml:space="preserve">all indicators </w:t>
      </w:r>
      <w:r w:rsidR="00B35B58">
        <w:t xml:space="preserve">will be input into the </w:t>
      </w:r>
      <w:r w:rsidR="009D3F62">
        <w:t>performance assessment framework</w:t>
      </w:r>
      <w:r w:rsidR="00B35B58">
        <w:t xml:space="preserve"> as</w:t>
      </w:r>
      <w:r w:rsidR="00F43318">
        <w:t xml:space="preserve"> soon as</w:t>
      </w:r>
      <w:r w:rsidR="00B35B58">
        <w:t xml:space="preserve"> </w:t>
      </w:r>
      <w:r w:rsidR="00042DB8">
        <w:t>it</w:t>
      </w:r>
      <w:r w:rsidR="00B35B58">
        <w:t xml:space="preserve"> becomes available. </w:t>
      </w:r>
    </w:p>
    <w:p w14:paraId="6EE603AB" w14:textId="77777777" w:rsidR="008B575A" w:rsidRPr="006C7B57" w:rsidRDefault="008B575A" w:rsidP="0074537D">
      <w:pPr>
        <w:pStyle w:val="BodyText"/>
      </w:pPr>
    </w:p>
    <w:tbl>
      <w:tblPr>
        <w:tblStyle w:val="APPR"/>
        <w:tblW w:w="5000" w:type="pct"/>
        <w:tblLook w:val="0600" w:firstRow="0" w:lastRow="0" w:firstColumn="0" w:lastColumn="0" w:noHBand="1" w:noVBand="1"/>
      </w:tblPr>
      <w:tblGrid>
        <w:gridCol w:w="4434"/>
        <w:gridCol w:w="4172"/>
      </w:tblGrid>
      <w:tr w:rsidR="00180B19" w:rsidRPr="00180B19" w14:paraId="14375312" w14:textId="77777777" w:rsidTr="00094816">
        <w:trPr>
          <w:cantSplit/>
        </w:trPr>
        <w:tc>
          <w:tcPr>
            <w:tcW w:w="4392" w:type="dxa"/>
          </w:tcPr>
          <w:p w14:paraId="14375310" w14:textId="77777777" w:rsidR="00180B19" w:rsidRPr="004C4A3E" w:rsidRDefault="00180B19" w:rsidP="0074537D">
            <w:pPr>
              <w:pStyle w:val="TableTextColumnHeading"/>
            </w:pPr>
            <w:r w:rsidRPr="004C4A3E">
              <w:t>Most significant risks</w:t>
            </w:r>
          </w:p>
        </w:tc>
        <w:tc>
          <w:tcPr>
            <w:tcW w:w="4130" w:type="dxa"/>
          </w:tcPr>
          <w:p w14:paraId="14375311" w14:textId="77777777" w:rsidR="00180B19" w:rsidRPr="004C4A3E" w:rsidRDefault="00180B19" w:rsidP="0074537D">
            <w:pPr>
              <w:pStyle w:val="TableTextColumnHeading"/>
            </w:pPr>
            <w:r w:rsidRPr="00FD6C7D">
              <w:t xml:space="preserve">Management </w:t>
            </w:r>
            <w:r w:rsidR="009D3F62" w:rsidRPr="00A77852">
              <w:t>r</w:t>
            </w:r>
            <w:r w:rsidRPr="00A77852">
              <w:t>esponse</w:t>
            </w:r>
            <w:r w:rsidR="00117C6C" w:rsidRPr="00A77852">
              <w:t>—</w:t>
            </w:r>
            <w:r w:rsidRPr="00A77852">
              <w:t>What</w:t>
            </w:r>
            <w:r w:rsidRPr="00FD6C7D">
              <w:t>?</w:t>
            </w:r>
            <w:r w:rsidRPr="004C4A3E">
              <w:t xml:space="preserve"> Who? How? When? </w:t>
            </w:r>
          </w:p>
        </w:tc>
      </w:tr>
      <w:tr w:rsidR="00180B19" w:rsidRPr="00180B19" w14:paraId="14375316" w14:textId="77777777" w:rsidTr="00094816">
        <w:trPr>
          <w:cantSplit/>
          <w:tblHeader w:val="0"/>
        </w:trPr>
        <w:tc>
          <w:tcPr>
            <w:tcW w:w="4392" w:type="dxa"/>
          </w:tcPr>
          <w:p w14:paraId="14375313" w14:textId="77777777" w:rsidR="00B21F01" w:rsidRPr="004C4A3E" w:rsidRDefault="009169CA" w:rsidP="0074537D">
            <w:pPr>
              <w:pStyle w:val="TableTextEntries"/>
            </w:pPr>
            <w:r>
              <w:t xml:space="preserve">1. </w:t>
            </w:r>
            <w:r w:rsidR="00D81433">
              <w:t>A</w:t>
            </w:r>
            <w:r>
              <w:t xml:space="preserve">greements with the Sri Lankan Government for the use of Australian support </w:t>
            </w:r>
            <w:r w:rsidR="00D81433">
              <w:t>are not completed</w:t>
            </w:r>
            <w:r>
              <w:t>.</w:t>
            </w:r>
            <w:r w:rsidR="0074537D" w:rsidRPr="004C4A3E">
              <w:t xml:space="preserve"> </w:t>
            </w:r>
          </w:p>
        </w:tc>
        <w:tc>
          <w:tcPr>
            <w:tcW w:w="4130" w:type="dxa"/>
          </w:tcPr>
          <w:p w14:paraId="14375314" w14:textId="77777777" w:rsidR="00AD58EE" w:rsidRDefault="00B37D16" w:rsidP="0074537D">
            <w:pPr>
              <w:pStyle w:val="TableTextEntries"/>
            </w:pPr>
            <w:r>
              <w:t>Sustained and strategic engagement by m</w:t>
            </w:r>
            <w:r w:rsidR="00AD58EE">
              <w:t>anagement</w:t>
            </w:r>
            <w:r>
              <w:t xml:space="preserve"> and </w:t>
            </w:r>
            <w:r w:rsidR="00AD58EE">
              <w:t xml:space="preserve">program </w:t>
            </w:r>
            <w:r>
              <w:t xml:space="preserve">managers with </w:t>
            </w:r>
            <w:r w:rsidR="00262E6A">
              <w:t xml:space="preserve">the </w:t>
            </w:r>
            <w:r>
              <w:t xml:space="preserve">World Bank and Government of Sri Lanka. </w:t>
            </w:r>
          </w:p>
          <w:p w14:paraId="14375315" w14:textId="77777777" w:rsidR="009169CA" w:rsidRPr="004C4A3E" w:rsidRDefault="00AD58EE" w:rsidP="0074537D">
            <w:pPr>
              <w:pStyle w:val="TableTextEntries"/>
            </w:pPr>
            <w:r>
              <w:t xml:space="preserve">Undertake contingency re-programming to ensure all funds will be </w:t>
            </w:r>
            <w:r w:rsidR="009169CA">
              <w:t>program</w:t>
            </w:r>
            <w:r w:rsidR="00B21F01">
              <w:t>m</w:t>
            </w:r>
            <w:r>
              <w:t>ed</w:t>
            </w:r>
            <w:r w:rsidR="009169CA">
              <w:t xml:space="preserve"> in </w:t>
            </w:r>
            <w:r w:rsidR="00430B82">
              <w:br/>
            </w:r>
            <w:r w:rsidR="009169CA">
              <w:t>2013</w:t>
            </w:r>
            <w:r w:rsidR="002177C6">
              <w:t>–</w:t>
            </w:r>
            <w:r w:rsidR="009169CA">
              <w:t>14</w:t>
            </w:r>
            <w:r w:rsidR="00B21F01">
              <w:t xml:space="preserve">. </w:t>
            </w:r>
          </w:p>
        </w:tc>
      </w:tr>
      <w:tr w:rsidR="0074537D" w:rsidRPr="00180B19" w14:paraId="14375319" w14:textId="77777777" w:rsidTr="00094816">
        <w:trPr>
          <w:cantSplit/>
          <w:tblHeader w:val="0"/>
        </w:trPr>
        <w:tc>
          <w:tcPr>
            <w:tcW w:w="4392" w:type="dxa"/>
          </w:tcPr>
          <w:p w14:paraId="14375317" w14:textId="77777777" w:rsidR="0074537D" w:rsidRDefault="0074537D" w:rsidP="0074537D">
            <w:pPr>
              <w:pStyle w:val="TableTextEntries"/>
            </w:pPr>
            <w:r>
              <w:t>2. Australia’s ability to measure results, manage risks and undertake policy discussion in education and infrastructure projects is hampered.</w:t>
            </w:r>
          </w:p>
        </w:tc>
        <w:tc>
          <w:tcPr>
            <w:tcW w:w="4130" w:type="dxa"/>
          </w:tcPr>
          <w:p w14:paraId="14375318" w14:textId="77777777" w:rsidR="0074537D" w:rsidRDefault="0074537D" w:rsidP="0074537D">
            <w:pPr>
              <w:pStyle w:val="TableTextEntries"/>
            </w:pPr>
            <w:r>
              <w:t>Complete project-specific plans to deepen collaboration between Australia, the World Bank and Government of Sri Lanka.</w:t>
            </w:r>
          </w:p>
        </w:tc>
      </w:tr>
      <w:tr w:rsidR="00180B19" w:rsidRPr="00180B19" w14:paraId="1437531E" w14:textId="77777777" w:rsidTr="00094816">
        <w:trPr>
          <w:cantSplit/>
          <w:tblHeader w:val="0"/>
        </w:trPr>
        <w:tc>
          <w:tcPr>
            <w:tcW w:w="4392" w:type="dxa"/>
          </w:tcPr>
          <w:p w14:paraId="1437531A" w14:textId="77777777" w:rsidR="00180B19" w:rsidRPr="004C4A3E" w:rsidRDefault="0016407D" w:rsidP="0074537D">
            <w:pPr>
              <w:pStyle w:val="TableTextEntries"/>
            </w:pPr>
            <w:r>
              <w:lastRenderedPageBreak/>
              <w:t>3</w:t>
            </w:r>
            <w:r w:rsidR="006C4CAA">
              <w:t xml:space="preserve">. </w:t>
            </w:r>
            <w:r w:rsidR="00097CE2">
              <w:t xml:space="preserve">Insufficient or unavailable data could make it difficult for Australia to effectively target lagging regions and </w:t>
            </w:r>
            <w:r w:rsidR="00B01881">
              <w:t xml:space="preserve">the most </w:t>
            </w:r>
            <w:r w:rsidR="00097CE2">
              <w:t>vulnerable people in Sri Lanka and/or to effectively measure impact on target populations.</w:t>
            </w:r>
          </w:p>
        </w:tc>
        <w:tc>
          <w:tcPr>
            <w:tcW w:w="4130" w:type="dxa"/>
          </w:tcPr>
          <w:p w14:paraId="1437531B" w14:textId="77777777" w:rsidR="006C4CAA" w:rsidRDefault="00136575" w:rsidP="0074537D">
            <w:pPr>
              <w:pStyle w:val="TableTextEntries"/>
            </w:pPr>
            <w:r>
              <w:t xml:space="preserve">The </w:t>
            </w:r>
            <w:r w:rsidR="00097CE2">
              <w:t>Sri Lanka</w:t>
            </w:r>
            <w:r w:rsidR="00DD3572">
              <w:t>n</w:t>
            </w:r>
            <w:r w:rsidR="00097CE2">
              <w:t xml:space="preserve"> program to continue working with </w:t>
            </w:r>
            <w:r w:rsidR="00701846">
              <w:t>the Sri Lanka</w:t>
            </w:r>
            <w:r>
              <w:t>n</w:t>
            </w:r>
            <w:r w:rsidR="00701846">
              <w:t xml:space="preserve"> G</w:t>
            </w:r>
            <w:r w:rsidR="00097CE2">
              <w:t>overnment, other donors and civil society</w:t>
            </w:r>
            <w:r w:rsidR="00701846">
              <w:t xml:space="preserve"> organisations</w:t>
            </w:r>
            <w:r w:rsidR="00097CE2">
              <w:t xml:space="preserve"> to </w:t>
            </w:r>
            <w:r w:rsidR="00701846">
              <w:t xml:space="preserve">paint </w:t>
            </w:r>
            <w:r w:rsidR="00097CE2">
              <w:t>a complete picture of poverty and inequality in</w:t>
            </w:r>
            <w:r w:rsidR="00701846">
              <w:t>-country</w:t>
            </w:r>
            <w:r w:rsidR="00097CE2">
              <w:t xml:space="preserve">. </w:t>
            </w:r>
          </w:p>
          <w:p w14:paraId="1437531C" w14:textId="77777777" w:rsidR="00BF195A" w:rsidRDefault="00262E6A" w:rsidP="0074537D">
            <w:pPr>
              <w:pStyle w:val="TableTextEntries"/>
            </w:pPr>
            <w:r>
              <w:t>The Sri Lankan program to c</w:t>
            </w:r>
            <w:r w:rsidR="00BF195A">
              <w:t>onsider providing targeted assistance in support</w:t>
            </w:r>
            <w:r w:rsidR="002704E2">
              <w:t xml:space="preserve"> of</w:t>
            </w:r>
            <w:r w:rsidR="00BF195A">
              <w:t xml:space="preserve"> national-level statistical analysis on poverty rates and priority sectors for Australian aid to Sri Lanka. </w:t>
            </w:r>
          </w:p>
          <w:p w14:paraId="1437531D" w14:textId="77777777" w:rsidR="00180B19" w:rsidRPr="004C4A3E" w:rsidRDefault="00097CE2" w:rsidP="0074537D">
            <w:pPr>
              <w:pStyle w:val="TableTextEntries"/>
            </w:pPr>
            <w:r>
              <w:t xml:space="preserve">Australia and other donors </w:t>
            </w:r>
            <w:r w:rsidR="00701846">
              <w:t xml:space="preserve">to </w:t>
            </w:r>
            <w:r>
              <w:t xml:space="preserve">continue to work </w:t>
            </w:r>
            <w:r w:rsidR="00E34E52">
              <w:t>together</w:t>
            </w:r>
            <w:r w:rsidR="00701846">
              <w:t xml:space="preserve"> on </w:t>
            </w:r>
            <w:r>
              <w:t>evidence-based policy making and program design to ensure inclusive growth and improved service delivery for all</w:t>
            </w:r>
            <w:r w:rsidR="00701846">
              <w:t xml:space="preserve"> Sri Lanka</w:t>
            </w:r>
            <w:r w:rsidR="00262E6A">
              <w:t>n</w:t>
            </w:r>
            <w:r>
              <w:t xml:space="preserve"> citizens.</w:t>
            </w:r>
          </w:p>
        </w:tc>
      </w:tr>
    </w:tbl>
    <w:p w14:paraId="1437531F" w14:textId="77777777" w:rsidR="00522AB9" w:rsidRDefault="00522AB9" w:rsidP="002A1935">
      <w:pPr>
        <w:pStyle w:val="BodyText"/>
        <w:sectPr w:rsidR="00522AB9" w:rsidSect="00094816">
          <w:headerReference w:type="even" r:id="rId12"/>
          <w:headerReference w:type="default" r:id="rId13"/>
          <w:footerReference w:type="even" r:id="rId14"/>
          <w:footerReference w:type="default" r:id="rId15"/>
          <w:headerReference w:type="first" r:id="rId16"/>
          <w:footerReference w:type="first" r:id="rId17"/>
          <w:pgSz w:w="11906" w:h="16838" w:code="9"/>
          <w:pgMar w:top="2268" w:right="1701" w:bottom="907" w:left="1871" w:header="709" w:footer="454" w:gutter="0"/>
          <w:cols w:space="708"/>
          <w:titlePg/>
          <w:docGrid w:linePitch="360"/>
        </w:sectPr>
      </w:pPr>
    </w:p>
    <w:p w14:paraId="14375320" w14:textId="77777777" w:rsidR="00FE4491" w:rsidRPr="0074537D" w:rsidRDefault="00C65930" w:rsidP="0074537D">
      <w:pPr>
        <w:pStyle w:val="Heading1"/>
      </w:pPr>
      <w:r w:rsidRPr="0074537D">
        <w:lastRenderedPageBreak/>
        <w:t>Annex A</w:t>
      </w:r>
      <w:r w:rsidR="00FE4491" w:rsidRPr="0074537D">
        <w:t xml:space="preserve"> </w:t>
      </w:r>
    </w:p>
    <w:p w14:paraId="14375321" w14:textId="77777777" w:rsidR="00FE4491" w:rsidRPr="0074537D" w:rsidRDefault="00FE4491" w:rsidP="0074537D">
      <w:pPr>
        <w:pStyle w:val="Heading2"/>
      </w:pPr>
      <w:r w:rsidRPr="0074537D">
        <w:t>Progress in addressing 2011 management consequences</w:t>
      </w:r>
    </w:p>
    <w:tbl>
      <w:tblPr>
        <w:tblStyle w:val="APPR"/>
        <w:tblW w:w="5000" w:type="pct"/>
        <w:tblLayout w:type="fixed"/>
        <w:tblLook w:val="0000" w:firstRow="0" w:lastRow="0" w:firstColumn="0" w:lastColumn="0" w:noHBand="0" w:noVBand="0"/>
      </w:tblPr>
      <w:tblGrid>
        <w:gridCol w:w="6515"/>
        <w:gridCol w:w="851"/>
        <w:gridCol w:w="7079"/>
      </w:tblGrid>
      <w:tr w:rsidR="00FE4491" w:rsidRPr="00180B19" w14:paraId="14375325" w14:textId="77777777" w:rsidTr="0074537D">
        <w:trPr>
          <w:cantSplit/>
          <w:tblHeader w:val="0"/>
        </w:trPr>
        <w:tc>
          <w:tcPr>
            <w:tcW w:w="6473" w:type="dxa"/>
          </w:tcPr>
          <w:p w14:paraId="14375322" w14:textId="77777777" w:rsidR="00FE4491" w:rsidRPr="008741E2" w:rsidRDefault="00FE4491" w:rsidP="0074537D">
            <w:pPr>
              <w:pStyle w:val="TableTextColumnHeading"/>
            </w:pPr>
            <w:r w:rsidRPr="008741E2">
              <w:t>Management consequences identified in 2011 APPR</w:t>
            </w:r>
            <w:r w:rsidRPr="008741E2">
              <w:tab/>
            </w:r>
          </w:p>
        </w:tc>
        <w:tc>
          <w:tcPr>
            <w:tcW w:w="823" w:type="dxa"/>
          </w:tcPr>
          <w:p w14:paraId="14375323" w14:textId="77777777" w:rsidR="00FE4491" w:rsidRPr="00180B19" w:rsidRDefault="00FE4491" w:rsidP="0074537D">
            <w:pPr>
              <w:pStyle w:val="TableTextColumnHeading"/>
            </w:pPr>
            <w:r w:rsidRPr="00FE4491">
              <w:t>Rating</w:t>
            </w:r>
          </w:p>
        </w:tc>
        <w:tc>
          <w:tcPr>
            <w:tcW w:w="7037" w:type="dxa"/>
          </w:tcPr>
          <w:p w14:paraId="14375324" w14:textId="77777777" w:rsidR="00FE4491" w:rsidRPr="00180B19" w:rsidRDefault="00FE4491" w:rsidP="0074537D">
            <w:pPr>
              <w:pStyle w:val="TableTextColumnHeading"/>
            </w:pPr>
            <w:r w:rsidRPr="00FE4491">
              <w:t xml:space="preserve">Progress made </w:t>
            </w:r>
            <w:r w:rsidRPr="00117C6C">
              <w:t>in 2012</w:t>
            </w:r>
            <w:r w:rsidR="00117C6C" w:rsidRPr="00117C6C">
              <w:t>–</w:t>
            </w:r>
            <w:r w:rsidRPr="00117C6C">
              <w:t>13</w:t>
            </w:r>
          </w:p>
        </w:tc>
      </w:tr>
      <w:tr w:rsidR="00C6763A" w:rsidRPr="00180B19" w14:paraId="1437532B" w14:textId="77777777" w:rsidTr="0074537D">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14375326" w14:textId="77777777" w:rsidR="00FE4491" w:rsidRPr="00100AA2" w:rsidRDefault="006A7500" w:rsidP="0074537D">
            <w:pPr>
              <w:pStyle w:val="TableTextEntries"/>
            </w:pPr>
            <w:r w:rsidRPr="002726F8">
              <w:t xml:space="preserve">Improve the robustness of </w:t>
            </w:r>
            <w:r w:rsidR="00262E6A">
              <w:t>Australia’s</w:t>
            </w:r>
            <w:r w:rsidR="00262E6A" w:rsidRPr="002726F8">
              <w:t xml:space="preserve"> </w:t>
            </w:r>
            <w:r w:rsidRPr="002726F8">
              <w:t>performance and quality systems and skills</w:t>
            </w:r>
          </w:p>
        </w:tc>
        <w:tc>
          <w:tcPr>
            <w:tcW w:w="823" w:type="dxa"/>
            <w:shd w:val="clear" w:color="auto" w:fill="92D050"/>
          </w:tcPr>
          <w:p w14:paraId="14375327" w14:textId="77777777" w:rsidR="00FE4491" w:rsidRPr="0074537D" w:rsidRDefault="00FB1581" w:rsidP="0074537D">
            <w:pPr>
              <w:pStyle w:val="TableTextEntries"/>
            </w:pPr>
            <w:r w:rsidRPr="0074537D">
              <w:t>Green</w:t>
            </w:r>
          </w:p>
        </w:tc>
        <w:tc>
          <w:tcPr>
            <w:tcW w:w="7037" w:type="dxa"/>
          </w:tcPr>
          <w:p w14:paraId="14375328" w14:textId="77777777" w:rsidR="00BF195A" w:rsidRDefault="00FE0C55" w:rsidP="0074537D">
            <w:pPr>
              <w:pStyle w:val="TableListBullet"/>
            </w:pPr>
            <w:r>
              <w:t xml:space="preserve">Quality of </w:t>
            </w:r>
            <w:r w:rsidR="00262E6A">
              <w:t>Implementation reports</w:t>
            </w:r>
            <w:r>
              <w:t xml:space="preserve"> judged </w:t>
            </w:r>
            <w:r w:rsidR="00F17FC9">
              <w:t xml:space="preserve">by a robust moderation process (February 2013) </w:t>
            </w:r>
            <w:r>
              <w:t>to be an improvement on 2011</w:t>
            </w:r>
            <w:r w:rsidR="00F17FC9">
              <w:t xml:space="preserve">. </w:t>
            </w:r>
          </w:p>
          <w:p w14:paraId="14375329" w14:textId="77777777" w:rsidR="00FE0C55" w:rsidRDefault="00FE0C55" w:rsidP="0074537D">
            <w:pPr>
              <w:pStyle w:val="TableListBullet"/>
            </w:pPr>
            <w:r>
              <w:t xml:space="preserve">Capacities of Post staff to </w:t>
            </w:r>
            <w:r w:rsidR="00F17FC9">
              <w:t xml:space="preserve">conduct </w:t>
            </w:r>
            <w:r>
              <w:t>effective monitoring and evalu</w:t>
            </w:r>
            <w:r w:rsidR="00BF195A">
              <w:t>ation enhanced through training.</w:t>
            </w:r>
          </w:p>
          <w:p w14:paraId="1437532A" w14:textId="77777777" w:rsidR="008741E2" w:rsidRPr="008741E2" w:rsidRDefault="00FE0C55" w:rsidP="0074537D">
            <w:pPr>
              <w:pStyle w:val="TableListBullet"/>
            </w:pPr>
            <w:r>
              <w:t>I</w:t>
            </w:r>
            <w:r w:rsidR="0086301A">
              <w:t xml:space="preserve">mportant work </w:t>
            </w:r>
            <w:r>
              <w:t xml:space="preserve">undertaken </w:t>
            </w:r>
            <w:r w:rsidR="0086301A">
              <w:t>on initiative</w:t>
            </w:r>
            <w:r w:rsidR="00F17FC9">
              <w:t>-</w:t>
            </w:r>
            <w:r w:rsidR="0086301A">
              <w:t xml:space="preserve">level </w:t>
            </w:r>
            <w:r w:rsidR="00262E6A">
              <w:t>t</w:t>
            </w:r>
            <w:r w:rsidR="0086301A">
              <w:t>heor</w:t>
            </w:r>
            <w:r>
              <w:t>y</w:t>
            </w:r>
            <w:r w:rsidR="0086301A">
              <w:t xml:space="preserve"> of </w:t>
            </w:r>
            <w:r w:rsidR="00262E6A">
              <w:t>c</w:t>
            </w:r>
            <w:r w:rsidR="0086301A">
              <w:t xml:space="preserve">hange </w:t>
            </w:r>
            <w:r>
              <w:t xml:space="preserve">resulted in revised </w:t>
            </w:r>
            <w:r w:rsidR="0086301A">
              <w:t>performance indicators</w:t>
            </w:r>
            <w:r w:rsidR="00BF195A">
              <w:t>.</w:t>
            </w:r>
            <w:r w:rsidR="00F17FC9">
              <w:t xml:space="preserve"> </w:t>
            </w:r>
          </w:p>
        </w:tc>
      </w:tr>
      <w:tr w:rsidR="00FE4491" w:rsidRPr="00180B19" w14:paraId="14375331" w14:textId="77777777" w:rsidTr="0074537D">
        <w:trPr>
          <w:cantSplit/>
          <w:tblHeader w:val="0"/>
        </w:trPr>
        <w:tc>
          <w:tcPr>
            <w:tcW w:w="6473" w:type="dxa"/>
          </w:tcPr>
          <w:p w14:paraId="1437532C" w14:textId="77777777" w:rsidR="00FE4491" w:rsidRPr="00100AA2" w:rsidRDefault="006A7500" w:rsidP="0074537D">
            <w:pPr>
              <w:pStyle w:val="TableTextEntries"/>
            </w:pPr>
            <w:r w:rsidRPr="002726F8">
              <w:t>Collaborate with other Australian Government departments</w:t>
            </w:r>
          </w:p>
        </w:tc>
        <w:tc>
          <w:tcPr>
            <w:tcW w:w="823" w:type="dxa"/>
            <w:shd w:val="clear" w:color="auto" w:fill="92D050"/>
          </w:tcPr>
          <w:p w14:paraId="1437532D" w14:textId="77777777" w:rsidR="00FE4491" w:rsidRPr="0074537D" w:rsidRDefault="00443639" w:rsidP="0074537D">
            <w:pPr>
              <w:pStyle w:val="TableTextEntries"/>
            </w:pPr>
            <w:r w:rsidRPr="0074537D">
              <w:t>Green</w:t>
            </w:r>
            <w:r w:rsidR="00C441E9" w:rsidRPr="0074537D">
              <w:fldChar w:fldCharType="begin"/>
            </w:r>
            <w:r w:rsidR="00FE4491" w:rsidRPr="0074537D">
              <w:instrText xml:space="preserve"> AUTOTEXTLIST  \s "Rating bullet"\t "Right click to choose a rating" \* MERGEFORMAT </w:instrText>
            </w:r>
            <w:r w:rsidR="00C441E9" w:rsidRPr="0074537D">
              <w:fldChar w:fldCharType="end"/>
            </w:r>
          </w:p>
        </w:tc>
        <w:tc>
          <w:tcPr>
            <w:tcW w:w="7037" w:type="dxa"/>
          </w:tcPr>
          <w:p w14:paraId="1437532E" w14:textId="77777777" w:rsidR="00FE0C55" w:rsidRPr="008741E2" w:rsidRDefault="00FE0C55" w:rsidP="0074537D">
            <w:pPr>
              <w:pStyle w:val="TableListBullet"/>
            </w:pPr>
            <w:r>
              <w:t xml:space="preserve">Joint cabling from Post with </w:t>
            </w:r>
            <w:r w:rsidR="00262E6A">
              <w:t>the Department of Foreign Affairs and Trade</w:t>
            </w:r>
            <w:r w:rsidR="00BF195A">
              <w:t xml:space="preserve"> </w:t>
            </w:r>
            <w:r>
              <w:t xml:space="preserve">on the political economy of aid and World Bank issues </w:t>
            </w:r>
            <w:r w:rsidR="00BF195A">
              <w:t>completed</w:t>
            </w:r>
            <w:r>
              <w:t xml:space="preserve">. </w:t>
            </w:r>
          </w:p>
          <w:p w14:paraId="1437532F" w14:textId="6CC7D544" w:rsidR="00BF195A" w:rsidRDefault="008C5D7B" w:rsidP="0074537D">
            <w:pPr>
              <w:pStyle w:val="TableListBullet"/>
            </w:pPr>
            <w:r>
              <w:t xml:space="preserve">Roundtable convened in advance </w:t>
            </w:r>
            <w:r w:rsidR="00701846">
              <w:t xml:space="preserve">of </w:t>
            </w:r>
            <w:r w:rsidR="003A7ABE">
              <w:t>A</w:t>
            </w:r>
            <w:r>
              <w:t xml:space="preserve">PPR process </w:t>
            </w:r>
            <w:r w:rsidR="00701846">
              <w:t>(</w:t>
            </w:r>
            <w:r>
              <w:t>February 2013</w:t>
            </w:r>
            <w:r w:rsidR="00701846">
              <w:t>)</w:t>
            </w:r>
            <w:r>
              <w:t xml:space="preserve"> to build relationships with vital </w:t>
            </w:r>
            <w:r w:rsidR="008F2BD1">
              <w:t>whole-of-government</w:t>
            </w:r>
            <w:r>
              <w:t xml:space="preserve"> partners</w:t>
            </w:r>
            <w:r w:rsidR="00BF195A">
              <w:t>.</w:t>
            </w:r>
            <w:r>
              <w:t xml:space="preserve"> </w:t>
            </w:r>
          </w:p>
          <w:p w14:paraId="14375330" w14:textId="77777777" w:rsidR="008C50B8" w:rsidRPr="0074537D" w:rsidRDefault="008C5D7B" w:rsidP="0074537D">
            <w:pPr>
              <w:pStyle w:val="TableListBullet"/>
            </w:pPr>
            <w:r>
              <w:t xml:space="preserve">Proactive work </w:t>
            </w:r>
            <w:r w:rsidR="00FF3A78">
              <w:t xml:space="preserve">completed </w:t>
            </w:r>
            <w:r>
              <w:t>with</w:t>
            </w:r>
            <w:r w:rsidR="00B01881">
              <w:t xml:space="preserve"> t</w:t>
            </w:r>
            <w:r w:rsidR="00B01881" w:rsidRPr="00B01881">
              <w:t xml:space="preserve">he Department of Industry, Innovation, Climate Change, Science, Research and Tertiary Education </w:t>
            </w:r>
            <w:r>
              <w:t xml:space="preserve">to establish </w:t>
            </w:r>
            <w:r w:rsidR="008F2BD1">
              <w:t>whole-of-government</w:t>
            </w:r>
            <w:r>
              <w:t xml:space="preserve"> partnership for </w:t>
            </w:r>
            <w:r w:rsidR="00FE0C55">
              <w:t xml:space="preserve">potential </w:t>
            </w:r>
            <w:r w:rsidR="00351903">
              <w:t xml:space="preserve">technical and vocational education and training </w:t>
            </w:r>
            <w:r>
              <w:t xml:space="preserve">assistance to Sri Lanka. </w:t>
            </w:r>
          </w:p>
        </w:tc>
      </w:tr>
      <w:tr w:rsidR="00C6763A" w:rsidRPr="00180B19" w14:paraId="14375336" w14:textId="77777777" w:rsidTr="0074537D">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14375332" w14:textId="77777777" w:rsidR="00FE4491" w:rsidRPr="00100AA2" w:rsidRDefault="006A7500" w:rsidP="0074537D">
            <w:pPr>
              <w:pStyle w:val="TableTextEntries"/>
            </w:pPr>
            <w:r w:rsidRPr="002726F8">
              <w:t>Identify and seize opportunities for policy discussion</w:t>
            </w:r>
          </w:p>
        </w:tc>
        <w:tc>
          <w:tcPr>
            <w:tcW w:w="823" w:type="dxa"/>
            <w:shd w:val="clear" w:color="auto" w:fill="92D050"/>
          </w:tcPr>
          <w:p w14:paraId="14375333" w14:textId="77777777" w:rsidR="00FE4491" w:rsidRPr="0074537D" w:rsidRDefault="00FB1581" w:rsidP="0074537D">
            <w:pPr>
              <w:pStyle w:val="TableTextEntries"/>
            </w:pPr>
            <w:r w:rsidRPr="0074537D">
              <w:t>Green</w:t>
            </w:r>
          </w:p>
        </w:tc>
        <w:tc>
          <w:tcPr>
            <w:tcW w:w="7037" w:type="dxa"/>
          </w:tcPr>
          <w:p w14:paraId="14375334" w14:textId="77777777" w:rsidR="00BF195A" w:rsidRDefault="00057878" w:rsidP="0074537D">
            <w:pPr>
              <w:pStyle w:val="TableListBullet"/>
            </w:pPr>
            <w:r>
              <w:t xml:space="preserve">A </w:t>
            </w:r>
            <w:r w:rsidR="00FE0C55">
              <w:t xml:space="preserve">Thinking and </w:t>
            </w:r>
            <w:r>
              <w:t>Working Politically</w:t>
            </w:r>
            <w:r w:rsidR="00FF3A78">
              <w:t xml:space="preserve"> in Development Assistance</w:t>
            </w:r>
            <w:r>
              <w:t xml:space="preserve"> workshop delivered to Post by </w:t>
            </w:r>
            <w:r w:rsidR="00440342">
              <w:t>The Asia Foundation</w:t>
            </w:r>
            <w:r>
              <w:t xml:space="preserve"> </w:t>
            </w:r>
            <w:r w:rsidR="00FF3A78">
              <w:t>(</w:t>
            </w:r>
            <w:r w:rsidR="00FE0C55">
              <w:t>August 2012</w:t>
            </w:r>
            <w:r w:rsidR="00FF3A78">
              <w:t>)</w:t>
            </w:r>
            <w:r w:rsidR="00BF195A">
              <w:t>.</w:t>
            </w:r>
            <w:r w:rsidR="00FE0C55">
              <w:t xml:space="preserve"> </w:t>
            </w:r>
          </w:p>
          <w:p w14:paraId="14375335" w14:textId="611B52F9" w:rsidR="00FE4491" w:rsidRPr="00BF195A" w:rsidRDefault="00FE0C55" w:rsidP="00182829">
            <w:pPr>
              <w:pStyle w:val="TableListBullet"/>
            </w:pPr>
            <w:r>
              <w:t xml:space="preserve">Planned political economy analysis delayed for reasons primarily beyond </w:t>
            </w:r>
            <w:r w:rsidR="00182829">
              <w:t xml:space="preserve">the Australian government’s </w:t>
            </w:r>
            <w:r>
              <w:t>control</w:t>
            </w:r>
            <w:r w:rsidR="00BF195A">
              <w:t>.</w:t>
            </w:r>
          </w:p>
        </w:tc>
      </w:tr>
      <w:tr w:rsidR="00FE4491" w:rsidRPr="00180B19" w14:paraId="1437533A" w14:textId="77777777" w:rsidTr="0074537D">
        <w:trPr>
          <w:cantSplit/>
          <w:tblHeader w:val="0"/>
        </w:trPr>
        <w:tc>
          <w:tcPr>
            <w:tcW w:w="6473" w:type="dxa"/>
          </w:tcPr>
          <w:p w14:paraId="14375337" w14:textId="77777777" w:rsidR="00FE4491" w:rsidRPr="00100AA2" w:rsidRDefault="002726F8" w:rsidP="0074537D">
            <w:pPr>
              <w:pStyle w:val="TableTextEntries"/>
            </w:pPr>
            <w:r w:rsidRPr="002726F8">
              <w:t xml:space="preserve">Complete and release the </w:t>
            </w:r>
            <w:r w:rsidRPr="004A5083">
              <w:t>program strategy</w:t>
            </w:r>
            <w:r w:rsidRPr="002726F8">
              <w:t xml:space="preserve"> by the end of 2012</w:t>
            </w:r>
          </w:p>
        </w:tc>
        <w:tc>
          <w:tcPr>
            <w:tcW w:w="823" w:type="dxa"/>
            <w:shd w:val="clear" w:color="auto" w:fill="92D050"/>
          </w:tcPr>
          <w:p w14:paraId="14375338" w14:textId="77777777" w:rsidR="00FE4491" w:rsidRPr="0074537D" w:rsidRDefault="00EF2D4F" w:rsidP="0074537D">
            <w:pPr>
              <w:pStyle w:val="TableTextEntries"/>
            </w:pPr>
            <w:r w:rsidRPr="0074537D">
              <w:t>Green</w:t>
            </w:r>
          </w:p>
        </w:tc>
        <w:tc>
          <w:tcPr>
            <w:tcW w:w="7037" w:type="dxa"/>
          </w:tcPr>
          <w:p w14:paraId="14375339" w14:textId="77777777" w:rsidR="00FE4491" w:rsidRPr="00EF2D4F" w:rsidRDefault="00BF195A" w:rsidP="0074537D">
            <w:pPr>
              <w:pStyle w:val="TableListBullet"/>
            </w:pPr>
            <w:r>
              <w:t xml:space="preserve">Country </w:t>
            </w:r>
            <w:r w:rsidR="00262E6A">
              <w:t>s</w:t>
            </w:r>
            <w:r>
              <w:t xml:space="preserve">ituation </w:t>
            </w:r>
            <w:r w:rsidR="00262E6A">
              <w:t>a</w:t>
            </w:r>
            <w:r>
              <w:t xml:space="preserve">nalysis and </w:t>
            </w:r>
            <w:r w:rsidR="00262E6A">
              <w:t>p</w:t>
            </w:r>
            <w:r w:rsidR="00EF2D4F">
              <w:t xml:space="preserve">rogram </w:t>
            </w:r>
            <w:r w:rsidR="00262E6A">
              <w:t>s</w:t>
            </w:r>
            <w:r w:rsidR="00FF3A78">
              <w:t>t</w:t>
            </w:r>
            <w:r w:rsidR="00EF2D4F">
              <w:t xml:space="preserve">rategy approved </w:t>
            </w:r>
            <w:r w:rsidR="00072782">
              <w:t xml:space="preserve">by </w:t>
            </w:r>
            <w:r w:rsidR="00EF2D4F">
              <w:t>the D</w:t>
            </w:r>
            <w:r w:rsidR="00B01881">
              <w:t xml:space="preserve">evelopment </w:t>
            </w:r>
            <w:r w:rsidR="00EF2D4F">
              <w:t>E</w:t>
            </w:r>
            <w:r w:rsidR="00B01881">
              <w:t xml:space="preserve">ffectiveness </w:t>
            </w:r>
            <w:r w:rsidR="00EF2D4F">
              <w:t>S</w:t>
            </w:r>
            <w:r w:rsidR="00B01881">
              <w:t xml:space="preserve">teering </w:t>
            </w:r>
            <w:r w:rsidR="00EF2D4F">
              <w:t>C</w:t>
            </w:r>
            <w:r w:rsidR="00B01881">
              <w:t>ommittee</w:t>
            </w:r>
            <w:r w:rsidR="00EF2D4F">
              <w:t xml:space="preserve"> in </w:t>
            </w:r>
            <w:r>
              <w:t xml:space="preserve">April and </w:t>
            </w:r>
            <w:r w:rsidR="00EF2D4F">
              <w:t xml:space="preserve">December 2012 respectively. Program strategy published in </w:t>
            </w:r>
            <w:r w:rsidR="00FE0C55">
              <w:t xml:space="preserve">March </w:t>
            </w:r>
            <w:r w:rsidR="00EF2D4F">
              <w:t>2013.</w:t>
            </w:r>
          </w:p>
        </w:tc>
      </w:tr>
      <w:tr w:rsidR="00C6763A" w:rsidRPr="00180B19" w14:paraId="1437533F" w14:textId="77777777" w:rsidTr="0074537D">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Pr>
          <w:p w14:paraId="1437533B" w14:textId="77777777" w:rsidR="00FE4491" w:rsidRPr="00100AA2" w:rsidRDefault="002726F8" w:rsidP="0074537D">
            <w:pPr>
              <w:pStyle w:val="TableTextEntries"/>
            </w:pPr>
            <w:r w:rsidRPr="002726F8">
              <w:t>Develop and implement engagement strategies for World Bank investments</w:t>
            </w:r>
          </w:p>
        </w:tc>
        <w:tc>
          <w:tcPr>
            <w:tcW w:w="823" w:type="dxa"/>
            <w:shd w:val="clear" w:color="auto" w:fill="92D050"/>
          </w:tcPr>
          <w:p w14:paraId="1437533C" w14:textId="77777777" w:rsidR="002726F8" w:rsidRPr="0074537D" w:rsidRDefault="005C22C0" w:rsidP="0074537D">
            <w:pPr>
              <w:pStyle w:val="TableTextEntries"/>
            </w:pPr>
            <w:r w:rsidRPr="0074537D">
              <w:t>Green</w:t>
            </w:r>
          </w:p>
        </w:tc>
        <w:tc>
          <w:tcPr>
            <w:tcW w:w="7037" w:type="dxa"/>
          </w:tcPr>
          <w:p w14:paraId="1437533D" w14:textId="77777777" w:rsidR="00BF195A" w:rsidRDefault="00772AFA" w:rsidP="0074537D">
            <w:pPr>
              <w:pStyle w:val="TableListBullet"/>
            </w:pPr>
            <w:r>
              <w:t>E</w:t>
            </w:r>
            <w:r w:rsidR="00EF2D4F">
              <w:t>ngagement strategies finalised</w:t>
            </w:r>
            <w:r>
              <w:t xml:space="preserve"> for NELSIP and TSEP</w:t>
            </w:r>
            <w:r w:rsidR="00BF195A">
              <w:t>.</w:t>
            </w:r>
          </w:p>
          <w:p w14:paraId="1437533E" w14:textId="66D5C43A" w:rsidR="002726F8" w:rsidRPr="00B30E77" w:rsidRDefault="00EF2D4F" w:rsidP="0074537D">
            <w:pPr>
              <w:pStyle w:val="TableListBullet"/>
              <w:rPr>
                <w:color w:val="F79646" w:themeColor="accent6"/>
              </w:rPr>
            </w:pPr>
            <w:r>
              <w:t>Quarterly meeting</w:t>
            </w:r>
            <w:r w:rsidR="00772AFA">
              <w:t>s</w:t>
            </w:r>
            <w:r>
              <w:t xml:space="preserve"> </w:t>
            </w:r>
            <w:r w:rsidR="00772AFA">
              <w:t xml:space="preserve">at </w:t>
            </w:r>
            <w:r w:rsidR="00262E6A">
              <w:t>c</w:t>
            </w:r>
            <w:r w:rsidR="00772AFA">
              <w:t>ountry</w:t>
            </w:r>
            <w:r w:rsidR="00262E6A">
              <w:t>-</w:t>
            </w:r>
            <w:r w:rsidR="00005B84">
              <w:t>head level</w:t>
            </w:r>
            <w:r w:rsidR="00772AFA">
              <w:t xml:space="preserve"> </w:t>
            </w:r>
            <w:r>
              <w:t>with World Bank established</w:t>
            </w:r>
            <w:r w:rsidR="00BF195A">
              <w:t>.</w:t>
            </w:r>
            <w:r w:rsidR="00FF3A78">
              <w:t xml:space="preserve"> </w:t>
            </w:r>
          </w:p>
        </w:tc>
      </w:tr>
      <w:tr w:rsidR="002726F8" w:rsidRPr="00180B19" w14:paraId="14375343" w14:textId="77777777" w:rsidTr="0074537D">
        <w:trPr>
          <w:cantSplit/>
          <w:tblHeader w:val="0"/>
        </w:trPr>
        <w:tc>
          <w:tcPr>
            <w:tcW w:w="6473" w:type="dxa"/>
          </w:tcPr>
          <w:p w14:paraId="14375340" w14:textId="77777777" w:rsidR="002726F8" w:rsidRPr="00100AA2" w:rsidRDefault="002726F8" w:rsidP="0074537D">
            <w:pPr>
              <w:pStyle w:val="TableTextEntries"/>
            </w:pPr>
            <w:r w:rsidRPr="002726F8">
              <w:t>Bed down 2011 Australia Awards reforms</w:t>
            </w:r>
          </w:p>
        </w:tc>
        <w:tc>
          <w:tcPr>
            <w:tcW w:w="823" w:type="dxa"/>
            <w:shd w:val="clear" w:color="auto" w:fill="92D050"/>
          </w:tcPr>
          <w:p w14:paraId="14375341" w14:textId="77777777" w:rsidR="002726F8" w:rsidRPr="0074537D" w:rsidRDefault="00185A84" w:rsidP="0074537D">
            <w:pPr>
              <w:pStyle w:val="TableTextEntries"/>
            </w:pPr>
            <w:r w:rsidRPr="0074537D">
              <w:t>Green</w:t>
            </w:r>
          </w:p>
        </w:tc>
        <w:tc>
          <w:tcPr>
            <w:tcW w:w="7037" w:type="dxa"/>
          </w:tcPr>
          <w:p w14:paraId="14375342" w14:textId="77777777" w:rsidR="002726F8" w:rsidRPr="0074537D" w:rsidRDefault="00EF2D4F" w:rsidP="0074537D">
            <w:pPr>
              <w:pStyle w:val="TableListBullet"/>
            </w:pPr>
            <w:r>
              <w:t xml:space="preserve">Reforms to ADS management </w:t>
            </w:r>
            <w:r w:rsidR="00CB5C61">
              <w:t>led to more</w:t>
            </w:r>
            <w:r>
              <w:t xml:space="preserve"> effective and </w:t>
            </w:r>
            <w:r w:rsidR="004118A3">
              <w:t>efficient management</w:t>
            </w:r>
            <w:r w:rsidR="00CB5C61">
              <w:t>.</w:t>
            </w:r>
          </w:p>
        </w:tc>
      </w:tr>
      <w:tr w:rsidR="002726F8" w:rsidRPr="00180B19" w14:paraId="14375348" w14:textId="77777777" w:rsidTr="0074537D">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Borders>
              <w:left w:val="none" w:sz="0" w:space="0" w:color="auto"/>
              <w:bottom w:val="none" w:sz="0" w:space="0" w:color="auto"/>
              <w:right w:val="none" w:sz="0" w:space="0" w:color="auto"/>
              <w:tl2br w:val="none" w:sz="0" w:space="0" w:color="auto"/>
              <w:tr2bl w:val="none" w:sz="0" w:space="0" w:color="auto"/>
            </w:tcBorders>
          </w:tcPr>
          <w:p w14:paraId="14375344" w14:textId="77777777" w:rsidR="002726F8" w:rsidRPr="00100AA2" w:rsidRDefault="002726F8" w:rsidP="0074537D">
            <w:pPr>
              <w:pStyle w:val="TableTextEntries"/>
            </w:pPr>
            <w:r w:rsidRPr="002726F8">
              <w:t xml:space="preserve">Review progress under </w:t>
            </w:r>
            <w:r w:rsidR="00440342">
              <w:t xml:space="preserve">the </w:t>
            </w:r>
            <w:r w:rsidRPr="002726F8">
              <w:t>ACRP and recalibrate priorities</w:t>
            </w:r>
          </w:p>
        </w:tc>
        <w:tc>
          <w:tcPr>
            <w:tcW w:w="823" w:type="dxa"/>
            <w:tcBorders>
              <w:left w:val="none" w:sz="0" w:space="0" w:color="auto"/>
              <w:bottom w:val="none" w:sz="0" w:space="0" w:color="auto"/>
              <w:right w:val="none" w:sz="0" w:space="0" w:color="auto"/>
              <w:tl2br w:val="none" w:sz="0" w:space="0" w:color="auto"/>
              <w:tr2bl w:val="none" w:sz="0" w:space="0" w:color="auto"/>
            </w:tcBorders>
            <w:shd w:val="clear" w:color="auto" w:fill="92D050"/>
          </w:tcPr>
          <w:p w14:paraId="14375345" w14:textId="77777777" w:rsidR="002726F8" w:rsidRPr="0074537D" w:rsidRDefault="00185A84" w:rsidP="0074537D">
            <w:pPr>
              <w:pStyle w:val="TableTextEntries"/>
            </w:pPr>
            <w:r w:rsidRPr="0074537D">
              <w:t>Green</w:t>
            </w:r>
          </w:p>
        </w:tc>
        <w:tc>
          <w:tcPr>
            <w:tcW w:w="7037" w:type="dxa"/>
            <w:tcBorders>
              <w:left w:val="none" w:sz="0" w:space="0" w:color="auto"/>
              <w:bottom w:val="none" w:sz="0" w:space="0" w:color="auto"/>
              <w:right w:val="none" w:sz="0" w:space="0" w:color="auto"/>
              <w:tl2br w:val="none" w:sz="0" w:space="0" w:color="auto"/>
              <w:tr2bl w:val="none" w:sz="0" w:space="0" w:color="auto"/>
            </w:tcBorders>
          </w:tcPr>
          <w:p w14:paraId="14375346" w14:textId="77777777" w:rsidR="00185A84" w:rsidRDefault="00AD08C4" w:rsidP="0074537D">
            <w:pPr>
              <w:pStyle w:val="TableListBullet"/>
            </w:pPr>
            <w:r>
              <w:t xml:space="preserve">MTR of </w:t>
            </w:r>
            <w:r w:rsidR="00440342">
              <w:t xml:space="preserve">the </w:t>
            </w:r>
            <w:r>
              <w:t>ACRP</w:t>
            </w:r>
            <w:r w:rsidR="00CB5C61">
              <w:t xml:space="preserve"> completed; MTR </w:t>
            </w:r>
            <w:r w:rsidR="00185A84">
              <w:t>recommendations accepted and being implemented.</w:t>
            </w:r>
          </w:p>
          <w:p w14:paraId="14375347" w14:textId="77777777" w:rsidR="002726F8" w:rsidRPr="0074537D" w:rsidRDefault="00185A84" w:rsidP="0074537D">
            <w:pPr>
              <w:pStyle w:val="TableListBullet"/>
            </w:pPr>
            <w:r>
              <w:t>2012 proposals from all eight ACRP partners responsive to key recommendation</w:t>
            </w:r>
            <w:r w:rsidR="00B01881">
              <w:t>s</w:t>
            </w:r>
            <w:r>
              <w:t xml:space="preserve"> of </w:t>
            </w:r>
            <w:r w:rsidR="00262E6A">
              <w:t xml:space="preserve">the </w:t>
            </w:r>
            <w:r>
              <w:t>MTR</w:t>
            </w:r>
            <w:r w:rsidR="00CB5C61">
              <w:t>.</w:t>
            </w:r>
            <w:r>
              <w:t xml:space="preserve"> </w:t>
            </w:r>
          </w:p>
        </w:tc>
      </w:tr>
      <w:tr w:rsidR="00C6763A" w:rsidRPr="00180B19" w14:paraId="1437534E" w14:textId="77777777" w:rsidTr="0074537D">
        <w:trPr>
          <w:cantSplit/>
          <w:tblHeader w:val="0"/>
        </w:trPr>
        <w:tc>
          <w:tcPr>
            <w:tcW w:w="6473" w:type="dxa"/>
          </w:tcPr>
          <w:p w14:paraId="14375349" w14:textId="77777777" w:rsidR="002726F8" w:rsidRPr="00100AA2" w:rsidRDefault="002726F8" w:rsidP="0074537D">
            <w:pPr>
              <w:pStyle w:val="TableTextEntries"/>
            </w:pPr>
            <w:r w:rsidRPr="002726F8">
              <w:lastRenderedPageBreak/>
              <w:t>Analyse and understand how civil society in Sri Lanka can help achieve objectives</w:t>
            </w:r>
          </w:p>
        </w:tc>
        <w:tc>
          <w:tcPr>
            <w:tcW w:w="823" w:type="dxa"/>
            <w:shd w:val="clear" w:color="auto" w:fill="FFC000"/>
          </w:tcPr>
          <w:p w14:paraId="1437534A" w14:textId="77777777" w:rsidR="002726F8" w:rsidRPr="0074537D" w:rsidRDefault="00FB1581" w:rsidP="0074537D">
            <w:pPr>
              <w:pStyle w:val="TableTextEntries"/>
            </w:pPr>
            <w:r w:rsidRPr="0074537D">
              <w:t>Amber</w:t>
            </w:r>
          </w:p>
        </w:tc>
        <w:tc>
          <w:tcPr>
            <w:tcW w:w="7037" w:type="dxa"/>
          </w:tcPr>
          <w:p w14:paraId="1437534B" w14:textId="77777777" w:rsidR="00FB1581" w:rsidRDefault="00FF3A78" w:rsidP="0074537D">
            <w:pPr>
              <w:pStyle w:val="TableListBullet"/>
            </w:pPr>
            <w:r>
              <w:t>A</w:t>
            </w:r>
            <w:r w:rsidR="00FB1581">
              <w:t xml:space="preserve"> civil society assessment </w:t>
            </w:r>
            <w:r w:rsidR="00B01881">
              <w:t>not yet been</w:t>
            </w:r>
            <w:r w:rsidR="00FB1581">
              <w:t xml:space="preserve"> completed, </w:t>
            </w:r>
            <w:r w:rsidR="00440342">
              <w:t xml:space="preserve">the </w:t>
            </w:r>
            <w:r w:rsidR="00CB5C61">
              <w:t>ACRP</w:t>
            </w:r>
            <w:r w:rsidR="00262E6A">
              <w:t xml:space="preserve"> MTR</w:t>
            </w:r>
            <w:r w:rsidR="00CB5C61">
              <w:t xml:space="preserve"> was </w:t>
            </w:r>
            <w:r w:rsidR="00FB1581">
              <w:t xml:space="preserve">used to help inform </w:t>
            </w:r>
            <w:r>
              <w:t>t</w:t>
            </w:r>
            <w:r w:rsidR="00FB1581">
              <w:t xml:space="preserve">erms of </w:t>
            </w:r>
            <w:r>
              <w:t>r</w:t>
            </w:r>
            <w:r w:rsidR="00FB1581">
              <w:t>eference of civil society assessment.</w:t>
            </w:r>
          </w:p>
          <w:p w14:paraId="1437534C" w14:textId="77777777" w:rsidR="00CB5C61" w:rsidRPr="00CB5C61" w:rsidRDefault="00CB5C61" w:rsidP="0074537D">
            <w:pPr>
              <w:pStyle w:val="TableListBullet"/>
              <w:rPr>
                <w:color w:val="F79646" w:themeColor="accent6"/>
              </w:rPr>
            </w:pPr>
            <w:r>
              <w:t>S</w:t>
            </w:r>
            <w:r w:rsidR="00FB1581">
              <w:t>upported A</w:t>
            </w:r>
            <w:r>
              <w:t xml:space="preserve">ustralian </w:t>
            </w:r>
            <w:r w:rsidR="00FB1581">
              <w:t>N</w:t>
            </w:r>
            <w:r>
              <w:t xml:space="preserve">GO Cooperation </w:t>
            </w:r>
            <w:r w:rsidR="00FB1581">
              <w:t>P</w:t>
            </w:r>
            <w:r>
              <w:t>rogram</w:t>
            </w:r>
            <w:r w:rsidR="00FB1581">
              <w:t xml:space="preserve"> team from Canberra to </w:t>
            </w:r>
            <w:r w:rsidR="00B01881">
              <w:t>analyse</w:t>
            </w:r>
            <w:r w:rsidR="00FB1581">
              <w:t xml:space="preserve"> funding to World Vision and Oxfam</w:t>
            </w:r>
            <w:r w:rsidR="00262E6A">
              <w:t>.</w:t>
            </w:r>
          </w:p>
          <w:p w14:paraId="1437534D" w14:textId="77777777" w:rsidR="002726F8" w:rsidRPr="00B01881" w:rsidRDefault="00FB1581" w:rsidP="0074537D">
            <w:pPr>
              <w:pStyle w:val="TableListBullet"/>
              <w:rPr>
                <w:color w:val="F79646" w:themeColor="accent6"/>
              </w:rPr>
            </w:pPr>
            <w:r>
              <w:t>P</w:t>
            </w:r>
            <w:r w:rsidR="007F5A34">
              <w:t>eriodic meetings with A</w:t>
            </w:r>
            <w:r w:rsidR="00262E6A">
              <w:t>ustralia Council for International Development</w:t>
            </w:r>
            <w:r w:rsidR="007F5A34">
              <w:t xml:space="preserve"> Sri Lanka Working Group held to foster better engagement with Australian NGOs </w:t>
            </w:r>
            <w:r w:rsidR="00262E6A">
              <w:t xml:space="preserve">ocwe </w:t>
            </w:r>
            <w:r w:rsidR="007F5A34">
              <w:t>development interests in Sri Lanka</w:t>
            </w:r>
            <w:r w:rsidR="00246BBC">
              <w:t>.</w:t>
            </w:r>
          </w:p>
        </w:tc>
      </w:tr>
      <w:tr w:rsidR="002726F8" w:rsidRPr="00180B19" w14:paraId="14375356" w14:textId="77777777" w:rsidTr="0074537D">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Borders>
              <w:left w:val="none" w:sz="0" w:space="0" w:color="auto"/>
              <w:bottom w:val="none" w:sz="0" w:space="0" w:color="auto"/>
              <w:right w:val="none" w:sz="0" w:space="0" w:color="auto"/>
              <w:tl2br w:val="none" w:sz="0" w:space="0" w:color="auto"/>
              <w:tr2bl w:val="none" w:sz="0" w:space="0" w:color="auto"/>
            </w:tcBorders>
          </w:tcPr>
          <w:p w14:paraId="1437534F" w14:textId="77777777" w:rsidR="002726F8" w:rsidRPr="00100AA2" w:rsidRDefault="002726F8" w:rsidP="0074537D">
            <w:pPr>
              <w:pStyle w:val="TableTextEntries"/>
            </w:pPr>
            <w:r w:rsidRPr="002726F8">
              <w:t>Build a competent and cohesive team at Colombo Post for the Sri Lanka program</w:t>
            </w:r>
          </w:p>
        </w:tc>
        <w:tc>
          <w:tcPr>
            <w:tcW w:w="823" w:type="dxa"/>
            <w:tcBorders>
              <w:left w:val="none" w:sz="0" w:space="0" w:color="auto"/>
              <w:right w:val="none" w:sz="0" w:space="0" w:color="auto"/>
              <w:tl2br w:val="none" w:sz="0" w:space="0" w:color="auto"/>
              <w:tr2bl w:val="none" w:sz="0" w:space="0" w:color="auto"/>
            </w:tcBorders>
            <w:shd w:val="clear" w:color="auto" w:fill="92D050"/>
          </w:tcPr>
          <w:p w14:paraId="14375350" w14:textId="77777777" w:rsidR="002726F8" w:rsidRPr="0074537D" w:rsidRDefault="000C24E1" w:rsidP="0074537D">
            <w:pPr>
              <w:pStyle w:val="TableTextEntries"/>
            </w:pPr>
            <w:r w:rsidRPr="0074537D">
              <w:t>Green</w:t>
            </w:r>
          </w:p>
        </w:tc>
        <w:tc>
          <w:tcPr>
            <w:tcW w:w="7037" w:type="dxa"/>
            <w:tcBorders>
              <w:left w:val="none" w:sz="0" w:space="0" w:color="auto"/>
              <w:bottom w:val="none" w:sz="0" w:space="0" w:color="auto"/>
              <w:right w:val="none" w:sz="0" w:space="0" w:color="auto"/>
              <w:tl2br w:val="none" w:sz="0" w:space="0" w:color="auto"/>
              <w:tr2bl w:val="none" w:sz="0" w:space="0" w:color="auto"/>
            </w:tcBorders>
          </w:tcPr>
          <w:p w14:paraId="14375351" w14:textId="77777777" w:rsidR="00CB5C61" w:rsidRDefault="001F7675" w:rsidP="0074537D">
            <w:pPr>
              <w:pStyle w:val="TableListBullet"/>
            </w:pPr>
            <w:r>
              <w:t>Substantial training and development delivered to Post team to enhance skills</w:t>
            </w:r>
            <w:r w:rsidR="00CB5C61">
              <w:t xml:space="preserve"> </w:t>
            </w:r>
            <w:r w:rsidR="00262E6A">
              <w:t>(for example,</w:t>
            </w:r>
            <w:r w:rsidR="00B86E6E">
              <w:t xml:space="preserve"> in monitoring and evaluation, theory of change</w:t>
            </w:r>
            <w:r w:rsidR="00E35AD1">
              <w:t xml:space="preserve"> and</w:t>
            </w:r>
            <w:r w:rsidR="00B86E6E">
              <w:t xml:space="preserve"> conflict sensitivity</w:t>
            </w:r>
            <w:r w:rsidR="00262E6A">
              <w:t>.</w:t>
            </w:r>
          </w:p>
          <w:p w14:paraId="14375352" w14:textId="77777777" w:rsidR="00CB5C61" w:rsidRDefault="00B86E6E" w:rsidP="0074537D">
            <w:pPr>
              <w:pStyle w:val="TableListBullet"/>
            </w:pPr>
            <w:r>
              <w:t>Substantial reforms to Corporate Team at Post to improv</w:t>
            </w:r>
            <w:r w:rsidR="00FE28D8">
              <w:t>e effectiveness and efficienc</w:t>
            </w:r>
            <w:r w:rsidR="00E35AD1">
              <w:t>y.</w:t>
            </w:r>
            <w:r w:rsidR="00CB5C61">
              <w:t xml:space="preserve"> </w:t>
            </w:r>
          </w:p>
          <w:p w14:paraId="14375353" w14:textId="77777777" w:rsidR="00CB5C61" w:rsidRDefault="00B86E6E" w:rsidP="0074537D">
            <w:pPr>
              <w:pStyle w:val="TableListBullet"/>
            </w:pPr>
            <w:r>
              <w:t>Workforce planning exercise</w:t>
            </w:r>
            <w:r w:rsidR="00E34E52">
              <w:t xml:space="preserve"> u</w:t>
            </w:r>
            <w:r>
              <w:t>ndertaken in February 2013, with recommendations to improve effectiveness and efficiency of Post</w:t>
            </w:r>
            <w:r w:rsidR="00CB5C61">
              <w:t>.</w:t>
            </w:r>
          </w:p>
          <w:p w14:paraId="14375354" w14:textId="77777777" w:rsidR="001F7675" w:rsidRDefault="00CB5C61" w:rsidP="0074537D">
            <w:pPr>
              <w:pStyle w:val="TableListBullet"/>
            </w:pPr>
            <w:r>
              <w:t>I</w:t>
            </w:r>
            <w:r w:rsidR="00B86E6E">
              <w:t>mproved collaboration between Desk and Post, in line with a ‘o</w:t>
            </w:r>
            <w:r w:rsidR="001F7675">
              <w:t xml:space="preserve">ne-team’ approach </w:t>
            </w:r>
            <w:r w:rsidR="00B86E6E">
              <w:t>to share information and workload.</w:t>
            </w:r>
          </w:p>
          <w:p w14:paraId="14375355" w14:textId="77777777" w:rsidR="002726F8" w:rsidRPr="0074537D" w:rsidRDefault="000C24E1" w:rsidP="0074537D">
            <w:pPr>
              <w:pStyle w:val="TableListBullet"/>
            </w:pPr>
            <w:r>
              <w:t xml:space="preserve">Remuneration </w:t>
            </w:r>
            <w:r w:rsidR="00E35AD1">
              <w:t>r</w:t>
            </w:r>
            <w:r>
              <w:t xml:space="preserve">eview for </w:t>
            </w:r>
            <w:r w:rsidR="009D3F62">
              <w:t>overseas</w:t>
            </w:r>
            <w:r>
              <w:t>-based staff undertaken in May 2012</w:t>
            </w:r>
            <w:r w:rsidR="00E35AD1">
              <w:t>. N</w:t>
            </w:r>
            <w:r>
              <w:t>ot yet been finali</w:t>
            </w:r>
            <w:r w:rsidR="00CB5C61">
              <w:t xml:space="preserve">sed by </w:t>
            </w:r>
            <w:r w:rsidR="00E35AD1">
              <w:t>overseas</w:t>
            </w:r>
            <w:r w:rsidR="00CB5C61">
              <w:t>-Based Conditions Unit.</w:t>
            </w:r>
          </w:p>
        </w:tc>
      </w:tr>
      <w:tr w:rsidR="002726F8" w:rsidRPr="00B30E77" w14:paraId="1437535B" w14:textId="77777777" w:rsidTr="0074537D">
        <w:trPr>
          <w:cantSplit/>
          <w:tblHeader w:val="0"/>
        </w:trPr>
        <w:tc>
          <w:tcPr>
            <w:tcW w:w="6473" w:type="dxa"/>
          </w:tcPr>
          <w:p w14:paraId="14375357" w14:textId="77777777" w:rsidR="002726F8" w:rsidRPr="00100AA2" w:rsidRDefault="002726F8" w:rsidP="0074537D">
            <w:pPr>
              <w:pStyle w:val="TableTextEntries"/>
            </w:pPr>
            <w:r w:rsidRPr="002726F8">
              <w:t xml:space="preserve">Improve </w:t>
            </w:r>
            <w:r w:rsidR="00262E6A">
              <w:t>Australia’s</w:t>
            </w:r>
            <w:r w:rsidR="00262E6A" w:rsidRPr="002726F8">
              <w:t xml:space="preserve"> </w:t>
            </w:r>
            <w:r w:rsidRPr="002726F8">
              <w:t>communications efforts</w:t>
            </w:r>
          </w:p>
        </w:tc>
        <w:tc>
          <w:tcPr>
            <w:tcW w:w="823" w:type="dxa"/>
            <w:shd w:val="clear" w:color="auto" w:fill="92D050"/>
          </w:tcPr>
          <w:p w14:paraId="14375358" w14:textId="77777777" w:rsidR="002726F8" w:rsidRPr="0074537D" w:rsidRDefault="00351776" w:rsidP="0074537D">
            <w:pPr>
              <w:pStyle w:val="TableTextEntries"/>
            </w:pPr>
            <w:r w:rsidRPr="0074537D">
              <w:t>Green</w:t>
            </w:r>
          </w:p>
        </w:tc>
        <w:tc>
          <w:tcPr>
            <w:tcW w:w="7037" w:type="dxa"/>
          </w:tcPr>
          <w:p w14:paraId="14375359" w14:textId="77777777" w:rsidR="00351776" w:rsidRDefault="00351776" w:rsidP="0074537D">
            <w:pPr>
              <w:pStyle w:val="TableListBullet"/>
            </w:pPr>
            <w:r>
              <w:t>Opportunities afforded by high-level political interest</w:t>
            </w:r>
            <w:r w:rsidR="00E35AD1">
              <w:t>s</w:t>
            </w:r>
            <w:r>
              <w:t xml:space="preserve"> used to showcase Australian aid to Sri Lanka (</w:t>
            </w:r>
            <w:r w:rsidR="009D3F62">
              <w:t>for example, the</w:t>
            </w:r>
            <w:r>
              <w:t xml:space="preserve"> Foreign Minister</w:t>
            </w:r>
            <w:r w:rsidR="009D3F62">
              <w:t>’s</w:t>
            </w:r>
            <w:r>
              <w:t xml:space="preserve"> visit in December 2012).</w:t>
            </w:r>
          </w:p>
          <w:p w14:paraId="1437535A" w14:textId="77777777" w:rsidR="008C50B8" w:rsidRDefault="00351776" w:rsidP="0074537D">
            <w:pPr>
              <w:pStyle w:val="TableListBullet"/>
            </w:pPr>
            <w:r>
              <w:t xml:space="preserve">Appointment of a Canberra communication specialist and </w:t>
            </w:r>
            <w:r w:rsidR="00FA5ED5">
              <w:t xml:space="preserve">allocation of </w:t>
            </w:r>
            <w:r w:rsidR="00FE28D8">
              <w:t>communi</w:t>
            </w:r>
            <w:r w:rsidR="00CB5C61">
              <w:t>cations responsibilities at Post</w:t>
            </w:r>
            <w:r>
              <w:t xml:space="preserve"> led to a more efficient approach.</w:t>
            </w:r>
          </w:p>
        </w:tc>
      </w:tr>
      <w:tr w:rsidR="002726F8" w:rsidRPr="00180B19" w14:paraId="14375361" w14:textId="77777777" w:rsidTr="0074537D">
        <w:trPr>
          <w:cnfStyle w:val="000000010000" w:firstRow="0" w:lastRow="0" w:firstColumn="0" w:lastColumn="0" w:oddVBand="0" w:evenVBand="0" w:oddHBand="0" w:evenHBand="1" w:firstRowFirstColumn="0" w:firstRowLastColumn="0" w:lastRowFirstColumn="0" w:lastRowLastColumn="0"/>
          <w:cantSplit/>
          <w:tblHeader w:val="0"/>
        </w:trPr>
        <w:tc>
          <w:tcPr>
            <w:tcW w:w="6473" w:type="dxa"/>
            <w:tcBorders>
              <w:left w:val="none" w:sz="0" w:space="0" w:color="auto"/>
              <w:bottom w:val="none" w:sz="0" w:space="0" w:color="auto"/>
              <w:right w:val="none" w:sz="0" w:space="0" w:color="auto"/>
              <w:tl2br w:val="none" w:sz="0" w:space="0" w:color="auto"/>
              <w:tr2bl w:val="none" w:sz="0" w:space="0" w:color="auto"/>
            </w:tcBorders>
          </w:tcPr>
          <w:p w14:paraId="1437535C" w14:textId="77777777" w:rsidR="002726F8" w:rsidRPr="00100AA2" w:rsidRDefault="002726F8" w:rsidP="0074537D">
            <w:pPr>
              <w:pStyle w:val="TableTextEntries"/>
            </w:pPr>
            <w:r w:rsidRPr="002726F8">
              <w:t xml:space="preserve">Strengthen </w:t>
            </w:r>
            <w:r w:rsidR="00262E6A">
              <w:t>Australia’s</w:t>
            </w:r>
            <w:r w:rsidR="00262E6A" w:rsidRPr="002726F8">
              <w:t xml:space="preserve"> </w:t>
            </w:r>
            <w:r w:rsidRPr="002726F8">
              <w:t>approach to risk management</w:t>
            </w:r>
          </w:p>
        </w:tc>
        <w:tc>
          <w:tcPr>
            <w:tcW w:w="823" w:type="dxa"/>
            <w:tcBorders>
              <w:left w:val="none" w:sz="0" w:space="0" w:color="auto"/>
              <w:right w:val="none" w:sz="0" w:space="0" w:color="auto"/>
              <w:tl2br w:val="none" w:sz="0" w:space="0" w:color="auto"/>
              <w:tr2bl w:val="none" w:sz="0" w:space="0" w:color="auto"/>
            </w:tcBorders>
            <w:shd w:val="clear" w:color="auto" w:fill="92D050"/>
          </w:tcPr>
          <w:p w14:paraId="1437535D" w14:textId="77777777" w:rsidR="0074537D" w:rsidRDefault="00FE28D8" w:rsidP="0074537D">
            <w:pPr>
              <w:pStyle w:val="TableTextEntries"/>
            </w:pPr>
            <w:r w:rsidRPr="0074537D">
              <w:t>Green</w:t>
            </w:r>
          </w:p>
          <w:p w14:paraId="1437535E" w14:textId="77777777" w:rsidR="002726F8" w:rsidRPr="0074537D" w:rsidRDefault="002726F8" w:rsidP="0074537D">
            <w:pPr>
              <w:rPr>
                <w:lang w:eastAsia="en-US"/>
              </w:rPr>
            </w:pPr>
          </w:p>
        </w:tc>
        <w:tc>
          <w:tcPr>
            <w:tcW w:w="7037" w:type="dxa"/>
            <w:tcBorders>
              <w:left w:val="none" w:sz="0" w:space="0" w:color="auto"/>
              <w:bottom w:val="none" w:sz="0" w:space="0" w:color="auto"/>
              <w:right w:val="none" w:sz="0" w:space="0" w:color="auto"/>
              <w:tl2br w:val="none" w:sz="0" w:space="0" w:color="auto"/>
              <w:tr2bl w:val="none" w:sz="0" w:space="0" w:color="auto"/>
            </w:tcBorders>
          </w:tcPr>
          <w:p w14:paraId="1437535F" w14:textId="0B64A16A" w:rsidR="008741E2" w:rsidRDefault="00100601" w:rsidP="0074537D">
            <w:pPr>
              <w:pStyle w:val="TableListBullet"/>
            </w:pPr>
            <w:r>
              <w:t xml:space="preserve">Risks reviewed by </w:t>
            </w:r>
            <w:r w:rsidR="0072157C">
              <w:t xml:space="preserve">the  </w:t>
            </w:r>
            <w:r>
              <w:t xml:space="preserve">First Secretary quarterly and used to up-date </w:t>
            </w:r>
            <w:r w:rsidR="0072157C">
              <w:t xml:space="preserve">the </w:t>
            </w:r>
            <w:r w:rsidR="00E35AD1">
              <w:t>r</w:t>
            </w:r>
            <w:r>
              <w:t xml:space="preserve">isk and </w:t>
            </w:r>
            <w:r w:rsidR="00E35AD1">
              <w:t>f</w:t>
            </w:r>
            <w:r>
              <w:t>raud registry</w:t>
            </w:r>
            <w:r w:rsidR="00E34E52">
              <w:t>.</w:t>
            </w:r>
          </w:p>
          <w:p w14:paraId="14375360" w14:textId="77777777" w:rsidR="002726F8" w:rsidRPr="0074537D" w:rsidRDefault="00100601" w:rsidP="0074537D">
            <w:pPr>
              <w:pStyle w:val="TableListBullet"/>
            </w:pPr>
            <w:r>
              <w:t xml:space="preserve">Risk and </w:t>
            </w:r>
            <w:r w:rsidR="00E35AD1">
              <w:t>f</w:t>
            </w:r>
            <w:r>
              <w:t xml:space="preserve">raud training </w:t>
            </w:r>
            <w:r w:rsidR="00FE28D8">
              <w:t xml:space="preserve">delivered at Post in </w:t>
            </w:r>
            <w:r>
              <w:t>November 2012.</w:t>
            </w:r>
          </w:p>
        </w:tc>
      </w:tr>
    </w:tbl>
    <w:p w14:paraId="14375362" w14:textId="77777777" w:rsidR="00FE4491" w:rsidRPr="00FE4491" w:rsidRDefault="00FE4491" w:rsidP="00FE4491">
      <w:pPr>
        <w:pStyle w:val="Note"/>
      </w:pPr>
      <w:r w:rsidRPr="00FE4491">
        <w:t xml:space="preserve">Note: </w:t>
      </w:r>
    </w:p>
    <w:p w14:paraId="14375363" w14:textId="77777777" w:rsidR="00FE4491" w:rsidRPr="00FE4491" w:rsidRDefault="00FE4491" w:rsidP="00FE4491">
      <w:pPr>
        <w:pStyle w:val="Note"/>
      </w:pPr>
      <w:r w:rsidRPr="00FE4491">
        <w:rPr>
          <w:color w:val="92D050"/>
        </w:rPr>
        <w:sym w:font="Webdings" w:char="F067"/>
      </w:r>
      <w:r w:rsidRPr="00FE4491">
        <w:t> </w:t>
      </w:r>
      <w:r w:rsidRPr="00FE4491">
        <w:t xml:space="preserve"> </w:t>
      </w:r>
      <w:r w:rsidR="00443639">
        <w:t>Green</w:t>
      </w:r>
      <w:r>
        <w:t>.</w:t>
      </w:r>
      <w:r>
        <w:rPr>
          <w:rFonts w:ascii="Times New Roman" w:hAnsi="Times New Roman"/>
        </w:rPr>
        <w:t xml:space="preserve"> </w:t>
      </w:r>
      <w:r w:rsidRPr="00EC3C88">
        <w:t>Progress is as expected for this point in time and it is likely that the objective will be achieved. Standard program management practices are sufficient.</w:t>
      </w:r>
    </w:p>
    <w:p w14:paraId="14375364" w14:textId="77777777" w:rsidR="00FE4491" w:rsidRDefault="00FE4491" w:rsidP="00FE4491">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14:paraId="14375365" w14:textId="77777777" w:rsidR="00BB1C24" w:rsidRDefault="00FE4491" w:rsidP="00FE4491">
      <w:pPr>
        <w:pStyle w:val="Note"/>
      </w:pPr>
      <w:r w:rsidRPr="00FE4491">
        <w:rPr>
          <w:color w:val="FF0000"/>
        </w:rPr>
        <w:sym w:font="Webdings" w:char="F067"/>
      </w:r>
      <w:r w:rsidRPr="00FE4491">
        <w:t> </w:t>
      </w:r>
      <w:r w:rsidRPr="00FE4491">
        <w:t xml:space="preserve"> </w:t>
      </w:r>
      <w:r>
        <w:t>Red.</w:t>
      </w:r>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14:paraId="14375366" w14:textId="77777777" w:rsidR="00FE4491" w:rsidRDefault="00FE4491" w:rsidP="00FE4491">
      <w:pPr>
        <w:sectPr w:rsidR="00FE4491" w:rsidSect="0074537D">
          <w:headerReference w:type="default" r:id="rId18"/>
          <w:footerReference w:type="default" r:id="rId19"/>
          <w:headerReference w:type="first" r:id="rId20"/>
          <w:footerReference w:type="first" r:id="rId21"/>
          <w:pgSz w:w="16838" w:h="11906" w:orient="landscape" w:code="9"/>
          <w:pgMar w:top="1814" w:right="1814" w:bottom="1814" w:left="851" w:header="709" w:footer="425" w:gutter="0"/>
          <w:cols w:space="708"/>
          <w:docGrid w:linePitch="360"/>
        </w:sectPr>
      </w:pPr>
    </w:p>
    <w:p w14:paraId="14375367" w14:textId="77777777" w:rsidR="00FE4491" w:rsidRPr="0074537D" w:rsidRDefault="00FE4491" w:rsidP="0074537D">
      <w:pPr>
        <w:pStyle w:val="Heading1"/>
      </w:pPr>
      <w:r w:rsidRPr="0074537D">
        <w:lastRenderedPageBreak/>
        <w:t xml:space="preserve">Annex B </w:t>
      </w:r>
    </w:p>
    <w:p w14:paraId="14375368" w14:textId="77777777" w:rsidR="00FE4491" w:rsidRPr="0074537D" w:rsidRDefault="00FE4491" w:rsidP="0074537D">
      <w:pPr>
        <w:pStyle w:val="Heading2"/>
      </w:pPr>
      <w:r w:rsidRPr="0074537D">
        <w:t xml:space="preserve">Quality at </w:t>
      </w:r>
      <w:r w:rsidR="00342E31" w:rsidRPr="0074537D">
        <w:t>i</w:t>
      </w:r>
      <w:r w:rsidRPr="0074537D">
        <w:t>mplementation ratings</w:t>
      </w:r>
    </w:p>
    <w:tbl>
      <w:tblPr>
        <w:tblStyle w:val="APPR"/>
        <w:tblW w:w="5000" w:type="pct"/>
        <w:tblLayout w:type="fixed"/>
        <w:tblLook w:val="0000" w:firstRow="0" w:lastRow="0" w:firstColumn="0" w:lastColumn="0" w:noHBand="0" w:noVBand="0"/>
      </w:tblPr>
      <w:tblGrid>
        <w:gridCol w:w="2549"/>
        <w:gridCol w:w="862"/>
        <w:gridCol w:w="877"/>
        <w:gridCol w:w="203"/>
        <w:gridCol w:w="534"/>
        <w:gridCol w:w="597"/>
        <w:gridCol w:w="594"/>
        <w:gridCol w:w="594"/>
        <w:gridCol w:w="594"/>
        <w:gridCol w:w="594"/>
        <w:gridCol w:w="608"/>
      </w:tblGrid>
      <w:tr w:rsidR="0074537D" w:rsidRPr="009D53C4" w14:paraId="14375373" w14:textId="77777777" w:rsidTr="0074537D">
        <w:trPr>
          <w:trHeight w:val="1588"/>
          <w:tblHeader w:val="0"/>
        </w:trPr>
        <w:tc>
          <w:tcPr>
            <w:tcW w:w="1460" w:type="pct"/>
          </w:tcPr>
          <w:p w14:paraId="14375369" w14:textId="77777777" w:rsidR="00FE4491" w:rsidRPr="00FE4491" w:rsidRDefault="00FE4491" w:rsidP="003F48C3">
            <w:pPr>
              <w:pStyle w:val="TableTextColumnHeading"/>
            </w:pPr>
            <w:r w:rsidRPr="00FE4491">
              <w:rPr>
                <w:noProof/>
                <w:lang w:eastAsia="en-AU"/>
              </w:rPr>
              <w:drawing>
                <wp:anchor distT="0" distB="0" distL="114300" distR="114300" simplePos="0" relativeHeight="251664384" behindDoc="0" locked="0" layoutInCell="1" allowOverlap="1" wp14:anchorId="14375495" wp14:editId="14375496">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FE4491">
              <w:t>Initiative name</w:t>
            </w:r>
          </w:p>
        </w:tc>
        <w:tc>
          <w:tcPr>
            <w:tcW w:w="486" w:type="pct"/>
            <w:textDirection w:val="btLr"/>
          </w:tcPr>
          <w:p w14:paraId="1437536A" w14:textId="77777777" w:rsidR="00FE4491" w:rsidRPr="00FE4491" w:rsidRDefault="00FE4491" w:rsidP="003F48C3">
            <w:pPr>
              <w:pStyle w:val="TableTextColumnHeading"/>
            </w:pPr>
            <w:r w:rsidRPr="00FE4491">
              <w:t>Approved budget and duration</w:t>
            </w:r>
          </w:p>
        </w:tc>
        <w:tc>
          <w:tcPr>
            <w:tcW w:w="596" w:type="pct"/>
            <w:gridSpan w:val="2"/>
            <w:textDirection w:val="btLr"/>
          </w:tcPr>
          <w:p w14:paraId="1437536B" w14:textId="77777777" w:rsidR="00FE4491" w:rsidRPr="00FE4491" w:rsidRDefault="00FE4491" w:rsidP="003F48C3">
            <w:pPr>
              <w:pStyle w:val="TableTextColumnHeading"/>
            </w:pPr>
            <w:r w:rsidRPr="00FE4491">
              <w:t>QaI year</w:t>
            </w:r>
          </w:p>
        </w:tc>
        <w:tc>
          <w:tcPr>
            <w:tcW w:w="295" w:type="pct"/>
            <w:textDirection w:val="btLr"/>
          </w:tcPr>
          <w:p w14:paraId="1437536C" w14:textId="77777777" w:rsidR="00FE4491" w:rsidRPr="00FE4491" w:rsidRDefault="00FE4491" w:rsidP="003F48C3">
            <w:pPr>
              <w:pStyle w:val="TableTextColumnHeading"/>
            </w:pPr>
            <w:r w:rsidRPr="00FE4491">
              <w:t>Relevance</w:t>
            </w:r>
          </w:p>
        </w:tc>
        <w:tc>
          <w:tcPr>
            <w:tcW w:w="331" w:type="pct"/>
            <w:textDirection w:val="btLr"/>
          </w:tcPr>
          <w:p w14:paraId="1437536D" w14:textId="77777777" w:rsidR="00FE4491" w:rsidRPr="00FE4491" w:rsidRDefault="00FE4491" w:rsidP="003F48C3">
            <w:pPr>
              <w:pStyle w:val="TableTextColumnHeading"/>
            </w:pPr>
            <w:r w:rsidRPr="00FE4491">
              <w:t>Effectiveness</w:t>
            </w:r>
          </w:p>
        </w:tc>
        <w:tc>
          <w:tcPr>
            <w:tcW w:w="330" w:type="pct"/>
            <w:textDirection w:val="btLr"/>
          </w:tcPr>
          <w:p w14:paraId="1437536E" w14:textId="77777777" w:rsidR="00FE4491" w:rsidRPr="00FE4491" w:rsidRDefault="00FE4491" w:rsidP="003F48C3">
            <w:pPr>
              <w:pStyle w:val="TableTextColumnHeading"/>
            </w:pPr>
            <w:r w:rsidRPr="00FE4491">
              <w:t>Efficiency</w:t>
            </w:r>
          </w:p>
        </w:tc>
        <w:tc>
          <w:tcPr>
            <w:tcW w:w="330" w:type="pct"/>
            <w:textDirection w:val="btLr"/>
          </w:tcPr>
          <w:p w14:paraId="1437536F" w14:textId="77777777" w:rsidR="00FE4491" w:rsidRPr="00FE4491" w:rsidRDefault="00FE4491" w:rsidP="003F48C3">
            <w:pPr>
              <w:pStyle w:val="TableTextColumnHeading"/>
            </w:pPr>
            <w:r w:rsidRPr="00FE4491">
              <w:t xml:space="preserve">Monitoring and </w:t>
            </w:r>
            <w:r w:rsidR="00D95DC5">
              <w:t>e</w:t>
            </w:r>
            <w:r w:rsidRPr="00FE4491">
              <w:t>valuation</w:t>
            </w:r>
          </w:p>
        </w:tc>
        <w:tc>
          <w:tcPr>
            <w:tcW w:w="330" w:type="pct"/>
            <w:textDirection w:val="btLr"/>
          </w:tcPr>
          <w:p w14:paraId="14375370" w14:textId="77777777" w:rsidR="00FE4491" w:rsidRPr="00FE4491" w:rsidRDefault="00FE4491" w:rsidP="003F48C3">
            <w:pPr>
              <w:pStyle w:val="TableTextColumnHeading"/>
            </w:pPr>
            <w:r w:rsidRPr="00FE4491">
              <w:t>Sustainability</w:t>
            </w:r>
          </w:p>
        </w:tc>
        <w:tc>
          <w:tcPr>
            <w:tcW w:w="330" w:type="pct"/>
            <w:textDirection w:val="btLr"/>
          </w:tcPr>
          <w:p w14:paraId="14375371" w14:textId="77777777" w:rsidR="00FE4491" w:rsidRPr="00FE4491" w:rsidRDefault="00FE4491" w:rsidP="003F48C3">
            <w:pPr>
              <w:pStyle w:val="TableTextColumnHeading"/>
            </w:pPr>
            <w:r w:rsidRPr="00FE4491">
              <w:t>Gender equality</w:t>
            </w:r>
          </w:p>
        </w:tc>
        <w:tc>
          <w:tcPr>
            <w:tcW w:w="330" w:type="pct"/>
            <w:textDirection w:val="btLr"/>
          </w:tcPr>
          <w:p w14:paraId="14375372" w14:textId="77777777" w:rsidR="00FE4491" w:rsidRPr="00FE4491" w:rsidRDefault="00FE4491" w:rsidP="003F48C3">
            <w:pPr>
              <w:pStyle w:val="TableTextColumnHeading"/>
            </w:pPr>
            <w:r w:rsidRPr="00FE4491">
              <w:t xml:space="preserve">Risk </w:t>
            </w:r>
            <w:r w:rsidR="00D95DC5">
              <w:t>m</w:t>
            </w:r>
            <w:r w:rsidRPr="00FE4491">
              <w:t>anagement</w:t>
            </w:r>
          </w:p>
        </w:tc>
      </w:tr>
      <w:tr w:rsidR="0074537D" w:rsidRPr="009D53C4" w14:paraId="1437537E"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374" w14:textId="77777777" w:rsidR="00FE4491" w:rsidRPr="00FE4491" w:rsidRDefault="00547700" w:rsidP="00FE4491">
            <w:pPr>
              <w:pStyle w:val="TableTextEntries"/>
            </w:pPr>
            <w:r>
              <w:t>Basic Education Support Project</w:t>
            </w:r>
            <w:r w:rsidR="00AA7615">
              <w:rPr>
                <w:rStyle w:val="FootnoteReference"/>
              </w:rPr>
              <w:footnoteReference w:id="15"/>
            </w:r>
          </w:p>
        </w:tc>
        <w:tc>
          <w:tcPr>
            <w:tcW w:w="486" w:type="pct"/>
            <w:vMerge w:val="restart"/>
          </w:tcPr>
          <w:p w14:paraId="14375375" w14:textId="77777777" w:rsidR="00FE4491" w:rsidRPr="00FE4491" w:rsidRDefault="00DF587E" w:rsidP="00D95DC5">
            <w:pPr>
              <w:pStyle w:val="TableTextEntries"/>
            </w:pPr>
            <w:r>
              <w:t>$7.5</w:t>
            </w:r>
            <w:r w:rsidR="00547700">
              <w:t>m</w:t>
            </w:r>
            <w:r>
              <w:t xml:space="preserve"> </w:t>
            </w:r>
            <w:r>
              <w:br/>
              <w:t>5 years</w:t>
            </w:r>
          </w:p>
        </w:tc>
        <w:tc>
          <w:tcPr>
            <w:tcW w:w="494" w:type="pct"/>
          </w:tcPr>
          <w:p w14:paraId="14375376" w14:textId="77777777" w:rsidR="00FE4491" w:rsidRPr="009F3426" w:rsidRDefault="00FE4491" w:rsidP="00FE4491">
            <w:pPr>
              <w:pStyle w:val="TableTextEntries"/>
            </w:pPr>
            <w:r w:rsidRPr="009F3426">
              <w:t>2012</w:t>
            </w:r>
          </w:p>
        </w:tc>
        <w:tc>
          <w:tcPr>
            <w:tcW w:w="397" w:type="pct"/>
            <w:gridSpan w:val="2"/>
            <w:shd w:val="clear" w:color="auto" w:fill="92D050"/>
            <w:noWrap/>
          </w:tcPr>
          <w:p w14:paraId="14375377" w14:textId="77777777" w:rsidR="00FE4491" w:rsidRPr="009F3426" w:rsidRDefault="00547700" w:rsidP="00FE4491">
            <w:pPr>
              <w:pStyle w:val="TableTextEntries"/>
              <w:jc w:val="center"/>
            </w:pPr>
            <w:r w:rsidRPr="009F3426">
              <w:t>5</w:t>
            </w:r>
          </w:p>
        </w:tc>
        <w:tc>
          <w:tcPr>
            <w:tcW w:w="331" w:type="pct"/>
            <w:shd w:val="clear" w:color="auto" w:fill="92D050"/>
            <w:noWrap/>
          </w:tcPr>
          <w:p w14:paraId="14375378" w14:textId="77777777" w:rsidR="00FE4491" w:rsidRPr="009F3426" w:rsidRDefault="00547700" w:rsidP="00FE4491">
            <w:pPr>
              <w:pStyle w:val="TableTextEntries"/>
              <w:jc w:val="center"/>
            </w:pPr>
            <w:r w:rsidRPr="009F3426">
              <w:t>5</w:t>
            </w:r>
          </w:p>
        </w:tc>
        <w:tc>
          <w:tcPr>
            <w:tcW w:w="330" w:type="pct"/>
            <w:shd w:val="clear" w:color="auto" w:fill="92D050"/>
            <w:noWrap/>
          </w:tcPr>
          <w:p w14:paraId="14375379" w14:textId="77777777" w:rsidR="00FE4491" w:rsidRPr="009F3426" w:rsidRDefault="00547700" w:rsidP="00FE4491">
            <w:pPr>
              <w:pStyle w:val="TableTextEntries"/>
              <w:jc w:val="center"/>
            </w:pPr>
            <w:r w:rsidRPr="009F3426">
              <w:t>5</w:t>
            </w:r>
          </w:p>
        </w:tc>
        <w:tc>
          <w:tcPr>
            <w:tcW w:w="330" w:type="pct"/>
            <w:shd w:val="clear" w:color="auto" w:fill="FFFF00"/>
            <w:noWrap/>
          </w:tcPr>
          <w:p w14:paraId="1437537A" w14:textId="77777777" w:rsidR="00FE4491" w:rsidRPr="009F3426" w:rsidRDefault="00547700" w:rsidP="00FE4491">
            <w:pPr>
              <w:pStyle w:val="TableTextEntries"/>
              <w:jc w:val="center"/>
            </w:pPr>
            <w:r w:rsidRPr="009F3426">
              <w:t>4</w:t>
            </w:r>
          </w:p>
        </w:tc>
        <w:tc>
          <w:tcPr>
            <w:tcW w:w="330" w:type="pct"/>
            <w:shd w:val="clear" w:color="auto" w:fill="FFFF00"/>
            <w:noWrap/>
          </w:tcPr>
          <w:p w14:paraId="1437537B" w14:textId="77777777" w:rsidR="00FE4491" w:rsidRPr="009F3426" w:rsidRDefault="00547700" w:rsidP="00FE4491">
            <w:pPr>
              <w:pStyle w:val="TableTextEntries"/>
              <w:jc w:val="center"/>
            </w:pPr>
            <w:r w:rsidRPr="009F3426">
              <w:t>4</w:t>
            </w:r>
          </w:p>
        </w:tc>
        <w:tc>
          <w:tcPr>
            <w:tcW w:w="330" w:type="pct"/>
            <w:shd w:val="clear" w:color="auto" w:fill="92D050"/>
            <w:noWrap/>
          </w:tcPr>
          <w:p w14:paraId="1437537C" w14:textId="77777777" w:rsidR="00FE4491" w:rsidRPr="009F3426" w:rsidRDefault="00547700" w:rsidP="00FE4491">
            <w:pPr>
              <w:pStyle w:val="TableTextEntries"/>
              <w:jc w:val="center"/>
            </w:pPr>
            <w:r w:rsidRPr="009F3426">
              <w:t>5</w:t>
            </w:r>
          </w:p>
        </w:tc>
        <w:tc>
          <w:tcPr>
            <w:tcW w:w="330" w:type="pct"/>
            <w:shd w:val="clear" w:color="auto" w:fill="92D050"/>
            <w:noWrap/>
          </w:tcPr>
          <w:p w14:paraId="1437537D" w14:textId="77777777" w:rsidR="00FE4491" w:rsidRPr="009F3426" w:rsidRDefault="00AA7615" w:rsidP="00FE4491">
            <w:pPr>
              <w:pStyle w:val="TableTextEntries"/>
              <w:jc w:val="center"/>
            </w:pPr>
            <w:r w:rsidRPr="009F3426">
              <w:t>n/a</w:t>
            </w:r>
          </w:p>
        </w:tc>
      </w:tr>
      <w:tr w:rsidR="0074537D" w:rsidRPr="009D53C4" w14:paraId="14375389" w14:textId="77777777" w:rsidTr="0074537D">
        <w:trPr>
          <w:tblHeader w:val="0"/>
        </w:trPr>
        <w:tc>
          <w:tcPr>
            <w:tcW w:w="1460" w:type="pct"/>
            <w:vMerge/>
          </w:tcPr>
          <w:p w14:paraId="1437537F" w14:textId="77777777" w:rsidR="00FE4491" w:rsidRPr="00FE4491" w:rsidRDefault="00FE4491" w:rsidP="00FE4491">
            <w:pPr>
              <w:pStyle w:val="TableTextEntries"/>
            </w:pPr>
          </w:p>
        </w:tc>
        <w:tc>
          <w:tcPr>
            <w:tcW w:w="486" w:type="pct"/>
            <w:vMerge/>
          </w:tcPr>
          <w:p w14:paraId="14375380" w14:textId="77777777" w:rsidR="00FE4491" w:rsidRPr="00FE4491" w:rsidRDefault="00FE4491" w:rsidP="00FE4491">
            <w:pPr>
              <w:pStyle w:val="TableTextEntries"/>
            </w:pPr>
          </w:p>
        </w:tc>
        <w:tc>
          <w:tcPr>
            <w:tcW w:w="494" w:type="pct"/>
          </w:tcPr>
          <w:p w14:paraId="14375381" w14:textId="77777777" w:rsidR="00FE4491" w:rsidRPr="009F3426" w:rsidRDefault="00FE4491" w:rsidP="00FE4491">
            <w:pPr>
              <w:pStyle w:val="TableTextEntries"/>
            </w:pPr>
            <w:r w:rsidRPr="009F3426">
              <w:t>2011</w:t>
            </w:r>
          </w:p>
        </w:tc>
        <w:tc>
          <w:tcPr>
            <w:tcW w:w="397" w:type="pct"/>
            <w:gridSpan w:val="2"/>
            <w:shd w:val="clear" w:color="auto" w:fill="92D050"/>
            <w:noWrap/>
          </w:tcPr>
          <w:p w14:paraId="14375382" w14:textId="77777777" w:rsidR="00FE4491" w:rsidRPr="009F3426" w:rsidRDefault="009413C3" w:rsidP="00FE4491">
            <w:pPr>
              <w:pStyle w:val="TableTextEntries"/>
              <w:jc w:val="center"/>
            </w:pPr>
            <w:r w:rsidRPr="009F3426">
              <w:t>6</w:t>
            </w:r>
          </w:p>
        </w:tc>
        <w:tc>
          <w:tcPr>
            <w:tcW w:w="331" w:type="pct"/>
            <w:shd w:val="clear" w:color="auto" w:fill="FFFF00"/>
            <w:noWrap/>
          </w:tcPr>
          <w:p w14:paraId="14375383" w14:textId="77777777" w:rsidR="00FE4491" w:rsidRPr="009F3426" w:rsidRDefault="009413C3" w:rsidP="00FE4491">
            <w:pPr>
              <w:pStyle w:val="TableTextEntries"/>
              <w:jc w:val="center"/>
            </w:pPr>
            <w:r w:rsidRPr="009F3426">
              <w:t>4</w:t>
            </w:r>
          </w:p>
        </w:tc>
        <w:tc>
          <w:tcPr>
            <w:tcW w:w="330" w:type="pct"/>
            <w:shd w:val="clear" w:color="auto" w:fill="FFFF00"/>
            <w:noWrap/>
          </w:tcPr>
          <w:p w14:paraId="14375384" w14:textId="77777777" w:rsidR="00FE4491" w:rsidRPr="009F3426" w:rsidRDefault="009413C3" w:rsidP="00FE4491">
            <w:pPr>
              <w:pStyle w:val="TableTextEntries"/>
              <w:jc w:val="center"/>
            </w:pPr>
            <w:r w:rsidRPr="009F3426">
              <w:t>4</w:t>
            </w:r>
          </w:p>
        </w:tc>
        <w:tc>
          <w:tcPr>
            <w:tcW w:w="330" w:type="pct"/>
            <w:shd w:val="clear" w:color="auto" w:fill="FFFF00"/>
            <w:noWrap/>
          </w:tcPr>
          <w:p w14:paraId="14375385" w14:textId="77777777" w:rsidR="00FE4491" w:rsidRPr="009F3426" w:rsidRDefault="009413C3" w:rsidP="00FE4491">
            <w:pPr>
              <w:pStyle w:val="TableTextEntries"/>
              <w:jc w:val="center"/>
            </w:pPr>
            <w:r w:rsidRPr="009F3426">
              <w:t>4</w:t>
            </w:r>
          </w:p>
        </w:tc>
        <w:tc>
          <w:tcPr>
            <w:tcW w:w="330" w:type="pct"/>
            <w:shd w:val="clear" w:color="auto" w:fill="FFFF00"/>
            <w:noWrap/>
          </w:tcPr>
          <w:p w14:paraId="14375386" w14:textId="77777777" w:rsidR="00FE4491" w:rsidRPr="009F3426" w:rsidRDefault="009413C3" w:rsidP="00FE4491">
            <w:pPr>
              <w:pStyle w:val="TableTextEntries"/>
              <w:jc w:val="center"/>
            </w:pPr>
            <w:r w:rsidRPr="009F3426">
              <w:t>4</w:t>
            </w:r>
          </w:p>
        </w:tc>
        <w:tc>
          <w:tcPr>
            <w:tcW w:w="330" w:type="pct"/>
            <w:shd w:val="clear" w:color="auto" w:fill="92D050"/>
            <w:noWrap/>
          </w:tcPr>
          <w:p w14:paraId="14375387" w14:textId="77777777" w:rsidR="00FE4491" w:rsidRPr="009F3426" w:rsidRDefault="009413C3" w:rsidP="00FE4491">
            <w:pPr>
              <w:pStyle w:val="TableTextEntries"/>
              <w:jc w:val="center"/>
            </w:pPr>
            <w:r w:rsidRPr="009F3426">
              <w:t>5</w:t>
            </w:r>
          </w:p>
        </w:tc>
        <w:tc>
          <w:tcPr>
            <w:tcW w:w="330" w:type="pct"/>
            <w:shd w:val="clear" w:color="auto" w:fill="92D050"/>
            <w:noWrap/>
          </w:tcPr>
          <w:p w14:paraId="14375388" w14:textId="77777777" w:rsidR="00FE4491" w:rsidRPr="009F3426" w:rsidRDefault="00A66454" w:rsidP="00FE4491">
            <w:pPr>
              <w:pStyle w:val="TableTextEntries"/>
              <w:jc w:val="center"/>
            </w:pPr>
            <w:r w:rsidRPr="009F3426">
              <w:t>M</w:t>
            </w:r>
          </w:p>
        </w:tc>
      </w:tr>
      <w:tr w:rsidR="0074537D" w:rsidRPr="009D53C4" w14:paraId="14375394"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38A" w14:textId="77777777" w:rsidR="00FE4491" w:rsidRPr="00FE4491" w:rsidRDefault="00AA7615" w:rsidP="00FE4491">
            <w:pPr>
              <w:pStyle w:val="TableTextEntries"/>
            </w:pPr>
            <w:r>
              <w:t>Community Forestry Project</w:t>
            </w:r>
          </w:p>
        </w:tc>
        <w:tc>
          <w:tcPr>
            <w:tcW w:w="486" w:type="pct"/>
            <w:vMerge w:val="restart"/>
          </w:tcPr>
          <w:p w14:paraId="1437538B" w14:textId="77777777" w:rsidR="00FE4491" w:rsidRPr="00FE4491" w:rsidRDefault="00DF587E" w:rsidP="00D95DC5">
            <w:pPr>
              <w:pStyle w:val="TableTextEntries"/>
            </w:pPr>
            <w:r>
              <w:t xml:space="preserve">$4.9m </w:t>
            </w:r>
            <w:r>
              <w:br/>
              <w:t>5 years</w:t>
            </w:r>
          </w:p>
        </w:tc>
        <w:tc>
          <w:tcPr>
            <w:tcW w:w="494" w:type="pct"/>
          </w:tcPr>
          <w:p w14:paraId="1437538C" w14:textId="77777777" w:rsidR="00FE4491" w:rsidRPr="009F3426" w:rsidRDefault="00FE4491" w:rsidP="00FE4491">
            <w:pPr>
              <w:pStyle w:val="TableTextEntries"/>
            </w:pPr>
            <w:r w:rsidRPr="009F3426">
              <w:t>2012</w:t>
            </w:r>
          </w:p>
        </w:tc>
        <w:tc>
          <w:tcPr>
            <w:tcW w:w="397" w:type="pct"/>
            <w:gridSpan w:val="2"/>
            <w:shd w:val="clear" w:color="auto" w:fill="92D050"/>
            <w:noWrap/>
          </w:tcPr>
          <w:p w14:paraId="1437538D" w14:textId="77777777" w:rsidR="00FE4491" w:rsidRPr="009F3426" w:rsidRDefault="00AA7615" w:rsidP="00FE4491">
            <w:pPr>
              <w:pStyle w:val="TableTextEntries"/>
              <w:jc w:val="center"/>
            </w:pPr>
            <w:r w:rsidRPr="009F3426">
              <w:t>5</w:t>
            </w:r>
          </w:p>
        </w:tc>
        <w:tc>
          <w:tcPr>
            <w:tcW w:w="331" w:type="pct"/>
            <w:shd w:val="clear" w:color="auto" w:fill="FFFF00"/>
            <w:noWrap/>
          </w:tcPr>
          <w:p w14:paraId="1437538E" w14:textId="77777777" w:rsidR="00FE4491" w:rsidRPr="009F3426" w:rsidRDefault="00AA7615" w:rsidP="00FE4491">
            <w:pPr>
              <w:pStyle w:val="TableTextEntries"/>
              <w:jc w:val="center"/>
            </w:pPr>
            <w:r w:rsidRPr="009F3426">
              <w:t>4</w:t>
            </w:r>
          </w:p>
        </w:tc>
        <w:tc>
          <w:tcPr>
            <w:tcW w:w="330" w:type="pct"/>
            <w:shd w:val="clear" w:color="auto" w:fill="FFFF00"/>
            <w:noWrap/>
          </w:tcPr>
          <w:p w14:paraId="1437538F" w14:textId="77777777" w:rsidR="00FE4491" w:rsidRPr="009F3426" w:rsidRDefault="00AA7615" w:rsidP="00FE4491">
            <w:pPr>
              <w:pStyle w:val="TableTextEntries"/>
              <w:jc w:val="center"/>
            </w:pPr>
            <w:r w:rsidRPr="009F3426">
              <w:t>4</w:t>
            </w:r>
          </w:p>
        </w:tc>
        <w:tc>
          <w:tcPr>
            <w:tcW w:w="330" w:type="pct"/>
            <w:shd w:val="clear" w:color="auto" w:fill="FFFF00"/>
            <w:noWrap/>
          </w:tcPr>
          <w:p w14:paraId="14375390" w14:textId="77777777" w:rsidR="00FE4491" w:rsidRPr="009F3426" w:rsidRDefault="00AA7615" w:rsidP="00FE4491">
            <w:pPr>
              <w:pStyle w:val="TableTextEntries"/>
              <w:jc w:val="center"/>
            </w:pPr>
            <w:r w:rsidRPr="009F3426">
              <w:t>4</w:t>
            </w:r>
          </w:p>
        </w:tc>
        <w:tc>
          <w:tcPr>
            <w:tcW w:w="330" w:type="pct"/>
            <w:shd w:val="clear" w:color="auto" w:fill="FFC000"/>
            <w:noWrap/>
          </w:tcPr>
          <w:p w14:paraId="14375391" w14:textId="77777777" w:rsidR="00FE4491" w:rsidRPr="009F3426" w:rsidRDefault="00AA7615" w:rsidP="00FE4491">
            <w:pPr>
              <w:pStyle w:val="TableTextEntries"/>
              <w:jc w:val="center"/>
            </w:pPr>
            <w:r w:rsidRPr="009F3426">
              <w:t>3</w:t>
            </w:r>
          </w:p>
        </w:tc>
        <w:tc>
          <w:tcPr>
            <w:tcW w:w="330" w:type="pct"/>
            <w:shd w:val="clear" w:color="auto" w:fill="FFC000"/>
            <w:noWrap/>
          </w:tcPr>
          <w:p w14:paraId="14375392" w14:textId="77777777" w:rsidR="00FE4491" w:rsidRPr="009F3426" w:rsidRDefault="00AA7615" w:rsidP="00FE4491">
            <w:pPr>
              <w:pStyle w:val="TableTextEntries"/>
              <w:jc w:val="center"/>
            </w:pPr>
            <w:r w:rsidRPr="009F3426">
              <w:t>3</w:t>
            </w:r>
          </w:p>
        </w:tc>
        <w:tc>
          <w:tcPr>
            <w:tcW w:w="330" w:type="pct"/>
            <w:shd w:val="clear" w:color="auto" w:fill="FFC000"/>
            <w:noWrap/>
          </w:tcPr>
          <w:p w14:paraId="14375393" w14:textId="77777777" w:rsidR="00FE4491" w:rsidRPr="009F3426" w:rsidRDefault="00FE2DF7" w:rsidP="00FE4491">
            <w:pPr>
              <w:pStyle w:val="TableTextEntries"/>
              <w:jc w:val="center"/>
            </w:pPr>
            <w:r w:rsidRPr="009F3426">
              <w:t>I</w:t>
            </w:r>
          </w:p>
        </w:tc>
      </w:tr>
      <w:tr w:rsidR="0074537D" w:rsidRPr="009D53C4" w14:paraId="1437539F" w14:textId="77777777" w:rsidTr="0074537D">
        <w:trPr>
          <w:tblHeader w:val="0"/>
        </w:trPr>
        <w:tc>
          <w:tcPr>
            <w:tcW w:w="1460" w:type="pct"/>
            <w:vMerge/>
          </w:tcPr>
          <w:p w14:paraId="14375395" w14:textId="77777777" w:rsidR="00FE4491" w:rsidRPr="00FE4491" w:rsidRDefault="00FE4491" w:rsidP="00FE4491">
            <w:pPr>
              <w:pStyle w:val="TableTextEntries"/>
            </w:pPr>
          </w:p>
        </w:tc>
        <w:tc>
          <w:tcPr>
            <w:tcW w:w="486" w:type="pct"/>
            <w:vMerge/>
          </w:tcPr>
          <w:p w14:paraId="14375396" w14:textId="77777777" w:rsidR="00FE4491" w:rsidRPr="00FE4491" w:rsidRDefault="00FE4491" w:rsidP="00FE4491">
            <w:pPr>
              <w:pStyle w:val="TableTextEntries"/>
            </w:pPr>
          </w:p>
        </w:tc>
        <w:tc>
          <w:tcPr>
            <w:tcW w:w="494" w:type="pct"/>
          </w:tcPr>
          <w:p w14:paraId="14375397" w14:textId="77777777" w:rsidR="00FE4491" w:rsidRPr="009F3426" w:rsidRDefault="00FE4491" w:rsidP="00C66548">
            <w:pPr>
              <w:pStyle w:val="TableTextEntries"/>
            </w:pPr>
            <w:r w:rsidRPr="009F3426">
              <w:t>2011</w:t>
            </w:r>
            <w:r w:rsidR="00C66548" w:rsidRPr="009F3426">
              <w:t>*</w:t>
            </w:r>
          </w:p>
        </w:tc>
        <w:tc>
          <w:tcPr>
            <w:tcW w:w="397" w:type="pct"/>
            <w:gridSpan w:val="2"/>
            <w:shd w:val="clear" w:color="auto" w:fill="92D050"/>
            <w:noWrap/>
          </w:tcPr>
          <w:p w14:paraId="14375398" w14:textId="77777777" w:rsidR="00FE4491" w:rsidRPr="009F3426" w:rsidRDefault="00E03F11" w:rsidP="00FE4491">
            <w:pPr>
              <w:pStyle w:val="TableTextEntries"/>
              <w:jc w:val="center"/>
            </w:pPr>
            <w:r w:rsidRPr="009F3426">
              <w:t>5</w:t>
            </w:r>
          </w:p>
        </w:tc>
        <w:tc>
          <w:tcPr>
            <w:tcW w:w="331" w:type="pct"/>
            <w:shd w:val="clear" w:color="auto" w:fill="92D050"/>
            <w:noWrap/>
          </w:tcPr>
          <w:p w14:paraId="14375399" w14:textId="77777777" w:rsidR="00FE4491" w:rsidRPr="009F3426" w:rsidRDefault="00E03F11" w:rsidP="00FE4491">
            <w:pPr>
              <w:pStyle w:val="TableTextEntries"/>
              <w:jc w:val="center"/>
            </w:pPr>
            <w:r w:rsidRPr="009F3426">
              <w:t>5</w:t>
            </w:r>
          </w:p>
        </w:tc>
        <w:tc>
          <w:tcPr>
            <w:tcW w:w="330" w:type="pct"/>
            <w:shd w:val="clear" w:color="auto" w:fill="92D050"/>
            <w:noWrap/>
          </w:tcPr>
          <w:p w14:paraId="1437539A" w14:textId="77777777" w:rsidR="00FE4491" w:rsidRPr="009F3426" w:rsidRDefault="00E03F11" w:rsidP="00FE4491">
            <w:pPr>
              <w:pStyle w:val="TableTextEntries"/>
              <w:jc w:val="center"/>
            </w:pPr>
            <w:r w:rsidRPr="009F3426">
              <w:t>5</w:t>
            </w:r>
          </w:p>
        </w:tc>
        <w:tc>
          <w:tcPr>
            <w:tcW w:w="330" w:type="pct"/>
            <w:shd w:val="clear" w:color="auto" w:fill="92D050"/>
            <w:noWrap/>
          </w:tcPr>
          <w:p w14:paraId="1437539B" w14:textId="77777777" w:rsidR="00FE4491" w:rsidRPr="009F3426" w:rsidRDefault="00E03F11" w:rsidP="00FE4491">
            <w:pPr>
              <w:pStyle w:val="TableTextEntries"/>
              <w:jc w:val="center"/>
            </w:pPr>
            <w:r w:rsidRPr="009F3426">
              <w:t>5</w:t>
            </w:r>
          </w:p>
        </w:tc>
        <w:tc>
          <w:tcPr>
            <w:tcW w:w="330" w:type="pct"/>
            <w:shd w:val="clear" w:color="auto" w:fill="92D050"/>
            <w:noWrap/>
          </w:tcPr>
          <w:p w14:paraId="1437539C" w14:textId="77777777" w:rsidR="00FE4491" w:rsidRPr="009F3426" w:rsidRDefault="00E03F11" w:rsidP="00FE4491">
            <w:pPr>
              <w:pStyle w:val="TableTextEntries"/>
              <w:jc w:val="center"/>
            </w:pPr>
            <w:r w:rsidRPr="009F3426">
              <w:t>5</w:t>
            </w:r>
          </w:p>
        </w:tc>
        <w:tc>
          <w:tcPr>
            <w:tcW w:w="330" w:type="pct"/>
            <w:shd w:val="clear" w:color="auto" w:fill="92D050"/>
            <w:noWrap/>
          </w:tcPr>
          <w:p w14:paraId="1437539D" w14:textId="77777777" w:rsidR="00FE4491" w:rsidRPr="009F3426" w:rsidRDefault="00E03F11" w:rsidP="00FE4491">
            <w:pPr>
              <w:pStyle w:val="TableTextEntries"/>
              <w:jc w:val="center"/>
            </w:pPr>
            <w:r w:rsidRPr="009F3426">
              <w:t>5</w:t>
            </w:r>
          </w:p>
        </w:tc>
        <w:tc>
          <w:tcPr>
            <w:tcW w:w="330" w:type="pct"/>
            <w:shd w:val="clear" w:color="auto" w:fill="auto"/>
            <w:noWrap/>
          </w:tcPr>
          <w:p w14:paraId="1437539E" w14:textId="77777777" w:rsidR="00FE4491" w:rsidRPr="009F3426" w:rsidRDefault="004835C3" w:rsidP="00FE4491">
            <w:pPr>
              <w:pStyle w:val="TableTextEntries"/>
              <w:jc w:val="center"/>
            </w:pPr>
            <w:r w:rsidRPr="009F3426">
              <w:t>n/a</w:t>
            </w:r>
          </w:p>
        </w:tc>
      </w:tr>
      <w:tr w:rsidR="0074537D" w:rsidRPr="009D53C4" w14:paraId="143753AA"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3A0" w14:textId="77777777" w:rsidR="00AD3831" w:rsidRPr="00FE4491" w:rsidRDefault="00FE2DF7" w:rsidP="00E35AD1">
            <w:pPr>
              <w:pStyle w:val="TableTextEntries"/>
            </w:pPr>
            <w:r>
              <w:t xml:space="preserve">North and East Pilot </w:t>
            </w:r>
            <w:r w:rsidR="00E35AD1">
              <w:t>Water, Sanitation and Hygiene</w:t>
            </w:r>
            <w:r>
              <w:t xml:space="preserve"> Project</w:t>
            </w:r>
          </w:p>
        </w:tc>
        <w:tc>
          <w:tcPr>
            <w:tcW w:w="486" w:type="pct"/>
            <w:vMerge w:val="restart"/>
          </w:tcPr>
          <w:p w14:paraId="143753A1" w14:textId="77777777" w:rsidR="00AD3831" w:rsidRPr="00FE4491" w:rsidRDefault="00381E7D" w:rsidP="00D95DC5">
            <w:pPr>
              <w:pStyle w:val="TableTextEntries"/>
            </w:pPr>
            <w:r>
              <w:t xml:space="preserve">$2.3m </w:t>
            </w:r>
            <w:r>
              <w:br/>
              <w:t>2 years</w:t>
            </w:r>
          </w:p>
        </w:tc>
        <w:tc>
          <w:tcPr>
            <w:tcW w:w="494" w:type="pct"/>
          </w:tcPr>
          <w:p w14:paraId="143753A2" w14:textId="77777777" w:rsidR="00AD3831" w:rsidRPr="009F3426" w:rsidRDefault="00AD3831" w:rsidP="00AD3831">
            <w:pPr>
              <w:pStyle w:val="TableTextEntries"/>
            </w:pPr>
            <w:r w:rsidRPr="009F3426">
              <w:t>2012</w:t>
            </w:r>
          </w:p>
        </w:tc>
        <w:tc>
          <w:tcPr>
            <w:tcW w:w="397" w:type="pct"/>
            <w:gridSpan w:val="2"/>
            <w:shd w:val="clear" w:color="auto" w:fill="92D050"/>
            <w:noWrap/>
          </w:tcPr>
          <w:p w14:paraId="143753A3" w14:textId="77777777" w:rsidR="00AD3831" w:rsidRPr="009F3426" w:rsidRDefault="00FE2DF7" w:rsidP="00AD3831">
            <w:pPr>
              <w:pStyle w:val="TableTextEntries"/>
              <w:jc w:val="center"/>
            </w:pPr>
            <w:r w:rsidRPr="009F3426">
              <w:t>5</w:t>
            </w:r>
          </w:p>
        </w:tc>
        <w:tc>
          <w:tcPr>
            <w:tcW w:w="331" w:type="pct"/>
            <w:shd w:val="clear" w:color="auto" w:fill="FFFF00"/>
            <w:noWrap/>
          </w:tcPr>
          <w:p w14:paraId="143753A4" w14:textId="77777777" w:rsidR="00AD3831" w:rsidRPr="009F3426" w:rsidRDefault="00FE2DF7" w:rsidP="00AD3831">
            <w:pPr>
              <w:pStyle w:val="TableTextEntries"/>
              <w:jc w:val="center"/>
            </w:pPr>
            <w:r w:rsidRPr="009F3426">
              <w:t>4</w:t>
            </w:r>
          </w:p>
        </w:tc>
        <w:tc>
          <w:tcPr>
            <w:tcW w:w="330" w:type="pct"/>
            <w:shd w:val="clear" w:color="auto" w:fill="FFC000"/>
            <w:noWrap/>
          </w:tcPr>
          <w:p w14:paraId="143753A5" w14:textId="77777777" w:rsidR="00AD3831" w:rsidRPr="009F3426" w:rsidRDefault="00FE2DF7" w:rsidP="00AD3831">
            <w:pPr>
              <w:pStyle w:val="TableTextEntries"/>
              <w:jc w:val="center"/>
            </w:pPr>
            <w:r w:rsidRPr="009F3426">
              <w:t>3</w:t>
            </w:r>
          </w:p>
        </w:tc>
        <w:tc>
          <w:tcPr>
            <w:tcW w:w="330" w:type="pct"/>
            <w:shd w:val="clear" w:color="auto" w:fill="FFFF00"/>
            <w:noWrap/>
          </w:tcPr>
          <w:p w14:paraId="143753A6" w14:textId="77777777" w:rsidR="00AD3831" w:rsidRPr="009F3426" w:rsidRDefault="00FE2DF7" w:rsidP="00AD3831">
            <w:pPr>
              <w:pStyle w:val="TableTextEntries"/>
              <w:jc w:val="center"/>
            </w:pPr>
            <w:r w:rsidRPr="009F3426">
              <w:t>4</w:t>
            </w:r>
          </w:p>
        </w:tc>
        <w:tc>
          <w:tcPr>
            <w:tcW w:w="330" w:type="pct"/>
            <w:shd w:val="clear" w:color="auto" w:fill="FFFF00"/>
            <w:noWrap/>
          </w:tcPr>
          <w:p w14:paraId="143753A7" w14:textId="77777777" w:rsidR="00AD3831" w:rsidRPr="009F3426" w:rsidRDefault="00FE2DF7" w:rsidP="00AD3831">
            <w:pPr>
              <w:pStyle w:val="TableTextEntries"/>
              <w:jc w:val="center"/>
            </w:pPr>
            <w:r w:rsidRPr="009F3426">
              <w:t>4</w:t>
            </w:r>
          </w:p>
        </w:tc>
        <w:tc>
          <w:tcPr>
            <w:tcW w:w="330" w:type="pct"/>
            <w:shd w:val="clear" w:color="auto" w:fill="92D050"/>
            <w:noWrap/>
          </w:tcPr>
          <w:p w14:paraId="143753A8" w14:textId="77777777" w:rsidR="00AD3831" w:rsidRPr="009F3426" w:rsidRDefault="00FE2DF7" w:rsidP="00AD3831">
            <w:pPr>
              <w:pStyle w:val="TableTextEntries"/>
              <w:jc w:val="center"/>
            </w:pPr>
            <w:r w:rsidRPr="009F3426">
              <w:t>5</w:t>
            </w:r>
          </w:p>
        </w:tc>
        <w:tc>
          <w:tcPr>
            <w:tcW w:w="330" w:type="pct"/>
            <w:shd w:val="clear" w:color="auto" w:fill="FFC000"/>
            <w:noWrap/>
          </w:tcPr>
          <w:p w14:paraId="143753A9" w14:textId="77777777" w:rsidR="00AD3831" w:rsidRPr="009F3426" w:rsidRDefault="00FE2DF7" w:rsidP="00AD3831">
            <w:pPr>
              <w:pStyle w:val="TableTextEntries"/>
              <w:jc w:val="center"/>
            </w:pPr>
            <w:r w:rsidRPr="009F3426">
              <w:t>I</w:t>
            </w:r>
          </w:p>
        </w:tc>
      </w:tr>
      <w:tr w:rsidR="0074537D" w:rsidRPr="009D53C4" w14:paraId="143753B5" w14:textId="77777777" w:rsidTr="0074537D">
        <w:trPr>
          <w:tblHeader w:val="0"/>
        </w:trPr>
        <w:tc>
          <w:tcPr>
            <w:tcW w:w="1460" w:type="pct"/>
            <w:vMerge/>
          </w:tcPr>
          <w:p w14:paraId="143753AB" w14:textId="77777777" w:rsidR="00AD3831" w:rsidRPr="00FE4491" w:rsidRDefault="00AD3831" w:rsidP="00AD3831">
            <w:pPr>
              <w:pStyle w:val="TableTextEntries"/>
            </w:pPr>
          </w:p>
        </w:tc>
        <w:tc>
          <w:tcPr>
            <w:tcW w:w="486" w:type="pct"/>
            <w:vMerge/>
          </w:tcPr>
          <w:p w14:paraId="143753AC" w14:textId="77777777" w:rsidR="00AD3831" w:rsidRPr="00FE4491" w:rsidRDefault="00AD3831" w:rsidP="00AD3831">
            <w:pPr>
              <w:pStyle w:val="TableTextEntries"/>
            </w:pPr>
          </w:p>
        </w:tc>
        <w:tc>
          <w:tcPr>
            <w:tcW w:w="494" w:type="pct"/>
          </w:tcPr>
          <w:p w14:paraId="143753AD" w14:textId="77777777" w:rsidR="00AD3831" w:rsidRPr="009F3426" w:rsidRDefault="00AD3831" w:rsidP="00AD3831">
            <w:pPr>
              <w:pStyle w:val="TableTextEntries"/>
            </w:pPr>
            <w:r w:rsidRPr="009F3426">
              <w:t>2011</w:t>
            </w:r>
          </w:p>
        </w:tc>
        <w:tc>
          <w:tcPr>
            <w:tcW w:w="397" w:type="pct"/>
            <w:gridSpan w:val="2"/>
            <w:shd w:val="clear" w:color="auto" w:fill="92D050"/>
            <w:noWrap/>
          </w:tcPr>
          <w:p w14:paraId="143753AE" w14:textId="77777777" w:rsidR="00AD3831" w:rsidRPr="009F3426" w:rsidRDefault="006F6E7A" w:rsidP="00AD3831">
            <w:pPr>
              <w:pStyle w:val="TableTextEntries"/>
              <w:jc w:val="center"/>
            </w:pPr>
            <w:r>
              <w:t>6</w:t>
            </w:r>
          </w:p>
        </w:tc>
        <w:tc>
          <w:tcPr>
            <w:tcW w:w="331" w:type="pct"/>
            <w:shd w:val="clear" w:color="auto" w:fill="FFFF00"/>
            <w:noWrap/>
          </w:tcPr>
          <w:p w14:paraId="143753AF" w14:textId="77777777" w:rsidR="00AD3831" w:rsidRPr="009F3426" w:rsidRDefault="006F6E7A" w:rsidP="00AD3831">
            <w:pPr>
              <w:pStyle w:val="TableTextEntries"/>
              <w:jc w:val="center"/>
            </w:pPr>
            <w:r>
              <w:t>4</w:t>
            </w:r>
          </w:p>
        </w:tc>
        <w:tc>
          <w:tcPr>
            <w:tcW w:w="330" w:type="pct"/>
            <w:shd w:val="clear" w:color="auto" w:fill="FFFF00"/>
            <w:noWrap/>
          </w:tcPr>
          <w:p w14:paraId="143753B0" w14:textId="77777777" w:rsidR="00AD3831" w:rsidRPr="009F3426" w:rsidRDefault="006F6E7A" w:rsidP="00AD3831">
            <w:pPr>
              <w:pStyle w:val="TableTextEntries"/>
              <w:jc w:val="center"/>
            </w:pPr>
            <w:r>
              <w:t>4</w:t>
            </w:r>
          </w:p>
        </w:tc>
        <w:tc>
          <w:tcPr>
            <w:tcW w:w="330" w:type="pct"/>
            <w:shd w:val="clear" w:color="auto" w:fill="FFFF00"/>
            <w:noWrap/>
          </w:tcPr>
          <w:p w14:paraId="143753B1" w14:textId="77777777" w:rsidR="00AD3831" w:rsidRPr="009F3426" w:rsidRDefault="006F6E7A" w:rsidP="00AD3831">
            <w:pPr>
              <w:pStyle w:val="TableTextEntries"/>
              <w:jc w:val="center"/>
            </w:pPr>
            <w:r>
              <w:t>4</w:t>
            </w:r>
          </w:p>
        </w:tc>
        <w:tc>
          <w:tcPr>
            <w:tcW w:w="330" w:type="pct"/>
            <w:shd w:val="clear" w:color="auto" w:fill="FFFF00"/>
            <w:noWrap/>
          </w:tcPr>
          <w:p w14:paraId="143753B2" w14:textId="77777777" w:rsidR="00AD3831" w:rsidRPr="009F3426" w:rsidRDefault="006F6E7A" w:rsidP="00AD3831">
            <w:pPr>
              <w:pStyle w:val="TableTextEntries"/>
              <w:jc w:val="center"/>
            </w:pPr>
            <w:r>
              <w:t>4</w:t>
            </w:r>
          </w:p>
        </w:tc>
        <w:tc>
          <w:tcPr>
            <w:tcW w:w="330" w:type="pct"/>
            <w:shd w:val="clear" w:color="auto" w:fill="92D050"/>
            <w:noWrap/>
          </w:tcPr>
          <w:p w14:paraId="143753B3" w14:textId="77777777" w:rsidR="00AD3831" w:rsidRPr="009F3426" w:rsidRDefault="006F6E7A" w:rsidP="00AD3831">
            <w:pPr>
              <w:pStyle w:val="TableTextEntries"/>
              <w:jc w:val="center"/>
            </w:pPr>
            <w:r>
              <w:t>5</w:t>
            </w:r>
          </w:p>
        </w:tc>
        <w:tc>
          <w:tcPr>
            <w:tcW w:w="330" w:type="pct"/>
            <w:shd w:val="clear" w:color="auto" w:fill="FFC000"/>
            <w:noWrap/>
          </w:tcPr>
          <w:p w14:paraId="143753B4" w14:textId="77777777" w:rsidR="00AD3831" w:rsidRPr="009F3426" w:rsidRDefault="006F6E7A" w:rsidP="00AD3831">
            <w:pPr>
              <w:pStyle w:val="TableTextEntries"/>
              <w:jc w:val="center"/>
            </w:pPr>
            <w:r>
              <w:t>I</w:t>
            </w:r>
          </w:p>
        </w:tc>
      </w:tr>
      <w:tr w:rsidR="0074537D" w:rsidRPr="00FE4491" w14:paraId="143753C0"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3B6" w14:textId="77777777" w:rsidR="00AD3831" w:rsidRPr="00FE4491" w:rsidRDefault="00342E31" w:rsidP="00342E31">
            <w:pPr>
              <w:pStyle w:val="TableTextEntries"/>
            </w:pPr>
            <w:r>
              <w:t xml:space="preserve">Australian Community Rehabilitation Program </w:t>
            </w:r>
          </w:p>
        </w:tc>
        <w:tc>
          <w:tcPr>
            <w:tcW w:w="486" w:type="pct"/>
            <w:vMerge w:val="restart"/>
          </w:tcPr>
          <w:p w14:paraId="143753B7" w14:textId="77777777" w:rsidR="00AD3831" w:rsidRPr="00FE4491" w:rsidRDefault="00DF587E" w:rsidP="00D95DC5">
            <w:pPr>
              <w:pStyle w:val="TableTextEntries"/>
            </w:pPr>
            <w:r>
              <w:t xml:space="preserve">$45m </w:t>
            </w:r>
            <w:r>
              <w:br/>
              <w:t>5 years</w:t>
            </w:r>
          </w:p>
        </w:tc>
        <w:tc>
          <w:tcPr>
            <w:tcW w:w="494" w:type="pct"/>
          </w:tcPr>
          <w:p w14:paraId="143753B8" w14:textId="77777777" w:rsidR="00AD3831" w:rsidRPr="009F3426" w:rsidRDefault="00AD3831" w:rsidP="00AD3831">
            <w:pPr>
              <w:pStyle w:val="TableTextEntries"/>
            </w:pPr>
            <w:r w:rsidRPr="009F3426">
              <w:t>2012</w:t>
            </w:r>
          </w:p>
        </w:tc>
        <w:tc>
          <w:tcPr>
            <w:tcW w:w="397" w:type="pct"/>
            <w:gridSpan w:val="2"/>
            <w:shd w:val="clear" w:color="auto" w:fill="92D050"/>
            <w:noWrap/>
          </w:tcPr>
          <w:p w14:paraId="143753B9" w14:textId="77777777" w:rsidR="00AD3831" w:rsidRPr="009F3426" w:rsidRDefault="00DF6F57" w:rsidP="00AD3831">
            <w:pPr>
              <w:pStyle w:val="TableTextEntries"/>
              <w:jc w:val="center"/>
            </w:pPr>
            <w:r w:rsidRPr="009F3426">
              <w:t>5</w:t>
            </w:r>
          </w:p>
        </w:tc>
        <w:tc>
          <w:tcPr>
            <w:tcW w:w="331" w:type="pct"/>
            <w:shd w:val="clear" w:color="auto" w:fill="FFFF00"/>
            <w:noWrap/>
          </w:tcPr>
          <w:p w14:paraId="143753BA" w14:textId="77777777" w:rsidR="00AD3831" w:rsidRPr="009F3426" w:rsidRDefault="00DF6F57" w:rsidP="00AD3831">
            <w:pPr>
              <w:pStyle w:val="TableTextEntries"/>
              <w:jc w:val="center"/>
            </w:pPr>
            <w:r w:rsidRPr="009F3426">
              <w:t>4</w:t>
            </w:r>
          </w:p>
        </w:tc>
        <w:tc>
          <w:tcPr>
            <w:tcW w:w="330" w:type="pct"/>
            <w:shd w:val="clear" w:color="auto" w:fill="FFFF00"/>
            <w:noWrap/>
          </w:tcPr>
          <w:p w14:paraId="143753BB" w14:textId="77777777" w:rsidR="00AD3831" w:rsidRPr="009F3426" w:rsidRDefault="00DF6F57" w:rsidP="00AD3831">
            <w:pPr>
              <w:pStyle w:val="TableTextEntries"/>
              <w:jc w:val="center"/>
            </w:pPr>
            <w:r w:rsidRPr="009F3426">
              <w:t>4</w:t>
            </w:r>
          </w:p>
        </w:tc>
        <w:tc>
          <w:tcPr>
            <w:tcW w:w="330" w:type="pct"/>
            <w:shd w:val="clear" w:color="auto" w:fill="FFFF00"/>
            <w:noWrap/>
          </w:tcPr>
          <w:p w14:paraId="143753BC" w14:textId="77777777" w:rsidR="00AD3831" w:rsidRPr="009F3426" w:rsidRDefault="00DF6F57" w:rsidP="00AD3831">
            <w:pPr>
              <w:pStyle w:val="TableTextEntries"/>
              <w:jc w:val="center"/>
            </w:pPr>
            <w:r w:rsidRPr="009F3426">
              <w:t>4</w:t>
            </w:r>
          </w:p>
        </w:tc>
        <w:tc>
          <w:tcPr>
            <w:tcW w:w="330" w:type="pct"/>
            <w:shd w:val="clear" w:color="auto" w:fill="FFFF00"/>
            <w:noWrap/>
          </w:tcPr>
          <w:p w14:paraId="143753BD" w14:textId="77777777" w:rsidR="00AD3831" w:rsidRPr="009F3426" w:rsidRDefault="00DF6F57" w:rsidP="00AD3831">
            <w:pPr>
              <w:pStyle w:val="TableTextEntries"/>
              <w:jc w:val="center"/>
            </w:pPr>
            <w:r w:rsidRPr="009F3426">
              <w:t>4</w:t>
            </w:r>
          </w:p>
        </w:tc>
        <w:tc>
          <w:tcPr>
            <w:tcW w:w="330" w:type="pct"/>
            <w:shd w:val="clear" w:color="auto" w:fill="FFFF00"/>
            <w:noWrap/>
          </w:tcPr>
          <w:p w14:paraId="143753BE" w14:textId="77777777" w:rsidR="00AD3831" w:rsidRPr="009F3426" w:rsidRDefault="00DF6F57" w:rsidP="00AD3831">
            <w:pPr>
              <w:pStyle w:val="TableTextEntries"/>
              <w:jc w:val="center"/>
            </w:pPr>
            <w:r w:rsidRPr="009F3426">
              <w:t>4</w:t>
            </w:r>
          </w:p>
        </w:tc>
        <w:tc>
          <w:tcPr>
            <w:tcW w:w="330" w:type="pct"/>
            <w:shd w:val="clear" w:color="auto" w:fill="FFC000"/>
            <w:noWrap/>
          </w:tcPr>
          <w:p w14:paraId="143753BF" w14:textId="77777777" w:rsidR="00AD3831" w:rsidRPr="009F3426" w:rsidRDefault="00DF6F57" w:rsidP="00AD3831">
            <w:pPr>
              <w:pStyle w:val="TableTextEntries"/>
              <w:jc w:val="center"/>
            </w:pPr>
            <w:r w:rsidRPr="009F3426">
              <w:t>I</w:t>
            </w:r>
          </w:p>
        </w:tc>
      </w:tr>
      <w:tr w:rsidR="0074537D" w:rsidRPr="00FE4491" w14:paraId="143753CB" w14:textId="77777777" w:rsidTr="0074537D">
        <w:trPr>
          <w:tblHeader w:val="0"/>
        </w:trPr>
        <w:tc>
          <w:tcPr>
            <w:tcW w:w="1460" w:type="pct"/>
            <w:vMerge/>
          </w:tcPr>
          <w:p w14:paraId="143753C1" w14:textId="77777777" w:rsidR="00AD3831" w:rsidRPr="00FE4491" w:rsidRDefault="00AD3831" w:rsidP="00AD3831">
            <w:pPr>
              <w:pStyle w:val="TableTextEntries"/>
            </w:pPr>
          </w:p>
        </w:tc>
        <w:tc>
          <w:tcPr>
            <w:tcW w:w="486" w:type="pct"/>
            <w:vMerge/>
          </w:tcPr>
          <w:p w14:paraId="143753C2" w14:textId="77777777" w:rsidR="00AD3831" w:rsidRPr="00FE4491" w:rsidRDefault="00AD3831" w:rsidP="00AD3831">
            <w:pPr>
              <w:pStyle w:val="TableTextEntries"/>
            </w:pPr>
          </w:p>
        </w:tc>
        <w:tc>
          <w:tcPr>
            <w:tcW w:w="494" w:type="pct"/>
          </w:tcPr>
          <w:p w14:paraId="143753C3" w14:textId="77777777" w:rsidR="00AD3831" w:rsidRPr="009F3426" w:rsidRDefault="00AD3831" w:rsidP="00AD3831">
            <w:pPr>
              <w:pStyle w:val="TableTextEntries"/>
            </w:pPr>
            <w:r w:rsidRPr="009F3426">
              <w:t>2011</w:t>
            </w:r>
          </w:p>
        </w:tc>
        <w:tc>
          <w:tcPr>
            <w:tcW w:w="397" w:type="pct"/>
            <w:gridSpan w:val="2"/>
            <w:shd w:val="clear" w:color="auto" w:fill="92D050"/>
            <w:noWrap/>
          </w:tcPr>
          <w:p w14:paraId="143753C4" w14:textId="77777777" w:rsidR="00AD3831" w:rsidRPr="009F3426" w:rsidRDefault="00804C63" w:rsidP="00AD3831">
            <w:pPr>
              <w:pStyle w:val="TableTextEntries"/>
              <w:jc w:val="center"/>
            </w:pPr>
            <w:r w:rsidRPr="009F3426">
              <w:t>6</w:t>
            </w:r>
          </w:p>
        </w:tc>
        <w:tc>
          <w:tcPr>
            <w:tcW w:w="331" w:type="pct"/>
            <w:shd w:val="clear" w:color="auto" w:fill="92D050"/>
            <w:noWrap/>
          </w:tcPr>
          <w:p w14:paraId="143753C5" w14:textId="77777777" w:rsidR="00AD3831" w:rsidRPr="009F3426" w:rsidRDefault="00804C63" w:rsidP="00AD3831">
            <w:pPr>
              <w:pStyle w:val="TableTextEntries"/>
              <w:jc w:val="center"/>
            </w:pPr>
            <w:r w:rsidRPr="009F3426">
              <w:t>5</w:t>
            </w:r>
          </w:p>
        </w:tc>
        <w:tc>
          <w:tcPr>
            <w:tcW w:w="330" w:type="pct"/>
            <w:shd w:val="clear" w:color="auto" w:fill="92D050"/>
            <w:noWrap/>
          </w:tcPr>
          <w:p w14:paraId="143753C6" w14:textId="77777777" w:rsidR="00AD3831" w:rsidRPr="009F3426" w:rsidRDefault="00804C63" w:rsidP="00AD3831">
            <w:pPr>
              <w:pStyle w:val="TableTextEntries"/>
              <w:jc w:val="center"/>
            </w:pPr>
            <w:r w:rsidRPr="009F3426">
              <w:t>5</w:t>
            </w:r>
          </w:p>
        </w:tc>
        <w:tc>
          <w:tcPr>
            <w:tcW w:w="330" w:type="pct"/>
            <w:shd w:val="clear" w:color="auto" w:fill="92D050"/>
            <w:noWrap/>
          </w:tcPr>
          <w:p w14:paraId="143753C7" w14:textId="77777777" w:rsidR="00AD3831" w:rsidRPr="009F3426" w:rsidRDefault="00804C63" w:rsidP="00AD3831">
            <w:pPr>
              <w:pStyle w:val="TableTextEntries"/>
              <w:jc w:val="center"/>
            </w:pPr>
            <w:r w:rsidRPr="009F3426">
              <w:t>5</w:t>
            </w:r>
          </w:p>
        </w:tc>
        <w:tc>
          <w:tcPr>
            <w:tcW w:w="330" w:type="pct"/>
            <w:shd w:val="clear" w:color="auto" w:fill="92D050"/>
            <w:noWrap/>
          </w:tcPr>
          <w:p w14:paraId="143753C8" w14:textId="77777777" w:rsidR="00AD3831" w:rsidRPr="009F3426" w:rsidRDefault="00804C63" w:rsidP="00AD3831">
            <w:pPr>
              <w:pStyle w:val="TableTextEntries"/>
              <w:jc w:val="center"/>
            </w:pPr>
            <w:r w:rsidRPr="009F3426">
              <w:t>5</w:t>
            </w:r>
          </w:p>
        </w:tc>
        <w:tc>
          <w:tcPr>
            <w:tcW w:w="330" w:type="pct"/>
            <w:shd w:val="clear" w:color="auto" w:fill="FFFF00"/>
            <w:noWrap/>
          </w:tcPr>
          <w:p w14:paraId="143753C9" w14:textId="77777777" w:rsidR="00AD3831" w:rsidRPr="009F3426" w:rsidRDefault="00804C63" w:rsidP="00AD3831">
            <w:pPr>
              <w:pStyle w:val="TableTextEntries"/>
              <w:jc w:val="center"/>
            </w:pPr>
            <w:r w:rsidRPr="009F3426">
              <w:t>4</w:t>
            </w:r>
          </w:p>
        </w:tc>
        <w:tc>
          <w:tcPr>
            <w:tcW w:w="330" w:type="pct"/>
            <w:shd w:val="clear" w:color="auto" w:fill="FFC000"/>
            <w:noWrap/>
          </w:tcPr>
          <w:p w14:paraId="143753CA" w14:textId="77777777" w:rsidR="00AD3831" w:rsidRPr="009F3426" w:rsidRDefault="00804C63" w:rsidP="00AD3831">
            <w:pPr>
              <w:pStyle w:val="TableTextEntries"/>
              <w:jc w:val="center"/>
            </w:pPr>
            <w:r w:rsidRPr="009F3426">
              <w:t>I</w:t>
            </w:r>
          </w:p>
        </w:tc>
      </w:tr>
      <w:tr w:rsidR="0074537D" w:rsidRPr="00FE4491" w14:paraId="143753D6"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3CC" w14:textId="77777777" w:rsidR="00AD3831" w:rsidRPr="00FE4491" w:rsidRDefault="0055213F" w:rsidP="00342E31">
            <w:pPr>
              <w:pStyle w:val="TableTextEntries"/>
            </w:pPr>
            <w:r>
              <w:t>T</w:t>
            </w:r>
            <w:r w:rsidR="00342E31">
              <w:t>ransforming School Education Project</w:t>
            </w:r>
          </w:p>
        </w:tc>
        <w:tc>
          <w:tcPr>
            <w:tcW w:w="486" w:type="pct"/>
            <w:vMerge w:val="restart"/>
          </w:tcPr>
          <w:p w14:paraId="143753CD" w14:textId="77777777" w:rsidR="00AD3831" w:rsidRPr="00FE4491" w:rsidRDefault="00DF587E" w:rsidP="00D95DC5">
            <w:pPr>
              <w:pStyle w:val="TableTextEntries"/>
            </w:pPr>
            <w:r>
              <w:t xml:space="preserve">$37m </w:t>
            </w:r>
            <w:r>
              <w:br/>
              <w:t>4 years</w:t>
            </w:r>
          </w:p>
        </w:tc>
        <w:tc>
          <w:tcPr>
            <w:tcW w:w="494" w:type="pct"/>
          </w:tcPr>
          <w:p w14:paraId="143753CE" w14:textId="77777777" w:rsidR="00AD3831" w:rsidRPr="009F3426" w:rsidRDefault="00AD3831" w:rsidP="00AD3831">
            <w:pPr>
              <w:pStyle w:val="TableTextEntries"/>
            </w:pPr>
            <w:r w:rsidRPr="009F3426">
              <w:t>2012</w:t>
            </w:r>
          </w:p>
        </w:tc>
        <w:tc>
          <w:tcPr>
            <w:tcW w:w="397" w:type="pct"/>
            <w:gridSpan w:val="2"/>
            <w:shd w:val="clear" w:color="auto" w:fill="92D050"/>
            <w:noWrap/>
          </w:tcPr>
          <w:p w14:paraId="143753CF" w14:textId="77777777" w:rsidR="00AD3831" w:rsidRPr="009F3426" w:rsidRDefault="00AD3831" w:rsidP="00AD3831">
            <w:pPr>
              <w:pStyle w:val="TableTextEntries"/>
              <w:jc w:val="center"/>
            </w:pPr>
            <w:r w:rsidRPr="009F3426">
              <w:t>5</w:t>
            </w:r>
          </w:p>
        </w:tc>
        <w:tc>
          <w:tcPr>
            <w:tcW w:w="331" w:type="pct"/>
            <w:shd w:val="clear" w:color="auto" w:fill="FFC000"/>
            <w:noWrap/>
          </w:tcPr>
          <w:p w14:paraId="143753D0" w14:textId="77777777" w:rsidR="00AD3831" w:rsidRPr="009F3426" w:rsidRDefault="000222CC" w:rsidP="00AD3831">
            <w:pPr>
              <w:pStyle w:val="TableTextEntries"/>
              <w:jc w:val="center"/>
            </w:pPr>
            <w:r>
              <w:t>3</w:t>
            </w:r>
          </w:p>
        </w:tc>
        <w:tc>
          <w:tcPr>
            <w:tcW w:w="330" w:type="pct"/>
            <w:shd w:val="clear" w:color="auto" w:fill="FFC000"/>
            <w:noWrap/>
          </w:tcPr>
          <w:p w14:paraId="143753D1" w14:textId="77777777" w:rsidR="00AD3831" w:rsidRPr="009F3426" w:rsidRDefault="000222CC" w:rsidP="00AD3831">
            <w:pPr>
              <w:pStyle w:val="TableTextEntries"/>
              <w:jc w:val="center"/>
            </w:pPr>
            <w:r>
              <w:t>3</w:t>
            </w:r>
          </w:p>
        </w:tc>
        <w:tc>
          <w:tcPr>
            <w:tcW w:w="330" w:type="pct"/>
            <w:shd w:val="clear" w:color="auto" w:fill="FFFF00"/>
            <w:noWrap/>
          </w:tcPr>
          <w:p w14:paraId="143753D2" w14:textId="77777777" w:rsidR="00AD3831" w:rsidRPr="009F3426" w:rsidRDefault="0055213F" w:rsidP="00AD3831">
            <w:pPr>
              <w:pStyle w:val="TableTextEntries"/>
              <w:jc w:val="center"/>
            </w:pPr>
            <w:r w:rsidRPr="009F3426">
              <w:t>4</w:t>
            </w:r>
          </w:p>
        </w:tc>
        <w:tc>
          <w:tcPr>
            <w:tcW w:w="330" w:type="pct"/>
            <w:shd w:val="clear" w:color="auto" w:fill="FFFF00"/>
            <w:noWrap/>
          </w:tcPr>
          <w:p w14:paraId="143753D3" w14:textId="77777777" w:rsidR="00AD3831" w:rsidRPr="009F3426" w:rsidRDefault="0055213F" w:rsidP="00AD3831">
            <w:pPr>
              <w:pStyle w:val="TableTextEntries"/>
              <w:jc w:val="center"/>
            </w:pPr>
            <w:r w:rsidRPr="009F3426">
              <w:t>4</w:t>
            </w:r>
          </w:p>
        </w:tc>
        <w:tc>
          <w:tcPr>
            <w:tcW w:w="330" w:type="pct"/>
            <w:shd w:val="clear" w:color="auto" w:fill="FFFF00"/>
            <w:noWrap/>
          </w:tcPr>
          <w:p w14:paraId="143753D4" w14:textId="77777777" w:rsidR="00AD3831" w:rsidRPr="009F3426" w:rsidRDefault="0055213F" w:rsidP="00AD3831">
            <w:pPr>
              <w:pStyle w:val="TableTextEntries"/>
              <w:jc w:val="center"/>
            </w:pPr>
            <w:r w:rsidRPr="009F3426">
              <w:t>4</w:t>
            </w:r>
          </w:p>
        </w:tc>
        <w:tc>
          <w:tcPr>
            <w:tcW w:w="330" w:type="pct"/>
            <w:shd w:val="clear" w:color="auto" w:fill="FFC000"/>
            <w:noWrap/>
          </w:tcPr>
          <w:p w14:paraId="143753D5" w14:textId="77777777" w:rsidR="00AD3831" w:rsidRPr="009F3426" w:rsidRDefault="0055213F" w:rsidP="00AD3831">
            <w:pPr>
              <w:pStyle w:val="TableTextEntries"/>
              <w:jc w:val="center"/>
            </w:pPr>
            <w:r w:rsidRPr="009F3426">
              <w:t>I</w:t>
            </w:r>
          </w:p>
        </w:tc>
      </w:tr>
      <w:tr w:rsidR="0074537D" w:rsidRPr="00FE4491" w14:paraId="143753E1" w14:textId="77777777" w:rsidTr="0074537D">
        <w:trPr>
          <w:tblHeader w:val="0"/>
        </w:trPr>
        <w:tc>
          <w:tcPr>
            <w:tcW w:w="1460" w:type="pct"/>
            <w:vMerge/>
          </w:tcPr>
          <w:p w14:paraId="143753D7" w14:textId="77777777" w:rsidR="00AD3831" w:rsidRPr="00FE4491" w:rsidRDefault="00AD3831" w:rsidP="00AD3831">
            <w:pPr>
              <w:pStyle w:val="TableTextEntries"/>
            </w:pPr>
          </w:p>
        </w:tc>
        <w:tc>
          <w:tcPr>
            <w:tcW w:w="486" w:type="pct"/>
            <w:vMerge/>
          </w:tcPr>
          <w:p w14:paraId="143753D8" w14:textId="77777777" w:rsidR="00AD3831" w:rsidRPr="00FE4491" w:rsidRDefault="00AD3831" w:rsidP="00AD3831">
            <w:pPr>
              <w:pStyle w:val="TableTextEntries"/>
            </w:pPr>
          </w:p>
        </w:tc>
        <w:tc>
          <w:tcPr>
            <w:tcW w:w="494" w:type="pct"/>
          </w:tcPr>
          <w:p w14:paraId="143753D9" w14:textId="77777777" w:rsidR="00AD3831" w:rsidRPr="009F3426" w:rsidRDefault="00AD3831" w:rsidP="00AD3831">
            <w:pPr>
              <w:pStyle w:val="TableTextEntries"/>
            </w:pPr>
            <w:r w:rsidRPr="009F3426">
              <w:t>2011</w:t>
            </w:r>
            <w:r w:rsidR="00C66548" w:rsidRPr="009F3426">
              <w:t>*</w:t>
            </w:r>
          </w:p>
        </w:tc>
        <w:tc>
          <w:tcPr>
            <w:tcW w:w="397" w:type="pct"/>
            <w:gridSpan w:val="2"/>
            <w:shd w:val="clear" w:color="auto" w:fill="92D050"/>
            <w:noWrap/>
          </w:tcPr>
          <w:p w14:paraId="143753DA" w14:textId="77777777" w:rsidR="00AD3831" w:rsidRPr="009F3426" w:rsidRDefault="00C66548" w:rsidP="00AD3831">
            <w:pPr>
              <w:pStyle w:val="TableTextEntries"/>
              <w:jc w:val="center"/>
            </w:pPr>
            <w:r w:rsidRPr="009F3426">
              <w:t>5</w:t>
            </w:r>
          </w:p>
        </w:tc>
        <w:tc>
          <w:tcPr>
            <w:tcW w:w="331" w:type="pct"/>
            <w:shd w:val="clear" w:color="auto" w:fill="92D050"/>
            <w:noWrap/>
          </w:tcPr>
          <w:p w14:paraId="143753DB" w14:textId="77777777" w:rsidR="00AD3831" w:rsidRPr="009F3426" w:rsidRDefault="00C66548" w:rsidP="00AD3831">
            <w:pPr>
              <w:pStyle w:val="TableTextEntries"/>
              <w:jc w:val="center"/>
            </w:pPr>
            <w:r w:rsidRPr="009F3426">
              <w:t>5</w:t>
            </w:r>
          </w:p>
        </w:tc>
        <w:tc>
          <w:tcPr>
            <w:tcW w:w="330" w:type="pct"/>
            <w:shd w:val="clear" w:color="auto" w:fill="92D050"/>
            <w:noWrap/>
          </w:tcPr>
          <w:p w14:paraId="143753DC" w14:textId="77777777" w:rsidR="00AD3831" w:rsidRPr="009F3426" w:rsidRDefault="00C66548" w:rsidP="00AD3831">
            <w:pPr>
              <w:pStyle w:val="TableTextEntries"/>
              <w:jc w:val="center"/>
            </w:pPr>
            <w:r w:rsidRPr="009F3426">
              <w:t>5</w:t>
            </w:r>
          </w:p>
        </w:tc>
        <w:tc>
          <w:tcPr>
            <w:tcW w:w="330" w:type="pct"/>
            <w:shd w:val="clear" w:color="auto" w:fill="92D050"/>
            <w:noWrap/>
          </w:tcPr>
          <w:p w14:paraId="143753DD" w14:textId="77777777" w:rsidR="00AD3831" w:rsidRPr="009F3426" w:rsidRDefault="00C66548" w:rsidP="00AD3831">
            <w:pPr>
              <w:pStyle w:val="TableTextEntries"/>
              <w:jc w:val="center"/>
            </w:pPr>
            <w:r w:rsidRPr="009F3426">
              <w:t>5</w:t>
            </w:r>
          </w:p>
        </w:tc>
        <w:tc>
          <w:tcPr>
            <w:tcW w:w="330" w:type="pct"/>
            <w:shd w:val="clear" w:color="auto" w:fill="92D050"/>
            <w:noWrap/>
          </w:tcPr>
          <w:p w14:paraId="143753DE" w14:textId="77777777" w:rsidR="00AD3831" w:rsidRPr="009F3426" w:rsidRDefault="00C66548" w:rsidP="00AD3831">
            <w:pPr>
              <w:pStyle w:val="TableTextEntries"/>
              <w:jc w:val="center"/>
            </w:pPr>
            <w:r w:rsidRPr="009F3426">
              <w:t>5</w:t>
            </w:r>
          </w:p>
        </w:tc>
        <w:tc>
          <w:tcPr>
            <w:tcW w:w="330" w:type="pct"/>
            <w:shd w:val="clear" w:color="auto" w:fill="92D050"/>
            <w:noWrap/>
          </w:tcPr>
          <w:p w14:paraId="143753DF" w14:textId="77777777" w:rsidR="00AD3831" w:rsidRPr="009F3426" w:rsidRDefault="00C66548" w:rsidP="00AD3831">
            <w:pPr>
              <w:pStyle w:val="TableTextEntries"/>
              <w:jc w:val="center"/>
            </w:pPr>
            <w:r w:rsidRPr="009F3426">
              <w:t>5</w:t>
            </w:r>
          </w:p>
        </w:tc>
        <w:tc>
          <w:tcPr>
            <w:tcW w:w="330" w:type="pct"/>
            <w:shd w:val="clear" w:color="auto" w:fill="auto"/>
            <w:noWrap/>
          </w:tcPr>
          <w:p w14:paraId="143753E0" w14:textId="77777777" w:rsidR="00AD3831" w:rsidRPr="009F3426" w:rsidRDefault="00C66548" w:rsidP="00AD3831">
            <w:pPr>
              <w:pStyle w:val="TableTextEntries"/>
              <w:jc w:val="center"/>
            </w:pPr>
            <w:r w:rsidRPr="009F3426">
              <w:t>n/a</w:t>
            </w:r>
          </w:p>
        </w:tc>
      </w:tr>
      <w:tr w:rsidR="0074537D" w:rsidRPr="00FE4491" w14:paraId="143753EC"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3E2" w14:textId="77777777" w:rsidR="00AD3831" w:rsidRPr="00FE4491" w:rsidRDefault="0055213F" w:rsidP="00AD3831">
            <w:pPr>
              <w:pStyle w:val="TableTextEntries"/>
            </w:pPr>
            <w:r>
              <w:t>School Reconstruction</w:t>
            </w:r>
            <w:r>
              <w:rPr>
                <w:rStyle w:val="FootnoteReference"/>
              </w:rPr>
              <w:footnoteReference w:id="16"/>
            </w:r>
          </w:p>
        </w:tc>
        <w:tc>
          <w:tcPr>
            <w:tcW w:w="486" w:type="pct"/>
            <w:vMerge w:val="restart"/>
          </w:tcPr>
          <w:p w14:paraId="143753E3" w14:textId="77777777" w:rsidR="00AD3831" w:rsidRPr="00FE4491" w:rsidRDefault="00DF587E" w:rsidP="00D95DC5">
            <w:pPr>
              <w:pStyle w:val="TableTextEntries"/>
            </w:pPr>
            <w:r>
              <w:t xml:space="preserve">$7.1m </w:t>
            </w:r>
            <w:r>
              <w:br/>
              <w:t>2 years</w:t>
            </w:r>
          </w:p>
        </w:tc>
        <w:tc>
          <w:tcPr>
            <w:tcW w:w="494" w:type="pct"/>
          </w:tcPr>
          <w:p w14:paraId="143753E4" w14:textId="77777777" w:rsidR="00AD3831" w:rsidRPr="009F3426" w:rsidRDefault="00AD3831" w:rsidP="00AD3831">
            <w:pPr>
              <w:pStyle w:val="TableTextEntries"/>
            </w:pPr>
            <w:r w:rsidRPr="009F3426">
              <w:t>2012</w:t>
            </w:r>
          </w:p>
        </w:tc>
        <w:tc>
          <w:tcPr>
            <w:tcW w:w="397" w:type="pct"/>
            <w:gridSpan w:val="2"/>
            <w:shd w:val="clear" w:color="auto" w:fill="92D050"/>
            <w:noWrap/>
          </w:tcPr>
          <w:p w14:paraId="143753E5" w14:textId="77777777" w:rsidR="00AD3831" w:rsidRPr="009F3426" w:rsidRDefault="004F25BD" w:rsidP="00AD3831">
            <w:pPr>
              <w:pStyle w:val="TableTextEntries"/>
              <w:jc w:val="center"/>
            </w:pPr>
            <w:r w:rsidRPr="009F3426">
              <w:t>6</w:t>
            </w:r>
          </w:p>
        </w:tc>
        <w:tc>
          <w:tcPr>
            <w:tcW w:w="331" w:type="pct"/>
            <w:shd w:val="clear" w:color="auto" w:fill="92D050"/>
            <w:noWrap/>
          </w:tcPr>
          <w:p w14:paraId="143753E6" w14:textId="77777777" w:rsidR="00AD3831" w:rsidRPr="009F3426" w:rsidRDefault="004F25BD" w:rsidP="00AD3831">
            <w:pPr>
              <w:pStyle w:val="TableTextEntries"/>
              <w:jc w:val="center"/>
            </w:pPr>
            <w:r w:rsidRPr="009F3426">
              <w:t>5</w:t>
            </w:r>
          </w:p>
        </w:tc>
        <w:tc>
          <w:tcPr>
            <w:tcW w:w="330" w:type="pct"/>
            <w:shd w:val="clear" w:color="auto" w:fill="92D050"/>
            <w:noWrap/>
          </w:tcPr>
          <w:p w14:paraId="143753E7" w14:textId="77777777" w:rsidR="00AD3831" w:rsidRPr="009F3426" w:rsidRDefault="004F25BD" w:rsidP="00AD3831">
            <w:pPr>
              <w:pStyle w:val="TableTextEntries"/>
              <w:jc w:val="center"/>
            </w:pPr>
            <w:r w:rsidRPr="009F3426">
              <w:t>5</w:t>
            </w:r>
          </w:p>
        </w:tc>
        <w:tc>
          <w:tcPr>
            <w:tcW w:w="330" w:type="pct"/>
            <w:shd w:val="clear" w:color="auto" w:fill="92D050"/>
            <w:noWrap/>
          </w:tcPr>
          <w:p w14:paraId="143753E8" w14:textId="77777777" w:rsidR="00AD3831" w:rsidRPr="009F3426" w:rsidRDefault="004F25BD" w:rsidP="00AD3831">
            <w:pPr>
              <w:pStyle w:val="TableTextEntries"/>
              <w:jc w:val="center"/>
            </w:pPr>
            <w:r w:rsidRPr="009F3426">
              <w:t>5</w:t>
            </w:r>
          </w:p>
        </w:tc>
        <w:tc>
          <w:tcPr>
            <w:tcW w:w="330" w:type="pct"/>
            <w:shd w:val="clear" w:color="auto" w:fill="92D050"/>
            <w:noWrap/>
          </w:tcPr>
          <w:p w14:paraId="143753E9" w14:textId="77777777" w:rsidR="00AD3831" w:rsidRPr="009F3426" w:rsidRDefault="004F25BD" w:rsidP="00AD3831">
            <w:pPr>
              <w:pStyle w:val="TableTextEntries"/>
              <w:jc w:val="center"/>
            </w:pPr>
            <w:r w:rsidRPr="009F3426">
              <w:t>5</w:t>
            </w:r>
          </w:p>
        </w:tc>
        <w:tc>
          <w:tcPr>
            <w:tcW w:w="330" w:type="pct"/>
            <w:shd w:val="clear" w:color="auto" w:fill="92D050"/>
            <w:noWrap/>
          </w:tcPr>
          <w:p w14:paraId="143753EA" w14:textId="77777777" w:rsidR="00AD3831" w:rsidRPr="009F3426" w:rsidRDefault="004F25BD" w:rsidP="00AD3831">
            <w:pPr>
              <w:pStyle w:val="TableTextEntries"/>
              <w:jc w:val="center"/>
            </w:pPr>
            <w:r w:rsidRPr="009F3426">
              <w:t>5</w:t>
            </w:r>
          </w:p>
        </w:tc>
        <w:tc>
          <w:tcPr>
            <w:tcW w:w="330" w:type="pct"/>
            <w:shd w:val="clear" w:color="auto" w:fill="FFC000"/>
            <w:noWrap/>
          </w:tcPr>
          <w:p w14:paraId="143753EB" w14:textId="77777777" w:rsidR="00AD3831" w:rsidRPr="009F3426" w:rsidRDefault="004F25BD" w:rsidP="00AD3831">
            <w:pPr>
              <w:pStyle w:val="TableTextEntries"/>
              <w:jc w:val="center"/>
            </w:pPr>
            <w:r w:rsidRPr="009F3426">
              <w:t>I</w:t>
            </w:r>
          </w:p>
        </w:tc>
      </w:tr>
      <w:tr w:rsidR="0074537D" w:rsidRPr="00FE4491" w14:paraId="143753F7" w14:textId="77777777" w:rsidTr="0074537D">
        <w:trPr>
          <w:tblHeader w:val="0"/>
        </w:trPr>
        <w:tc>
          <w:tcPr>
            <w:tcW w:w="1460" w:type="pct"/>
            <w:vMerge/>
          </w:tcPr>
          <w:p w14:paraId="143753ED" w14:textId="77777777" w:rsidR="00AD3831" w:rsidRPr="00FE4491" w:rsidRDefault="00AD3831" w:rsidP="00AD3831">
            <w:pPr>
              <w:pStyle w:val="TableTextEntries"/>
            </w:pPr>
          </w:p>
        </w:tc>
        <w:tc>
          <w:tcPr>
            <w:tcW w:w="486" w:type="pct"/>
            <w:vMerge/>
          </w:tcPr>
          <w:p w14:paraId="143753EE" w14:textId="77777777" w:rsidR="00AD3831" w:rsidRPr="00FE4491" w:rsidRDefault="00AD3831" w:rsidP="00AD3831">
            <w:pPr>
              <w:pStyle w:val="TableTextEntries"/>
            </w:pPr>
          </w:p>
        </w:tc>
        <w:tc>
          <w:tcPr>
            <w:tcW w:w="494" w:type="pct"/>
          </w:tcPr>
          <w:p w14:paraId="143753EF" w14:textId="77777777" w:rsidR="00AD3831" w:rsidRPr="009F3426" w:rsidRDefault="00AD3831" w:rsidP="00AD3831">
            <w:pPr>
              <w:pStyle w:val="TableTextEntries"/>
            </w:pPr>
            <w:r w:rsidRPr="009F3426">
              <w:t>2011</w:t>
            </w:r>
          </w:p>
        </w:tc>
        <w:tc>
          <w:tcPr>
            <w:tcW w:w="397" w:type="pct"/>
            <w:gridSpan w:val="2"/>
            <w:shd w:val="clear" w:color="auto" w:fill="92D050"/>
            <w:noWrap/>
          </w:tcPr>
          <w:p w14:paraId="143753F0" w14:textId="77777777" w:rsidR="00AD3831" w:rsidRPr="009F3426" w:rsidRDefault="00526BF6" w:rsidP="00AD3831">
            <w:pPr>
              <w:pStyle w:val="TableTextEntries"/>
              <w:jc w:val="center"/>
            </w:pPr>
            <w:r w:rsidRPr="009F3426">
              <w:t>6</w:t>
            </w:r>
          </w:p>
        </w:tc>
        <w:tc>
          <w:tcPr>
            <w:tcW w:w="331" w:type="pct"/>
            <w:shd w:val="clear" w:color="auto" w:fill="92D050"/>
            <w:noWrap/>
          </w:tcPr>
          <w:p w14:paraId="143753F1" w14:textId="77777777" w:rsidR="00AD3831" w:rsidRPr="009F3426" w:rsidRDefault="00526BF6" w:rsidP="00AD3831">
            <w:pPr>
              <w:pStyle w:val="TableTextEntries"/>
              <w:jc w:val="center"/>
            </w:pPr>
            <w:r w:rsidRPr="009F3426">
              <w:t>5</w:t>
            </w:r>
          </w:p>
        </w:tc>
        <w:tc>
          <w:tcPr>
            <w:tcW w:w="330" w:type="pct"/>
            <w:shd w:val="clear" w:color="auto" w:fill="92D050"/>
            <w:noWrap/>
          </w:tcPr>
          <w:p w14:paraId="143753F2" w14:textId="77777777" w:rsidR="00AD3831" w:rsidRPr="009F3426" w:rsidRDefault="00526BF6" w:rsidP="00AD3831">
            <w:pPr>
              <w:pStyle w:val="TableTextEntries"/>
              <w:jc w:val="center"/>
            </w:pPr>
            <w:r w:rsidRPr="009F3426">
              <w:t>5</w:t>
            </w:r>
          </w:p>
        </w:tc>
        <w:tc>
          <w:tcPr>
            <w:tcW w:w="330" w:type="pct"/>
            <w:shd w:val="clear" w:color="auto" w:fill="92D050"/>
            <w:noWrap/>
          </w:tcPr>
          <w:p w14:paraId="143753F3" w14:textId="77777777" w:rsidR="00AD3831" w:rsidRPr="009F3426" w:rsidRDefault="00526BF6" w:rsidP="00AD3831">
            <w:pPr>
              <w:pStyle w:val="TableTextEntries"/>
              <w:jc w:val="center"/>
            </w:pPr>
            <w:r w:rsidRPr="009F3426">
              <w:t>5</w:t>
            </w:r>
          </w:p>
        </w:tc>
        <w:tc>
          <w:tcPr>
            <w:tcW w:w="330" w:type="pct"/>
            <w:shd w:val="clear" w:color="auto" w:fill="92D050"/>
            <w:noWrap/>
          </w:tcPr>
          <w:p w14:paraId="143753F4" w14:textId="77777777" w:rsidR="00AD3831" w:rsidRPr="009F3426" w:rsidRDefault="00526BF6" w:rsidP="00AD3831">
            <w:pPr>
              <w:pStyle w:val="TableTextEntries"/>
              <w:jc w:val="center"/>
            </w:pPr>
            <w:r w:rsidRPr="009F3426">
              <w:t>5</w:t>
            </w:r>
          </w:p>
        </w:tc>
        <w:tc>
          <w:tcPr>
            <w:tcW w:w="330" w:type="pct"/>
            <w:shd w:val="clear" w:color="auto" w:fill="92D050"/>
            <w:noWrap/>
          </w:tcPr>
          <w:p w14:paraId="143753F5" w14:textId="77777777" w:rsidR="00AD3831" w:rsidRPr="009F3426" w:rsidRDefault="00526BF6" w:rsidP="00AD3831">
            <w:pPr>
              <w:pStyle w:val="TableTextEntries"/>
              <w:jc w:val="center"/>
            </w:pPr>
            <w:r w:rsidRPr="009F3426">
              <w:t>5</w:t>
            </w:r>
          </w:p>
        </w:tc>
        <w:tc>
          <w:tcPr>
            <w:tcW w:w="330" w:type="pct"/>
            <w:shd w:val="clear" w:color="auto" w:fill="FFC000"/>
            <w:noWrap/>
          </w:tcPr>
          <w:p w14:paraId="143753F6" w14:textId="77777777" w:rsidR="00AD3831" w:rsidRPr="009F3426" w:rsidRDefault="00AD3831" w:rsidP="00AD3831">
            <w:pPr>
              <w:pStyle w:val="TableTextEntries"/>
              <w:jc w:val="center"/>
            </w:pPr>
            <w:r w:rsidRPr="009F3426">
              <w:t>I</w:t>
            </w:r>
          </w:p>
        </w:tc>
      </w:tr>
      <w:tr w:rsidR="0074537D" w:rsidRPr="00FE4491" w14:paraId="14375402"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3F8" w14:textId="77777777" w:rsidR="00AD3831" w:rsidRPr="00FE4491" w:rsidRDefault="004F25BD" w:rsidP="00AD3831">
            <w:pPr>
              <w:pStyle w:val="TableTextEntries"/>
            </w:pPr>
            <w:r>
              <w:t xml:space="preserve">Mine Action </w:t>
            </w:r>
            <w:r w:rsidR="00C66548">
              <w:t xml:space="preserve"> </w:t>
            </w:r>
          </w:p>
        </w:tc>
        <w:tc>
          <w:tcPr>
            <w:tcW w:w="486" w:type="pct"/>
            <w:vMerge w:val="restart"/>
          </w:tcPr>
          <w:p w14:paraId="143753F9" w14:textId="77777777" w:rsidR="00AD3831" w:rsidRPr="00FE4491" w:rsidRDefault="00DF587E" w:rsidP="00D95DC5">
            <w:pPr>
              <w:pStyle w:val="TableTextEntries"/>
            </w:pPr>
            <w:r>
              <w:t xml:space="preserve">$6m </w:t>
            </w:r>
            <w:r>
              <w:br/>
              <w:t>3 years</w:t>
            </w:r>
          </w:p>
        </w:tc>
        <w:tc>
          <w:tcPr>
            <w:tcW w:w="494" w:type="pct"/>
          </w:tcPr>
          <w:p w14:paraId="143753FA" w14:textId="77777777" w:rsidR="00AD3831" w:rsidRPr="009F3426" w:rsidRDefault="00AD3831" w:rsidP="00AD3831">
            <w:pPr>
              <w:pStyle w:val="TableTextEntries"/>
            </w:pPr>
            <w:r w:rsidRPr="009F3426">
              <w:t>2012</w:t>
            </w:r>
          </w:p>
        </w:tc>
        <w:tc>
          <w:tcPr>
            <w:tcW w:w="397" w:type="pct"/>
            <w:gridSpan w:val="2"/>
            <w:shd w:val="clear" w:color="auto" w:fill="92D050"/>
            <w:noWrap/>
          </w:tcPr>
          <w:p w14:paraId="143753FB" w14:textId="77777777" w:rsidR="00AD3831" w:rsidRPr="009F3426" w:rsidRDefault="004F25BD" w:rsidP="00AD3831">
            <w:pPr>
              <w:pStyle w:val="TableTextEntries"/>
              <w:jc w:val="center"/>
            </w:pPr>
            <w:r w:rsidRPr="009F3426">
              <w:t>6</w:t>
            </w:r>
          </w:p>
        </w:tc>
        <w:tc>
          <w:tcPr>
            <w:tcW w:w="331" w:type="pct"/>
            <w:shd w:val="clear" w:color="auto" w:fill="92D050"/>
            <w:noWrap/>
          </w:tcPr>
          <w:p w14:paraId="143753FC" w14:textId="77777777" w:rsidR="00AD3831" w:rsidRPr="009F3426" w:rsidRDefault="004F25BD" w:rsidP="00AD3831">
            <w:pPr>
              <w:pStyle w:val="TableTextEntries"/>
              <w:jc w:val="center"/>
            </w:pPr>
            <w:r w:rsidRPr="009F3426">
              <w:t>5</w:t>
            </w:r>
          </w:p>
        </w:tc>
        <w:tc>
          <w:tcPr>
            <w:tcW w:w="330" w:type="pct"/>
            <w:shd w:val="clear" w:color="auto" w:fill="92D050"/>
            <w:noWrap/>
          </w:tcPr>
          <w:p w14:paraId="143753FD" w14:textId="77777777" w:rsidR="00AD3831" w:rsidRPr="009F3426" w:rsidRDefault="004F25BD" w:rsidP="00AD3831">
            <w:pPr>
              <w:pStyle w:val="TableTextEntries"/>
              <w:jc w:val="center"/>
            </w:pPr>
            <w:r w:rsidRPr="009F3426">
              <w:t>5</w:t>
            </w:r>
          </w:p>
        </w:tc>
        <w:tc>
          <w:tcPr>
            <w:tcW w:w="330" w:type="pct"/>
            <w:shd w:val="clear" w:color="auto" w:fill="FFFF00"/>
            <w:noWrap/>
          </w:tcPr>
          <w:p w14:paraId="143753FE" w14:textId="77777777" w:rsidR="00AD3831" w:rsidRPr="009F3426" w:rsidRDefault="004F25BD" w:rsidP="00AD3831">
            <w:pPr>
              <w:pStyle w:val="TableTextEntries"/>
              <w:jc w:val="center"/>
            </w:pPr>
            <w:r w:rsidRPr="009F3426">
              <w:t>4</w:t>
            </w:r>
          </w:p>
        </w:tc>
        <w:tc>
          <w:tcPr>
            <w:tcW w:w="330" w:type="pct"/>
            <w:shd w:val="clear" w:color="auto" w:fill="FFC000"/>
            <w:noWrap/>
          </w:tcPr>
          <w:p w14:paraId="143753FF" w14:textId="77777777" w:rsidR="00AD3831" w:rsidRPr="009F3426" w:rsidRDefault="004F25BD" w:rsidP="00AD3831">
            <w:pPr>
              <w:pStyle w:val="TableTextEntries"/>
              <w:jc w:val="center"/>
            </w:pPr>
            <w:r w:rsidRPr="009F3426">
              <w:t>3</w:t>
            </w:r>
          </w:p>
        </w:tc>
        <w:tc>
          <w:tcPr>
            <w:tcW w:w="330" w:type="pct"/>
            <w:shd w:val="clear" w:color="auto" w:fill="92D050"/>
            <w:noWrap/>
          </w:tcPr>
          <w:p w14:paraId="14375400" w14:textId="77777777" w:rsidR="00AD3831" w:rsidRPr="009F3426" w:rsidRDefault="004F25BD" w:rsidP="00AD3831">
            <w:pPr>
              <w:pStyle w:val="TableTextEntries"/>
              <w:jc w:val="center"/>
            </w:pPr>
            <w:r w:rsidRPr="009F3426">
              <w:t>5</w:t>
            </w:r>
          </w:p>
        </w:tc>
        <w:tc>
          <w:tcPr>
            <w:tcW w:w="330" w:type="pct"/>
            <w:shd w:val="clear" w:color="auto" w:fill="FFC000"/>
            <w:noWrap/>
          </w:tcPr>
          <w:p w14:paraId="14375401" w14:textId="77777777" w:rsidR="00AD3831" w:rsidRPr="009F3426" w:rsidRDefault="004F25BD" w:rsidP="00AD3831">
            <w:pPr>
              <w:pStyle w:val="TableTextEntries"/>
              <w:jc w:val="center"/>
            </w:pPr>
            <w:r w:rsidRPr="009F3426">
              <w:t>I</w:t>
            </w:r>
          </w:p>
        </w:tc>
      </w:tr>
      <w:tr w:rsidR="0074537D" w:rsidRPr="00FE4491" w14:paraId="1437540D" w14:textId="77777777" w:rsidTr="0074537D">
        <w:trPr>
          <w:tblHeader w:val="0"/>
        </w:trPr>
        <w:tc>
          <w:tcPr>
            <w:tcW w:w="1460" w:type="pct"/>
            <w:vMerge/>
          </w:tcPr>
          <w:p w14:paraId="14375403" w14:textId="77777777" w:rsidR="00AD3831" w:rsidRPr="00FE4491" w:rsidRDefault="00AD3831" w:rsidP="00AD3831">
            <w:pPr>
              <w:pStyle w:val="TableTextEntries"/>
            </w:pPr>
          </w:p>
        </w:tc>
        <w:tc>
          <w:tcPr>
            <w:tcW w:w="486" w:type="pct"/>
            <w:vMerge/>
          </w:tcPr>
          <w:p w14:paraId="14375404" w14:textId="77777777" w:rsidR="00AD3831" w:rsidRPr="00FE4491" w:rsidRDefault="00AD3831" w:rsidP="00AD3831">
            <w:pPr>
              <w:pStyle w:val="TableTextEntries"/>
            </w:pPr>
          </w:p>
        </w:tc>
        <w:tc>
          <w:tcPr>
            <w:tcW w:w="494" w:type="pct"/>
          </w:tcPr>
          <w:p w14:paraId="14375405" w14:textId="77777777" w:rsidR="00AD3831" w:rsidRPr="009F3426" w:rsidRDefault="00AD3831" w:rsidP="00AD3831">
            <w:pPr>
              <w:pStyle w:val="TableTextEntries"/>
            </w:pPr>
            <w:r w:rsidRPr="009F3426">
              <w:t>2011</w:t>
            </w:r>
            <w:r w:rsidR="00A66454" w:rsidRPr="009F3426">
              <w:rPr>
                <w:rStyle w:val="FootnoteReference"/>
              </w:rPr>
              <w:footnoteReference w:id="17"/>
            </w:r>
          </w:p>
        </w:tc>
        <w:tc>
          <w:tcPr>
            <w:tcW w:w="397" w:type="pct"/>
            <w:gridSpan w:val="2"/>
            <w:noWrap/>
          </w:tcPr>
          <w:p w14:paraId="14375406" w14:textId="77777777" w:rsidR="00AD3831" w:rsidRPr="009F3426" w:rsidRDefault="00342E31" w:rsidP="00342E31">
            <w:pPr>
              <w:pStyle w:val="TableTextEntries"/>
              <w:jc w:val="center"/>
            </w:pPr>
            <w:r>
              <w:t>–</w:t>
            </w:r>
          </w:p>
        </w:tc>
        <w:tc>
          <w:tcPr>
            <w:tcW w:w="331" w:type="pct"/>
            <w:noWrap/>
          </w:tcPr>
          <w:p w14:paraId="14375407" w14:textId="77777777" w:rsidR="00AD3831" w:rsidRPr="009F3426" w:rsidRDefault="00342E31" w:rsidP="00342E31">
            <w:pPr>
              <w:pStyle w:val="TableTextEntries"/>
              <w:jc w:val="center"/>
            </w:pPr>
            <w:r>
              <w:t>–</w:t>
            </w:r>
          </w:p>
        </w:tc>
        <w:tc>
          <w:tcPr>
            <w:tcW w:w="330" w:type="pct"/>
            <w:noWrap/>
          </w:tcPr>
          <w:p w14:paraId="14375408" w14:textId="77777777" w:rsidR="00AD3831" w:rsidRPr="009F3426" w:rsidRDefault="00342E31" w:rsidP="00342E31">
            <w:pPr>
              <w:pStyle w:val="TableTextEntries"/>
              <w:jc w:val="center"/>
            </w:pPr>
            <w:r>
              <w:t>–</w:t>
            </w:r>
          </w:p>
        </w:tc>
        <w:tc>
          <w:tcPr>
            <w:tcW w:w="330" w:type="pct"/>
            <w:noWrap/>
          </w:tcPr>
          <w:p w14:paraId="14375409" w14:textId="77777777" w:rsidR="00AD3831" w:rsidRPr="009F3426" w:rsidRDefault="00342E31" w:rsidP="00342E31">
            <w:pPr>
              <w:pStyle w:val="TableTextEntries"/>
              <w:jc w:val="center"/>
            </w:pPr>
            <w:r>
              <w:t>–</w:t>
            </w:r>
          </w:p>
        </w:tc>
        <w:tc>
          <w:tcPr>
            <w:tcW w:w="330" w:type="pct"/>
            <w:noWrap/>
          </w:tcPr>
          <w:p w14:paraId="1437540A" w14:textId="77777777" w:rsidR="00AD3831" w:rsidRPr="009F3426" w:rsidRDefault="00342E31" w:rsidP="00342E31">
            <w:pPr>
              <w:pStyle w:val="TableTextEntries"/>
              <w:jc w:val="center"/>
            </w:pPr>
            <w:r>
              <w:t>–</w:t>
            </w:r>
          </w:p>
        </w:tc>
        <w:tc>
          <w:tcPr>
            <w:tcW w:w="330" w:type="pct"/>
            <w:noWrap/>
          </w:tcPr>
          <w:p w14:paraId="1437540B" w14:textId="77777777" w:rsidR="00AD3831" w:rsidRPr="009F3426" w:rsidRDefault="00342E31" w:rsidP="00342E31">
            <w:pPr>
              <w:pStyle w:val="TableTextEntries"/>
              <w:jc w:val="center"/>
            </w:pPr>
            <w:r>
              <w:t>–</w:t>
            </w:r>
          </w:p>
        </w:tc>
        <w:tc>
          <w:tcPr>
            <w:tcW w:w="330" w:type="pct"/>
            <w:shd w:val="clear" w:color="auto" w:fill="auto"/>
            <w:noWrap/>
          </w:tcPr>
          <w:p w14:paraId="1437540C" w14:textId="77777777" w:rsidR="00AD3831" w:rsidRPr="009F3426" w:rsidRDefault="00342E31" w:rsidP="00342E31">
            <w:pPr>
              <w:pStyle w:val="TableTextEntries"/>
              <w:jc w:val="center"/>
            </w:pPr>
            <w:r>
              <w:t>–</w:t>
            </w:r>
          </w:p>
        </w:tc>
      </w:tr>
      <w:tr w:rsidR="0074537D" w:rsidRPr="00FE4491" w14:paraId="14375418"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40E" w14:textId="7522C799" w:rsidR="003008F4" w:rsidRPr="00FE4491" w:rsidRDefault="00342E31" w:rsidP="00F40D38">
            <w:pPr>
              <w:pStyle w:val="TableTextEntries"/>
            </w:pPr>
            <w:r w:rsidRPr="00EE5950">
              <w:t>North and East Local Services Improvement Project</w:t>
            </w:r>
            <w:r>
              <w:t xml:space="preserve"> </w:t>
            </w:r>
          </w:p>
        </w:tc>
        <w:tc>
          <w:tcPr>
            <w:tcW w:w="486" w:type="pct"/>
            <w:vMerge w:val="restart"/>
          </w:tcPr>
          <w:p w14:paraId="1437540F" w14:textId="5250412D" w:rsidR="003008F4" w:rsidRPr="00FE4491" w:rsidRDefault="00DF587E" w:rsidP="00F40D38">
            <w:pPr>
              <w:pStyle w:val="TableTextEntries"/>
            </w:pPr>
            <w:r>
              <w:t>$</w:t>
            </w:r>
            <w:r w:rsidR="00F40D38">
              <w:t>25.4</w:t>
            </w:r>
            <w:r>
              <w:t>m</w:t>
            </w:r>
            <w:r>
              <w:br/>
              <w:t>4 years</w:t>
            </w:r>
          </w:p>
        </w:tc>
        <w:tc>
          <w:tcPr>
            <w:tcW w:w="494" w:type="pct"/>
          </w:tcPr>
          <w:p w14:paraId="14375410" w14:textId="77777777" w:rsidR="003008F4" w:rsidRPr="009F3426" w:rsidRDefault="003008F4" w:rsidP="0055213F">
            <w:pPr>
              <w:pStyle w:val="TableTextEntries"/>
            </w:pPr>
            <w:r w:rsidRPr="009F3426">
              <w:t>2012</w:t>
            </w:r>
          </w:p>
        </w:tc>
        <w:tc>
          <w:tcPr>
            <w:tcW w:w="397" w:type="pct"/>
            <w:gridSpan w:val="2"/>
            <w:shd w:val="clear" w:color="auto" w:fill="92D050"/>
            <w:noWrap/>
          </w:tcPr>
          <w:p w14:paraId="14375411" w14:textId="77777777" w:rsidR="003008F4" w:rsidRPr="009F3426" w:rsidRDefault="004F25BD" w:rsidP="0055213F">
            <w:pPr>
              <w:pStyle w:val="TableTextEntries"/>
              <w:jc w:val="center"/>
            </w:pPr>
            <w:r w:rsidRPr="009F3426">
              <w:t>6</w:t>
            </w:r>
          </w:p>
        </w:tc>
        <w:tc>
          <w:tcPr>
            <w:tcW w:w="331" w:type="pct"/>
            <w:shd w:val="clear" w:color="auto" w:fill="FF0000"/>
            <w:noWrap/>
          </w:tcPr>
          <w:p w14:paraId="14375412" w14:textId="77777777" w:rsidR="003008F4" w:rsidRPr="009F3426" w:rsidRDefault="00132A5D" w:rsidP="0055213F">
            <w:pPr>
              <w:pStyle w:val="TableTextEntries"/>
              <w:jc w:val="center"/>
            </w:pPr>
            <w:r>
              <w:t>2</w:t>
            </w:r>
          </w:p>
        </w:tc>
        <w:tc>
          <w:tcPr>
            <w:tcW w:w="330" w:type="pct"/>
            <w:shd w:val="clear" w:color="auto" w:fill="FF0000"/>
            <w:noWrap/>
          </w:tcPr>
          <w:p w14:paraId="14375413" w14:textId="77777777" w:rsidR="003008F4" w:rsidRPr="009F3426" w:rsidRDefault="00132A5D" w:rsidP="0055213F">
            <w:pPr>
              <w:pStyle w:val="TableTextEntries"/>
              <w:jc w:val="center"/>
            </w:pPr>
            <w:r>
              <w:t>2</w:t>
            </w:r>
          </w:p>
        </w:tc>
        <w:tc>
          <w:tcPr>
            <w:tcW w:w="330" w:type="pct"/>
            <w:shd w:val="clear" w:color="auto" w:fill="FFFF00"/>
            <w:noWrap/>
          </w:tcPr>
          <w:p w14:paraId="14375414" w14:textId="77777777" w:rsidR="003008F4" w:rsidRPr="009F3426" w:rsidRDefault="004F25BD" w:rsidP="0055213F">
            <w:pPr>
              <w:pStyle w:val="TableTextEntries"/>
              <w:jc w:val="center"/>
            </w:pPr>
            <w:r w:rsidRPr="009F3426">
              <w:t>4</w:t>
            </w:r>
          </w:p>
        </w:tc>
        <w:tc>
          <w:tcPr>
            <w:tcW w:w="330" w:type="pct"/>
            <w:shd w:val="clear" w:color="auto" w:fill="FFFF00"/>
            <w:noWrap/>
          </w:tcPr>
          <w:p w14:paraId="14375415" w14:textId="77777777" w:rsidR="003008F4" w:rsidRPr="009F3426" w:rsidRDefault="004F25BD" w:rsidP="0055213F">
            <w:pPr>
              <w:pStyle w:val="TableTextEntries"/>
              <w:jc w:val="center"/>
            </w:pPr>
            <w:r w:rsidRPr="009F3426">
              <w:t>4</w:t>
            </w:r>
          </w:p>
        </w:tc>
        <w:tc>
          <w:tcPr>
            <w:tcW w:w="330" w:type="pct"/>
            <w:shd w:val="clear" w:color="auto" w:fill="FFFF00"/>
            <w:noWrap/>
          </w:tcPr>
          <w:p w14:paraId="14375416" w14:textId="77777777" w:rsidR="003008F4" w:rsidRPr="009F3426" w:rsidRDefault="004F25BD" w:rsidP="0055213F">
            <w:pPr>
              <w:pStyle w:val="TableTextEntries"/>
              <w:jc w:val="center"/>
            </w:pPr>
            <w:r w:rsidRPr="009F3426">
              <w:t>4</w:t>
            </w:r>
          </w:p>
        </w:tc>
        <w:tc>
          <w:tcPr>
            <w:tcW w:w="330" w:type="pct"/>
            <w:shd w:val="clear" w:color="auto" w:fill="FFC000"/>
            <w:noWrap/>
          </w:tcPr>
          <w:p w14:paraId="14375417" w14:textId="77777777" w:rsidR="003008F4" w:rsidRPr="009F3426" w:rsidRDefault="004F25BD" w:rsidP="0055213F">
            <w:pPr>
              <w:pStyle w:val="TableTextEntries"/>
              <w:jc w:val="center"/>
            </w:pPr>
            <w:r w:rsidRPr="009F3426">
              <w:t>I</w:t>
            </w:r>
          </w:p>
        </w:tc>
      </w:tr>
      <w:tr w:rsidR="0074537D" w:rsidRPr="00FE4491" w14:paraId="14375423" w14:textId="77777777" w:rsidTr="0074537D">
        <w:trPr>
          <w:tblHeader w:val="0"/>
        </w:trPr>
        <w:tc>
          <w:tcPr>
            <w:tcW w:w="1460" w:type="pct"/>
            <w:vMerge/>
          </w:tcPr>
          <w:p w14:paraId="14375419" w14:textId="77777777" w:rsidR="003008F4" w:rsidRPr="00FE4491" w:rsidRDefault="003008F4" w:rsidP="0055213F">
            <w:pPr>
              <w:pStyle w:val="TableTextEntries"/>
            </w:pPr>
          </w:p>
        </w:tc>
        <w:tc>
          <w:tcPr>
            <w:tcW w:w="486" w:type="pct"/>
            <w:vMerge/>
          </w:tcPr>
          <w:p w14:paraId="1437541A" w14:textId="77777777" w:rsidR="003008F4" w:rsidRPr="00FE4491" w:rsidRDefault="003008F4" w:rsidP="0055213F">
            <w:pPr>
              <w:pStyle w:val="TableTextEntries"/>
            </w:pPr>
          </w:p>
        </w:tc>
        <w:tc>
          <w:tcPr>
            <w:tcW w:w="494" w:type="pct"/>
          </w:tcPr>
          <w:p w14:paraId="1437541B" w14:textId="77777777" w:rsidR="003008F4" w:rsidRPr="009F3426" w:rsidRDefault="003008F4" w:rsidP="0055213F">
            <w:pPr>
              <w:pStyle w:val="TableTextEntries"/>
            </w:pPr>
            <w:r w:rsidRPr="009F3426">
              <w:t>2011</w:t>
            </w:r>
            <w:r w:rsidR="00C66548" w:rsidRPr="009F3426">
              <w:t>*</w:t>
            </w:r>
          </w:p>
        </w:tc>
        <w:tc>
          <w:tcPr>
            <w:tcW w:w="397" w:type="pct"/>
            <w:gridSpan w:val="2"/>
            <w:shd w:val="clear" w:color="auto" w:fill="92D050"/>
            <w:noWrap/>
          </w:tcPr>
          <w:p w14:paraId="1437541C" w14:textId="77777777" w:rsidR="003008F4" w:rsidRPr="009F3426" w:rsidRDefault="00BE1023" w:rsidP="0055213F">
            <w:pPr>
              <w:pStyle w:val="TableTextEntries"/>
              <w:jc w:val="center"/>
            </w:pPr>
            <w:r w:rsidRPr="009F3426">
              <w:t>6</w:t>
            </w:r>
          </w:p>
        </w:tc>
        <w:tc>
          <w:tcPr>
            <w:tcW w:w="331" w:type="pct"/>
            <w:shd w:val="clear" w:color="auto" w:fill="FFFF00"/>
            <w:noWrap/>
          </w:tcPr>
          <w:p w14:paraId="1437541D" w14:textId="77777777" w:rsidR="003008F4" w:rsidRPr="009F3426" w:rsidRDefault="00BE1023" w:rsidP="0055213F">
            <w:pPr>
              <w:pStyle w:val="TableTextEntries"/>
              <w:jc w:val="center"/>
            </w:pPr>
            <w:r w:rsidRPr="009F3426">
              <w:t>4</w:t>
            </w:r>
          </w:p>
        </w:tc>
        <w:tc>
          <w:tcPr>
            <w:tcW w:w="330" w:type="pct"/>
            <w:shd w:val="clear" w:color="auto" w:fill="92D050"/>
            <w:noWrap/>
          </w:tcPr>
          <w:p w14:paraId="1437541E" w14:textId="77777777" w:rsidR="003008F4" w:rsidRPr="009F3426" w:rsidRDefault="00BE1023" w:rsidP="0055213F">
            <w:pPr>
              <w:pStyle w:val="TableTextEntries"/>
              <w:jc w:val="center"/>
            </w:pPr>
            <w:r w:rsidRPr="009F3426">
              <w:t>5</w:t>
            </w:r>
          </w:p>
        </w:tc>
        <w:tc>
          <w:tcPr>
            <w:tcW w:w="330" w:type="pct"/>
            <w:shd w:val="clear" w:color="auto" w:fill="92D050"/>
            <w:noWrap/>
          </w:tcPr>
          <w:p w14:paraId="1437541F" w14:textId="77777777" w:rsidR="003008F4" w:rsidRPr="009F3426" w:rsidRDefault="00BE1023" w:rsidP="0055213F">
            <w:pPr>
              <w:pStyle w:val="TableTextEntries"/>
              <w:jc w:val="center"/>
            </w:pPr>
            <w:r w:rsidRPr="009F3426">
              <w:t>5</w:t>
            </w:r>
          </w:p>
        </w:tc>
        <w:tc>
          <w:tcPr>
            <w:tcW w:w="330" w:type="pct"/>
            <w:shd w:val="clear" w:color="auto" w:fill="FFFF00"/>
            <w:noWrap/>
          </w:tcPr>
          <w:p w14:paraId="14375420" w14:textId="77777777" w:rsidR="003008F4" w:rsidRPr="009F3426" w:rsidRDefault="00BE1023" w:rsidP="0055213F">
            <w:pPr>
              <w:pStyle w:val="TableTextEntries"/>
              <w:jc w:val="center"/>
            </w:pPr>
            <w:r w:rsidRPr="009F3426">
              <w:t>4</w:t>
            </w:r>
          </w:p>
        </w:tc>
        <w:tc>
          <w:tcPr>
            <w:tcW w:w="330" w:type="pct"/>
            <w:shd w:val="clear" w:color="auto" w:fill="FFFF00"/>
            <w:noWrap/>
          </w:tcPr>
          <w:p w14:paraId="14375421" w14:textId="77777777" w:rsidR="003008F4" w:rsidRPr="009F3426" w:rsidRDefault="00BE1023" w:rsidP="0055213F">
            <w:pPr>
              <w:pStyle w:val="TableTextEntries"/>
              <w:jc w:val="center"/>
            </w:pPr>
            <w:r w:rsidRPr="009F3426">
              <w:t>4</w:t>
            </w:r>
          </w:p>
        </w:tc>
        <w:tc>
          <w:tcPr>
            <w:tcW w:w="330" w:type="pct"/>
            <w:shd w:val="clear" w:color="auto" w:fill="auto"/>
            <w:noWrap/>
          </w:tcPr>
          <w:p w14:paraId="14375422" w14:textId="77777777" w:rsidR="003008F4" w:rsidRPr="009F3426" w:rsidRDefault="00BE1023" w:rsidP="0055213F">
            <w:pPr>
              <w:pStyle w:val="TableTextEntries"/>
              <w:jc w:val="center"/>
            </w:pPr>
            <w:r w:rsidRPr="009F3426">
              <w:t>n/a</w:t>
            </w:r>
          </w:p>
        </w:tc>
      </w:tr>
      <w:tr w:rsidR="0074537D" w:rsidRPr="00FE4491" w14:paraId="1437542E"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424" w14:textId="0669B633" w:rsidR="003008F4" w:rsidRPr="00FE4491" w:rsidRDefault="00342E31" w:rsidP="00342E31">
            <w:pPr>
              <w:pStyle w:val="TableTextEntries"/>
            </w:pPr>
            <w:r>
              <w:t>Water, Sanitation and Hygiene</w:t>
            </w:r>
            <w:r w:rsidR="00F11AAD">
              <w:t xml:space="preserve"> </w:t>
            </w:r>
            <w:r w:rsidR="004F25BD">
              <w:t xml:space="preserve">in Child Friendly Schools </w:t>
            </w:r>
            <w:r>
              <w:t>Initiative</w:t>
            </w:r>
          </w:p>
        </w:tc>
        <w:tc>
          <w:tcPr>
            <w:tcW w:w="486" w:type="pct"/>
            <w:vMerge w:val="restart"/>
          </w:tcPr>
          <w:p w14:paraId="14375425" w14:textId="77777777" w:rsidR="003008F4" w:rsidRPr="00FE4491" w:rsidRDefault="00381E7D" w:rsidP="00D95DC5">
            <w:pPr>
              <w:pStyle w:val="TableTextEntries"/>
            </w:pPr>
            <w:r>
              <w:t xml:space="preserve">$4.8m </w:t>
            </w:r>
            <w:r>
              <w:br/>
              <w:t>2 years</w:t>
            </w:r>
          </w:p>
        </w:tc>
        <w:tc>
          <w:tcPr>
            <w:tcW w:w="494" w:type="pct"/>
          </w:tcPr>
          <w:p w14:paraId="14375426" w14:textId="77777777" w:rsidR="003008F4" w:rsidRPr="009F3426" w:rsidRDefault="003008F4" w:rsidP="0055213F">
            <w:pPr>
              <w:pStyle w:val="TableTextEntries"/>
            </w:pPr>
            <w:r w:rsidRPr="009F3426">
              <w:t>2012</w:t>
            </w:r>
          </w:p>
        </w:tc>
        <w:tc>
          <w:tcPr>
            <w:tcW w:w="397" w:type="pct"/>
            <w:gridSpan w:val="2"/>
            <w:shd w:val="clear" w:color="auto" w:fill="92D050"/>
            <w:noWrap/>
          </w:tcPr>
          <w:p w14:paraId="14375427" w14:textId="77777777" w:rsidR="003008F4" w:rsidRPr="009F3426" w:rsidRDefault="003008F4" w:rsidP="0055213F">
            <w:pPr>
              <w:pStyle w:val="TableTextEntries"/>
              <w:jc w:val="center"/>
            </w:pPr>
            <w:r w:rsidRPr="009F3426">
              <w:t>5</w:t>
            </w:r>
          </w:p>
        </w:tc>
        <w:tc>
          <w:tcPr>
            <w:tcW w:w="331" w:type="pct"/>
            <w:shd w:val="clear" w:color="auto" w:fill="92D050"/>
            <w:noWrap/>
          </w:tcPr>
          <w:p w14:paraId="14375428" w14:textId="77777777" w:rsidR="003008F4" w:rsidRPr="009F3426" w:rsidRDefault="004F25BD" w:rsidP="0055213F">
            <w:pPr>
              <w:pStyle w:val="TableTextEntries"/>
              <w:jc w:val="center"/>
            </w:pPr>
            <w:r w:rsidRPr="009F3426">
              <w:t>5</w:t>
            </w:r>
          </w:p>
        </w:tc>
        <w:tc>
          <w:tcPr>
            <w:tcW w:w="330" w:type="pct"/>
            <w:shd w:val="clear" w:color="auto" w:fill="92D050"/>
            <w:noWrap/>
          </w:tcPr>
          <w:p w14:paraId="14375429" w14:textId="77777777" w:rsidR="003008F4" w:rsidRPr="009F3426" w:rsidRDefault="004F25BD" w:rsidP="0055213F">
            <w:pPr>
              <w:pStyle w:val="TableTextEntries"/>
              <w:jc w:val="center"/>
            </w:pPr>
            <w:r w:rsidRPr="009F3426">
              <w:t>5</w:t>
            </w:r>
          </w:p>
        </w:tc>
        <w:tc>
          <w:tcPr>
            <w:tcW w:w="330" w:type="pct"/>
            <w:shd w:val="clear" w:color="auto" w:fill="92D050"/>
            <w:noWrap/>
          </w:tcPr>
          <w:p w14:paraId="1437542A" w14:textId="77777777" w:rsidR="003008F4" w:rsidRPr="009F3426" w:rsidRDefault="004F25BD" w:rsidP="0055213F">
            <w:pPr>
              <w:pStyle w:val="TableTextEntries"/>
              <w:jc w:val="center"/>
            </w:pPr>
            <w:r w:rsidRPr="009F3426">
              <w:t>5</w:t>
            </w:r>
          </w:p>
        </w:tc>
        <w:tc>
          <w:tcPr>
            <w:tcW w:w="330" w:type="pct"/>
            <w:shd w:val="clear" w:color="auto" w:fill="92D050"/>
            <w:noWrap/>
          </w:tcPr>
          <w:p w14:paraId="1437542B" w14:textId="77777777" w:rsidR="003008F4" w:rsidRPr="009F3426" w:rsidRDefault="004F25BD" w:rsidP="0055213F">
            <w:pPr>
              <w:pStyle w:val="TableTextEntries"/>
              <w:jc w:val="center"/>
            </w:pPr>
            <w:r w:rsidRPr="009F3426">
              <w:t>5</w:t>
            </w:r>
          </w:p>
        </w:tc>
        <w:tc>
          <w:tcPr>
            <w:tcW w:w="330" w:type="pct"/>
            <w:shd w:val="clear" w:color="auto" w:fill="92D050"/>
            <w:noWrap/>
          </w:tcPr>
          <w:p w14:paraId="1437542C" w14:textId="77777777" w:rsidR="003008F4" w:rsidRPr="009F3426" w:rsidRDefault="004F25BD" w:rsidP="0055213F">
            <w:pPr>
              <w:pStyle w:val="TableTextEntries"/>
              <w:jc w:val="center"/>
            </w:pPr>
            <w:r w:rsidRPr="009F3426">
              <w:t>5</w:t>
            </w:r>
          </w:p>
        </w:tc>
        <w:tc>
          <w:tcPr>
            <w:tcW w:w="330" w:type="pct"/>
            <w:shd w:val="clear" w:color="auto" w:fill="92D050"/>
            <w:noWrap/>
          </w:tcPr>
          <w:p w14:paraId="1437542D" w14:textId="77777777" w:rsidR="003008F4" w:rsidRPr="009F3426" w:rsidRDefault="004F25BD" w:rsidP="0055213F">
            <w:pPr>
              <w:pStyle w:val="TableTextEntries"/>
              <w:jc w:val="center"/>
            </w:pPr>
            <w:r w:rsidRPr="009F3426">
              <w:t>M</w:t>
            </w:r>
          </w:p>
        </w:tc>
      </w:tr>
      <w:tr w:rsidR="0074537D" w:rsidRPr="00FE4491" w14:paraId="14375439" w14:textId="77777777" w:rsidTr="0074537D">
        <w:trPr>
          <w:tblHeader w:val="0"/>
        </w:trPr>
        <w:tc>
          <w:tcPr>
            <w:tcW w:w="1460" w:type="pct"/>
            <w:vMerge/>
          </w:tcPr>
          <w:p w14:paraId="1437542F" w14:textId="77777777" w:rsidR="003008F4" w:rsidRPr="00FE4491" w:rsidRDefault="003008F4" w:rsidP="0055213F">
            <w:pPr>
              <w:pStyle w:val="TableTextEntries"/>
            </w:pPr>
          </w:p>
        </w:tc>
        <w:tc>
          <w:tcPr>
            <w:tcW w:w="486" w:type="pct"/>
            <w:vMerge/>
          </w:tcPr>
          <w:p w14:paraId="14375430" w14:textId="77777777" w:rsidR="003008F4" w:rsidRPr="00FE4491" w:rsidRDefault="003008F4" w:rsidP="0055213F">
            <w:pPr>
              <w:pStyle w:val="TableTextEntries"/>
            </w:pPr>
          </w:p>
        </w:tc>
        <w:tc>
          <w:tcPr>
            <w:tcW w:w="494" w:type="pct"/>
          </w:tcPr>
          <w:p w14:paraId="14375431" w14:textId="77777777" w:rsidR="003008F4" w:rsidRPr="009F3426" w:rsidRDefault="003008F4" w:rsidP="0055213F">
            <w:pPr>
              <w:pStyle w:val="TableTextEntries"/>
            </w:pPr>
            <w:r w:rsidRPr="009F3426">
              <w:t>2011</w:t>
            </w:r>
          </w:p>
        </w:tc>
        <w:tc>
          <w:tcPr>
            <w:tcW w:w="397" w:type="pct"/>
            <w:gridSpan w:val="2"/>
            <w:shd w:val="clear" w:color="auto" w:fill="92D050"/>
            <w:noWrap/>
          </w:tcPr>
          <w:p w14:paraId="14375432" w14:textId="77777777" w:rsidR="003008F4" w:rsidRPr="009F3426" w:rsidRDefault="006F6E7A" w:rsidP="0055213F">
            <w:pPr>
              <w:pStyle w:val="TableTextEntries"/>
              <w:jc w:val="center"/>
            </w:pPr>
            <w:r>
              <w:t>6</w:t>
            </w:r>
          </w:p>
        </w:tc>
        <w:tc>
          <w:tcPr>
            <w:tcW w:w="331" w:type="pct"/>
            <w:shd w:val="clear" w:color="auto" w:fill="FFFF00"/>
            <w:noWrap/>
          </w:tcPr>
          <w:p w14:paraId="14375433" w14:textId="77777777" w:rsidR="003008F4" w:rsidRPr="009F3426" w:rsidRDefault="006F6E7A" w:rsidP="0055213F">
            <w:pPr>
              <w:pStyle w:val="TableTextEntries"/>
              <w:jc w:val="center"/>
            </w:pPr>
            <w:r>
              <w:t>4</w:t>
            </w:r>
          </w:p>
        </w:tc>
        <w:tc>
          <w:tcPr>
            <w:tcW w:w="330" w:type="pct"/>
            <w:shd w:val="clear" w:color="auto" w:fill="FFFF00"/>
            <w:noWrap/>
          </w:tcPr>
          <w:p w14:paraId="14375434" w14:textId="77777777" w:rsidR="003008F4" w:rsidRPr="009F3426" w:rsidRDefault="006F6E7A" w:rsidP="0055213F">
            <w:pPr>
              <w:pStyle w:val="TableTextEntries"/>
              <w:jc w:val="center"/>
            </w:pPr>
            <w:r>
              <w:t>4</w:t>
            </w:r>
          </w:p>
        </w:tc>
        <w:tc>
          <w:tcPr>
            <w:tcW w:w="330" w:type="pct"/>
            <w:shd w:val="clear" w:color="auto" w:fill="FFFF00"/>
            <w:noWrap/>
          </w:tcPr>
          <w:p w14:paraId="14375435" w14:textId="77777777" w:rsidR="003008F4" w:rsidRPr="009F3426" w:rsidRDefault="006F6E7A" w:rsidP="0055213F">
            <w:pPr>
              <w:pStyle w:val="TableTextEntries"/>
              <w:jc w:val="center"/>
            </w:pPr>
            <w:r>
              <w:t>4</w:t>
            </w:r>
          </w:p>
        </w:tc>
        <w:tc>
          <w:tcPr>
            <w:tcW w:w="330" w:type="pct"/>
            <w:shd w:val="clear" w:color="auto" w:fill="92D050"/>
            <w:noWrap/>
          </w:tcPr>
          <w:p w14:paraId="14375436" w14:textId="77777777" w:rsidR="003008F4" w:rsidRPr="009F3426" w:rsidRDefault="006F6E7A" w:rsidP="0055213F">
            <w:pPr>
              <w:pStyle w:val="TableTextEntries"/>
              <w:jc w:val="center"/>
            </w:pPr>
            <w:r>
              <w:t>5</w:t>
            </w:r>
          </w:p>
        </w:tc>
        <w:tc>
          <w:tcPr>
            <w:tcW w:w="330" w:type="pct"/>
            <w:shd w:val="clear" w:color="auto" w:fill="92D050"/>
            <w:noWrap/>
          </w:tcPr>
          <w:p w14:paraId="14375437" w14:textId="77777777" w:rsidR="003008F4" w:rsidRPr="009F3426" w:rsidRDefault="006F6E7A" w:rsidP="0055213F">
            <w:pPr>
              <w:pStyle w:val="TableTextEntries"/>
              <w:jc w:val="center"/>
            </w:pPr>
            <w:r>
              <w:t>5</w:t>
            </w:r>
          </w:p>
        </w:tc>
        <w:tc>
          <w:tcPr>
            <w:tcW w:w="330" w:type="pct"/>
            <w:shd w:val="clear" w:color="auto" w:fill="FFC000"/>
            <w:noWrap/>
          </w:tcPr>
          <w:p w14:paraId="14375438" w14:textId="77777777" w:rsidR="003008F4" w:rsidRPr="009F3426" w:rsidRDefault="003008F4" w:rsidP="0055213F">
            <w:pPr>
              <w:pStyle w:val="TableTextEntries"/>
              <w:jc w:val="center"/>
            </w:pPr>
            <w:r w:rsidRPr="009F3426">
              <w:t>I</w:t>
            </w:r>
          </w:p>
        </w:tc>
      </w:tr>
      <w:tr w:rsidR="0074537D" w:rsidRPr="00FE4491" w14:paraId="14375444" w14:textId="77777777" w:rsidTr="0074537D">
        <w:trPr>
          <w:cnfStyle w:val="000000010000" w:firstRow="0" w:lastRow="0" w:firstColumn="0" w:lastColumn="0" w:oddVBand="0" w:evenVBand="0" w:oddHBand="0" w:evenHBand="1" w:firstRowFirstColumn="0" w:firstRowLastColumn="0" w:lastRowFirstColumn="0" w:lastRowLastColumn="0"/>
          <w:tblHeader w:val="0"/>
        </w:trPr>
        <w:tc>
          <w:tcPr>
            <w:tcW w:w="1460" w:type="pct"/>
            <w:vMerge w:val="restart"/>
          </w:tcPr>
          <w:p w14:paraId="1437543A" w14:textId="77777777" w:rsidR="003008F4" w:rsidRPr="00FE4491" w:rsidRDefault="004F25BD" w:rsidP="0055213F">
            <w:pPr>
              <w:pStyle w:val="TableTextEntries"/>
            </w:pPr>
            <w:r>
              <w:t>Scholarships</w:t>
            </w:r>
          </w:p>
        </w:tc>
        <w:tc>
          <w:tcPr>
            <w:tcW w:w="486" w:type="pct"/>
            <w:vMerge w:val="restart"/>
          </w:tcPr>
          <w:p w14:paraId="1437543B" w14:textId="77777777" w:rsidR="003008F4" w:rsidRPr="00FE4491" w:rsidRDefault="00CE1FD3" w:rsidP="00D95DC5">
            <w:pPr>
              <w:pStyle w:val="TableTextEntries"/>
            </w:pPr>
            <w:r>
              <w:t xml:space="preserve">$23m </w:t>
            </w:r>
            <w:r>
              <w:br/>
              <w:t>20 years</w:t>
            </w:r>
          </w:p>
        </w:tc>
        <w:tc>
          <w:tcPr>
            <w:tcW w:w="494" w:type="pct"/>
          </w:tcPr>
          <w:p w14:paraId="1437543C" w14:textId="77777777" w:rsidR="003008F4" w:rsidRPr="009F3426" w:rsidRDefault="003008F4" w:rsidP="0055213F">
            <w:pPr>
              <w:pStyle w:val="TableTextEntries"/>
            </w:pPr>
            <w:r w:rsidRPr="009F3426">
              <w:t>2012</w:t>
            </w:r>
          </w:p>
        </w:tc>
        <w:tc>
          <w:tcPr>
            <w:tcW w:w="397" w:type="pct"/>
            <w:gridSpan w:val="2"/>
            <w:shd w:val="clear" w:color="auto" w:fill="92D050"/>
            <w:noWrap/>
          </w:tcPr>
          <w:p w14:paraId="1437543D" w14:textId="77777777" w:rsidR="003008F4" w:rsidRPr="009F3426" w:rsidRDefault="004F25BD" w:rsidP="0055213F">
            <w:pPr>
              <w:pStyle w:val="TableTextEntries"/>
              <w:jc w:val="center"/>
            </w:pPr>
            <w:r w:rsidRPr="009F3426">
              <w:t>5</w:t>
            </w:r>
          </w:p>
        </w:tc>
        <w:tc>
          <w:tcPr>
            <w:tcW w:w="331" w:type="pct"/>
            <w:shd w:val="clear" w:color="auto" w:fill="92D050"/>
            <w:noWrap/>
          </w:tcPr>
          <w:p w14:paraId="1437543E" w14:textId="77777777" w:rsidR="003008F4" w:rsidRPr="009F3426" w:rsidRDefault="004F25BD" w:rsidP="0055213F">
            <w:pPr>
              <w:pStyle w:val="TableTextEntries"/>
              <w:jc w:val="center"/>
            </w:pPr>
            <w:r w:rsidRPr="009F3426">
              <w:t>5</w:t>
            </w:r>
          </w:p>
        </w:tc>
        <w:tc>
          <w:tcPr>
            <w:tcW w:w="330" w:type="pct"/>
            <w:shd w:val="clear" w:color="auto" w:fill="92D050"/>
            <w:noWrap/>
          </w:tcPr>
          <w:p w14:paraId="1437543F" w14:textId="77777777" w:rsidR="003008F4" w:rsidRPr="009F3426" w:rsidRDefault="004F25BD" w:rsidP="0055213F">
            <w:pPr>
              <w:pStyle w:val="TableTextEntries"/>
              <w:jc w:val="center"/>
            </w:pPr>
            <w:r w:rsidRPr="009F3426">
              <w:t>5</w:t>
            </w:r>
          </w:p>
        </w:tc>
        <w:tc>
          <w:tcPr>
            <w:tcW w:w="330" w:type="pct"/>
            <w:shd w:val="clear" w:color="auto" w:fill="92D050"/>
            <w:noWrap/>
          </w:tcPr>
          <w:p w14:paraId="14375440" w14:textId="77777777" w:rsidR="003008F4" w:rsidRPr="009F3426" w:rsidRDefault="004F25BD" w:rsidP="0055213F">
            <w:pPr>
              <w:pStyle w:val="TableTextEntries"/>
              <w:jc w:val="center"/>
            </w:pPr>
            <w:r w:rsidRPr="009F3426">
              <w:t>5</w:t>
            </w:r>
          </w:p>
        </w:tc>
        <w:tc>
          <w:tcPr>
            <w:tcW w:w="330" w:type="pct"/>
            <w:shd w:val="clear" w:color="auto" w:fill="92D050"/>
            <w:noWrap/>
          </w:tcPr>
          <w:p w14:paraId="14375441" w14:textId="77777777" w:rsidR="003008F4" w:rsidRPr="009F3426" w:rsidRDefault="004F25BD" w:rsidP="0055213F">
            <w:pPr>
              <w:pStyle w:val="TableTextEntries"/>
              <w:jc w:val="center"/>
            </w:pPr>
            <w:r w:rsidRPr="009F3426">
              <w:t>5</w:t>
            </w:r>
          </w:p>
        </w:tc>
        <w:tc>
          <w:tcPr>
            <w:tcW w:w="330" w:type="pct"/>
            <w:shd w:val="clear" w:color="auto" w:fill="92D050"/>
            <w:noWrap/>
          </w:tcPr>
          <w:p w14:paraId="14375442" w14:textId="77777777" w:rsidR="003008F4" w:rsidRPr="009F3426" w:rsidRDefault="004F25BD" w:rsidP="0055213F">
            <w:pPr>
              <w:pStyle w:val="TableTextEntries"/>
              <w:jc w:val="center"/>
            </w:pPr>
            <w:r w:rsidRPr="009F3426">
              <w:t>5</w:t>
            </w:r>
          </w:p>
        </w:tc>
        <w:tc>
          <w:tcPr>
            <w:tcW w:w="330" w:type="pct"/>
            <w:shd w:val="clear" w:color="auto" w:fill="FFC000"/>
            <w:noWrap/>
          </w:tcPr>
          <w:p w14:paraId="14375443" w14:textId="77777777" w:rsidR="003008F4" w:rsidRPr="009F3426" w:rsidRDefault="004F25BD" w:rsidP="0055213F">
            <w:pPr>
              <w:pStyle w:val="TableTextEntries"/>
              <w:jc w:val="center"/>
            </w:pPr>
            <w:r w:rsidRPr="009F3426">
              <w:t>I</w:t>
            </w:r>
          </w:p>
        </w:tc>
      </w:tr>
      <w:tr w:rsidR="0074537D" w:rsidRPr="00FE4491" w14:paraId="1437544F" w14:textId="77777777" w:rsidTr="0074537D">
        <w:trPr>
          <w:tblHeader w:val="0"/>
        </w:trPr>
        <w:tc>
          <w:tcPr>
            <w:tcW w:w="1460" w:type="pct"/>
            <w:vMerge/>
          </w:tcPr>
          <w:p w14:paraId="14375445" w14:textId="77777777" w:rsidR="003008F4" w:rsidRPr="00FE4491" w:rsidRDefault="003008F4" w:rsidP="0055213F">
            <w:pPr>
              <w:pStyle w:val="TableTextEntries"/>
            </w:pPr>
          </w:p>
        </w:tc>
        <w:tc>
          <w:tcPr>
            <w:tcW w:w="486" w:type="pct"/>
            <w:vMerge/>
          </w:tcPr>
          <w:p w14:paraId="14375446" w14:textId="77777777" w:rsidR="003008F4" w:rsidRPr="00FE4491" w:rsidRDefault="003008F4" w:rsidP="0055213F">
            <w:pPr>
              <w:pStyle w:val="TableTextEntries"/>
            </w:pPr>
          </w:p>
        </w:tc>
        <w:tc>
          <w:tcPr>
            <w:tcW w:w="494" w:type="pct"/>
          </w:tcPr>
          <w:p w14:paraId="14375447" w14:textId="77777777" w:rsidR="003008F4" w:rsidRPr="009F3426" w:rsidRDefault="003008F4" w:rsidP="0055213F">
            <w:pPr>
              <w:pStyle w:val="TableTextEntries"/>
            </w:pPr>
            <w:r w:rsidRPr="009F3426">
              <w:t>2011</w:t>
            </w:r>
          </w:p>
        </w:tc>
        <w:tc>
          <w:tcPr>
            <w:tcW w:w="397" w:type="pct"/>
            <w:gridSpan w:val="2"/>
            <w:shd w:val="clear" w:color="auto" w:fill="FFFF00"/>
            <w:noWrap/>
          </w:tcPr>
          <w:p w14:paraId="14375448" w14:textId="77777777" w:rsidR="003008F4" w:rsidRPr="009F3426" w:rsidRDefault="0053632E" w:rsidP="0055213F">
            <w:pPr>
              <w:pStyle w:val="TableTextEntries"/>
              <w:jc w:val="center"/>
            </w:pPr>
            <w:r w:rsidRPr="009F3426">
              <w:t>4</w:t>
            </w:r>
          </w:p>
        </w:tc>
        <w:tc>
          <w:tcPr>
            <w:tcW w:w="331" w:type="pct"/>
            <w:shd w:val="clear" w:color="auto" w:fill="FFFF00"/>
            <w:noWrap/>
          </w:tcPr>
          <w:p w14:paraId="14375449" w14:textId="77777777" w:rsidR="003008F4" w:rsidRPr="009F3426" w:rsidRDefault="0053632E" w:rsidP="0055213F">
            <w:pPr>
              <w:pStyle w:val="TableTextEntries"/>
              <w:jc w:val="center"/>
            </w:pPr>
            <w:r w:rsidRPr="009F3426">
              <w:t>4</w:t>
            </w:r>
          </w:p>
        </w:tc>
        <w:tc>
          <w:tcPr>
            <w:tcW w:w="330" w:type="pct"/>
            <w:shd w:val="clear" w:color="auto" w:fill="FFC000"/>
            <w:noWrap/>
          </w:tcPr>
          <w:p w14:paraId="1437544A" w14:textId="77777777" w:rsidR="003008F4" w:rsidRPr="009F3426" w:rsidRDefault="0053632E" w:rsidP="0055213F">
            <w:pPr>
              <w:pStyle w:val="TableTextEntries"/>
              <w:jc w:val="center"/>
            </w:pPr>
            <w:r w:rsidRPr="009F3426">
              <w:t>3</w:t>
            </w:r>
          </w:p>
        </w:tc>
        <w:tc>
          <w:tcPr>
            <w:tcW w:w="330" w:type="pct"/>
            <w:shd w:val="clear" w:color="auto" w:fill="FFFF00"/>
            <w:noWrap/>
          </w:tcPr>
          <w:p w14:paraId="1437544B" w14:textId="77777777" w:rsidR="003008F4" w:rsidRPr="009F3426" w:rsidRDefault="0053632E" w:rsidP="0055213F">
            <w:pPr>
              <w:pStyle w:val="TableTextEntries"/>
              <w:jc w:val="center"/>
            </w:pPr>
            <w:r w:rsidRPr="009F3426">
              <w:t>4</w:t>
            </w:r>
          </w:p>
        </w:tc>
        <w:tc>
          <w:tcPr>
            <w:tcW w:w="330" w:type="pct"/>
            <w:shd w:val="clear" w:color="auto" w:fill="FFFF00"/>
            <w:noWrap/>
          </w:tcPr>
          <w:p w14:paraId="1437544C" w14:textId="77777777" w:rsidR="003008F4" w:rsidRPr="009F3426" w:rsidRDefault="0053632E" w:rsidP="0055213F">
            <w:pPr>
              <w:pStyle w:val="TableTextEntries"/>
              <w:jc w:val="center"/>
            </w:pPr>
            <w:r w:rsidRPr="009F3426">
              <w:t>4</w:t>
            </w:r>
          </w:p>
        </w:tc>
        <w:tc>
          <w:tcPr>
            <w:tcW w:w="330" w:type="pct"/>
            <w:shd w:val="clear" w:color="auto" w:fill="92D050"/>
            <w:noWrap/>
          </w:tcPr>
          <w:p w14:paraId="1437544D" w14:textId="77777777" w:rsidR="003008F4" w:rsidRPr="009F3426" w:rsidRDefault="0053632E" w:rsidP="0055213F">
            <w:pPr>
              <w:pStyle w:val="TableTextEntries"/>
              <w:jc w:val="center"/>
            </w:pPr>
            <w:r w:rsidRPr="009F3426">
              <w:t>5</w:t>
            </w:r>
          </w:p>
        </w:tc>
        <w:tc>
          <w:tcPr>
            <w:tcW w:w="330" w:type="pct"/>
            <w:shd w:val="clear" w:color="auto" w:fill="FFC000"/>
            <w:noWrap/>
          </w:tcPr>
          <w:p w14:paraId="1437544E" w14:textId="77777777" w:rsidR="003008F4" w:rsidRPr="009F3426" w:rsidRDefault="003008F4" w:rsidP="0055213F">
            <w:pPr>
              <w:pStyle w:val="TableTextEntries"/>
              <w:jc w:val="center"/>
            </w:pPr>
            <w:r w:rsidRPr="009F3426">
              <w:t>I</w:t>
            </w:r>
          </w:p>
        </w:tc>
      </w:tr>
    </w:tbl>
    <w:p w14:paraId="14375450" w14:textId="77777777" w:rsidR="00FE4491" w:rsidRDefault="00FE4491" w:rsidP="00FE4491">
      <w:pPr>
        <w:pStyle w:val="Note"/>
      </w:pPr>
      <w:r>
        <w:lastRenderedPageBreak/>
        <w:t>Definitions of rating scale:</w:t>
      </w:r>
      <w:r>
        <w:tab/>
      </w:r>
    </w:p>
    <w:p w14:paraId="14375451" w14:textId="77777777" w:rsidR="00FE4491" w:rsidRDefault="00FE4491" w:rsidP="00FE4491">
      <w:pPr>
        <w:pStyle w:val="Note"/>
      </w:pPr>
      <w:r>
        <w:t>Satisfactory (4, 5 and 6)</w:t>
      </w:r>
    </w:p>
    <w:p w14:paraId="14375452" w14:textId="77777777" w:rsidR="00FE4491" w:rsidRDefault="00FE4491" w:rsidP="00FE4491">
      <w:pPr>
        <w:pStyle w:val="Note"/>
      </w:pPr>
      <w:r w:rsidRPr="00FE4491">
        <w:rPr>
          <w:color w:val="92D050"/>
        </w:rPr>
        <w:sym w:font="Webdings" w:char="F067"/>
      </w:r>
      <w:r>
        <w:t xml:space="preserve"> = 6 = Very high quality</w:t>
      </w:r>
    </w:p>
    <w:p w14:paraId="14375453" w14:textId="77777777" w:rsidR="00FE4491" w:rsidRDefault="00FE4491" w:rsidP="00FE4491">
      <w:pPr>
        <w:pStyle w:val="Note"/>
      </w:pPr>
      <w:r w:rsidRPr="00FE4491">
        <w:rPr>
          <w:color w:val="92D050"/>
        </w:rPr>
        <w:sym w:font="Webdings" w:char="F067"/>
      </w:r>
      <w:r>
        <w:t xml:space="preserve"> = 5 = Good quality</w:t>
      </w:r>
    </w:p>
    <w:p w14:paraId="14375454" w14:textId="77777777" w:rsidR="00FE4491" w:rsidRDefault="00FE4491" w:rsidP="00FE4491">
      <w:pPr>
        <w:pStyle w:val="Note"/>
      </w:pPr>
      <w:r w:rsidRPr="000774FD">
        <w:rPr>
          <w:color w:val="FFFF00"/>
        </w:rPr>
        <w:sym w:font="Webdings" w:char="F067"/>
      </w:r>
      <w:r>
        <w:t xml:space="preserve"> = 4 = Adequate quality, needs some work</w:t>
      </w:r>
    </w:p>
    <w:p w14:paraId="14375455" w14:textId="77777777" w:rsidR="00FE4491" w:rsidRDefault="00FE4491" w:rsidP="00FE4491">
      <w:pPr>
        <w:pStyle w:val="Note"/>
      </w:pPr>
      <w:r>
        <w:t>Less than satisfactory (1, 2 and 3)</w:t>
      </w:r>
    </w:p>
    <w:p w14:paraId="14375456" w14:textId="77777777" w:rsidR="00FE4491" w:rsidRDefault="00FE4491" w:rsidP="00FE4491">
      <w:pPr>
        <w:pStyle w:val="Note"/>
      </w:pPr>
      <w:r w:rsidRPr="00FD710F">
        <w:rPr>
          <w:color w:val="F79646"/>
        </w:rPr>
        <w:sym w:font="Webdings" w:char="F067"/>
      </w:r>
      <w:r>
        <w:t xml:space="preserve"> = 3 = Less than adequate quality; needs significant work</w:t>
      </w:r>
    </w:p>
    <w:p w14:paraId="14375457" w14:textId="77777777" w:rsidR="00FE4491" w:rsidRDefault="00FE4491" w:rsidP="00FE4491">
      <w:pPr>
        <w:pStyle w:val="Note"/>
      </w:pPr>
      <w:r w:rsidRPr="000774FD">
        <w:rPr>
          <w:color w:val="FF0000"/>
        </w:rPr>
        <w:sym w:font="Webdings" w:char="F067"/>
      </w:r>
      <w:r>
        <w:t xml:space="preserve"> = 2 = Poor quality; needs major work to improve</w:t>
      </w:r>
    </w:p>
    <w:p w14:paraId="14375458" w14:textId="77777777" w:rsidR="00FE4491" w:rsidRDefault="00FE4491" w:rsidP="00FE4491">
      <w:pPr>
        <w:pStyle w:val="Note"/>
      </w:pPr>
      <w:r w:rsidRPr="000774FD">
        <w:rPr>
          <w:color w:val="FF0000"/>
        </w:rPr>
        <w:sym w:font="Webdings" w:char="F067"/>
      </w:r>
      <w:r>
        <w:t xml:space="preserve"> = 1 = Very poor quality; needs major overhaul</w:t>
      </w:r>
    </w:p>
    <w:p w14:paraId="14375459" w14:textId="77777777" w:rsidR="00FE4491" w:rsidRDefault="00FE4491" w:rsidP="00FE4491">
      <w:pPr>
        <w:pStyle w:val="Note"/>
      </w:pPr>
    </w:p>
    <w:p w14:paraId="1437545A" w14:textId="77777777" w:rsidR="00FE4491" w:rsidRDefault="00FE4491" w:rsidP="00FE4491">
      <w:pPr>
        <w:pStyle w:val="Note"/>
      </w:pPr>
      <w:r>
        <w:t>Risk Management scale:</w:t>
      </w:r>
    </w:p>
    <w:p w14:paraId="1437545B" w14:textId="77777777" w:rsidR="00FE4491" w:rsidRDefault="00FE4491" w:rsidP="00FE4491">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w:t>
      </w:r>
      <w:r w:rsidR="00C65930">
        <w:t>.</w:t>
      </w:r>
      <w:r>
        <w:t xml:space="preserve"> </w:t>
      </w:r>
    </w:p>
    <w:p w14:paraId="1437545C" w14:textId="77777777" w:rsidR="00FE4491" w:rsidRDefault="00FE4491" w:rsidP="00FE4491">
      <w:pPr>
        <w:pStyle w:val="Note"/>
      </w:pPr>
      <w:r w:rsidRPr="00FD710F">
        <w:rPr>
          <w:color w:val="F79646"/>
        </w:rPr>
        <w:sym w:font="Webdings" w:char="F067"/>
      </w:r>
      <w:r>
        <w:t xml:space="preserve">  Intermediate (I). Indicates the initiative manager conducts ad-hoc risk discussion and updates the risk register occasionally</w:t>
      </w:r>
      <w:r w:rsidR="00C65930">
        <w:t>.</w:t>
      </w:r>
      <w:r>
        <w:t xml:space="preserve"> </w:t>
      </w:r>
    </w:p>
    <w:p w14:paraId="1437545D" w14:textId="77777777" w:rsidR="00FE4491" w:rsidRDefault="00FE4491" w:rsidP="00FE4491">
      <w:pPr>
        <w:pStyle w:val="Note"/>
      </w:pPr>
      <w:r w:rsidRPr="000774FD">
        <w:rPr>
          <w:color w:val="FF0000"/>
        </w:rPr>
        <w:sym w:font="Webdings" w:char="F067"/>
      </w:r>
      <w:r>
        <w:t xml:space="preserve">  Basic (B). Indicates there are limited or few risk discussions and the risk register has not been updated in the past 12 months</w:t>
      </w:r>
      <w:r w:rsidR="00C65930">
        <w:t>.</w:t>
      </w:r>
    </w:p>
    <w:p w14:paraId="1437545E" w14:textId="77777777" w:rsidR="00071B95" w:rsidRDefault="00071B95" w:rsidP="00071B95">
      <w:pPr>
        <w:sectPr w:rsidR="00071B95" w:rsidSect="008B575A">
          <w:headerReference w:type="default" r:id="rId22"/>
          <w:footerReference w:type="default" r:id="rId23"/>
          <w:headerReference w:type="first" r:id="rId24"/>
          <w:footerReference w:type="first" r:id="rId25"/>
          <w:pgSz w:w="11906" w:h="16838" w:code="9"/>
          <w:pgMar w:top="2268" w:right="1701" w:bottom="907" w:left="1871" w:header="709" w:footer="425" w:gutter="0"/>
          <w:cols w:space="708"/>
          <w:docGrid w:linePitch="360"/>
        </w:sectPr>
      </w:pPr>
    </w:p>
    <w:p w14:paraId="1437545F" w14:textId="77777777" w:rsidR="00071B95" w:rsidRPr="0074537D" w:rsidRDefault="00071B95" w:rsidP="0074537D">
      <w:pPr>
        <w:pStyle w:val="Heading1"/>
      </w:pPr>
      <w:r w:rsidRPr="0074537D">
        <w:lastRenderedPageBreak/>
        <w:t>Annex C</w:t>
      </w:r>
    </w:p>
    <w:p w14:paraId="14375460" w14:textId="77777777" w:rsidR="00071B95" w:rsidRPr="0074537D" w:rsidRDefault="00071B95" w:rsidP="0074537D">
      <w:pPr>
        <w:pStyle w:val="Heading2"/>
      </w:pPr>
      <w:r w:rsidRPr="0074537D">
        <w:t xml:space="preserve">Evaluation and </w:t>
      </w:r>
      <w:r w:rsidR="00D95DC5" w:rsidRPr="0074537D">
        <w:t>r</w:t>
      </w:r>
      <w:r w:rsidRPr="0074537D">
        <w:t xml:space="preserve">eview </w:t>
      </w:r>
      <w:r w:rsidR="00D95DC5" w:rsidRPr="0074537D">
        <w:t>p</w:t>
      </w:r>
      <w:r w:rsidRPr="0074537D">
        <w:t xml:space="preserve">ipeline </w:t>
      </w:r>
      <w:r w:rsidR="00D95DC5" w:rsidRPr="0074537D">
        <w:t>p</w:t>
      </w:r>
      <w:r w:rsidRPr="0074537D">
        <w:t>lanning</w:t>
      </w:r>
    </w:p>
    <w:p w14:paraId="14375461" w14:textId="77777777" w:rsidR="00071B95" w:rsidRPr="00071B95" w:rsidRDefault="00071B95" w:rsidP="00071B95">
      <w:pPr>
        <w:pStyle w:val="Caption"/>
      </w:pPr>
      <w:r w:rsidRPr="00071B95">
        <w:t xml:space="preserve">List of </w:t>
      </w:r>
      <w:r w:rsidR="00D95DC5">
        <w:t>e</w:t>
      </w:r>
      <w:r w:rsidRPr="00071B95">
        <w:t>valuations completed</w:t>
      </w:r>
      <w:r w:rsidRPr="00071B95">
        <w:rPr>
          <w:vertAlign w:val="superscript"/>
        </w:rPr>
        <w:footnoteReference w:id="18"/>
      </w:r>
      <w:r w:rsidRPr="00071B95">
        <w:t xml:space="preserve"> in the reporting period </w:t>
      </w:r>
    </w:p>
    <w:tbl>
      <w:tblPr>
        <w:tblStyle w:val="APPR"/>
        <w:tblW w:w="5000" w:type="pct"/>
        <w:tblLook w:val="04A0" w:firstRow="1" w:lastRow="0" w:firstColumn="1" w:lastColumn="0" w:noHBand="0" w:noVBand="1"/>
      </w:tblPr>
      <w:tblGrid>
        <w:gridCol w:w="2053"/>
        <w:gridCol w:w="2071"/>
        <w:gridCol w:w="2175"/>
        <w:gridCol w:w="2078"/>
        <w:gridCol w:w="2058"/>
        <w:gridCol w:w="1871"/>
        <w:gridCol w:w="1631"/>
      </w:tblGrid>
      <w:tr w:rsidR="00071B95" w:rsidRPr="00071B95" w14:paraId="14375469" w14:textId="77777777" w:rsidTr="0074537D">
        <w:trPr>
          <w:cnfStyle w:val="100000000000" w:firstRow="1" w:lastRow="0" w:firstColumn="0" w:lastColumn="0" w:oddVBand="0" w:evenVBand="0" w:oddHBand="0" w:evenHBand="0" w:firstRowFirstColumn="0" w:firstRowLastColumn="0" w:lastRowFirstColumn="0" w:lastRowLastColumn="0"/>
          <w:cantSplit/>
          <w:tblHeader w:val="0"/>
        </w:trPr>
        <w:tc>
          <w:tcPr>
            <w:tcW w:w="2003" w:type="dxa"/>
          </w:tcPr>
          <w:p w14:paraId="14375462" w14:textId="77777777" w:rsidR="00071B95" w:rsidRPr="0074537D" w:rsidRDefault="00071B95" w:rsidP="0074537D">
            <w:pPr>
              <w:pStyle w:val="TableTextColumnHeading"/>
              <w:rPr>
                <w:b/>
              </w:rPr>
            </w:pPr>
            <w:r w:rsidRPr="0074537D">
              <w:rPr>
                <w:b/>
              </w:rPr>
              <w:t xml:space="preserve">Name of </w:t>
            </w:r>
            <w:r w:rsidR="00AD08C4" w:rsidRPr="0074537D">
              <w:rPr>
                <w:b/>
              </w:rPr>
              <w:t>i</w:t>
            </w:r>
            <w:r w:rsidRPr="0074537D">
              <w:rPr>
                <w:b/>
              </w:rPr>
              <w:t>nitiative</w:t>
            </w:r>
          </w:p>
        </w:tc>
        <w:tc>
          <w:tcPr>
            <w:tcW w:w="2035" w:type="dxa"/>
          </w:tcPr>
          <w:p w14:paraId="14375463" w14:textId="77777777" w:rsidR="00071B95" w:rsidRPr="0074537D" w:rsidRDefault="00071B95" w:rsidP="0074537D">
            <w:pPr>
              <w:pStyle w:val="TableTextColumnHeading"/>
              <w:rPr>
                <w:b/>
              </w:rPr>
            </w:pPr>
            <w:r w:rsidRPr="0074537D">
              <w:rPr>
                <w:b/>
              </w:rPr>
              <w:t>Aid</w:t>
            </w:r>
            <w:r w:rsidR="00E946A0" w:rsidRPr="0074537D">
              <w:rPr>
                <w:b/>
              </w:rPr>
              <w:t>W</w:t>
            </w:r>
            <w:r w:rsidRPr="0074537D">
              <w:rPr>
                <w:b/>
              </w:rPr>
              <w:t>orks number</w:t>
            </w:r>
          </w:p>
        </w:tc>
        <w:tc>
          <w:tcPr>
            <w:tcW w:w="2138" w:type="dxa"/>
          </w:tcPr>
          <w:p w14:paraId="14375464" w14:textId="77777777" w:rsidR="00071B95" w:rsidRPr="0074537D" w:rsidRDefault="00071B95" w:rsidP="0074537D">
            <w:pPr>
              <w:pStyle w:val="TableTextColumnHeading"/>
              <w:rPr>
                <w:b/>
              </w:rPr>
            </w:pPr>
            <w:r w:rsidRPr="0074537D">
              <w:rPr>
                <w:b/>
              </w:rPr>
              <w:t>Type of evaluation</w:t>
            </w:r>
            <w:r w:rsidRPr="0074537D">
              <w:rPr>
                <w:b/>
              </w:rPr>
              <w:footnoteReference w:id="19"/>
            </w:r>
          </w:p>
        </w:tc>
        <w:tc>
          <w:tcPr>
            <w:tcW w:w="2041" w:type="dxa"/>
          </w:tcPr>
          <w:p w14:paraId="14375465" w14:textId="77777777" w:rsidR="00071B95" w:rsidRPr="0074537D" w:rsidRDefault="00071B95" w:rsidP="0074537D">
            <w:pPr>
              <w:pStyle w:val="TableTextColumnHeading"/>
              <w:rPr>
                <w:b/>
              </w:rPr>
            </w:pPr>
            <w:r w:rsidRPr="0074537D">
              <w:rPr>
                <w:b/>
              </w:rPr>
              <w:t xml:space="preserve">Date </w:t>
            </w:r>
            <w:r w:rsidR="00AD08C4" w:rsidRPr="0074537D">
              <w:rPr>
                <w:b/>
              </w:rPr>
              <w:t>e</w:t>
            </w:r>
            <w:r w:rsidRPr="0074537D">
              <w:rPr>
                <w:b/>
              </w:rPr>
              <w:t>valuation report received</w:t>
            </w:r>
          </w:p>
        </w:tc>
        <w:tc>
          <w:tcPr>
            <w:tcW w:w="2022" w:type="dxa"/>
          </w:tcPr>
          <w:p w14:paraId="14375466" w14:textId="77777777" w:rsidR="00071B95" w:rsidRPr="0074537D" w:rsidRDefault="00071B95" w:rsidP="0074537D">
            <w:pPr>
              <w:pStyle w:val="TableTextColumnHeading"/>
              <w:rPr>
                <w:b/>
              </w:rPr>
            </w:pPr>
            <w:r w:rsidRPr="0074537D">
              <w:rPr>
                <w:b/>
              </w:rPr>
              <w:t xml:space="preserve">Date </w:t>
            </w:r>
            <w:r w:rsidR="00AD08C4" w:rsidRPr="0074537D">
              <w:rPr>
                <w:b/>
              </w:rPr>
              <w:t>e</w:t>
            </w:r>
            <w:r w:rsidRPr="0074537D">
              <w:rPr>
                <w:b/>
              </w:rPr>
              <w:t xml:space="preserve">valuation report </w:t>
            </w:r>
            <w:r w:rsidR="00AD08C4" w:rsidRPr="0074537D">
              <w:rPr>
                <w:b/>
              </w:rPr>
              <w:t>u</w:t>
            </w:r>
            <w:r w:rsidRPr="0074537D">
              <w:rPr>
                <w:b/>
              </w:rPr>
              <w:t>ploaded into Aid</w:t>
            </w:r>
            <w:r w:rsidR="00E946A0" w:rsidRPr="0074537D">
              <w:rPr>
                <w:b/>
              </w:rPr>
              <w:t>W</w:t>
            </w:r>
            <w:r w:rsidRPr="0074537D">
              <w:rPr>
                <w:b/>
              </w:rPr>
              <w:t>orks</w:t>
            </w:r>
          </w:p>
        </w:tc>
        <w:tc>
          <w:tcPr>
            <w:tcW w:w="1835" w:type="dxa"/>
          </w:tcPr>
          <w:p w14:paraId="14375467" w14:textId="77777777" w:rsidR="00071B95" w:rsidRPr="0074537D" w:rsidRDefault="00071B95" w:rsidP="0074537D">
            <w:pPr>
              <w:pStyle w:val="TableTextColumnHeading"/>
              <w:rPr>
                <w:b/>
              </w:rPr>
            </w:pPr>
            <w:r w:rsidRPr="0074537D">
              <w:rPr>
                <w:b/>
              </w:rPr>
              <w:t xml:space="preserve">Date </w:t>
            </w:r>
            <w:r w:rsidR="00AD08C4" w:rsidRPr="0074537D">
              <w:rPr>
                <w:b/>
              </w:rPr>
              <w:t>m</w:t>
            </w:r>
            <w:r w:rsidRPr="0074537D">
              <w:rPr>
                <w:b/>
              </w:rPr>
              <w:t>anagement response uploaded into Aid</w:t>
            </w:r>
            <w:r w:rsidR="00E946A0" w:rsidRPr="0074537D">
              <w:rPr>
                <w:b/>
              </w:rPr>
              <w:t>W</w:t>
            </w:r>
            <w:r w:rsidRPr="0074537D">
              <w:rPr>
                <w:b/>
              </w:rPr>
              <w:t>orks</w:t>
            </w:r>
          </w:p>
        </w:tc>
        <w:tc>
          <w:tcPr>
            <w:tcW w:w="1582" w:type="dxa"/>
          </w:tcPr>
          <w:p w14:paraId="14375468" w14:textId="77777777" w:rsidR="00071B95" w:rsidRPr="0074537D" w:rsidRDefault="00071B95" w:rsidP="0074537D">
            <w:pPr>
              <w:pStyle w:val="TableTextColumnHeading"/>
              <w:rPr>
                <w:b/>
              </w:rPr>
            </w:pPr>
            <w:r w:rsidRPr="0074537D">
              <w:rPr>
                <w:b/>
              </w:rPr>
              <w:t>Published on website</w:t>
            </w:r>
          </w:p>
        </w:tc>
      </w:tr>
      <w:tr w:rsidR="00071B95" w:rsidRPr="00071B95" w14:paraId="14375471" w14:textId="77777777" w:rsidTr="0074537D">
        <w:trPr>
          <w:cantSplit/>
          <w:tblHeader w:val="0"/>
        </w:trPr>
        <w:tc>
          <w:tcPr>
            <w:tcW w:w="2003" w:type="dxa"/>
          </w:tcPr>
          <w:p w14:paraId="1437546A" w14:textId="77777777" w:rsidR="00071B95" w:rsidRPr="0074537D" w:rsidRDefault="00476C44" w:rsidP="0074537D">
            <w:pPr>
              <w:pStyle w:val="TableTextEntries"/>
            </w:pPr>
            <w:r w:rsidRPr="0074537D">
              <w:t>Australian Community Rehabilitation Program Phase 3</w:t>
            </w:r>
          </w:p>
        </w:tc>
        <w:tc>
          <w:tcPr>
            <w:tcW w:w="2035" w:type="dxa"/>
          </w:tcPr>
          <w:p w14:paraId="1437546B" w14:textId="77777777" w:rsidR="00071B95" w:rsidRPr="0074537D" w:rsidRDefault="00476C44" w:rsidP="0074537D">
            <w:pPr>
              <w:pStyle w:val="TableTextEntries"/>
            </w:pPr>
            <w:r w:rsidRPr="0074537D">
              <w:t>INI865</w:t>
            </w:r>
          </w:p>
        </w:tc>
        <w:tc>
          <w:tcPr>
            <w:tcW w:w="2138" w:type="dxa"/>
          </w:tcPr>
          <w:p w14:paraId="1437546C" w14:textId="77777777" w:rsidR="00071B95" w:rsidRPr="0074537D" w:rsidRDefault="00437AA3" w:rsidP="0074537D">
            <w:pPr>
              <w:pStyle w:val="TableTextEntries"/>
            </w:pPr>
            <w:r w:rsidRPr="0074537D">
              <w:t>M</w:t>
            </w:r>
            <w:r w:rsidR="00AD08C4" w:rsidRPr="0074537D">
              <w:t>TR</w:t>
            </w:r>
          </w:p>
        </w:tc>
        <w:tc>
          <w:tcPr>
            <w:tcW w:w="2041" w:type="dxa"/>
          </w:tcPr>
          <w:p w14:paraId="1437546D" w14:textId="77777777" w:rsidR="00071B95" w:rsidRPr="0074537D" w:rsidRDefault="000D1F58" w:rsidP="0074537D">
            <w:pPr>
              <w:pStyle w:val="TableTextEntries"/>
            </w:pPr>
            <w:r w:rsidRPr="0074537D">
              <w:t>November 2012</w:t>
            </w:r>
          </w:p>
        </w:tc>
        <w:tc>
          <w:tcPr>
            <w:tcW w:w="2022" w:type="dxa"/>
          </w:tcPr>
          <w:p w14:paraId="1437546E" w14:textId="77777777" w:rsidR="00071B95" w:rsidRPr="0074537D" w:rsidRDefault="00476C44" w:rsidP="0074537D">
            <w:pPr>
              <w:pStyle w:val="TableTextEntries"/>
            </w:pPr>
            <w:r w:rsidRPr="0074537D">
              <w:t>22 April 2013</w:t>
            </w:r>
          </w:p>
        </w:tc>
        <w:tc>
          <w:tcPr>
            <w:tcW w:w="1835" w:type="dxa"/>
          </w:tcPr>
          <w:p w14:paraId="1437546F" w14:textId="77777777" w:rsidR="00071B95" w:rsidRPr="0074537D" w:rsidRDefault="00476C44" w:rsidP="0074537D">
            <w:pPr>
              <w:pStyle w:val="TableTextEntries"/>
            </w:pPr>
            <w:r w:rsidRPr="0074537D">
              <w:t>22 April 2013</w:t>
            </w:r>
          </w:p>
        </w:tc>
        <w:tc>
          <w:tcPr>
            <w:tcW w:w="1582" w:type="dxa"/>
          </w:tcPr>
          <w:p w14:paraId="14375470" w14:textId="77777777" w:rsidR="00071B95" w:rsidRPr="0074537D" w:rsidRDefault="00071B95" w:rsidP="0074537D">
            <w:pPr>
              <w:pStyle w:val="TableTextEntries"/>
            </w:pPr>
            <w:r w:rsidRPr="0074537D">
              <w:t>No</w:t>
            </w:r>
            <w:r w:rsidR="004B1ADF" w:rsidRPr="0074537D">
              <w:t>t yet</w:t>
            </w:r>
          </w:p>
        </w:tc>
      </w:tr>
      <w:tr w:rsidR="00071B95" w:rsidRPr="00071B95" w14:paraId="14375479" w14:textId="77777777" w:rsidTr="0074537D">
        <w:trPr>
          <w:cnfStyle w:val="000000010000" w:firstRow="0" w:lastRow="0" w:firstColumn="0" w:lastColumn="0" w:oddVBand="0" w:evenVBand="0" w:oddHBand="0" w:evenHBand="1" w:firstRowFirstColumn="0" w:firstRowLastColumn="0" w:lastRowFirstColumn="0" w:lastRowLastColumn="0"/>
          <w:cantSplit/>
          <w:tblHeader w:val="0"/>
        </w:trPr>
        <w:tc>
          <w:tcPr>
            <w:tcW w:w="2003" w:type="dxa"/>
          </w:tcPr>
          <w:p w14:paraId="14375472" w14:textId="77777777" w:rsidR="00071B95" w:rsidRPr="0074537D" w:rsidRDefault="00437AA3" w:rsidP="0074537D">
            <w:pPr>
              <w:pStyle w:val="TableTextEntries"/>
            </w:pPr>
            <w:r w:rsidRPr="0074537D">
              <w:t xml:space="preserve">Basic Education Support Programme </w:t>
            </w:r>
          </w:p>
        </w:tc>
        <w:tc>
          <w:tcPr>
            <w:tcW w:w="2035" w:type="dxa"/>
          </w:tcPr>
          <w:p w14:paraId="14375473" w14:textId="77777777" w:rsidR="00071B95" w:rsidRPr="0074537D" w:rsidRDefault="00437AA3" w:rsidP="0074537D">
            <w:pPr>
              <w:pStyle w:val="TableTextEntries"/>
            </w:pPr>
            <w:r w:rsidRPr="0074537D">
              <w:t>INH574</w:t>
            </w:r>
          </w:p>
        </w:tc>
        <w:tc>
          <w:tcPr>
            <w:tcW w:w="2138" w:type="dxa"/>
          </w:tcPr>
          <w:p w14:paraId="14375474" w14:textId="77777777" w:rsidR="00071B95" w:rsidRPr="0074537D" w:rsidRDefault="00437AA3" w:rsidP="0074537D">
            <w:pPr>
              <w:pStyle w:val="TableTextEntries"/>
            </w:pPr>
            <w:r w:rsidRPr="0074537D">
              <w:t>Independent Completion</w:t>
            </w:r>
            <w:r w:rsidR="00AD08C4" w:rsidRPr="0074537D">
              <w:t xml:space="preserve"> Report </w:t>
            </w:r>
          </w:p>
        </w:tc>
        <w:tc>
          <w:tcPr>
            <w:tcW w:w="2041" w:type="dxa"/>
          </w:tcPr>
          <w:p w14:paraId="14375475" w14:textId="77777777" w:rsidR="00071B95" w:rsidRPr="0074537D" w:rsidRDefault="000D1F58" w:rsidP="0074537D">
            <w:pPr>
              <w:pStyle w:val="TableTextEntries"/>
            </w:pPr>
            <w:r w:rsidRPr="0074537D">
              <w:t>R</w:t>
            </w:r>
            <w:r w:rsidR="004B1ADF" w:rsidRPr="0074537D">
              <w:t>eceived 10 April 2013</w:t>
            </w:r>
          </w:p>
        </w:tc>
        <w:tc>
          <w:tcPr>
            <w:tcW w:w="2022" w:type="dxa"/>
          </w:tcPr>
          <w:p w14:paraId="14375476" w14:textId="77777777" w:rsidR="00071B95" w:rsidRPr="0074537D" w:rsidRDefault="000D1F58" w:rsidP="0074537D">
            <w:pPr>
              <w:pStyle w:val="TableTextEntries"/>
            </w:pPr>
            <w:r w:rsidRPr="0074537D">
              <w:t>15</w:t>
            </w:r>
            <w:r w:rsidR="007F5443" w:rsidRPr="0074537D">
              <w:t xml:space="preserve"> June 2013</w:t>
            </w:r>
          </w:p>
        </w:tc>
        <w:tc>
          <w:tcPr>
            <w:tcW w:w="1835" w:type="dxa"/>
          </w:tcPr>
          <w:p w14:paraId="14375477" w14:textId="77777777" w:rsidR="00071B95" w:rsidRPr="0074537D" w:rsidRDefault="00B533FE" w:rsidP="0074537D">
            <w:pPr>
              <w:pStyle w:val="TableTextEntries"/>
            </w:pPr>
            <w:r w:rsidRPr="0074537D">
              <w:t>Forthcoming</w:t>
            </w:r>
            <w:r w:rsidR="007D60DB" w:rsidRPr="0074537D">
              <w:t>—</w:t>
            </w:r>
            <w:r w:rsidRPr="0074537D">
              <w:t>July 2013</w:t>
            </w:r>
          </w:p>
        </w:tc>
        <w:tc>
          <w:tcPr>
            <w:tcW w:w="1582" w:type="dxa"/>
          </w:tcPr>
          <w:p w14:paraId="14375478" w14:textId="77777777" w:rsidR="00071B95" w:rsidRPr="0074537D" w:rsidRDefault="00437AA3" w:rsidP="0074537D">
            <w:pPr>
              <w:pStyle w:val="TableTextEntries"/>
            </w:pPr>
            <w:r w:rsidRPr="0074537D">
              <w:t>No</w:t>
            </w:r>
            <w:r w:rsidR="004B1ADF" w:rsidRPr="0074537D">
              <w:t>t yet</w:t>
            </w:r>
          </w:p>
        </w:tc>
      </w:tr>
    </w:tbl>
    <w:p w14:paraId="1437547A" w14:textId="77777777" w:rsidR="00071B95" w:rsidRPr="00071B95" w:rsidRDefault="00071B95" w:rsidP="0074537D">
      <w:pPr>
        <w:pStyle w:val="BodyText"/>
      </w:pPr>
    </w:p>
    <w:p w14:paraId="1437547B" w14:textId="77777777" w:rsidR="00071B95" w:rsidRPr="00071B95" w:rsidRDefault="00071B95" w:rsidP="00071B95">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4"/>
        <w:gridCol w:w="2713"/>
        <w:gridCol w:w="2800"/>
        <w:gridCol w:w="2800"/>
        <w:gridCol w:w="2820"/>
      </w:tblGrid>
      <w:tr w:rsidR="00071B95" w:rsidRPr="00071B95" w14:paraId="14375481" w14:textId="77777777" w:rsidTr="0074537D">
        <w:trPr>
          <w:cantSplit/>
          <w:tblHeader w:val="0"/>
        </w:trPr>
        <w:tc>
          <w:tcPr>
            <w:tcW w:w="2601" w:type="dxa"/>
          </w:tcPr>
          <w:p w14:paraId="1437547C" w14:textId="77777777" w:rsidR="00071B95" w:rsidRPr="00071B95" w:rsidRDefault="00071B95" w:rsidP="0074537D">
            <w:pPr>
              <w:pStyle w:val="TableTextColumnHeading"/>
            </w:pPr>
            <w:r w:rsidRPr="00071B95">
              <w:t xml:space="preserve">Name of </w:t>
            </w:r>
            <w:r w:rsidR="00AD08C4">
              <w:t>i</w:t>
            </w:r>
            <w:r w:rsidRPr="00071B95">
              <w:t>nitiative</w:t>
            </w:r>
          </w:p>
        </w:tc>
        <w:tc>
          <w:tcPr>
            <w:tcW w:w="2530" w:type="dxa"/>
          </w:tcPr>
          <w:p w14:paraId="1437547D" w14:textId="77777777" w:rsidR="00071B95" w:rsidRPr="00071B95" w:rsidRDefault="00071B95" w:rsidP="0074537D">
            <w:pPr>
              <w:pStyle w:val="TableTextColumnHeading"/>
            </w:pPr>
            <w:r w:rsidRPr="00071B95">
              <w:t>Aid</w:t>
            </w:r>
            <w:r w:rsidR="00E946A0">
              <w:t>W</w:t>
            </w:r>
            <w:r w:rsidRPr="00071B95">
              <w:t>orks number</w:t>
            </w:r>
          </w:p>
        </w:tc>
        <w:tc>
          <w:tcPr>
            <w:tcW w:w="2612" w:type="dxa"/>
          </w:tcPr>
          <w:p w14:paraId="1437547E" w14:textId="77777777" w:rsidR="00071B95" w:rsidRPr="00071B95" w:rsidRDefault="00071B95" w:rsidP="0074537D">
            <w:pPr>
              <w:pStyle w:val="TableTextColumnHeading"/>
            </w:pPr>
            <w:r w:rsidRPr="00071B95">
              <w:t>Type of evaluation</w:t>
            </w:r>
          </w:p>
        </w:tc>
        <w:tc>
          <w:tcPr>
            <w:tcW w:w="2612" w:type="dxa"/>
          </w:tcPr>
          <w:p w14:paraId="1437547F" w14:textId="77777777" w:rsidR="00071B95" w:rsidRPr="00071B95" w:rsidRDefault="00071B95" w:rsidP="0074537D">
            <w:pPr>
              <w:pStyle w:val="TableTextColumnHeading"/>
            </w:pPr>
            <w:r w:rsidRPr="00071B95">
              <w:t>Purpose of evaluation</w:t>
            </w:r>
            <w:r w:rsidRPr="00071B95">
              <w:rPr>
                <w:vertAlign w:val="superscript"/>
              </w:rPr>
              <w:footnoteReference w:id="20"/>
            </w:r>
          </w:p>
        </w:tc>
        <w:tc>
          <w:tcPr>
            <w:tcW w:w="2617" w:type="dxa"/>
          </w:tcPr>
          <w:p w14:paraId="14375480" w14:textId="77777777" w:rsidR="00071B95" w:rsidRPr="00071B95" w:rsidRDefault="00071B95" w:rsidP="0074537D">
            <w:pPr>
              <w:pStyle w:val="TableTextColumnHeading"/>
            </w:pPr>
            <w:r w:rsidRPr="00071B95">
              <w:t>Expected completion date</w:t>
            </w:r>
          </w:p>
        </w:tc>
      </w:tr>
      <w:tr w:rsidR="00071B95" w:rsidRPr="00071B95" w14:paraId="14375491" w14:textId="77777777" w:rsidTr="0074537D">
        <w:trPr>
          <w:cantSplit/>
          <w:tblHeader w:val="0"/>
        </w:trPr>
        <w:tc>
          <w:tcPr>
            <w:tcW w:w="2601" w:type="dxa"/>
          </w:tcPr>
          <w:p w14:paraId="14375482" w14:textId="77777777" w:rsidR="00071B95" w:rsidRDefault="00E81CA5" w:rsidP="0074537D">
            <w:pPr>
              <w:pStyle w:val="TableTextEntries"/>
            </w:pPr>
            <w:r w:rsidRPr="00E81CA5">
              <w:t>UNICEF Education Support in the North</w:t>
            </w:r>
          </w:p>
          <w:p w14:paraId="14375483" w14:textId="77777777" w:rsidR="007F5443" w:rsidRDefault="007F5443" w:rsidP="0074537D">
            <w:pPr>
              <w:pStyle w:val="TableTextEntries"/>
            </w:pPr>
          </w:p>
          <w:p w14:paraId="14375484" w14:textId="77777777" w:rsidR="007F5443" w:rsidRPr="00E81CA5" w:rsidRDefault="007F5443" w:rsidP="0074537D">
            <w:pPr>
              <w:pStyle w:val="TableTextEntries"/>
            </w:pPr>
            <w:r>
              <w:t xml:space="preserve">UNICEF </w:t>
            </w:r>
            <w:r w:rsidR="00342E31">
              <w:t xml:space="preserve">Water, Sanitation and Hygiene </w:t>
            </w:r>
          </w:p>
        </w:tc>
        <w:tc>
          <w:tcPr>
            <w:tcW w:w="2530" w:type="dxa"/>
          </w:tcPr>
          <w:p w14:paraId="14375485" w14:textId="77777777" w:rsidR="00071B95" w:rsidRPr="00E81CA5" w:rsidRDefault="00E81CA5" w:rsidP="0074537D">
            <w:pPr>
              <w:pStyle w:val="TableTextEntries"/>
            </w:pPr>
            <w:r w:rsidRPr="00E81CA5">
              <w:t>INJ872</w:t>
            </w:r>
          </w:p>
        </w:tc>
        <w:tc>
          <w:tcPr>
            <w:tcW w:w="2612" w:type="dxa"/>
          </w:tcPr>
          <w:p w14:paraId="14375486" w14:textId="77777777" w:rsidR="00071B95" w:rsidRDefault="00E81CA5" w:rsidP="0074537D">
            <w:pPr>
              <w:pStyle w:val="TableTextEntries"/>
            </w:pPr>
            <w:r>
              <w:t xml:space="preserve">Independent </w:t>
            </w:r>
            <w:r w:rsidR="00AD08C4">
              <w:t>r</w:t>
            </w:r>
            <w:r>
              <w:t>eview</w:t>
            </w:r>
          </w:p>
          <w:p w14:paraId="14375487" w14:textId="77777777" w:rsidR="007F5443" w:rsidRDefault="007F5443" w:rsidP="0074537D">
            <w:pPr>
              <w:pStyle w:val="TableTextEntries"/>
            </w:pPr>
          </w:p>
          <w:p w14:paraId="14375488" w14:textId="77777777" w:rsidR="007F5443" w:rsidRPr="00E81CA5" w:rsidRDefault="007F5443" w:rsidP="0074537D">
            <w:pPr>
              <w:pStyle w:val="TableTextEntries"/>
            </w:pPr>
            <w:r>
              <w:t xml:space="preserve">Independent </w:t>
            </w:r>
            <w:r w:rsidR="00AD08C4">
              <w:t>r</w:t>
            </w:r>
            <w:r>
              <w:t>eview</w:t>
            </w:r>
          </w:p>
        </w:tc>
        <w:tc>
          <w:tcPr>
            <w:tcW w:w="2612" w:type="dxa"/>
          </w:tcPr>
          <w:p w14:paraId="14375489" w14:textId="77777777" w:rsidR="00071B95" w:rsidRDefault="00E81CA5" w:rsidP="0074537D">
            <w:pPr>
              <w:pStyle w:val="TableTextEntries"/>
            </w:pPr>
            <w:r>
              <w:t xml:space="preserve">End of </w:t>
            </w:r>
            <w:r w:rsidR="00940B6A">
              <w:t>project</w:t>
            </w:r>
          </w:p>
          <w:p w14:paraId="1437548A" w14:textId="77777777" w:rsidR="007F5443" w:rsidRDefault="007F5443" w:rsidP="0074537D">
            <w:pPr>
              <w:pStyle w:val="TableTextEntries"/>
            </w:pPr>
          </w:p>
          <w:p w14:paraId="1437548B" w14:textId="77777777" w:rsidR="007F5443" w:rsidRDefault="007F5443" w:rsidP="0074537D">
            <w:pPr>
              <w:pStyle w:val="TableTextEntries"/>
            </w:pPr>
          </w:p>
          <w:p w14:paraId="1437548C" w14:textId="77777777" w:rsidR="007F5443" w:rsidRPr="00E81CA5" w:rsidRDefault="007F5443" w:rsidP="0074537D">
            <w:pPr>
              <w:pStyle w:val="TableTextEntries"/>
            </w:pPr>
            <w:r>
              <w:t>End of project</w:t>
            </w:r>
          </w:p>
        </w:tc>
        <w:tc>
          <w:tcPr>
            <w:tcW w:w="2617" w:type="dxa"/>
          </w:tcPr>
          <w:p w14:paraId="1437548D" w14:textId="77777777" w:rsidR="00071B95" w:rsidRDefault="00940B6A" w:rsidP="0074537D">
            <w:pPr>
              <w:pStyle w:val="TableTextEntries"/>
            </w:pPr>
            <w:r>
              <w:t xml:space="preserve">End </w:t>
            </w:r>
            <w:r w:rsidR="00E81CA5" w:rsidRPr="000D1F58">
              <w:t>201</w:t>
            </w:r>
            <w:r>
              <w:t>3</w:t>
            </w:r>
          </w:p>
          <w:p w14:paraId="1437548E" w14:textId="77777777" w:rsidR="007F5443" w:rsidRDefault="007F5443" w:rsidP="0074537D">
            <w:pPr>
              <w:pStyle w:val="TableTextEntries"/>
            </w:pPr>
          </w:p>
          <w:p w14:paraId="1437548F" w14:textId="77777777" w:rsidR="007F5443" w:rsidRDefault="007F5443" w:rsidP="0074537D">
            <w:pPr>
              <w:pStyle w:val="TableTextEntries"/>
            </w:pPr>
          </w:p>
          <w:p w14:paraId="14375490" w14:textId="77777777" w:rsidR="007F5443" w:rsidRPr="00E81CA5" w:rsidRDefault="007F5443" w:rsidP="0074537D">
            <w:pPr>
              <w:pStyle w:val="TableTextEntries"/>
            </w:pPr>
            <w:r>
              <w:t>End 2014</w:t>
            </w:r>
          </w:p>
        </w:tc>
      </w:tr>
    </w:tbl>
    <w:p w14:paraId="14375492" w14:textId="77777777" w:rsidR="002A639C" w:rsidRDefault="002A639C" w:rsidP="002A639C">
      <w:pPr>
        <w:pStyle w:val="BoxText"/>
      </w:pPr>
    </w:p>
    <w:sectPr w:rsidR="002A639C" w:rsidSect="008B575A">
      <w:headerReference w:type="first" r:id="rId26"/>
      <w:footerReference w:type="first" r:id="rId27"/>
      <w:pgSz w:w="16840" w:h="11907" w:orient="landscape" w:code="9"/>
      <w:pgMar w:top="1871" w:right="2268" w:bottom="1134" w:left="907"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7549E" w14:textId="77777777" w:rsidR="000D75DA" w:rsidRDefault="000D75DA" w:rsidP="0050529F">
      <w:r>
        <w:separator/>
      </w:r>
    </w:p>
    <w:p w14:paraId="1437549F" w14:textId="77777777" w:rsidR="000D75DA" w:rsidRDefault="000D75DA"/>
    <w:p w14:paraId="143754A0" w14:textId="77777777" w:rsidR="000D75DA" w:rsidRDefault="000D75DA"/>
  </w:endnote>
  <w:endnote w:type="continuationSeparator" w:id="0">
    <w:p w14:paraId="143754A1" w14:textId="77777777" w:rsidR="000D75DA" w:rsidRDefault="000D75DA" w:rsidP="0050529F">
      <w:r>
        <w:continuationSeparator/>
      </w:r>
    </w:p>
    <w:p w14:paraId="143754A2" w14:textId="77777777" w:rsidR="000D75DA" w:rsidRDefault="000D75DA"/>
    <w:p w14:paraId="143754A3" w14:textId="77777777" w:rsidR="000D75DA" w:rsidRDefault="000D75DA"/>
  </w:endnote>
  <w:endnote w:type="continuationNotice" w:id="1">
    <w:p w14:paraId="143754A4" w14:textId="77777777" w:rsidR="000D75DA" w:rsidRDefault="000D7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955BA" w14:textId="77777777" w:rsidR="00B36188" w:rsidRDefault="00B36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7" w14:textId="4BD768DD" w:rsidR="000D75DA" w:rsidRPr="00094816" w:rsidRDefault="000D75DA" w:rsidP="0009481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Aid Program Performance Report 2012−13 Sri Lanka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12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3776" behindDoc="1" locked="0" layoutInCell="1" allowOverlap="1" wp14:anchorId="4CC3E3C1" wp14:editId="12055349">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2752" behindDoc="1" locked="0" layoutInCell="1" allowOverlap="1" wp14:anchorId="7158C7C5" wp14:editId="75F4CFDE">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9" w14:textId="66A3151C" w:rsidR="000D75DA" w:rsidRPr="00094816" w:rsidRDefault="000D75DA" w:rsidP="0009481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Aid Program Performance Report 2012−13 Sri Lanka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0704" behindDoc="1" locked="0" layoutInCell="1" allowOverlap="1" wp14:anchorId="4E616FCE" wp14:editId="0B0B1A24">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9680" behindDoc="1" locked="0" layoutInCell="1" allowOverlap="1" wp14:anchorId="43F6848F" wp14:editId="6348459A">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C" w14:textId="3F1B5F8F" w:rsidR="000D75DA" w:rsidRPr="00094816" w:rsidRDefault="000D75DA" w:rsidP="00094816">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Aid Program Performance Report 2012−13 Sri Lanka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14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8896" behindDoc="1" locked="0" layoutInCell="1" allowOverlap="1" wp14:anchorId="6400CC28" wp14:editId="0DA4FC8A">
              <wp:simplePos x="0" y="0"/>
              <wp:positionH relativeFrom="column">
                <wp:posOffset>0</wp:posOffset>
              </wp:positionH>
              <wp:positionV relativeFrom="paragraph">
                <wp:posOffset>8498840</wp:posOffset>
              </wp:positionV>
              <wp:extent cx="7379970" cy="2181860"/>
              <wp:effectExtent l="0" t="2540" r="1905" b="0"/>
              <wp:wrapNone/>
              <wp:docPr id="9"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Z0cNi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3+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gnFABRSZHqKMj1FFwFopMj1FGR6ii4C0U&#10;mR6ijIouAt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fjT/AJBUX/XUfyNdJXN+NP8AkFRf9dR/I1y43/d5+h1YL/eIepwtFFFfJH1gVv6K2ii3/wBLC/as&#10;nBlzs9ulYFb+i/2L9m/0vb9qyf8AW52e1dOE/idPmcuM/hdfkaM8mseS39nCzMAH/Lrgn9a5BiS7&#10;FvvZ5+tdhOusmFv7OayEGOlrgcfjXHtncd3XPNbY7db/AD2+RjgNnt8t/mJWz4Wcrr8AH8QYH8jW&#10;NWv4Y/5GG2/4F/6Ca58L/Hh6o6cV/An6M9Hooor7A+Q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m/Gn/IKi/66j+RrpK5vxp/yCov+uo/ka5cb/u8&#10;/Q6sF/vEPU4Wiiivkj6wK2NN8P3GoW32nzUjgyRuOSePaset7RtM1GW2+1QXn2eDJ5yT09hXRhYK&#10;dSzjc58VNwp3UrD0XRdNY5urqeUdRGCgzWA5DOxGcE8ZrrbjV9PihaG9Y6hLjG4wBMVyLEFiQMDP&#10;ArXGcqtGLXov6Zlg3J3lJO/d/pohK1/DH/Iw23/Av/QTWRWv4Y/5GG2/4F/6Caxwv8eHqjbFfwJ+&#10;jPR6KKK+wPk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5vxp/yCov+uo/ka6Sub8af8gqL/rqP5GuXG/7vP0OrBf7xD1OFooor5I+sCrdlc30LgWck&#10;wP8Adjyf0qpW/o2uNZ232QWZkBJ+eLh+a3w6TnrKxhiG1DSNzRtW1m5jxe2Nu8eOWnUKf8/hXIyD&#10;EjDAGCeBXXT6MdShaf7XewcZ2XZyP51yDDDEZzg9a6MapJRT+99TmwLi3Jq3ougla/hj/kYbb/gX&#10;/oJrIrX8Mf8AIw23/Av/AEE1z4X+PD1R0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v6Rrh06xML2jNESczRnDc++KwK3LOTVL3Q3sLa0EkAPL4565&#10;xXThZSjNuL1t2uc2LjGUEpLS/exNMNK1PLf2pcRSH+GcFh+dc8wwxAOcHrUv2WcyvF5L+YgJZccj&#10;HXNQ1Fao56uNmVRpqF1GV0Fa/hj/AJGG2/4F/wCgmsitfwx/yMNt/wAC/wDQTTwv8eHqgxX8Cfoz&#10;0eiiivsD5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ub8af8gqL/rqP5Gukrm/Gn/IKi/66j+Rrlxv+7z9DqwX+8Q9ThaKKK+SPrArp7OHUrrw/ajT&#10;meMxSPvwdu/JyCD3xXMVuafpt9daeshvxbWwYhA8hAJ74rqwjfM0k3ddNPxOTGJcqbaVn11/A2xp&#10;94utW99IqrGYALliwAJxz/SuLm2+fJs+7uOPpmugbQ5mUg61bsCOQZDzXOsu12XIODjIrTGN2S5b&#10;dd7meDSu7SvstrCVr+GP+Rhtv+Bf+gmsitfwx/yMNt/wL/0E1hhf48PVHRiv4E/Rno9FFFfYHy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c340/5B&#10;UX/XUfyNdJXN+NP+QVF/11H8jXLjf93n6HVgv94h6nC0UUV8kfWBXR2trDqPh+3invIbdoZG8vc3&#10;UE85Fc5WjNaQw6Ja3BBM87tjngKOK6MPLl5na6tqc2JjzcqvZ30Lh8P2wB/4nFof8/WsNl2sVznB&#10;xkV0q6FpqLBaT3Egv503LgfKD6VzckZileNuqsVP4VeJp8iXu2+dycLV521zX+Vhta/hj/kYbb/g&#10;X/oJrIrX8Mf8jDbf8C/9BNZ4X+PD1Rpiv4E/Rno9FFFfYHy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340/5BUX/AF1H8jXSVzfjT/kFRf8AXUfy&#10;NcuN/wB3n6HVgv8AeIepwtFFFfJH1gVvaReB7MW9xpkl5FCxZDGpJUnqKwa6eym1BfD9t/ZSncsj&#10;+ftXJJzx+FdeDvzt+Xa9zkxnwJefe1jOl1eWXXft5t8tH92Pn5QBWXI5kkZ26sSx/GuxSyujr0Ny&#10;bYrHNAPtHGACRzXHzKqzyKv3QxA+maeKhOKvJ7tk4WpCTtFbJf8ADDK1/DH/ACMNt/wL/wBBNZFa&#10;/hj/AJGG2/4F/wCgmssL/Hh6o2xX8Cfoz0eiiivsD5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af8AIKi/66j+RrpK5vxp/wAgqL/rqP5GuXG/&#10;7vP0OrBf7xD1OFooor5I+sCug0y21y402P7FOEtwx2jeFOc81z9bOmaWZ7Q3Vze/ZbUNtBJ5Y+1d&#10;OFu52V/k7fic2KsoXdvmr/gX5NL8SSRMj3W5COR5vWsX+yrn+zXvvk8pH2EZ5zWo+jw3ETnTtW8+&#10;VRnyicEj2rAMkgQxl225yVzxmtcQoxtzJ/fcxwzlJPla+6wytfwx/wAjDbf8C/8AQTWRWv4Y/wCR&#10;htv+Bf8AoJrDC/x4eqOj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ujtLe2v/D0NvPfQ27xyMyBm7H1Fc5Wkttpx0Qzm5P20NxF+P8AhXRhnZy0TVuu&#10;hz4lXUdWnformxpum2NheLcHV7ZigO0Bsc4781nX2lWsMEtwuqW8r9didT+tY1FVLEQcOXk/Fkxw&#10;81Pn5/wQVr+GP+Rhtv8AgX/oJrIrX8Mf8jDbf8C/9BNRhf40PVF4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ho6LaQ3eoAXAJhjRpHA7gdq0bW10vUlu&#10;bl4mtY9yRRqpyFY55NZWlXw0++WZk3oQVdfUGr99qNj9hFnpcEqhpBI5frkdMV3UJU1TvK2l9Or7&#10;HBiI1XUtG+ttei7l0WOitdnSRDL9pA2/aNx+9j0zXMSIY5HQ9VJFdTa69bNcxyXVikNyww1wRjt1&#10;rlpDukY5zkk59aWL9m4pxt12VtPMeE9opNTv03d9fIbWv4Y/5GG2/wCBf+gmsitfwx/yMNt/wL/0&#10;E1jhf48PVG+K/gT9Gej0UUV9gfI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5vxp/yCov+uo/ka6Sub8af8gqL/rqP5GuXG/7vP0OrBf7xD1OFooor5I+sCuh0PWbK&#10;ytTBLEYpiT/pCqGNc9WtFdpJob2UenmSbdkzKucc5/8ArV0YabhNyT1t6nNioKcFFrS/exfvNOut&#10;TUy22qLer12FtpH4VzZBUkHqOKcjPG+ULKw9OCKYTnmprVI1He1n6lUacqa5W7rpoFa/hj/kYbb/&#10;AIF/6CayK1/DH/Iw23/Av/QTTwv8eHqgxX8Cfoz0eiiivsD5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b8af8gqL/rqP5Gukrm/Gn/IKi/66j+Rr&#10;lxv+7z9DqwX+8Q9ThaKKK+SPrArprK6vbfQLZtLjDP5jCfCbjnPH6VzNb+lf29NYiPT/AJYEY/N8&#10;oyfqetdeEk1NpX26bnJjIpwTdtH12NGO0lbxBDP9kKxXMGZxt4Ukc1yUyhJ5FX7qsQPpmunktfFM&#10;kTI8pKkc4da5ZlKsVbqDg1eMei91rVvUzwa1b5k9EtBK1/DH/Iw23/Av/QTWRWv4Y/5GG2/4F/6C&#10;awwv8eHqjoxX8Cfoz0eiiivsD5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b8af8AIKi/66j+RrpK5vxp/wAgqL/rqP5GuXG/7vP0OrBf7xD1OFoo&#10;or5I+sCumtbO81Lw3bJauYzDI2QW2iQE9fwrmaeJpAgQSOFByAGOK3oVVTb5lo0YV6UqiXK7NO5u&#10;Hw/rIGfNX/v/AFgsCrMG6g4NO82T/no//fVMpVZwlblTXq7jpQnG/O0/RWCtjwuM+ILb23f+gmse&#10;uo8G2TPdy3jA7I12qfUmtMFBzrxS7kY2ahQk32O2ooor6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f/ACCov+uo/ka6SmSRRyqBIiuB2YZr&#10;GvT9rTcL7mtCp7Kop22PJKMV6v8AYrX/AJ94v++BR9itf+feL/vgV5H9jy/n/A9f+2F/J+J5RijF&#10;er/YrX/n3i/74FH2K1/594v++BR/Y8v5/wAA/thfyfieUYpVVmOFUknsBXq32K1/594v++BTkt4Y&#10;j8kSL9FAoWTvrP8AAHnC/k/E4HTPDN7fOrSoYIe7MOT9BXeWlpDZWyW8CbY1HFT0V6WGwdPDr3d+&#10;55uJxdTEP3tuwUUUV1nK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7872" behindDoc="1" locked="0" layoutInCell="1" allowOverlap="1" wp14:anchorId="0D790417" wp14:editId="769EA48B">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E" w14:textId="77777777" w:rsidR="000D75DA" w:rsidRPr="004C4A3E" w:rsidRDefault="000D75DA"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4864" behindDoc="1" locked="1" layoutInCell="1" allowOverlap="1" wp14:anchorId="143754CC" wp14:editId="143754CD">
              <wp:simplePos x="0" y="0"/>
              <wp:positionH relativeFrom="page">
                <wp:posOffset>0</wp:posOffset>
              </wp:positionH>
              <wp:positionV relativeFrom="page">
                <wp:posOffset>8533130</wp:posOffset>
              </wp:positionV>
              <wp:extent cx="7379970" cy="2181860"/>
              <wp:effectExtent l="0" t="0" r="1905" b="635"/>
              <wp:wrapNone/>
              <wp:docPr id="18" name="Rectangle 18"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Description: Description: AusAID web address graphic" style="position:absolute;margin-left:0;margin-top:671.9pt;width:581.1pt;height:171.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jqp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n01nvgAAAACwEAAA8AAABkcnMvZG93bnJldi54&#10;bWxMj0FLxDAQhe+C/yGM4M1Nti11rU0XWRBEEHFdBG/ZZmyLzaQ06bb+e2dPepuZ93jzvXK7uF6c&#10;cAydJw3rlQKBVHvbUaPh8P54swERoiFrek+o4QcDbKvLi9IU1s/0hqd9bASHUCiMhjbGoZAy1C06&#10;E1Z+QGLty4/ORF7HRtrRzBzuepkolUtnOuIPrRlw12L9vZ+cBiXnu6ddk75M1r9mH0t/eJ4/ldbX&#10;V8vDPYiIS/wzwxmf0aFipqOfyAbRcwb7+JpmKTc46+s8SUAceco3txnIqpT/O1S/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Ifo6q&#10;YwMAAB0HAAAOAAAAAAAAAAAAAAAAADwCAABkcnMvZTJvRG9jLnhtbFBLAQItABQABgAIAAAAIQBY&#10;YLMbugAAACIBAAAZAAAAAAAAAAAAAAAAAMsFAABkcnMvX3JlbHMvZTJvRG9jLnhtbC5yZWxzUEsB&#10;Ai0AFAAGAAgAAAAhANn01nv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Sri Lanka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16</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83840" behindDoc="1" locked="0" layoutInCell="1" allowOverlap="1" wp14:anchorId="143754CE" wp14:editId="143754CF">
              <wp:simplePos x="0" y="0"/>
              <wp:positionH relativeFrom="column">
                <wp:posOffset>0</wp:posOffset>
              </wp:positionH>
              <wp:positionV relativeFrom="paragraph">
                <wp:posOffset>8498840</wp:posOffset>
              </wp:positionV>
              <wp:extent cx="7379970" cy="2181860"/>
              <wp:effectExtent l="0" t="2540" r="1905" b="0"/>
              <wp:wrapNone/>
              <wp:docPr id="19" name="Rectangle 8"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tion: Description: AusAID web address graphic" style="position:absolute;margin-left:0;margin-top:669.2pt;width:581.1pt;height:17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sqNl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V0ZI4g5i9CdQw3IvGILg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QLKjZ&#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82816" behindDoc="1" locked="0" layoutInCell="1" allowOverlap="1" wp14:anchorId="143754D0" wp14:editId="143754D1">
              <wp:simplePos x="0" y="0"/>
              <wp:positionH relativeFrom="column">
                <wp:posOffset>0</wp:posOffset>
              </wp:positionH>
              <wp:positionV relativeFrom="paragraph">
                <wp:posOffset>8498840</wp:posOffset>
              </wp:positionV>
              <wp:extent cx="7379970" cy="2181860"/>
              <wp:effectExtent l="0" t="2540" r="1905" b="0"/>
              <wp:wrapNone/>
              <wp:docPr id="20" name="Rectangle 7"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tion: Description: AusAID web address graphic" style="position:absolute;margin-left:0;margin-top:669.2pt;width:581.1pt;height:17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Zneh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n2Z3o&#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B1" w14:textId="47DC7FFD" w:rsidR="000D75DA" w:rsidRPr="00094816" w:rsidRDefault="000D75DA" w:rsidP="00094816">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Aid Program Performance Report 2012−13 Sri Lanka</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B36188">
      <w:rPr>
        <w:rFonts w:ascii="Franklin Gothic Medium" w:eastAsia="Times New Roman" w:hAnsi="Franklin Gothic Medium"/>
        <w:noProof/>
        <w:sz w:val="14"/>
        <w:szCs w:val="14"/>
      </w:rPr>
      <w:t>16</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1968" behindDoc="1" locked="0" layoutInCell="1" allowOverlap="1" wp14:anchorId="1C5A6784" wp14:editId="5341E215">
              <wp:simplePos x="0" y="0"/>
              <wp:positionH relativeFrom="column">
                <wp:posOffset>0</wp:posOffset>
              </wp:positionH>
              <wp:positionV relativeFrom="paragraph">
                <wp:posOffset>8498840</wp:posOffset>
              </wp:positionV>
              <wp:extent cx="7379970" cy="2181860"/>
              <wp:effectExtent l="0" t="2540" r="1905" b="0"/>
              <wp:wrapNone/>
              <wp:docPr id="17"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pgZl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qqYGZ&#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0944" behindDoc="1" locked="0" layoutInCell="1" allowOverlap="1" wp14:anchorId="218B2323" wp14:editId="71CFB194">
              <wp:simplePos x="0" y="0"/>
              <wp:positionH relativeFrom="column">
                <wp:posOffset>0</wp:posOffset>
              </wp:positionH>
              <wp:positionV relativeFrom="paragraph">
                <wp:posOffset>8498840</wp:posOffset>
              </wp:positionV>
              <wp:extent cx="7379970" cy="2181860"/>
              <wp:effectExtent l="0" t="2540" r="1905" b="0"/>
              <wp:wrapNone/>
              <wp:docPr id="2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S+IZ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hL4&#10;hm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B3" w14:textId="77777777" w:rsidR="000D75DA" w:rsidRPr="00AD1673" w:rsidRDefault="000D75DA" w:rsidP="00AD1673">
    <w:pPr>
      <w:tabs>
        <w:tab w:val="left" w:pos="0"/>
        <w:tab w:val="left" w:pos="4155"/>
        <w:tab w:val="right" w:pos="7938"/>
        <w:tab w:val="right" w:pos="14459"/>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95104" behindDoc="1" locked="1" layoutInCell="1" allowOverlap="1" wp14:anchorId="143754DC" wp14:editId="143754DD">
              <wp:simplePos x="0" y="0"/>
              <wp:positionH relativeFrom="page">
                <wp:posOffset>0</wp:posOffset>
              </wp:positionH>
              <wp:positionV relativeFrom="page">
                <wp:posOffset>8526145</wp:posOffset>
              </wp:positionV>
              <wp:extent cx="7379970" cy="2181860"/>
              <wp:effectExtent l="0" t="1270" r="1905" b="0"/>
              <wp:wrapNone/>
              <wp:docPr id="30" name="Rectangle 13"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Description: Description: AusAID web address graphic" style="position:absolute;margin-left:0;margin-top:671.35pt;width:581.1pt;height:17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fkP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PAo0kOMfgZqRB0kR/kUI8YdBWCb8COMhzjXaHl0y8cNGvgeEcYs&#10;sEcnhgHoYFwNep/NJxuQOPOk6e8OKb3uQC1fWquHjhMGbuThfHpzIQgOrqL98KNmYA45eh3Zvra2&#10;DwqBGnqNIXy7hJC/ekRhcTFdVNUCXKG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Gtd7Q4AAAAAsBAAAPAAAAZHJzL2Rvd25yZXYu&#10;eG1sTI9BS8NAEIXvgv9hGcGb3W1SYhuzKVIQRBCxFqG3bXZMgtnZkN008d87PeltZt7jzfeK7ew6&#10;ccYhtJ40LBcKBFLlbUu1hsPH090aRIiGrOk8oYYfDLAtr68Kk1s/0Tue97EWHEIhNxqaGPtcylA1&#10;6ExY+B6JtS8/OBN5HWppBzNxuOtkolQmnWmJPzSmx12D1fd+dBqUnDbPuzp9Ha1/W33O3eFlOiqt&#10;b2/mxwcQEef4Z4YLPqNDyUwnP5INouMM9vE1XSX3IC76MksSECeesnWWgiwL+b9D+Qs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Mh+Q&#10;8GQDAAAdBwAADgAAAAAAAAAAAAAAAAA8AgAAZHJzL2Uyb0RvYy54bWxQSwECLQAUAAYACAAAACEA&#10;WGCzG7oAAAAiAQAAGQAAAAAAAAAAAAAAAADMBQAAZHJzL19yZWxzL2Uyb0RvYy54bWwucmVsc1BL&#10;AQItABQABgAIAAAAIQAGtd7Q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Annual Aid Program Performance Report 2012−13 Sri Lanka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16</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97152" behindDoc="1" locked="0" layoutInCell="1" allowOverlap="1" wp14:anchorId="143754DE" wp14:editId="143754DF">
              <wp:simplePos x="0" y="0"/>
              <wp:positionH relativeFrom="column">
                <wp:posOffset>0</wp:posOffset>
              </wp:positionH>
              <wp:positionV relativeFrom="paragraph">
                <wp:posOffset>8498840</wp:posOffset>
              </wp:positionV>
              <wp:extent cx="7379970" cy="2181860"/>
              <wp:effectExtent l="0" t="2540" r="1905" b="0"/>
              <wp:wrapNone/>
              <wp:docPr id="31" name="Rectangle 2"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Description: Description: AusAID web address graphic" style="position:absolute;margin-left:0;margin-top:669.2pt;width:581.1pt;height:17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Y0kx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NMdIkR5i9DNQI+ogOZpg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e1jS&#10;TG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96128" behindDoc="1" locked="0" layoutInCell="1" allowOverlap="1" wp14:anchorId="143754E0" wp14:editId="143754E1">
              <wp:simplePos x="0" y="0"/>
              <wp:positionH relativeFrom="column">
                <wp:posOffset>0</wp:posOffset>
              </wp:positionH>
              <wp:positionV relativeFrom="paragraph">
                <wp:posOffset>8498840</wp:posOffset>
              </wp:positionV>
              <wp:extent cx="7379970" cy="2181860"/>
              <wp:effectExtent l="0" t="2540" r="1905" b="0"/>
              <wp:wrapNone/>
              <wp:docPr id="32" name="Rectangle 3"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Description: AusAID web address graphic" style="position:absolute;margin-left:0;margin-top:669.2pt;width:581.1pt;height:17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ylNN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ynKU&#10;0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B5" w14:textId="77777777" w:rsidR="000D75DA" w:rsidRPr="004C4A3E" w:rsidRDefault="000D75DA" w:rsidP="00586350">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80768" behindDoc="1" locked="1" layoutInCell="1" allowOverlap="1" wp14:anchorId="143754E2" wp14:editId="143754E3">
              <wp:simplePos x="0" y="0"/>
              <wp:positionH relativeFrom="page">
                <wp:posOffset>0</wp:posOffset>
              </wp:positionH>
              <wp:positionV relativeFrom="page">
                <wp:posOffset>8533130</wp:posOffset>
              </wp:positionV>
              <wp:extent cx="7379970" cy="2181860"/>
              <wp:effectExtent l="0" t="0" r="1905" b="635"/>
              <wp:wrapNone/>
              <wp:docPr id="3" name="Rectangle 2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Description: AusAID web address graphic" style="position:absolute;margin-left:0;margin-top:671.9pt;width:581.1pt;height:171.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yFlF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n01nvgAAAACwEAAA8AAABkcnMvZG93bnJldi54&#10;bWxMj0FLxDAQhe+C/yGM4M1Nti11rU0XWRBEEHFdBG/ZZmyLzaQ06bb+e2dPepuZ93jzvXK7uF6c&#10;cAydJw3rlQKBVHvbUaPh8P54swERoiFrek+o4QcDbKvLi9IU1s/0hqd9bASHUCiMhjbGoZAy1C06&#10;E1Z+QGLty4/ORF7HRtrRzBzuepkolUtnOuIPrRlw12L9vZ+cBiXnu6ddk75M1r9mH0t/eJ4/ldbX&#10;V8vDPYiIS/wzwxmf0aFipqOfyAbRcwb7+JpmKTc46+s8SUAceco3txnIqpT/O1S/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OshZR&#10;YwMAABwHAAAOAAAAAAAAAAAAAAAAADwCAABkcnMvZTJvRG9jLnhtbFBLAQItABQABgAIAAAAIQBY&#10;YLMbugAAACIBAAAZAAAAAAAAAAAAAAAAAMsFAABkcnMvX3JlbHMvZTJvRG9jLnhtbC5yZWxzUEsB&#10;Ai0AFAAGAAgAAAAhANn01nv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sidR="00B36188">
      <w:rPr>
        <w:rFonts w:ascii="Franklin Gothic Medium" w:eastAsia="Times New Roman" w:hAnsi="Franklin Gothic Medium"/>
        <w:noProof/>
        <w:color w:val="5A9A98"/>
        <w:sz w:val="14"/>
        <w:szCs w:val="14"/>
      </w:rPr>
      <w:t>Aid Program Performance Report 2012−13 Sri Lanka</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B36188">
      <w:rPr>
        <w:rFonts w:ascii="Franklin Gothic Medium" w:eastAsia="Times New Roman" w:hAnsi="Franklin Gothic Medium"/>
        <w:noProof/>
        <w:color w:val="54534A"/>
        <w:sz w:val="14"/>
        <w:szCs w:val="14"/>
      </w:rPr>
      <w:t>17</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9744" behindDoc="1" locked="0" layoutInCell="1" allowOverlap="1" wp14:anchorId="143754E4" wp14:editId="143754E5">
              <wp:simplePos x="0" y="0"/>
              <wp:positionH relativeFrom="column">
                <wp:posOffset>0</wp:posOffset>
              </wp:positionH>
              <wp:positionV relativeFrom="paragraph">
                <wp:posOffset>8498840</wp:posOffset>
              </wp:positionV>
              <wp:extent cx="7379970" cy="2181860"/>
              <wp:effectExtent l="0" t="2540" r="1905" b="0"/>
              <wp:wrapNone/>
              <wp:docPr id="2" name="Rectangle 21"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Description: AusAID web address graphic" style="position:absolute;margin-left:0;margin-top:669.2pt;width:581.1pt;height:17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8vTp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jy9&#10;O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8720" behindDoc="1" locked="0" layoutInCell="1" allowOverlap="1" wp14:anchorId="143754E6" wp14:editId="143754E7">
              <wp:simplePos x="0" y="0"/>
              <wp:positionH relativeFrom="column">
                <wp:posOffset>0</wp:posOffset>
              </wp:positionH>
              <wp:positionV relativeFrom="paragraph">
                <wp:posOffset>8498840</wp:posOffset>
              </wp:positionV>
              <wp:extent cx="7379970" cy="2181860"/>
              <wp:effectExtent l="0" t="2540" r="1905" b="0"/>
              <wp:wrapNone/>
              <wp:docPr id="1" name="Rectangle 22"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Description: AusAID web address graphic" style="position:absolute;margin-left:0;margin-top:669.2pt;width:581.1pt;height:17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vQYZ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rq9B&#10;h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75497" w14:textId="77777777" w:rsidR="000D75DA" w:rsidRDefault="000D75DA" w:rsidP="0050529F">
      <w:r>
        <w:separator/>
      </w:r>
    </w:p>
    <w:p w14:paraId="14375498" w14:textId="77777777" w:rsidR="000D75DA" w:rsidRDefault="000D75DA"/>
    <w:p w14:paraId="14375499" w14:textId="77777777" w:rsidR="000D75DA" w:rsidRDefault="000D75DA"/>
  </w:footnote>
  <w:footnote w:type="continuationSeparator" w:id="0">
    <w:p w14:paraId="1437549A" w14:textId="77777777" w:rsidR="000D75DA" w:rsidRDefault="000D75DA" w:rsidP="0050529F">
      <w:r>
        <w:continuationSeparator/>
      </w:r>
    </w:p>
    <w:p w14:paraId="1437549B" w14:textId="77777777" w:rsidR="000D75DA" w:rsidRDefault="000D75DA"/>
    <w:p w14:paraId="1437549C" w14:textId="77777777" w:rsidR="000D75DA" w:rsidRDefault="000D75DA"/>
  </w:footnote>
  <w:footnote w:type="continuationNotice" w:id="1">
    <w:p w14:paraId="1437549D" w14:textId="77777777" w:rsidR="000D75DA" w:rsidRDefault="000D75DA"/>
  </w:footnote>
  <w:footnote w:id="2">
    <w:p w14:paraId="143754E8" w14:textId="77777777" w:rsidR="000D75DA" w:rsidRDefault="000D75DA">
      <w:pPr>
        <w:pStyle w:val="FootnoteText"/>
      </w:pPr>
      <w:r>
        <w:rPr>
          <w:rStyle w:val="FootnoteReference"/>
        </w:rPr>
        <w:footnoteRef/>
      </w:r>
      <w:r>
        <w:t xml:space="preserve"> </w:t>
      </w:r>
      <w:hyperlink r:id="rId1" w:history="1">
        <w:r w:rsidRPr="00AD1673">
          <w:t>http://www.treasury.gov.lk/publications/mahindaChintanaVision-2010full-eng.pdf</w:t>
        </w:r>
      </w:hyperlink>
      <w:r w:rsidRPr="000E495F">
        <w:t xml:space="preserve"> </w:t>
      </w:r>
      <w:r>
        <w:t xml:space="preserve"> </w:t>
      </w:r>
    </w:p>
  </w:footnote>
  <w:footnote w:id="3">
    <w:p w14:paraId="143754E9" w14:textId="77777777" w:rsidR="000D75DA" w:rsidRDefault="000D75DA">
      <w:pPr>
        <w:pStyle w:val="FootnoteText"/>
      </w:pPr>
      <w:r>
        <w:rPr>
          <w:rStyle w:val="FootnoteReference"/>
        </w:rPr>
        <w:footnoteRef/>
      </w:r>
      <w:r>
        <w:t xml:space="preserve"> For example, unemployment in Eastern Province is 6.8 per cent, and for women in Eastern Province it is 19.5 per cent—Sri Lanka Department of Census and Statistics; World Bank Data Catalogue, 2013.</w:t>
      </w:r>
    </w:p>
  </w:footnote>
  <w:footnote w:id="4">
    <w:p w14:paraId="143754EA" w14:textId="77777777" w:rsidR="000D75DA" w:rsidRPr="000E495F" w:rsidRDefault="000D75DA">
      <w:pPr>
        <w:pStyle w:val="FootnoteText"/>
      </w:pPr>
      <w:r w:rsidRPr="000E495F">
        <w:rPr>
          <w:rStyle w:val="FootnoteReference"/>
        </w:rPr>
        <w:footnoteRef/>
      </w:r>
      <w:r w:rsidRPr="000E495F">
        <w:t xml:space="preserve"> </w:t>
      </w:r>
      <w:r w:rsidRPr="00AD1673">
        <w:t xml:space="preserve">Institute of Policy Studies. </w:t>
      </w:r>
      <w:hyperlink r:id="rId2" w:history="1">
        <w:r w:rsidRPr="00AD1673">
          <w:t>http://www.ips.lk/talkingeconomics/2012/10/gender-equality-in-human-development-whats-holding-sri-lanka-back-2/</w:t>
        </w:r>
      </w:hyperlink>
      <w:r w:rsidRPr="00AD1673">
        <w:t>, viewed on 4 June 2013.</w:t>
      </w:r>
      <w:r w:rsidRPr="000E495F">
        <w:t xml:space="preserve"> </w:t>
      </w:r>
    </w:p>
  </w:footnote>
  <w:footnote w:id="5">
    <w:p w14:paraId="143754EB" w14:textId="77777777" w:rsidR="000D75DA" w:rsidRPr="000E495F" w:rsidRDefault="000D75DA">
      <w:pPr>
        <w:pStyle w:val="FootnoteText"/>
      </w:pPr>
      <w:r w:rsidRPr="000E495F">
        <w:rPr>
          <w:rStyle w:val="FootnoteReference"/>
        </w:rPr>
        <w:footnoteRef/>
      </w:r>
      <w:r w:rsidRPr="000E495F">
        <w:t xml:space="preserve"> United Nations Children’s Fund (UNICEF</w:t>
      </w:r>
      <w:r>
        <w:t>),</w:t>
      </w:r>
      <w:r w:rsidRPr="000E495F">
        <w:t xml:space="preserve"> Sri Lanka: Health and Nutrition Briefing Sheet</w:t>
      </w:r>
      <w:r>
        <w:t>.</w:t>
      </w:r>
      <w:r w:rsidRPr="000E495F">
        <w:t xml:space="preserve"> </w:t>
      </w:r>
      <w:hyperlink r:id="rId3" w:history="1">
        <w:r w:rsidRPr="00AD1673">
          <w:t>http://www.unicef.org/srilanka/2012_SL_fast_facts_HN.pdf</w:t>
        </w:r>
      </w:hyperlink>
      <w:r>
        <w:t xml:space="preserve"> </w:t>
      </w:r>
    </w:p>
  </w:footnote>
  <w:footnote w:id="6">
    <w:p w14:paraId="143754EC" w14:textId="77777777" w:rsidR="000D75DA" w:rsidRPr="000E495F" w:rsidRDefault="000D75DA">
      <w:pPr>
        <w:pStyle w:val="FootnoteText"/>
      </w:pPr>
      <w:r w:rsidRPr="000E495F">
        <w:rPr>
          <w:rStyle w:val="FootnoteReference"/>
        </w:rPr>
        <w:footnoteRef/>
      </w:r>
      <w:r w:rsidRPr="000E495F">
        <w:t xml:space="preserve"> Sri Lanka Household Income and Expenditure Survey 2009</w:t>
      </w:r>
      <w:r>
        <w:t>–</w:t>
      </w:r>
      <w:r w:rsidRPr="000E495F">
        <w:t>10</w:t>
      </w:r>
      <w:r>
        <w:t>,</w:t>
      </w:r>
      <w:r w:rsidRPr="000E495F">
        <w:t xml:space="preserve"> Sri Lanka Department of Census and Statistics</w:t>
      </w:r>
      <w:r>
        <w:t>.</w:t>
      </w:r>
    </w:p>
  </w:footnote>
  <w:footnote w:id="7">
    <w:p w14:paraId="143754ED" w14:textId="77777777" w:rsidR="000D75DA" w:rsidRDefault="000D75DA">
      <w:pPr>
        <w:pStyle w:val="FootnoteText"/>
      </w:pPr>
      <w:r>
        <w:rPr>
          <w:rStyle w:val="FootnoteReference"/>
        </w:rPr>
        <w:footnoteRef/>
      </w:r>
      <w:r>
        <w:t xml:space="preserve"> Organisation for Economic Cooperation and Development – Development Assistance Committee.</w:t>
      </w:r>
    </w:p>
  </w:footnote>
  <w:footnote w:id="8">
    <w:p w14:paraId="143754EE" w14:textId="77777777" w:rsidR="000D75DA" w:rsidRDefault="000D75DA">
      <w:pPr>
        <w:pStyle w:val="FootnoteText"/>
      </w:pPr>
      <w:r w:rsidRPr="000E495F">
        <w:rPr>
          <w:rStyle w:val="FootnoteReference"/>
        </w:rPr>
        <w:footnoteRef/>
      </w:r>
      <w:r w:rsidRPr="000E495F">
        <w:t xml:space="preserve"> Ministry of Finance and Planning, </w:t>
      </w:r>
      <w:r w:rsidRPr="000E495F">
        <w:rPr>
          <w:i/>
        </w:rPr>
        <w:t>Annual Report 2011</w:t>
      </w:r>
      <w:r w:rsidRPr="000E495F">
        <w:t xml:space="preserve">, Chapter 6.4, </w:t>
      </w:r>
      <w:r>
        <w:t>‘</w:t>
      </w:r>
      <w:r w:rsidRPr="000E495F">
        <w:t>Foreign Financing</w:t>
      </w:r>
      <w:r>
        <w:t>’</w:t>
      </w:r>
      <w:r w:rsidRPr="000E495F">
        <w:t>.</w:t>
      </w:r>
    </w:p>
  </w:footnote>
  <w:footnote w:id="9">
    <w:p w14:paraId="4BA34028" w14:textId="726D1103" w:rsidR="0011701B" w:rsidRDefault="0011701B">
      <w:pPr>
        <w:pStyle w:val="FootnoteText"/>
      </w:pPr>
      <w:r>
        <w:rPr>
          <w:rStyle w:val="FootnoteReference"/>
        </w:rPr>
        <w:footnoteRef/>
      </w:r>
      <w:r>
        <w:t xml:space="preserve"> Prior to 2012-13 Aid Program Performance Reports were called Annual Program Performance Reports.</w:t>
      </w:r>
    </w:p>
  </w:footnote>
  <w:footnote w:id="10">
    <w:p w14:paraId="143754EF" w14:textId="6BE13A48" w:rsidR="000D75DA" w:rsidRDefault="000D75DA" w:rsidP="00A42DBC">
      <w:pPr>
        <w:pStyle w:val="FootnoteText"/>
      </w:pPr>
      <w:r>
        <w:rPr>
          <w:rStyle w:val="FootnoteReference"/>
        </w:rPr>
        <w:footnoteRef/>
      </w:r>
      <w:r>
        <w:t xml:space="preserve"> NELSIP</w:t>
      </w:r>
      <w:r w:rsidRPr="000E2E7D">
        <w:t xml:space="preserve"> is a </w:t>
      </w:r>
      <w:r w:rsidRPr="00642DF9">
        <w:t>three-way partnership between the World Bank, the Sri Lanka Government and Australia.</w:t>
      </w:r>
      <w:r>
        <w:t xml:space="preserve"> </w:t>
      </w:r>
      <w:r w:rsidRPr="000E2E7D">
        <w:t>The budget over four years (2010</w:t>
      </w:r>
      <w:r>
        <w:t>–</w:t>
      </w:r>
      <w:r w:rsidRPr="000E2E7D">
        <w:t>14) is about $120 million: a $US50 million World Bank loan, $US34 million from Sri Lanka and a $</w:t>
      </w:r>
      <w:r w:rsidR="00F40D38">
        <w:t>25.4</w:t>
      </w:r>
      <w:r w:rsidRPr="000E2E7D">
        <w:t xml:space="preserve"> m</w:t>
      </w:r>
      <w:r>
        <w:t>illion</w:t>
      </w:r>
      <w:r w:rsidRPr="000E2E7D">
        <w:t xml:space="preserve"> supplementary grant from Australia. NELSIP rebuild</w:t>
      </w:r>
      <w:r>
        <w:t>s</w:t>
      </w:r>
      <w:r w:rsidRPr="000E2E7D">
        <w:t xml:space="preserve"> economic infrastructure </w:t>
      </w:r>
      <w:r>
        <w:t xml:space="preserve">that was </w:t>
      </w:r>
      <w:r w:rsidRPr="000E2E7D">
        <w:t xml:space="preserve">destroyed or neglected during the civil conflict. </w:t>
      </w:r>
      <w:r>
        <w:t>It</w:t>
      </w:r>
      <w:r w:rsidRPr="000E2E7D">
        <w:t xml:space="preserve"> also build</w:t>
      </w:r>
      <w:r>
        <w:t>s</w:t>
      </w:r>
      <w:r w:rsidRPr="000E2E7D">
        <w:t xml:space="preserve"> the capacity of all 76 local authorities (the equivalent of Australian local government councils) across </w:t>
      </w:r>
      <w:r>
        <w:t>Eastern and</w:t>
      </w:r>
      <w:r w:rsidRPr="000E2E7D">
        <w:t xml:space="preserve"> Northern </w:t>
      </w:r>
      <w:r>
        <w:t>provinces to respond</w:t>
      </w:r>
      <w:r w:rsidRPr="000E2E7D">
        <w:t xml:space="preserve"> to citizen needs for economic infrastructure (</w:t>
      </w:r>
      <w:r>
        <w:t xml:space="preserve">such as </w:t>
      </w:r>
      <w:r w:rsidRPr="000E2E7D">
        <w:t>rural roads, market places</w:t>
      </w:r>
      <w:r>
        <w:t xml:space="preserve"> and</w:t>
      </w:r>
      <w:r w:rsidRPr="000E2E7D">
        <w:t xml:space="preserve"> irrigation systems)</w:t>
      </w:r>
      <w:r>
        <w:t xml:space="preserve">. </w:t>
      </w:r>
    </w:p>
  </w:footnote>
  <w:footnote w:id="11">
    <w:p w14:paraId="143754F0" w14:textId="77777777" w:rsidR="000D75DA" w:rsidRDefault="000D75DA" w:rsidP="002770D2">
      <w:pPr>
        <w:pStyle w:val="FootnoteText"/>
      </w:pPr>
      <w:r>
        <w:rPr>
          <w:rStyle w:val="FootnoteReference"/>
        </w:rPr>
        <w:footnoteRef/>
      </w:r>
      <w:r>
        <w:t xml:space="preserve"> The objectives of the </w:t>
      </w:r>
      <w:r w:rsidRPr="005116C8">
        <w:t>D</w:t>
      </w:r>
      <w:r>
        <w:t>isplaced Persons Program are to: reduce the prospect and flow of irregular arrivals from source countries; encourage sustainable voluntary returns of persons no longer in need of protection, including through increasing livelihood opportunities; support countries of first asylum and transit countries to host refugee populations where return is not practicable or feasible, including through increasing asylum seeker registrations, and supporting resettlement and local integration; and enhance the protection role of relevant agencies in source countries, countries of first asylum, and transit countries.</w:t>
      </w:r>
    </w:p>
  </w:footnote>
  <w:footnote w:id="12">
    <w:p w14:paraId="143754F1" w14:textId="77777777" w:rsidR="000D75DA" w:rsidRDefault="000D75DA" w:rsidP="001A6FFD">
      <w:pPr>
        <w:pStyle w:val="FootnoteText"/>
      </w:pPr>
      <w:r>
        <w:rPr>
          <w:rStyle w:val="FootnoteReference"/>
        </w:rPr>
        <w:footnoteRef/>
      </w:r>
      <w:r>
        <w:t xml:space="preserve"> </w:t>
      </w:r>
      <w:r w:rsidRPr="007C51B4">
        <w:t>According to UNICEF</w:t>
      </w:r>
      <w:r>
        <w:t>, a ‘</w:t>
      </w:r>
      <w:r w:rsidRPr="007C51B4">
        <w:t xml:space="preserve">a child-friendly school reflects a </w:t>
      </w:r>
      <w:r w:rsidRPr="007C51B4">
        <w:rPr>
          <w:i/>
        </w:rPr>
        <w:t>quality</w:t>
      </w:r>
      <w:r w:rsidRPr="007C51B4">
        <w:t xml:space="preserve"> environment. A child-friendly school regards education as every child’s right and helps to monitor the rights and well-being of every child in the community. A child-friendly school acts in the interests of the ‘whole’ child, which includes his or her health, nutrition and overall well-being. A child-friendly school cares about what happens to children in their families and communities before they enter school and after they leave it.</w:t>
      </w:r>
      <w:r>
        <w:t xml:space="preserve">’ </w:t>
      </w:r>
      <w:hyperlink r:id="rId4" w:history="1">
        <w:r w:rsidRPr="00AD1673">
          <w:t>http://www.unicef.org/turkey/gl/gl1.html</w:t>
        </w:r>
      </w:hyperlink>
      <w:r>
        <w:t xml:space="preserve"> </w:t>
      </w:r>
    </w:p>
  </w:footnote>
  <w:footnote w:id="13">
    <w:p w14:paraId="143754F2" w14:textId="77777777" w:rsidR="000D75DA" w:rsidRDefault="000D75DA" w:rsidP="0016407D">
      <w:pPr>
        <w:ind w:right="-341"/>
      </w:pPr>
      <w:r w:rsidRPr="002A4EC0">
        <w:rPr>
          <w:rStyle w:val="FootnoteReference"/>
        </w:rPr>
        <w:footnoteRef/>
      </w:r>
      <w:r w:rsidRPr="002160C4">
        <w:rPr>
          <w:sz w:val="14"/>
          <w:szCs w:val="14"/>
        </w:rPr>
        <w:t xml:space="preserve"> </w:t>
      </w:r>
      <w:r w:rsidRPr="00AD1673">
        <w:rPr>
          <w:rStyle w:val="FootnoteTextChar"/>
          <w:rFonts w:eastAsia="SimSun"/>
        </w:rPr>
        <w:t>The  ACPR Phase 3 is a five-year (2010–15), $45 million program which tackles issues that entrench poverty and conflict in war-affected and lagging areas of Sri Lanka, including Central, Eastern and Northern provinces. The program is implemented through eight partners: three multilateral organisations (UNDP, International Organization for Migration, International Labour Organization), three international NGOs (Oxfam, World Vision and ZOA), one technical agency (GIZ, the German international aid agency—formerly GTZ) and one foundation (The Asia Foundation).</w:t>
      </w:r>
      <w:r>
        <w:rPr>
          <w:sz w:val="14"/>
          <w:szCs w:val="14"/>
        </w:rPr>
        <w:t xml:space="preserve">  </w:t>
      </w:r>
    </w:p>
  </w:footnote>
  <w:footnote w:id="14">
    <w:p w14:paraId="143754F3" w14:textId="77777777" w:rsidR="000D75DA" w:rsidRDefault="000D75DA">
      <w:pPr>
        <w:pStyle w:val="FootnoteText"/>
      </w:pPr>
      <w:r>
        <w:rPr>
          <w:rStyle w:val="FootnoteReference"/>
        </w:rPr>
        <w:footnoteRef/>
      </w:r>
      <w:r>
        <w:t xml:space="preserve"> The public redress model was piloted by GIZ and the participatory budgeting model by The Asia Foundation.</w:t>
      </w:r>
    </w:p>
  </w:footnote>
  <w:footnote w:id="15">
    <w:p w14:paraId="143754F4" w14:textId="77777777" w:rsidR="000D75DA" w:rsidRDefault="000D75DA" w:rsidP="00C66548">
      <w:pPr>
        <w:pStyle w:val="FootnoteText"/>
      </w:pPr>
      <w:r>
        <w:t>*Quality at Entry.</w:t>
      </w:r>
    </w:p>
    <w:p w14:paraId="143754F5" w14:textId="77777777" w:rsidR="000D75DA" w:rsidRDefault="000D75DA">
      <w:pPr>
        <w:pStyle w:val="FootnoteText"/>
      </w:pPr>
      <w:r w:rsidRPr="00AD1673">
        <w:rPr>
          <w:rStyle w:val="FootnoteReference"/>
        </w:rPr>
        <w:footnoteRef/>
      </w:r>
      <w:r w:rsidRPr="00AD1673">
        <w:rPr>
          <w:rStyle w:val="FootnoteReference"/>
        </w:rPr>
        <w:t xml:space="preserve"> </w:t>
      </w:r>
      <w:r>
        <w:t>Final QAI.</w:t>
      </w:r>
    </w:p>
  </w:footnote>
  <w:footnote w:id="16">
    <w:p w14:paraId="143754F6" w14:textId="77777777" w:rsidR="000D75DA" w:rsidRDefault="000D75DA">
      <w:pPr>
        <w:pStyle w:val="FootnoteText"/>
      </w:pPr>
      <w:r>
        <w:rPr>
          <w:rStyle w:val="FootnoteReference"/>
        </w:rPr>
        <w:footnoteRef/>
      </w:r>
      <w:r>
        <w:t xml:space="preserve"> Support to Education Sector in Conflict Affected Areas in Northern Sri Lanka.</w:t>
      </w:r>
    </w:p>
  </w:footnote>
  <w:footnote w:id="17">
    <w:p w14:paraId="143754F7" w14:textId="77777777" w:rsidR="000D75DA" w:rsidRDefault="000D75DA">
      <w:pPr>
        <w:pStyle w:val="FootnoteText"/>
      </w:pPr>
      <w:r>
        <w:rPr>
          <w:rStyle w:val="FootnoteReference"/>
        </w:rPr>
        <w:footnoteRef/>
      </w:r>
      <w:r>
        <w:t xml:space="preserve"> Exempt from QAI process in 2011.</w:t>
      </w:r>
    </w:p>
  </w:footnote>
  <w:footnote w:id="18">
    <w:p w14:paraId="143754F9" w14:textId="77777777" w:rsidR="000D75DA" w:rsidRPr="00071B95" w:rsidRDefault="000D75DA" w:rsidP="00071B95">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19">
    <w:p w14:paraId="143754FA" w14:textId="77777777" w:rsidR="000D75DA" w:rsidRPr="00071B95" w:rsidRDefault="000D75DA" w:rsidP="00071B95">
      <w:pPr>
        <w:pStyle w:val="FootnoteText"/>
      </w:pPr>
      <w:r w:rsidRPr="00F77E6A">
        <w:rPr>
          <w:rStyle w:val="FootnoteReference"/>
        </w:rPr>
        <w:footnoteRef/>
      </w:r>
      <w:r w:rsidRPr="00071B95">
        <w:t xml:space="preserve"> </w:t>
      </w:r>
      <w:r>
        <w:t>For example, m</w:t>
      </w:r>
      <w:r w:rsidRPr="00071B95">
        <w:t xml:space="preserve">id-term review, </w:t>
      </w:r>
      <w:r>
        <w:t>c</w:t>
      </w:r>
      <w:r w:rsidRPr="00071B95">
        <w:t>ompletion report, partner-led evaluation, joint evaluation</w:t>
      </w:r>
      <w:r>
        <w:t>.</w:t>
      </w:r>
    </w:p>
  </w:footnote>
  <w:footnote w:id="20">
    <w:p w14:paraId="143754FB" w14:textId="77777777" w:rsidR="000D75DA" w:rsidRPr="00551C11" w:rsidRDefault="000D75DA" w:rsidP="00AD1673">
      <w:pPr>
        <w:pStyle w:val="FootnoteText"/>
      </w:pPr>
      <w:r w:rsidRPr="00F77E6A">
        <w:rPr>
          <w:rStyle w:val="FootnoteReference"/>
        </w:rPr>
        <w:footnoteRef/>
      </w:r>
      <w:r w:rsidRPr="00071B95">
        <w:t xml:space="preserve"> </w:t>
      </w:r>
      <w:r>
        <w:t>For example, t</w:t>
      </w:r>
      <w:r w:rsidRPr="00071B95">
        <w:t>o inform a future phase of program, to improve existing program</w:t>
      </w:r>
      <w:r>
        <w:t xml:space="preserve">, </w:t>
      </w:r>
      <w:r w:rsidRPr="00071B95">
        <w:t xml:space="preserve">to verify program </w:t>
      </w:r>
      <w:r w:rsidRPr="00AD1673">
        <w:t>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EBA47" w14:textId="77777777" w:rsidR="00B36188" w:rsidRDefault="00B36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5" w14:textId="18FB11E6" w:rsidR="000D75DA" w:rsidRDefault="000D75DA">
    <w:pPr>
      <w:pStyle w:val="Header"/>
    </w:pPr>
    <w:r>
      <w:rPr>
        <w:noProof/>
      </w:rPr>
      <w:drawing>
        <wp:anchor distT="0" distB="0" distL="114300" distR="114300" simplePos="0" relativeHeight="251725824" behindDoc="0" locked="0" layoutInCell="1" allowOverlap="1" wp14:anchorId="72EA5D6C" wp14:editId="0595C25C">
          <wp:simplePos x="0" y="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143754A6" w14:textId="742C9735" w:rsidR="000D75DA" w:rsidRDefault="000D75D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8" w14:textId="20A54780" w:rsidR="000D75DA" w:rsidRDefault="000D75DA">
    <w:pPr>
      <w:pStyle w:val="Header"/>
    </w:pPr>
    <w:r>
      <w:rPr>
        <w:noProof/>
      </w:rPr>
      <w:drawing>
        <wp:anchor distT="0" distB="0" distL="114300" distR="114300" simplePos="0" relativeHeight="251717632" behindDoc="0" locked="0" layoutInCell="1" allowOverlap="1" wp14:anchorId="7FB4AB19" wp14:editId="2A0A97F9">
          <wp:simplePos x="0" y="0"/>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A" w14:textId="77777777" w:rsidR="000D75DA" w:rsidRDefault="000D75DA">
    <w:pPr>
      <w:pStyle w:val="Header"/>
    </w:pPr>
  </w:p>
  <w:p w14:paraId="143754AB" w14:textId="77777777" w:rsidR="000D75DA" w:rsidRDefault="000D75D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D" w14:textId="77777777" w:rsidR="000D75DA" w:rsidRDefault="000D75D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AF" w14:textId="18BBA11F" w:rsidR="000D75DA" w:rsidRDefault="000D75DA">
    <w:pPr>
      <w:pStyle w:val="Header"/>
    </w:pPr>
    <w:r>
      <w:rPr>
        <w:noProof/>
      </w:rPr>
      <w:drawing>
        <wp:anchor distT="0" distB="0" distL="114300" distR="114300" simplePos="0" relativeHeight="251734016" behindDoc="0" locked="0" layoutInCell="1" allowOverlap="1" wp14:anchorId="7120E2B3" wp14:editId="7429233D">
          <wp:simplePos x="0" y="0"/>
          <wp:positionH relativeFrom="page">
            <wp:align>left</wp:align>
          </wp:positionH>
          <wp:positionV relativeFrom="page">
            <wp:align>top</wp:align>
          </wp:positionV>
          <wp:extent cx="7560000" cy="1440000"/>
          <wp:effectExtent l="0" t="0" r="3175" b="825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p w14:paraId="143754B0" w14:textId="6150608D" w:rsidR="000D75DA" w:rsidRDefault="000D75D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B2" w14:textId="77777777" w:rsidR="000D75DA" w:rsidRDefault="000D75DA">
    <w:pPr>
      <w:pStyle w:val="Header"/>
    </w:pPr>
    <w:r>
      <w:rPr>
        <w:noProof/>
      </w:rPr>
      <mc:AlternateContent>
        <mc:Choice Requires="wps">
          <w:drawing>
            <wp:anchor distT="0" distB="0" distL="114300" distR="114300" simplePos="0" relativeHeight="251672576" behindDoc="0" locked="1" layoutInCell="1" allowOverlap="1" wp14:anchorId="143754DA" wp14:editId="143754DB">
              <wp:simplePos x="0" y="0"/>
              <wp:positionH relativeFrom="page">
                <wp:posOffset>0</wp:posOffset>
              </wp:positionH>
              <wp:positionV relativeFrom="page">
                <wp:posOffset>0</wp:posOffset>
              </wp:positionV>
              <wp:extent cx="7560000" cy="1512000"/>
              <wp:effectExtent l="0" t="0" r="3175" b="0"/>
              <wp:wrapTight wrapText="bothSides">
                <wp:wrapPolygon edited="0">
                  <wp:start x="0" y="0"/>
                  <wp:lineTo x="0" y="21228"/>
                  <wp:lineTo x="21555" y="21228"/>
                  <wp:lineTo x="21555" y="0"/>
                  <wp:lineTo x="0" y="0"/>
                </wp:wrapPolygon>
              </wp:wrapTight>
              <wp:docPr id="8" name="Rectangle 15" descr="Description: Australian Aid Factsheets oliv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51200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alt="Description: Description: Australian Aid Factsheets olive-2" style="position:absolute;margin-left:0;margin-top:0;width:595.3pt;height:119.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" stroked="f" strokecolor="#4a7ebb" strokeweight="1.5pt">
              <v:fill r:id="rId2" o:title=" Australian Aid Factsheets olive-2" recolor="t" type="frame"/>
              <v:shadow opacity="22938f" offset="0"/>
              <v:textbox inset=",7.2pt,,7.2pt"/>
              <w10:wrap type="tight" anchorx="page" anchory="page"/>
              <w10:anchorlock/>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4B4" w14:textId="77777777" w:rsidR="000D75DA" w:rsidRDefault="000D7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Symbol"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Symbol"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Symbol" w:hint="default"/>
      </w:rPr>
    </w:lvl>
    <w:lvl w:ilvl="8" w:tplc="0C090005" w:tentative="1">
      <w:start w:val="1"/>
      <w:numFmt w:val="bullet"/>
      <w:lvlText w:val=""/>
      <w:lvlJc w:val="left"/>
      <w:pPr>
        <w:ind w:left="5828" w:hanging="360"/>
      </w:pPr>
      <w:rPr>
        <w:rFonts w:ascii="Wingdings" w:hAnsi="Wingdings" w:hint="default"/>
      </w:rPr>
    </w:lvl>
  </w:abstractNum>
  <w:abstractNum w:abstractNumId="5">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6">
    <w:nsid w:val="23041827"/>
    <w:multiLevelType w:val="hybridMultilevel"/>
    <w:tmpl w:val="8306F520"/>
    <w:lvl w:ilvl="0" w:tplc="619AAB62">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4"/>
  </w:num>
  <w:num w:numId="4">
    <w:abstractNumId w:val="13"/>
  </w:num>
  <w:num w:numId="5">
    <w:abstractNumId w:val="3"/>
  </w:num>
  <w:num w:numId="6">
    <w:abstractNumId w:val="12"/>
  </w:num>
  <w:num w:numId="7">
    <w:abstractNumId w:val="10"/>
  </w:num>
  <w:num w:numId="8">
    <w:abstractNumId w:val="9"/>
  </w:num>
  <w:num w:numId="9">
    <w:abstractNumId w:val="15"/>
  </w:num>
  <w:num w:numId="10">
    <w:abstractNumId w:val="2"/>
  </w:num>
  <w:num w:numId="11">
    <w:abstractNumId w:val="11"/>
  </w:num>
  <w:num w:numId="12">
    <w:abstractNumId w:val="17"/>
  </w:num>
  <w:num w:numId="13">
    <w:abstractNumId w:val="5"/>
  </w:num>
  <w:num w:numId="14">
    <w:abstractNumId w:val="18"/>
  </w:num>
  <w:num w:numId="15">
    <w:abstractNumId w:val="19"/>
  </w:num>
  <w:num w:numId="16">
    <w:abstractNumId w:val="8"/>
  </w:num>
  <w:num w:numId="17">
    <w:abstractNumId w:val="0"/>
  </w:num>
  <w:num w:numId="18">
    <w:abstractNumId w:val="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08F"/>
    <w:rsid w:val="000039CF"/>
    <w:rsid w:val="0000572F"/>
    <w:rsid w:val="00005B84"/>
    <w:rsid w:val="00007073"/>
    <w:rsid w:val="000072D0"/>
    <w:rsid w:val="000143D9"/>
    <w:rsid w:val="000155CB"/>
    <w:rsid w:val="00020121"/>
    <w:rsid w:val="000205A3"/>
    <w:rsid w:val="00021A9E"/>
    <w:rsid w:val="000222CC"/>
    <w:rsid w:val="0002392E"/>
    <w:rsid w:val="00025C19"/>
    <w:rsid w:val="00027527"/>
    <w:rsid w:val="00030111"/>
    <w:rsid w:val="00031100"/>
    <w:rsid w:val="00032037"/>
    <w:rsid w:val="00032F6B"/>
    <w:rsid w:val="00034E38"/>
    <w:rsid w:val="00040EF6"/>
    <w:rsid w:val="00042155"/>
    <w:rsid w:val="00042DB8"/>
    <w:rsid w:val="00045664"/>
    <w:rsid w:val="000471F8"/>
    <w:rsid w:val="00051ACA"/>
    <w:rsid w:val="0005487D"/>
    <w:rsid w:val="00057878"/>
    <w:rsid w:val="00061781"/>
    <w:rsid w:val="000667EA"/>
    <w:rsid w:val="00066DBD"/>
    <w:rsid w:val="00071B95"/>
    <w:rsid w:val="00071F16"/>
    <w:rsid w:val="00072782"/>
    <w:rsid w:val="000745E2"/>
    <w:rsid w:val="000774FD"/>
    <w:rsid w:val="0008440C"/>
    <w:rsid w:val="00085900"/>
    <w:rsid w:val="00085DDA"/>
    <w:rsid w:val="00092F98"/>
    <w:rsid w:val="00094816"/>
    <w:rsid w:val="00094EB0"/>
    <w:rsid w:val="000979A0"/>
    <w:rsid w:val="00097CE2"/>
    <w:rsid w:val="000A1618"/>
    <w:rsid w:val="000A5886"/>
    <w:rsid w:val="000A6727"/>
    <w:rsid w:val="000B0D76"/>
    <w:rsid w:val="000B3121"/>
    <w:rsid w:val="000B35C4"/>
    <w:rsid w:val="000B4A21"/>
    <w:rsid w:val="000B572F"/>
    <w:rsid w:val="000B5F22"/>
    <w:rsid w:val="000C2148"/>
    <w:rsid w:val="000C24E1"/>
    <w:rsid w:val="000C29BF"/>
    <w:rsid w:val="000C345D"/>
    <w:rsid w:val="000C36A2"/>
    <w:rsid w:val="000C4AFF"/>
    <w:rsid w:val="000C6080"/>
    <w:rsid w:val="000C60A8"/>
    <w:rsid w:val="000C62F4"/>
    <w:rsid w:val="000C7033"/>
    <w:rsid w:val="000D1F58"/>
    <w:rsid w:val="000D24BD"/>
    <w:rsid w:val="000D26E3"/>
    <w:rsid w:val="000D4F89"/>
    <w:rsid w:val="000D5FC3"/>
    <w:rsid w:val="000D75DA"/>
    <w:rsid w:val="000D7C95"/>
    <w:rsid w:val="000D7CE2"/>
    <w:rsid w:val="000E1B16"/>
    <w:rsid w:val="000E2E7D"/>
    <w:rsid w:val="000E495F"/>
    <w:rsid w:val="000E5E76"/>
    <w:rsid w:val="000E7297"/>
    <w:rsid w:val="000F05B0"/>
    <w:rsid w:val="000F23A4"/>
    <w:rsid w:val="00100601"/>
    <w:rsid w:val="00100AA2"/>
    <w:rsid w:val="00100B0C"/>
    <w:rsid w:val="00104634"/>
    <w:rsid w:val="00112E97"/>
    <w:rsid w:val="001147F9"/>
    <w:rsid w:val="00115998"/>
    <w:rsid w:val="00116DE7"/>
    <w:rsid w:val="0011701B"/>
    <w:rsid w:val="00117C6C"/>
    <w:rsid w:val="00120A05"/>
    <w:rsid w:val="00120FC7"/>
    <w:rsid w:val="00121F37"/>
    <w:rsid w:val="00122231"/>
    <w:rsid w:val="00123983"/>
    <w:rsid w:val="00123FB5"/>
    <w:rsid w:val="0012733B"/>
    <w:rsid w:val="00130265"/>
    <w:rsid w:val="00132A5D"/>
    <w:rsid w:val="0013318E"/>
    <w:rsid w:val="00136575"/>
    <w:rsid w:val="001366B4"/>
    <w:rsid w:val="00137D06"/>
    <w:rsid w:val="0014050E"/>
    <w:rsid w:val="00141A30"/>
    <w:rsid w:val="001434A8"/>
    <w:rsid w:val="0014411B"/>
    <w:rsid w:val="00147282"/>
    <w:rsid w:val="001533BC"/>
    <w:rsid w:val="00154A34"/>
    <w:rsid w:val="001567A8"/>
    <w:rsid w:val="00157555"/>
    <w:rsid w:val="001575E6"/>
    <w:rsid w:val="001612CE"/>
    <w:rsid w:val="0016407D"/>
    <w:rsid w:val="0016544D"/>
    <w:rsid w:val="001729CD"/>
    <w:rsid w:val="00173C6E"/>
    <w:rsid w:val="0017504C"/>
    <w:rsid w:val="00176EFF"/>
    <w:rsid w:val="00180B19"/>
    <w:rsid w:val="0018196F"/>
    <w:rsid w:val="00182829"/>
    <w:rsid w:val="001829BB"/>
    <w:rsid w:val="001830FC"/>
    <w:rsid w:val="00184BBD"/>
    <w:rsid w:val="00184ED8"/>
    <w:rsid w:val="00185A84"/>
    <w:rsid w:val="001860CE"/>
    <w:rsid w:val="001864C2"/>
    <w:rsid w:val="001872A2"/>
    <w:rsid w:val="00192498"/>
    <w:rsid w:val="00194806"/>
    <w:rsid w:val="0019767A"/>
    <w:rsid w:val="001A0150"/>
    <w:rsid w:val="001A0E4B"/>
    <w:rsid w:val="001A6FFD"/>
    <w:rsid w:val="001B0EE4"/>
    <w:rsid w:val="001B1A0C"/>
    <w:rsid w:val="001B5209"/>
    <w:rsid w:val="001B5B63"/>
    <w:rsid w:val="001B635D"/>
    <w:rsid w:val="001C14BD"/>
    <w:rsid w:val="001C1EA0"/>
    <w:rsid w:val="001C32B7"/>
    <w:rsid w:val="001C507E"/>
    <w:rsid w:val="001C62D6"/>
    <w:rsid w:val="001C700E"/>
    <w:rsid w:val="001C7117"/>
    <w:rsid w:val="001C749C"/>
    <w:rsid w:val="001D20FC"/>
    <w:rsid w:val="001D210A"/>
    <w:rsid w:val="001D5126"/>
    <w:rsid w:val="001D591D"/>
    <w:rsid w:val="001D63DC"/>
    <w:rsid w:val="001E00BB"/>
    <w:rsid w:val="001E670E"/>
    <w:rsid w:val="001F4A09"/>
    <w:rsid w:val="001F5785"/>
    <w:rsid w:val="001F5E60"/>
    <w:rsid w:val="001F7480"/>
    <w:rsid w:val="001F7675"/>
    <w:rsid w:val="001F7A92"/>
    <w:rsid w:val="002040E7"/>
    <w:rsid w:val="002060F9"/>
    <w:rsid w:val="0020645E"/>
    <w:rsid w:val="002115BD"/>
    <w:rsid w:val="0021512A"/>
    <w:rsid w:val="002151E5"/>
    <w:rsid w:val="00216114"/>
    <w:rsid w:val="00216846"/>
    <w:rsid w:val="00216AB4"/>
    <w:rsid w:val="002177C6"/>
    <w:rsid w:val="0022454C"/>
    <w:rsid w:val="00224559"/>
    <w:rsid w:val="00226494"/>
    <w:rsid w:val="00226695"/>
    <w:rsid w:val="00227539"/>
    <w:rsid w:val="00230E77"/>
    <w:rsid w:val="00231D45"/>
    <w:rsid w:val="00235B21"/>
    <w:rsid w:val="002379B6"/>
    <w:rsid w:val="00237C4B"/>
    <w:rsid w:val="00240E82"/>
    <w:rsid w:val="00245CC7"/>
    <w:rsid w:val="00246B82"/>
    <w:rsid w:val="00246BBC"/>
    <w:rsid w:val="00246E5F"/>
    <w:rsid w:val="00247DFF"/>
    <w:rsid w:val="002542D1"/>
    <w:rsid w:val="002550BA"/>
    <w:rsid w:val="00260D0C"/>
    <w:rsid w:val="00261B3C"/>
    <w:rsid w:val="00262E15"/>
    <w:rsid w:val="00262E6A"/>
    <w:rsid w:val="00263C8D"/>
    <w:rsid w:val="00264D07"/>
    <w:rsid w:val="002704E2"/>
    <w:rsid w:val="002726F8"/>
    <w:rsid w:val="00276850"/>
    <w:rsid w:val="002770D2"/>
    <w:rsid w:val="00280EA1"/>
    <w:rsid w:val="002833E8"/>
    <w:rsid w:val="002849B4"/>
    <w:rsid w:val="0028536E"/>
    <w:rsid w:val="00287E3F"/>
    <w:rsid w:val="002908D7"/>
    <w:rsid w:val="00291FC4"/>
    <w:rsid w:val="0029583C"/>
    <w:rsid w:val="002A1935"/>
    <w:rsid w:val="002A22F7"/>
    <w:rsid w:val="002A4457"/>
    <w:rsid w:val="002A4978"/>
    <w:rsid w:val="002A4BAA"/>
    <w:rsid w:val="002A4EC0"/>
    <w:rsid w:val="002A639C"/>
    <w:rsid w:val="002B163B"/>
    <w:rsid w:val="002B433A"/>
    <w:rsid w:val="002B6239"/>
    <w:rsid w:val="002B67FA"/>
    <w:rsid w:val="002B79D4"/>
    <w:rsid w:val="002D33FE"/>
    <w:rsid w:val="002D6914"/>
    <w:rsid w:val="002E46BF"/>
    <w:rsid w:val="002E47C6"/>
    <w:rsid w:val="002F3630"/>
    <w:rsid w:val="002F4463"/>
    <w:rsid w:val="002F479A"/>
    <w:rsid w:val="002F5A14"/>
    <w:rsid w:val="002F5B91"/>
    <w:rsid w:val="003008F4"/>
    <w:rsid w:val="00303038"/>
    <w:rsid w:val="00307CE2"/>
    <w:rsid w:val="00310426"/>
    <w:rsid w:val="00310880"/>
    <w:rsid w:val="00312656"/>
    <w:rsid w:val="00313A9A"/>
    <w:rsid w:val="00315D13"/>
    <w:rsid w:val="00315DAF"/>
    <w:rsid w:val="003162A3"/>
    <w:rsid w:val="0031755B"/>
    <w:rsid w:val="00320485"/>
    <w:rsid w:val="00321D03"/>
    <w:rsid w:val="003223F8"/>
    <w:rsid w:val="0032486D"/>
    <w:rsid w:val="003260C0"/>
    <w:rsid w:val="00326B5A"/>
    <w:rsid w:val="0033233D"/>
    <w:rsid w:val="003327F8"/>
    <w:rsid w:val="00333614"/>
    <w:rsid w:val="003346DB"/>
    <w:rsid w:val="0034004B"/>
    <w:rsid w:val="00341177"/>
    <w:rsid w:val="00342E31"/>
    <w:rsid w:val="00344573"/>
    <w:rsid w:val="003452C3"/>
    <w:rsid w:val="00345B8E"/>
    <w:rsid w:val="003479D9"/>
    <w:rsid w:val="00350AC3"/>
    <w:rsid w:val="00351776"/>
    <w:rsid w:val="00351903"/>
    <w:rsid w:val="00351ACA"/>
    <w:rsid w:val="00352AE5"/>
    <w:rsid w:val="00352E39"/>
    <w:rsid w:val="00353B9D"/>
    <w:rsid w:val="00355999"/>
    <w:rsid w:val="00355C61"/>
    <w:rsid w:val="0035751A"/>
    <w:rsid w:val="003576E6"/>
    <w:rsid w:val="00357AF7"/>
    <w:rsid w:val="00360620"/>
    <w:rsid w:val="00360662"/>
    <w:rsid w:val="0036298B"/>
    <w:rsid w:val="00362F57"/>
    <w:rsid w:val="00372E1B"/>
    <w:rsid w:val="00374AE8"/>
    <w:rsid w:val="003770D3"/>
    <w:rsid w:val="00377124"/>
    <w:rsid w:val="00381E7D"/>
    <w:rsid w:val="00383294"/>
    <w:rsid w:val="00384067"/>
    <w:rsid w:val="00395CFA"/>
    <w:rsid w:val="003A121E"/>
    <w:rsid w:val="003A2D7B"/>
    <w:rsid w:val="003A3499"/>
    <w:rsid w:val="003A39C7"/>
    <w:rsid w:val="003A3CB7"/>
    <w:rsid w:val="003A54D5"/>
    <w:rsid w:val="003A74BF"/>
    <w:rsid w:val="003A7595"/>
    <w:rsid w:val="003A7ABE"/>
    <w:rsid w:val="003B6F9E"/>
    <w:rsid w:val="003C0F62"/>
    <w:rsid w:val="003C2894"/>
    <w:rsid w:val="003C4E4B"/>
    <w:rsid w:val="003C7721"/>
    <w:rsid w:val="003D081D"/>
    <w:rsid w:val="003D44FA"/>
    <w:rsid w:val="003D5101"/>
    <w:rsid w:val="003E371A"/>
    <w:rsid w:val="003E4982"/>
    <w:rsid w:val="003E56FC"/>
    <w:rsid w:val="003E7273"/>
    <w:rsid w:val="003F1A32"/>
    <w:rsid w:val="003F48C3"/>
    <w:rsid w:val="003F5083"/>
    <w:rsid w:val="003F7740"/>
    <w:rsid w:val="0040390F"/>
    <w:rsid w:val="00406631"/>
    <w:rsid w:val="004110DB"/>
    <w:rsid w:val="004118A3"/>
    <w:rsid w:val="00413539"/>
    <w:rsid w:val="00415A92"/>
    <w:rsid w:val="004221A6"/>
    <w:rsid w:val="004222CF"/>
    <w:rsid w:val="004228CD"/>
    <w:rsid w:val="00426354"/>
    <w:rsid w:val="00426B2B"/>
    <w:rsid w:val="0042754C"/>
    <w:rsid w:val="00430B82"/>
    <w:rsid w:val="00432B66"/>
    <w:rsid w:val="00432E02"/>
    <w:rsid w:val="004353FA"/>
    <w:rsid w:val="00437AA3"/>
    <w:rsid w:val="00440342"/>
    <w:rsid w:val="00440E21"/>
    <w:rsid w:val="00443639"/>
    <w:rsid w:val="00443733"/>
    <w:rsid w:val="00445A3B"/>
    <w:rsid w:val="004472C4"/>
    <w:rsid w:val="004521F5"/>
    <w:rsid w:val="00453527"/>
    <w:rsid w:val="0045795A"/>
    <w:rsid w:val="0047264C"/>
    <w:rsid w:val="004735BB"/>
    <w:rsid w:val="00476C44"/>
    <w:rsid w:val="004835C3"/>
    <w:rsid w:val="0048484E"/>
    <w:rsid w:val="00487081"/>
    <w:rsid w:val="00495506"/>
    <w:rsid w:val="004A0CAC"/>
    <w:rsid w:val="004A0D95"/>
    <w:rsid w:val="004A2E6B"/>
    <w:rsid w:val="004A5083"/>
    <w:rsid w:val="004A54D5"/>
    <w:rsid w:val="004A7400"/>
    <w:rsid w:val="004A75D6"/>
    <w:rsid w:val="004B1ADF"/>
    <w:rsid w:val="004B26D2"/>
    <w:rsid w:val="004B42E9"/>
    <w:rsid w:val="004C1DC5"/>
    <w:rsid w:val="004C234E"/>
    <w:rsid w:val="004C4A3E"/>
    <w:rsid w:val="004C660D"/>
    <w:rsid w:val="004C66AA"/>
    <w:rsid w:val="004C6F14"/>
    <w:rsid w:val="004D1529"/>
    <w:rsid w:val="004D19CE"/>
    <w:rsid w:val="004D25FA"/>
    <w:rsid w:val="004D4522"/>
    <w:rsid w:val="004E067C"/>
    <w:rsid w:val="004E2A1B"/>
    <w:rsid w:val="004E3A74"/>
    <w:rsid w:val="004E6400"/>
    <w:rsid w:val="004E6E33"/>
    <w:rsid w:val="004F0705"/>
    <w:rsid w:val="004F25BD"/>
    <w:rsid w:val="004F415C"/>
    <w:rsid w:val="004F521E"/>
    <w:rsid w:val="004F5AFB"/>
    <w:rsid w:val="004F5D75"/>
    <w:rsid w:val="00501729"/>
    <w:rsid w:val="00501D83"/>
    <w:rsid w:val="00503974"/>
    <w:rsid w:val="00503DDC"/>
    <w:rsid w:val="0050529F"/>
    <w:rsid w:val="005061D0"/>
    <w:rsid w:val="005064E1"/>
    <w:rsid w:val="005116C8"/>
    <w:rsid w:val="005125C5"/>
    <w:rsid w:val="00514B5E"/>
    <w:rsid w:val="0051739C"/>
    <w:rsid w:val="005206E1"/>
    <w:rsid w:val="0052286C"/>
    <w:rsid w:val="00522AB9"/>
    <w:rsid w:val="00523AC9"/>
    <w:rsid w:val="00524918"/>
    <w:rsid w:val="00524ABF"/>
    <w:rsid w:val="00525103"/>
    <w:rsid w:val="005265B9"/>
    <w:rsid w:val="00526BF6"/>
    <w:rsid w:val="00527AD7"/>
    <w:rsid w:val="00533533"/>
    <w:rsid w:val="00535E24"/>
    <w:rsid w:val="0053632E"/>
    <w:rsid w:val="005370CF"/>
    <w:rsid w:val="00537B29"/>
    <w:rsid w:val="005406D5"/>
    <w:rsid w:val="00540D60"/>
    <w:rsid w:val="00542B09"/>
    <w:rsid w:val="00542C65"/>
    <w:rsid w:val="00543A67"/>
    <w:rsid w:val="005440F6"/>
    <w:rsid w:val="0054557A"/>
    <w:rsid w:val="00546DD6"/>
    <w:rsid w:val="00547700"/>
    <w:rsid w:val="0055213F"/>
    <w:rsid w:val="00556186"/>
    <w:rsid w:val="005567A2"/>
    <w:rsid w:val="0055771D"/>
    <w:rsid w:val="00560D19"/>
    <w:rsid w:val="005641EE"/>
    <w:rsid w:val="00567A72"/>
    <w:rsid w:val="00567FCF"/>
    <w:rsid w:val="00573DE4"/>
    <w:rsid w:val="00574CE5"/>
    <w:rsid w:val="00575295"/>
    <w:rsid w:val="00576B59"/>
    <w:rsid w:val="00580756"/>
    <w:rsid w:val="005833B1"/>
    <w:rsid w:val="005845CB"/>
    <w:rsid w:val="0058498A"/>
    <w:rsid w:val="00586350"/>
    <w:rsid w:val="00587039"/>
    <w:rsid w:val="00587716"/>
    <w:rsid w:val="005901C9"/>
    <w:rsid w:val="005919AA"/>
    <w:rsid w:val="00592090"/>
    <w:rsid w:val="005956E7"/>
    <w:rsid w:val="00596C8A"/>
    <w:rsid w:val="00597CB9"/>
    <w:rsid w:val="005A18C5"/>
    <w:rsid w:val="005A38E4"/>
    <w:rsid w:val="005A3BA5"/>
    <w:rsid w:val="005A4C7F"/>
    <w:rsid w:val="005A596B"/>
    <w:rsid w:val="005A6B79"/>
    <w:rsid w:val="005B0300"/>
    <w:rsid w:val="005B36C7"/>
    <w:rsid w:val="005B3AC7"/>
    <w:rsid w:val="005B3DA8"/>
    <w:rsid w:val="005B7A07"/>
    <w:rsid w:val="005B7C71"/>
    <w:rsid w:val="005C213E"/>
    <w:rsid w:val="005C22C0"/>
    <w:rsid w:val="005C4A6B"/>
    <w:rsid w:val="005D031D"/>
    <w:rsid w:val="005D2A59"/>
    <w:rsid w:val="005D4499"/>
    <w:rsid w:val="005E0C4B"/>
    <w:rsid w:val="005F0C00"/>
    <w:rsid w:val="005F157D"/>
    <w:rsid w:val="005F33F2"/>
    <w:rsid w:val="005F4253"/>
    <w:rsid w:val="005F626C"/>
    <w:rsid w:val="005F7AE7"/>
    <w:rsid w:val="00611102"/>
    <w:rsid w:val="006128DF"/>
    <w:rsid w:val="006135F2"/>
    <w:rsid w:val="00617F30"/>
    <w:rsid w:val="006239D4"/>
    <w:rsid w:val="0063088F"/>
    <w:rsid w:val="006333EB"/>
    <w:rsid w:val="0063731D"/>
    <w:rsid w:val="00642DF9"/>
    <w:rsid w:val="00642E50"/>
    <w:rsid w:val="00643157"/>
    <w:rsid w:val="00646049"/>
    <w:rsid w:val="006514B9"/>
    <w:rsid w:val="006555B2"/>
    <w:rsid w:val="00657108"/>
    <w:rsid w:val="006635D3"/>
    <w:rsid w:val="00663909"/>
    <w:rsid w:val="006647D0"/>
    <w:rsid w:val="006671BC"/>
    <w:rsid w:val="0067207A"/>
    <w:rsid w:val="006766B5"/>
    <w:rsid w:val="00677DF0"/>
    <w:rsid w:val="00680679"/>
    <w:rsid w:val="00683FFB"/>
    <w:rsid w:val="0069229C"/>
    <w:rsid w:val="00694A04"/>
    <w:rsid w:val="00695279"/>
    <w:rsid w:val="00697590"/>
    <w:rsid w:val="006A3C95"/>
    <w:rsid w:val="006A7500"/>
    <w:rsid w:val="006B4DD8"/>
    <w:rsid w:val="006B6A75"/>
    <w:rsid w:val="006B7ED0"/>
    <w:rsid w:val="006C002F"/>
    <w:rsid w:val="006C4CAA"/>
    <w:rsid w:val="006C6800"/>
    <w:rsid w:val="006C7525"/>
    <w:rsid w:val="006C76B1"/>
    <w:rsid w:val="006C7B57"/>
    <w:rsid w:val="006C7C1C"/>
    <w:rsid w:val="006D2E37"/>
    <w:rsid w:val="006D5D17"/>
    <w:rsid w:val="006E6B65"/>
    <w:rsid w:val="006E7E9F"/>
    <w:rsid w:val="006E7FA8"/>
    <w:rsid w:val="006F35CC"/>
    <w:rsid w:val="006F4623"/>
    <w:rsid w:val="006F4B40"/>
    <w:rsid w:val="006F6E7A"/>
    <w:rsid w:val="007010FB"/>
    <w:rsid w:val="00701846"/>
    <w:rsid w:val="00701FEA"/>
    <w:rsid w:val="0070418B"/>
    <w:rsid w:val="00705A21"/>
    <w:rsid w:val="00706DE1"/>
    <w:rsid w:val="007079E7"/>
    <w:rsid w:val="007110C9"/>
    <w:rsid w:val="00714BA3"/>
    <w:rsid w:val="0071779C"/>
    <w:rsid w:val="00717FD7"/>
    <w:rsid w:val="00721098"/>
    <w:rsid w:val="0072157C"/>
    <w:rsid w:val="007245E3"/>
    <w:rsid w:val="00733598"/>
    <w:rsid w:val="00735E26"/>
    <w:rsid w:val="00736CFB"/>
    <w:rsid w:val="007400D1"/>
    <w:rsid w:val="00742996"/>
    <w:rsid w:val="00743819"/>
    <w:rsid w:val="0074537D"/>
    <w:rsid w:val="0074677A"/>
    <w:rsid w:val="007504D0"/>
    <w:rsid w:val="00750DFB"/>
    <w:rsid w:val="00750E77"/>
    <w:rsid w:val="00752066"/>
    <w:rsid w:val="007523D7"/>
    <w:rsid w:val="00756C5A"/>
    <w:rsid w:val="00762D18"/>
    <w:rsid w:val="00764C17"/>
    <w:rsid w:val="00765611"/>
    <w:rsid w:val="00765CE6"/>
    <w:rsid w:val="00766BCF"/>
    <w:rsid w:val="00767799"/>
    <w:rsid w:val="00767F39"/>
    <w:rsid w:val="007711E7"/>
    <w:rsid w:val="007726E1"/>
    <w:rsid w:val="007729FC"/>
    <w:rsid w:val="00772AFA"/>
    <w:rsid w:val="00774F4B"/>
    <w:rsid w:val="00777C21"/>
    <w:rsid w:val="007808D7"/>
    <w:rsid w:val="0078122B"/>
    <w:rsid w:val="00782997"/>
    <w:rsid w:val="00787668"/>
    <w:rsid w:val="0079256F"/>
    <w:rsid w:val="00793AB7"/>
    <w:rsid w:val="007A2CF5"/>
    <w:rsid w:val="007A3C6A"/>
    <w:rsid w:val="007A5821"/>
    <w:rsid w:val="007A5D06"/>
    <w:rsid w:val="007A6937"/>
    <w:rsid w:val="007B1CF6"/>
    <w:rsid w:val="007B40C2"/>
    <w:rsid w:val="007B4D19"/>
    <w:rsid w:val="007B51E2"/>
    <w:rsid w:val="007C51B4"/>
    <w:rsid w:val="007C73FF"/>
    <w:rsid w:val="007D4949"/>
    <w:rsid w:val="007D60DB"/>
    <w:rsid w:val="007D754E"/>
    <w:rsid w:val="007E23D9"/>
    <w:rsid w:val="007E2A95"/>
    <w:rsid w:val="007E37B3"/>
    <w:rsid w:val="007E6404"/>
    <w:rsid w:val="007E75A8"/>
    <w:rsid w:val="007E75E7"/>
    <w:rsid w:val="007F1AD5"/>
    <w:rsid w:val="007F2166"/>
    <w:rsid w:val="007F2224"/>
    <w:rsid w:val="007F2841"/>
    <w:rsid w:val="007F5443"/>
    <w:rsid w:val="007F5A34"/>
    <w:rsid w:val="007F5B2E"/>
    <w:rsid w:val="007F7A94"/>
    <w:rsid w:val="007F7F5A"/>
    <w:rsid w:val="00801E24"/>
    <w:rsid w:val="00801FB2"/>
    <w:rsid w:val="00802A66"/>
    <w:rsid w:val="00804C63"/>
    <w:rsid w:val="00811D45"/>
    <w:rsid w:val="0081742D"/>
    <w:rsid w:val="00820891"/>
    <w:rsid w:val="00820924"/>
    <w:rsid w:val="00821399"/>
    <w:rsid w:val="00821541"/>
    <w:rsid w:val="00830647"/>
    <w:rsid w:val="00830E80"/>
    <w:rsid w:val="0083415C"/>
    <w:rsid w:val="0083756A"/>
    <w:rsid w:val="00842125"/>
    <w:rsid w:val="00843FE8"/>
    <w:rsid w:val="0084412D"/>
    <w:rsid w:val="00850095"/>
    <w:rsid w:val="0085531D"/>
    <w:rsid w:val="00856C99"/>
    <w:rsid w:val="008571C8"/>
    <w:rsid w:val="00860A09"/>
    <w:rsid w:val="00862B43"/>
    <w:rsid w:val="0086301A"/>
    <w:rsid w:val="00863031"/>
    <w:rsid w:val="008649AD"/>
    <w:rsid w:val="00865A6F"/>
    <w:rsid w:val="008665E6"/>
    <w:rsid w:val="0087216F"/>
    <w:rsid w:val="00873DA3"/>
    <w:rsid w:val="00873F80"/>
    <w:rsid w:val="008741E2"/>
    <w:rsid w:val="00876322"/>
    <w:rsid w:val="00876799"/>
    <w:rsid w:val="008810FA"/>
    <w:rsid w:val="008817D7"/>
    <w:rsid w:val="008820AD"/>
    <w:rsid w:val="008826E5"/>
    <w:rsid w:val="00883467"/>
    <w:rsid w:val="00884878"/>
    <w:rsid w:val="0088498B"/>
    <w:rsid w:val="00885B91"/>
    <w:rsid w:val="00885B9C"/>
    <w:rsid w:val="00893EF0"/>
    <w:rsid w:val="00896012"/>
    <w:rsid w:val="00896927"/>
    <w:rsid w:val="00897E16"/>
    <w:rsid w:val="00897E65"/>
    <w:rsid w:val="008A144E"/>
    <w:rsid w:val="008A190C"/>
    <w:rsid w:val="008A31C7"/>
    <w:rsid w:val="008A3900"/>
    <w:rsid w:val="008A3D94"/>
    <w:rsid w:val="008A5A63"/>
    <w:rsid w:val="008A77FC"/>
    <w:rsid w:val="008B575A"/>
    <w:rsid w:val="008B5B4E"/>
    <w:rsid w:val="008B5F65"/>
    <w:rsid w:val="008B6968"/>
    <w:rsid w:val="008B7060"/>
    <w:rsid w:val="008C1945"/>
    <w:rsid w:val="008C50B8"/>
    <w:rsid w:val="008C5D7B"/>
    <w:rsid w:val="008C6B1E"/>
    <w:rsid w:val="008D032F"/>
    <w:rsid w:val="008D27EF"/>
    <w:rsid w:val="008D2DC8"/>
    <w:rsid w:val="008D34F9"/>
    <w:rsid w:val="008D745E"/>
    <w:rsid w:val="008E0856"/>
    <w:rsid w:val="008E27DD"/>
    <w:rsid w:val="008E2D42"/>
    <w:rsid w:val="008E5A71"/>
    <w:rsid w:val="008E6A61"/>
    <w:rsid w:val="008E7D8B"/>
    <w:rsid w:val="008F06F2"/>
    <w:rsid w:val="008F0DCA"/>
    <w:rsid w:val="008F2BD1"/>
    <w:rsid w:val="008F4C4B"/>
    <w:rsid w:val="008F5D80"/>
    <w:rsid w:val="008F6FCA"/>
    <w:rsid w:val="00900748"/>
    <w:rsid w:val="009008B9"/>
    <w:rsid w:val="00902F40"/>
    <w:rsid w:val="00904224"/>
    <w:rsid w:val="00904B7D"/>
    <w:rsid w:val="00913015"/>
    <w:rsid w:val="00913DC2"/>
    <w:rsid w:val="009169CA"/>
    <w:rsid w:val="00923D3D"/>
    <w:rsid w:val="00924CCB"/>
    <w:rsid w:val="0092520A"/>
    <w:rsid w:val="00932FAD"/>
    <w:rsid w:val="00935B91"/>
    <w:rsid w:val="00935D01"/>
    <w:rsid w:val="00940A9E"/>
    <w:rsid w:val="00940B6A"/>
    <w:rsid w:val="009413C3"/>
    <w:rsid w:val="00941DB7"/>
    <w:rsid w:val="00943E56"/>
    <w:rsid w:val="00945592"/>
    <w:rsid w:val="009457D5"/>
    <w:rsid w:val="00945F82"/>
    <w:rsid w:val="00950D23"/>
    <w:rsid w:val="00951562"/>
    <w:rsid w:val="00954EF3"/>
    <w:rsid w:val="00957F4D"/>
    <w:rsid w:val="00963631"/>
    <w:rsid w:val="009668EF"/>
    <w:rsid w:val="0096741B"/>
    <w:rsid w:val="00970884"/>
    <w:rsid w:val="00970AC4"/>
    <w:rsid w:val="00971C1C"/>
    <w:rsid w:val="009729A9"/>
    <w:rsid w:val="0097695D"/>
    <w:rsid w:val="00977E31"/>
    <w:rsid w:val="00980268"/>
    <w:rsid w:val="0098030D"/>
    <w:rsid w:val="00981E62"/>
    <w:rsid w:val="00982070"/>
    <w:rsid w:val="00986E78"/>
    <w:rsid w:val="009872C2"/>
    <w:rsid w:val="00991B6D"/>
    <w:rsid w:val="009936DB"/>
    <w:rsid w:val="0099469C"/>
    <w:rsid w:val="009952D0"/>
    <w:rsid w:val="009967DE"/>
    <w:rsid w:val="0099684A"/>
    <w:rsid w:val="00997FB3"/>
    <w:rsid w:val="009A1D03"/>
    <w:rsid w:val="009A1E07"/>
    <w:rsid w:val="009A28D2"/>
    <w:rsid w:val="009A4CED"/>
    <w:rsid w:val="009A4D39"/>
    <w:rsid w:val="009A5315"/>
    <w:rsid w:val="009B31A1"/>
    <w:rsid w:val="009B4FFD"/>
    <w:rsid w:val="009B5190"/>
    <w:rsid w:val="009B654F"/>
    <w:rsid w:val="009C16DF"/>
    <w:rsid w:val="009C355D"/>
    <w:rsid w:val="009C4804"/>
    <w:rsid w:val="009C708C"/>
    <w:rsid w:val="009C7EBC"/>
    <w:rsid w:val="009D297F"/>
    <w:rsid w:val="009D2D5D"/>
    <w:rsid w:val="009D3524"/>
    <w:rsid w:val="009D3F62"/>
    <w:rsid w:val="009D4933"/>
    <w:rsid w:val="009D5BD1"/>
    <w:rsid w:val="009E1CC8"/>
    <w:rsid w:val="009E3479"/>
    <w:rsid w:val="009E34AB"/>
    <w:rsid w:val="009E6188"/>
    <w:rsid w:val="009E6780"/>
    <w:rsid w:val="009E7208"/>
    <w:rsid w:val="009F1AE8"/>
    <w:rsid w:val="009F24B4"/>
    <w:rsid w:val="009F3426"/>
    <w:rsid w:val="009F4D99"/>
    <w:rsid w:val="009F50F0"/>
    <w:rsid w:val="009F61EC"/>
    <w:rsid w:val="009F7AD2"/>
    <w:rsid w:val="00A0357D"/>
    <w:rsid w:val="00A03911"/>
    <w:rsid w:val="00A04F6F"/>
    <w:rsid w:val="00A05140"/>
    <w:rsid w:val="00A06330"/>
    <w:rsid w:val="00A06B9C"/>
    <w:rsid w:val="00A10DE1"/>
    <w:rsid w:val="00A22538"/>
    <w:rsid w:val="00A229E7"/>
    <w:rsid w:val="00A258C9"/>
    <w:rsid w:val="00A31611"/>
    <w:rsid w:val="00A32CF3"/>
    <w:rsid w:val="00A34039"/>
    <w:rsid w:val="00A3552E"/>
    <w:rsid w:val="00A417FA"/>
    <w:rsid w:val="00A4194D"/>
    <w:rsid w:val="00A42760"/>
    <w:rsid w:val="00A42DBC"/>
    <w:rsid w:val="00A443C7"/>
    <w:rsid w:val="00A472BE"/>
    <w:rsid w:val="00A5255C"/>
    <w:rsid w:val="00A5551F"/>
    <w:rsid w:val="00A65B70"/>
    <w:rsid w:val="00A65CAA"/>
    <w:rsid w:val="00A66454"/>
    <w:rsid w:val="00A71B90"/>
    <w:rsid w:val="00A766FD"/>
    <w:rsid w:val="00A77852"/>
    <w:rsid w:val="00A8047D"/>
    <w:rsid w:val="00A80FE0"/>
    <w:rsid w:val="00A820E7"/>
    <w:rsid w:val="00A82AF7"/>
    <w:rsid w:val="00A848FE"/>
    <w:rsid w:val="00A87087"/>
    <w:rsid w:val="00A90944"/>
    <w:rsid w:val="00A91948"/>
    <w:rsid w:val="00A91CB8"/>
    <w:rsid w:val="00A93735"/>
    <w:rsid w:val="00A93821"/>
    <w:rsid w:val="00A94EC5"/>
    <w:rsid w:val="00A951A6"/>
    <w:rsid w:val="00A9529F"/>
    <w:rsid w:val="00A965D2"/>
    <w:rsid w:val="00A96D68"/>
    <w:rsid w:val="00AA1109"/>
    <w:rsid w:val="00AA2D2B"/>
    <w:rsid w:val="00AA3286"/>
    <w:rsid w:val="00AA4F9F"/>
    <w:rsid w:val="00AA6A08"/>
    <w:rsid w:val="00AA7598"/>
    <w:rsid w:val="00AA7615"/>
    <w:rsid w:val="00AB008F"/>
    <w:rsid w:val="00AB168B"/>
    <w:rsid w:val="00AB3900"/>
    <w:rsid w:val="00AB5846"/>
    <w:rsid w:val="00AB7215"/>
    <w:rsid w:val="00AC52A9"/>
    <w:rsid w:val="00AC56C2"/>
    <w:rsid w:val="00AC5E19"/>
    <w:rsid w:val="00AC69DD"/>
    <w:rsid w:val="00AC6A2E"/>
    <w:rsid w:val="00AD08C4"/>
    <w:rsid w:val="00AD1673"/>
    <w:rsid w:val="00AD3831"/>
    <w:rsid w:val="00AD58EE"/>
    <w:rsid w:val="00AE0F31"/>
    <w:rsid w:val="00AE5C52"/>
    <w:rsid w:val="00AE767C"/>
    <w:rsid w:val="00AE790D"/>
    <w:rsid w:val="00AE7F86"/>
    <w:rsid w:val="00AF045F"/>
    <w:rsid w:val="00AF0FA2"/>
    <w:rsid w:val="00AF0FDD"/>
    <w:rsid w:val="00AF1A26"/>
    <w:rsid w:val="00AF4C76"/>
    <w:rsid w:val="00AF6554"/>
    <w:rsid w:val="00B00A91"/>
    <w:rsid w:val="00B00EC3"/>
    <w:rsid w:val="00B01881"/>
    <w:rsid w:val="00B077D0"/>
    <w:rsid w:val="00B10AA4"/>
    <w:rsid w:val="00B1229D"/>
    <w:rsid w:val="00B133C4"/>
    <w:rsid w:val="00B13F26"/>
    <w:rsid w:val="00B17295"/>
    <w:rsid w:val="00B17A9D"/>
    <w:rsid w:val="00B21C2F"/>
    <w:rsid w:val="00B21F01"/>
    <w:rsid w:val="00B254FE"/>
    <w:rsid w:val="00B25FAA"/>
    <w:rsid w:val="00B26442"/>
    <w:rsid w:val="00B2764E"/>
    <w:rsid w:val="00B30E77"/>
    <w:rsid w:val="00B33F27"/>
    <w:rsid w:val="00B35B58"/>
    <w:rsid w:val="00B36188"/>
    <w:rsid w:val="00B37D16"/>
    <w:rsid w:val="00B456CC"/>
    <w:rsid w:val="00B478EF"/>
    <w:rsid w:val="00B51BAD"/>
    <w:rsid w:val="00B5336D"/>
    <w:rsid w:val="00B533FE"/>
    <w:rsid w:val="00B56551"/>
    <w:rsid w:val="00B57AE9"/>
    <w:rsid w:val="00B638BD"/>
    <w:rsid w:val="00B65EB5"/>
    <w:rsid w:val="00B66290"/>
    <w:rsid w:val="00B72CEC"/>
    <w:rsid w:val="00B73E90"/>
    <w:rsid w:val="00B7501A"/>
    <w:rsid w:val="00B80707"/>
    <w:rsid w:val="00B82161"/>
    <w:rsid w:val="00B86E6E"/>
    <w:rsid w:val="00B87675"/>
    <w:rsid w:val="00B93FCA"/>
    <w:rsid w:val="00B95043"/>
    <w:rsid w:val="00BA0A17"/>
    <w:rsid w:val="00BA3026"/>
    <w:rsid w:val="00BA3EFF"/>
    <w:rsid w:val="00BA4972"/>
    <w:rsid w:val="00BA5FE7"/>
    <w:rsid w:val="00BA726E"/>
    <w:rsid w:val="00BB11C9"/>
    <w:rsid w:val="00BB180A"/>
    <w:rsid w:val="00BB1C24"/>
    <w:rsid w:val="00BB3938"/>
    <w:rsid w:val="00BB3B72"/>
    <w:rsid w:val="00BB51A2"/>
    <w:rsid w:val="00BB6A85"/>
    <w:rsid w:val="00BC2968"/>
    <w:rsid w:val="00BC6774"/>
    <w:rsid w:val="00BC6EEF"/>
    <w:rsid w:val="00BC7980"/>
    <w:rsid w:val="00BD3EB8"/>
    <w:rsid w:val="00BD4D43"/>
    <w:rsid w:val="00BD5077"/>
    <w:rsid w:val="00BE0D5C"/>
    <w:rsid w:val="00BE1023"/>
    <w:rsid w:val="00BE166C"/>
    <w:rsid w:val="00BE65E4"/>
    <w:rsid w:val="00BE7A56"/>
    <w:rsid w:val="00BF05EE"/>
    <w:rsid w:val="00BF0AA7"/>
    <w:rsid w:val="00BF195A"/>
    <w:rsid w:val="00BF2F97"/>
    <w:rsid w:val="00C00765"/>
    <w:rsid w:val="00C0478C"/>
    <w:rsid w:val="00C05B73"/>
    <w:rsid w:val="00C06287"/>
    <w:rsid w:val="00C070AD"/>
    <w:rsid w:val="00C109BA"/>
    <w:rsid w:val="00C127D6"/>
    <w:rsid w:val="00C161A9"/>
    <w:rsid w:val="00C20D5E"/>
    <w:rsid w:val="00C23583"/>
    <w:rsid w:val="00C34583"/>
    <w:rsid w:val="00C36C67"/>
    <w:rsid w:val="00C4066A"/>
    <w:rsid w:val="00C40D0E"/>
    <w:rsid w:val="00C441E9"/>
    <w:rsid w:val="00C469FC"/>
    <w:rsid w:val="00C46E7E"/>
    <w:rsid w:val="00C53A72"/>
    <w:rsid w:val="00C5519C"/>
    <w:rsid w:val="00C56BAB"/>
    <w:rsid w:val="00C57626"/>
    <w:rsid w:val="00C577AB"/>
    <w:rsid w:val="00C60D92"/>
    <w:rsid w:val="00C65930"/>
    <w:rsid w:val="00C66548"/>
    <w:rsid w:val="00C6763A"/>
    <w:rsid w:val="00C75480"/>
    <w:rsid w:val="00C75AB0"/>
    <w:rsid w:val="00C77827"/>
    <w:rsid w:val="00C802A7"/>
    <w:rsid w:val="00C815C3"/>
    <w:rsid w:val="00C81D99"/>
    <w:rsid w:val="00C81E22"/>
    <w:rsid w:val="00C82AA4"/>
    <w:rsid w:val="00C8305C"/>
    <w:rsid w:val="00C832D4"/>
    <w:rsid w:val="00C91076"/>
    <w:rsid w:val="00C91968"/>
    <w:rsid w:val="00C92101"/>
    <w:rsid w:val="00C94007"/>
    <w:rsid w:val="00C94957"/>
    <w:rsid w:val="00C95691"/>
    <w:rsid w:val="00C9574E"/>
    <w:rsid w:val="00C960C5"/>
    <w:rsid w:val="00C97DBF"/>
    <w:rsid w:val="00CA1ECD"/>
    <w:rsid w:val="00CA2172"/>
    <w:rsid w:val="00CA41CB"/>
    <w:rsid w:val="00CA4C7F"/>
    <w:rsid w:val="00CA55FD"/>
    <w:rsid w:val="00CB4A56"/>
    <w:rsid w:val="00CB5C61"/>
    <w:rsid w:val="00CC14A7"/>
    <w:rsid w:val="00CC14DB"/>
    <w:rsid w:val="00CC54C3"/>
    <w:rsid w:val="00CC5B61"/>
    <w:rsid w:val="00CD0FA4"/>
    <w:rsid w:val="00CD18AA"/>
    <w:rsid w:val="00CD2BF0"/>
    <w:rsid w:val="00CD450A"/>
    <w:rsid w:val="00CD4B44"/>
    <w:rsid w:val="00CD5FEC"/>
    <w:rsid w:val="00CE0E3B"/>
    <w:rsid w:val="00CE0FC6"/>
    <w:rsid w:val="00CE1FD3"/>
    <w:rsid w:val="00CF46C7"/>
    <w:rsid w:val="00CF5974"/>
    <w:rsid w:val="00D02405"/>
    <w:rsid w:val="00D05869"/>
    <w:rsid w:val="00D05905"/>
    <w:rsid w:val="00D0608D"/>
    <w:rsid w:val="00D06E54"/>
    <w:rsid w:val="00D06E87"/>
    <w:rsid w:val="00D06EFC"/>
    <w:rsid w:val="00D11784"/>
    <w:rsid w:val="00D1197E"/>
    <w:rsid w:val="00D155D2"/>
    <w:rsid w:val="00D1619E"/>
    <w:rsid w:val="00D22E2B"/>
    <w:rsid w:val="00D3094C"/>
    <w:rsid w:val="00D33625"/>
    <w:rsid w:val="00D33DA7"/>
    <w:rsid w:val="00D35A8D"/>
    <w:rsid w:val="00D45A62"/>
    <w:rsid w:val="00D46C18"/>
    <w:rsid w:val="00D472D8"/>
    <w:rsid w:val="00D4758F"/>
    <w:rsid w:val="00D50E91"/>
    <w:rsid w:val="00D5492A"/>
    <w:rsid w:val="00D56FF4"/>
    <w:rsid w:val="00D60953"/>
    <w:rsid w:val="00D60F71"/>
    <w:rsid w:val="00D62573"/>
    <w:rsid w:val="00D63B7A"/>
    <w:rsid w:val="00D65184"/>
    <w:rsid w:val="00D653D3"/>
    <w:rsid w:val="00D675D9"/>
    <w:rsid w:val="00D72129"/>
    <w:rsid w:val="00D74021"/>
    <w:rsid w:val="00D74036"/>
    <w:rsid w:val="00D756C7"/>
    <w:rsid w:val="00D77D0D"/>
    <w:rsid w:val="00D80035"/>
    <w:rsid w:val="00D808EE"/>
    <w:rsid w:val="00D81433"/>
    <w:rsid w:val="00D86D98"/>
    <w:rsid w:val="00D93663"/>
    <w:rsid w:val="00D94097"/>
    <w:rsid w:val="00D94C0F"/>
    <w:rsid w:val="00D95DC5"/>
    <w:rsid w:val="00D960F9"/>
    <w:rsid w:val="00DA2028"/>
    <w:rsid w:val="00DA43D0"/>
    <w:rsid w:val="00DA460C"/>
    <w:rsid w:val="00DA57D6"/>
    <w:rsid w:val="00DA58AE"/>
    <w:rsid w:val="00DA5AB4"/>
    <w:rsid w:val="00DA61E1"/>
    <w:rsid w:val="00DA7DA7"/>
    <w:rsid w:val="00DB0CB2"/>
    <w:rsid w:val="00DB69B3"/>
    <w:rsid w:val="00DB74F9"/>
    <w:rsid w:val="00DC0B4F"/>
    <w:rsid w:val="00DC74E6"/>
    <w:rsid w:val="00DD0CEC"/>
    <w:rsid w:val="00DD12AF"/>
    <w:rsid w:val="00DD1531"/>
    <w:rsid w:val="00DD246C"/>
    <w:rsid w:val="00DD2E94"/>
    <w:rsid w:val="00DD3572"/>
    <w:rsid w:val="00DD4DD6"/>
    <w:rsid w:val="00DE3F1B"/>
    <w:rsid w:val="00DE55E6"/>
    <w:rsid w:val="00DE6894"/>
    <w:rsid w:val="00DF587E"/>
    <w:rsid w:val="00DF6C2D"/>
    <w:rsid w:val="00DF6E83"/>
    <w:rsid w:val="00DF6F57"/>
    <w:rsid w:val="00DF7121"/>
    <w:rsid w:val="00E03F11"/>
    <w:rsid w:val="00E04482"/>
    <w:rsid w:val="00E06919"/>
    <w:rsid w:val="00E07968"/>
    <w:rsid w:val="00E11417"/>
    <w:rsid w:val="00E137C7"/>
    <w:rsid w:val="00E150B6"/>
    <w:rsid w:val="00E2267F"/>
    <w:rsid w:val="00E24977"/>
    <w:rsid w:val="00E27C9F"/>
    <w:rsid w:val="00E34636"/>
    <w:rsid w:val="00E34E52"/>
    <w:rsid w:val="00E35AD1"/>
    <w:rsid w:val="00E360DD"/>
    <w:rsid w:val="00E41AD4"/>
    <w:rsid w:val="00E43200"/>
    <w:rsid w:val="00E46AC3"/>
    <w:rsid w:val="00E47946"/>
    <w:rsid w:val="00E50D64"/>
    <w:rsid w:val="00E56811"/>
    <w:rsid w:val="00E60314"/>
    <w:rsid w:val="00E6139F"/>
    <w:rsid w:val="00E61466"/>
    <w:rsid w:val="00E61E1E"/>
    <w:rsid w:val="00E62387"/>
    <w:rsid w:val="00E62713"/>
    <w:rsid w:val="00E64B3B"/>
    <w:rsid w:val="00E651CD"/>
    <w:rsid w:val="00E665D7"/>
    <w:rsid w:val="00E716FC"/>
    <w:rsid w:val="00E71A05"/>
    <w:rsid w:val="00E81CA5"/>
    <w:rsid w:val="00E8332B"/>
    <w:rsid w:val="00E90B9D"/>
    <w:rsid w:val="00E923F1"/>
    <w:rsid w:val="00E93888"/>
    <w:rsid w:val="00E946A0"/>
    <w:rsid w:val="00E96E29"/>
    <w:rsid w:val="00E97621"/>
    <w:rsid w:val="00EA3C2E"/>
    <w:rsid w:val="00EB32AC"/>
    <w:rsid w:val="00EB3D8A"/>
    <w:rsid w:val="00EB45CF"/>
    <w:rsid w:val="00EB4AF9"/>
    <w:rsid w:val="00EB4FEA"/>
    <w:rsid w:val="00EB711D"/>
    <w:rsid w:val="00EC68D9"/>
    <w:rsid w:val="00ED2536"/>
    <w:rsid w:val="00ED4C55"/>
    <w:rsid w:val="00ED70AA"/>
    <w:rsid w:val="00EE0E84"/>
    <w:rsid w:val="00EE308D"/>
    <w:rsid w:val="00EE3DBB"/>
    <w:rsid w:val="00EE44C9"/>
    <w:rsid w:val="00EE462A"/>
    <w:rsid w:val="00EE5950"/>
    <w:rsid w:val="00EF0781"/>
    <w:rsid w:val="00EF2769"/>
    <w:rsid w:val="00EF2D4F"/>
    <w:rsid w:val="00EF357D"/>
    <w:rsid w:val="00EF3C1E"/>
    <w:rsid w:val="00EF3D69"/>
    <w:rsid w:val="00EF4DF3"/>
    <w:rsid w:val="00EF7DD9"/>
    <w:rsid w:val="00F04085"/>
    <w:rsid w:val="00F0799D"/>
    <w:rsid w:val="00F11AAD"/>
    <w:rsid w:val="00F11CDB"/>
    <w:rsid w:val="00F16378"/>
    <w:rsid w:val="00F17BCD"/>
    <w:rsid w:val="00F17FC9"/>
    <w:rsid w:val="00F209D8"/>
    <w:rsid w:val="00F23AAD"/>
    <w:rsid w:val="00F27ED1"/>
    <w:rsid w:val="00F30591"/>
    <w:rsid w:val="00F306CE"/>
    <w:rsid w:val="00F32394"/>
    <w:rsid w:val="00F40D38"/>
    <w:rsid w:val="00F41891"/>
    <w:rsid w:val="00F43318"/>
    <w:rsid w:val="00F46297"/>
    <w:rsid w:val="00F47699"/>
    <w:rsid w:val="00F47AC6"/>
    <w:rsid w:val="00F5172B"/>
    <w:rsid w:val="00F53655"/>
    <w:rsid w:val="00F6071E"/>
    <w:rsid w:val="00F62C88"/>
    <w:rsid w:val="00F62E8E"/>
    <w:rsid w:val="00F63070"/>
    <w:rsid w:val="00F65284"/>
    <w:rsid w:val="00F654BC"/>
    <w:rsid w:val="00F711FF"/>
    <w:rsid w:val="00F71512"/>
    <w:rsid w:val="00F74059"/>
    <w:rsid w:val="00F74FA5"/>
    <w:rsid w:val="00F77E6A"/>
    <w:rsid w:val="00F81023"/>
    <w:rsid w:val="00F8136D"/>
    <w:rsid w:val="00F818AF"/>
    <w:rsid w:val="00F81D93"/>
    <w:rsid w:val="00F86C62"/>
    <w:rsid w:val="00F93164"/>
    <w:rsid w:val="00F940A3"/>
    <w:rsid w:val="00F9413F"/>
    <w:rsid w:val="00F94D21"/>
    <w:rsid w:val="00F94E5E"/>
    <w:rsid w:val="00F95870"/>
    <w:rsid w:val="00F96E49"/>
    <w:rsid w:val="00F973D6"/>
    <w:rsid w:val="00FA11D0"/>
    <w:rsid w:val="00FA3B4B"/>
    <w:rsid w:val="00FA406D"/>
    <w:rsid w:val="00FA419B"/>
    <w:rsid w:val="00FA4570"/>
    <w:rsid w:val="00FA529F"/>
    <w:rsid w:val="00FA5ED5"/>
    <w:rsid w:val="00FB1581"/>
    <w:rsid w:val="00FB2D9A"/>
    <w:rsid w:val="00FC0B2B"/>
    <w:rsid w:val="00FC1262"/>
    <w:rsid w:val="00FC19A6"/>
    <w:rsid w:val="00FC375A"/>
    <w:rsid w:val="00FC3C87"/>
    <w:rsid w:val="00FC5597"/>
    <w:rsid w:val="00FC57E5"/>
    <w:rsid w:val="00FD0AD2"/>
    <w:rsid w:val="00FD6C7D"/>
    <w:rsid w:val="00FD7246"/>
    <w:rsid w:val="00FE0C55"/>
    <w:rsid w:val="00FE1536"/>
    <w:rsid w:val="00FE25EE"/>
    <w:rsid w:val="00FE28D8"/>
    <w:rsid w:val="00FE2DF7"/>
    <w:rsid w:val="00FE421E"/>
    <w:rsid w:val="00FE4491"/>
    <w:rsid w:val="00FE567D"/>
    <w:rsid w:val="00FE7804"/>
    <w:rsid w:val="00FF2D07"/>
    <w:rsid w:val="00FF3A78"/>
    <w:rsid w:val="00FF55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37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qFormat="1"/>
    <w:lsdException w:name="footnote text" w:uiPriority="99" w:qFormat="1"/>
    <w:lsdException w:name="header" w:uiPriority="99"/>
    <w:lsdException w:name="caption" w:uiPriority="99" w:qFormat="1"/>
    <w:lsdException w:name="Title" w:qFormat="1"/>
    <w:lsdException w:name="Default Paragraph Font" w:uiPriority="1"/>
    <w:lsdException w:name="Body Text" w:uiPriority="99" w:qFormat="1"/>
    <w:lsdException w:name="Date" w:qFormat="1"/>
    <w:lsdException w:name="Normal (Web)" w:uiPriority="99"/>
    <w:lsdException w:name="No List" w:uiPriority="99"/>
    <w:lsdException w:name="Table Grid" w:uiPriority="59"/>
    <w:lsdException w:name="Light Shading" w:uiPriority="60"/>
    <w:lsdException w:name="Light Shading Accent 1" w:uiPriority="60"/>
    <w:lsdException w:name="Revision" w:uiPriority="71"/>
    <w:lsdException w:name="List Paragraph" w:uiPriority="34" w:qFormat="1"/>
    <w:lsdException w:name="Quote" w:qFormat="1"/>
    <w:lsdException w:name="Medium Grid 2 Accent 2" w:uiPriority="68"/>
    <w:lsdException w:name="Medium Shading 2 Accent 5" w:uiPriority="64"/>
  </w:latentStyles>
  <w:style w:type="paragraph" w:default="1" w:styleId="Normal">
    <w:name w:val="Normal"/>
    <w:qFormat/>
    <w:rsid w:val="007808D7"/>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094816"/>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1B5B6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1B5B6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A04F6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04F6F"/>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A04F6F"/>
    <w:pPr>
      <w:numPr>
        <w:numId w:val="19"/>
      </w:numPr>
      <w:ind w:left="357" w:hanging="357"/>
    </w:pPr>
  </w:style>
  <w:style w:type="paragraph" w:styleId="ListNumber2">
    <w:name w:val="List Number 2"/>
    <w:basedOn w:val="ListNumber"/>
    <w:rsid w:val="00A04F6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Georgia" w:hAnsi="Georgi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A04F6F"/>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AD1673"/>
    <w:pPr>
      <w:spacing w:after="0"/>
      <w:contextualSpacing/>
    </w:pPr>
    <w:rPr>
      <w:sz w:val="16"/>
      <w:szCs w:val="20"/>
    </w:rPr>
  </w:style>
  <w:style w:type="character" w:customStyle="1" w:styleId="FootnoteTextChar">
    <w:name w:val="Footnote Text Char"/>
    <w:basedOn w:val="DefaultParagraphFont"/>
    <w:link w:val="FootnoteText"/>
    <w:uiPriority w:val="99"/>
    <w:rsid w:val="00AD1673"/>
    <w:rPr>
      <w:rFonts w:ascii="Times New Roman" w:eastAsia="Times New Roman" w:hAnsi="Times New Roman" w:cs="Times New Roman"/>
      <w:sz w:val="16"/>
      <w:szCs w:val="20"/>
    </w:rPr>
  </w:style>
  <w:style w:type="character" w:styleId="FootnoteReference">
    <w:name w:val="footnote reference"/>
    <w:semiHidden/>
    <w:rsid w:val="00AD1673"/>
    <w:rPr>
      <w:rFonts w:ascii="Times New Roman" w:hAnsi="Times New Roman"/>
      <w:caps w:val="0"/>
      <w:smallCaps w:val="0"/>
      <w:strike w:val="0"/>
      <w:dstrike w:val="0"/>
      <w:vanish w:val="0"/>
      <w:w w:val="100"/>
      <w:position w:val="0"/>
      <w:sz w:val="22"/>
      <w:szCs w:val="12"/>
      <w:vertAlign w:val="superscript"/>
    </w:rPr>
  </w:style>
  <w:style w:type="paragraph" w:customStyle="1" w:styleId="Default">
    <w:name w:val="Default"/>
    <w:rsid w:val="00896012"/>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896012"/>
    <w:rPr>
      <w:rFonts w:cs="Calibri"/>
      <w:color w:val="000000"/>
      <w:sz w:val="22"/>
      <w:szCs w:val="22"/>
    </w:rPr>
  </w:style>
  <w:style w:type="paragraph" w:styleId="NormalWeb">
    <w:name w:val="Normal (Web)"/>
    <w:basedOn w:val="Normal"/>
    <w:uiPriority w:val="99"/>
    <w:unhideWhenUsed/>
    <w:rsid w:val="005B7A07"/>
    <w:pPr>
      <w:spacing w:after="300"/>
    </w:pPr>
    <w:rPr>
      <w:rFonts w:eastAsia="Times New Roman"/>
      <w:sz w:val="24"/>
    </w:rPr>
  </w:style>
  <w:style w:type="character" w:styleId="PlaceholderText">
    <w:name w:val="Placeholder Text"/>
    <w:basedOn w:val="DefaultParagraphFont"/>
    <w:rsid w:val="00FC37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qFormat="1"/>
    <w:lsdException w:name="footnote text" w:uiPriority="99" w:qFormat="1"/>
    <w:lsdException w:name="header" w:uiPriority="99"/>
    <w:lsdException w:name="caption" w:uiPriority="99" w:qFormat="1"/>
    <w:lsdException w:name="Title" w:qFormat="1"/>
    <w:lsdException w:name="Default Paragraph Font" w:uiPriority="1"/>
    <w:lsdException w:name="Body Text" w:uiPriority="99" w:qFormat="1"/>
    <w:lsdException w:name="Date" w:qFormat="1"/>
    <w:lsdException w:name="Normal (Web)" w:uiPriority="99"/>
    <w:lsdException w:name="No List" w:uiPriority="99"/>
    <w:lsdException w:name="Table Grid" w:uiPriority="59"/>
    <w:lsdException w:name="Light Shading" w:uiPriority="60"/>
    <w:lsdException w:name="Light Shading Accent 1" w:uiPriority="60"/>
    <w:lsdException w:name="Revision" w:uiPriority="71"/>
    <w:lsdException w:name="List Paragraph" w:uiPriority="34" w:qFormat="1"/>
    <w:lsdException w:name="Quote" w:qFormat="1"/>
    <w:lsdException w:name="Medium Grid 2 Accent 2" w:uiPriority="68"/>
    <w:lsdException w:name="Medium Shading 2 Accent 5" w:uiPriority="64"/>
  </w:latentStyles>
  <w:style w:type="paragraph" w:default="1" w:styleId="Normal">
    <w:name w:val="Normal"/>
    <w:qFormat/>
    <w:rsid w:val="007808D7"/>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094816"/>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1B5B63"/>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1B5B63"/>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A04F6F"/>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A04F6F"/>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34"/>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A04F6F"/>
    <w:pPr>
      <w:numPr>
        <w:numId w:val="19"/>
      </w:numPr>
      <w:ind w:left="357" w:hanging="357"/>
    </w:pPr>
  </w:style>
  <w:style w:type="paragraph" w:styleId="ListNumber2">
    <w:name w:val="List Number 2"/>
    <w:basedOn w:val="ListNumber"/>
    <w:rsid w:val="00A04F6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Georgia" w:hAnsi="Georgia"/>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A04F6F"/>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AD1673"/>
    <w:pPr>
      <w:spacing w:after="0"/>
      <w:contextualSpacing/>
    </w:pPr>
    <w:rPr>
      <w:sz w:val="16"/>
      <w:szCs w:val="20"/>
    </w:rPr>
  </w:style>
  <w:style w:type="character" w:customStyle="1" w:styleId="FootnoteTextChar">
    <w:name w:val="Footnote Text Char"/>
    <w:basedOn w:val="DefaultParagraphFont"/>
    <w:link w:val="FootnoteText"/>
    <w:uiPriority w:val="99"/>
    <w:rsid w:val="00AD1673"/>
    <w:rPr>
      <w:rFonts w:ascii="Times New Roman" w:eastAsia="Times New Roman" w:hAnsi="Times New Roman" w:cs="Times New Roman"/>
      <w:sz w:val="16"/>
      <w:szCs w:val="20"/>
    </w:rPr>
  </w:style>
  <w:style w:type="character" w:styleId="FootnoteReference">
    <w:name w:val="footnote reference"/>
    <w:semiHidden/>
    <w:rsid w:val="00AD1673"/>
    <w:rPr>
      <w:rFonts w:ascii="Times New Roman" w:hAnsi="Times New Roman"/>
      <w:caps w:val="0"/>
      <w:smallCaps w:val="0"/>
      <w:strike w:val="0"/>
      <w:dstrike w:val="0"/>
      <w:vanish w:val="0"/>
      <w:w w:val="100"/>
      <w:position w:val="0"/>
      <w:sz w:val="22"/>
      <w:szCs w:val="12"/>
      <w:vertAlign w:val="superscript"/>
    </w:rPr>
  </w:style>
  <w:style w:type="paragraph" w:customStyle="1" w:styleId="Default">
    <w:name w:val="Default"/>
    <w:rsid w:val="00896012"/>
    <w:pPr>
      <w:autoSpaceDE w:val="0"/>
      <w:autoSpaceDN w:val="0"/>
      <w:adjustRightInd w:val="0"/>
      <w:spacing w:after="0" w:line="240" w:lineRule="auto"/>
    </w:pPr>
    <w:rPr>
      <w:rFonts w:ascii="Calibri" w:hAnsi="Calibri" w:cs="Calibri"/>
      <w:color w:val="000000"/>
      <w:sz w:val="24"/>
      <w:szCs w:val="24"/>
    </w:rPr>
  </w:style>
  <w:style w:type="character" w:customStyle="1" w:styleId="A3">
    <w:name w:val="A3"/>
    <w:uiPriority w:val="99"/>
    <w:rsid w:val="00896012"/>
    <w:rPr>
      <w:rFonts w:cs="Calibri"/>
      <w:color w:val="000000"/>
      <w:sz w:val="22"/>
      <w:szCs w:val="22"/>
    </w:rPr>
  </w:style>
  <w:style w:type="paragraph" w:styleId="NormalWeb">
    <w:name w:val="Normal (Web)"/>
    <w:basedOn w:val="Normal"/>
    <w:uiPriority w:val="99"/>
    <w:unhideWhenUsed/>
    <w:rsid w:val="005B7A07"/>
    <w:pPr>
      <w:spacing w:after="300"/>
    </w:pPr>
    <w:rPr>
      <w:rFonts w:eastAsia="Times New Roman"/>
      <w:sz w:val="24"/>
    </w:rPr>
  </w:style>
  <w:style w:type="character" w:styleId="PlaceholderText">
    <w:name w:val="Placeholder Text"/>
    <w:basedOn w:val="DefaultParagraphFont"/>
    <w:rsid w:val="00FC37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0123">
      <w:bodyDiv w:val="1"/>
      <w:marLeft w:val="0"/>
      <w:marRight w:val="0"/>
      <w:marTop w:val="0"/>
      <w:marBottom w:val="0"/>
      <w:divBdr>
        <w:top w:val="none" w:sz="0" w:space="0" w:color="auto"/>
        <w:left w:val="none" w:sz="0" w:space="0" w:color="auto"/>
        <w:bottom w:val="none" w:sz="0" w:space="0" w:color="auto"/>
        <w:right w:val="none" w:sz="0" w:space="0" w:color="auto"/>
      </w:divBdr>
      <w:divsChild>
        <w:div w:id="1584990235">
          <w:marLeft w:val="0"/>
          <w:marRight w:val="0"/>
          <w:marTop w:val="0"/>
          <w:marBottom w:val="0"/>
          <w:divBdr>
            <w:top w:val="none" w:sz="0" w:space="0" w:color="auto"/>
            <w:left w:val="none" w:sz="0" w:space="0" w:color="auto"/>
            <w:bottom w:val="none" w:sz="0" w:space="0" w:color="auto"/>
            <w:right w:val="none" w:sz="0" w:space="0" w:color="auto"/>
          </w:divBdr>
          <w:divsChild>
            <w:div w:id="45420197">
              <w:marLeft w:val="0"/>
              <w:marRight w:val="0"/>
              <w:marTop w:val="0"/>
              <w:marBottom w:val="0"/>
              <w:divBdr>
                <w:top w:val="none" w:sz="0" w:space="0" w:color="auto"/>
                <w:left w:val="none" w:sz="0" w:space="0" w:color="auto"/>
                <w:bottom w:val="none" w:sz="0" w:space="0" w:color="auto"/>
                <w:right w:val="none" w:sz="0" w:space="0" w:color="auto"/>
              </w:divBdr>
              <w:divsChild>
                <w:div w:id="1828285488">
                  <w:marLeft w:val="0"/>
                  <w:marRight w:val="0"/>
                  <w:marTop w:val="0"/>
                  <w:marBottom w:val="0"/>
                  <w:divBdr>
                    <w:top w:val="none" w:sz="0" w:space="0" w:color="auto"/>
                    <w:left w:val="none" w:sz="0" w:space="0" w:color="auto"/>
                    <w:bottom w:val="none" w:sz="0" w:space="0" w:color="auto"/>
                    <w:right w:val="none" w:sz="0" w:space="0" w:color="auto"/>
                  </w:divBdr>
                  <w:divsChild>
                    <w:div w:id="1676566731">
                      <w:marLeft w:val="2325"/>
                      <w:marRight w:val="0"/>
                      <w:marTop w:val="0"/>
                      <w:marBottom w:val="0"/>
                      <w:divBdr>
                        <w:top w:val="none" w:sz="0" w:space="0" w:color="auto"/>
                        <w:left w:val="none" w:sz="0" w:space="0" w:color="auto"/>
                        <w:bottom w:val="none" w:sz="0" w:space="0" w:color="auto"/>
                        <w:right w:val="none" w:sz="0" w:space="0" w:color="auto"/>
                      </w:divBdr>
                      <w:divsChild>
                        <w:div w:id="2071030971">
                          <w:marLeft w:val="0"/>
                          <w:marRight w:val="0"/>
                          <w:marTop w:val="0"/>
                          <w:marBottom w:val="0"/>
                          <w:divBdr>
                            <w:top w:val="none" w:sz="0" w:space="0" w:color="auto"/>
                            <w:left w:val="none" w:sz="0" w:space="0" w:color="auto"/>
                            <w:bottom w:val="none" w:sz="0" w:space="0" w:color="auto"/>
                            <w:right w:val="none" w:sz="0" w:space="0" w:color="auto"/>
                          </w:divBdr>
                          <w:divsChild>
                            <w:div w:id="1983457096">
                              <w:marLeft w:val="0"/>
                              <w:marRight w:val="0"/>
                              <w:marTop w:val="0"/>
                              <w:marBottom w:val="0"/>
                              <w:divBdr>
                                <w:top w:val="none" w:sz="0" w:space="0" w:color="auto"/>
                                <w:left w:val="none" w:sz="0" w:space="0" w:color="auto"/>
                                <w:bottom w:val="none" w:sz="0" w:space="0" w:color="auto"/>
                                <w:right w:val="none" w:sz="0" w:space="0" w:color="auto"/>
                              </w:divBdr>
                              <w:divsChild>
                                <w:div w:id="1118374899">
                                  <w:marLeft w:val="0"/>
                                  <w:marRight w:val="0"/>
                                  <w:marTop w:val="0"/>
                                  <w:marBottom w:val="0"/>
                                  <w:divBdr>
                                    <w:top w:val="none" w:sz="0" w:space="0" w:color="auto"/>
                                    <w:left w:val="none" w:sz="0" w:space="0" w:color="auto"/>
                                    <w:bottom w:val="none" w:sz="0" w:space="0" w:color="auto"/>
                                    <w:right w:val="none" w:sz="0" w:space="0" w:color="auto"/>
                                  </w:divBdr>
                                  <w:divsChild>
                                    <w:div w:id="309361980">
                                      <w:marLeft w:val="0"/>
                                      <w:marRight w:val="0"/>
                                      <w:marTop w:val="0"/>
                                      <w:marBottom w:val="0"/>
                                      <w:divBdr>
                                        <w:top w:val="none" w:sz="0" w:space="0" w:color="auto"/>
                                        <w:left w:val="none" w:sz="0" w:space="0" w:color="auto"/>
                                        <w:bottom w:val="none" w:sz="0" w:space="0" w:color="auto"/>
                                        <w:right w:val="none" w:sz="0" w:space="0" w:color="auto"/>
                                      </w:divBdr>
                                      <w:divsChild>
                                        <w:div w:id="121046426">
                                          <w:marLeft w:val="0"/>
                                          <w:marRight w:val="0"/>
                                          <w:marTop w:val="0"/>
                                          <w:marBottom w:val="0"/>
                                          <w:divBdr>
                                            <w:top w:val="none" w:sz="0" w:space="0" w:color="auto"/>
                                            <w:left w:val="none" w:sz="0" w:space="0" w:color="auto"/>
                                            <w:bottom w:val="none" w:sz="0" w:space="0" w:color="auto"/>
                                            <w:right w:val="none" w:sz="0" w:space="0" w:color="auto"/>
                                          </w:divBdr>
                                          <w:divsChild>
                                            <w:div w:id="517157186">
                                              <w:marLeft w:val="0"/>
                                              <w:marRight w:val="0"/>
                                              <w:marTop w:val="0"/>
                                              <w:marBottom w:val="0"/>
                                              <w:divBdr>
                                                <w:top w:val="none" w:sz="0" w:space="0" w:color="auto"/>
                                                <w:left w:val="none" w:sz="0" w:space="0" w:color="auto"/>
                                                <w:bottom w:val="none" w:sz="0" w:space="0" w:color="auto"/>
                                                <w:right w:val="none" w:sz="0" w:space="0" w:color="auto"/>
                                              </w:divBdr>
                                            </w:div>
                                            <w:div w:id="9924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29109">
      <w:bodyDiv w:val="1"/>
      <w:marLeft w:val="0"/>
      <w:marRight w:val="0"/>
      <w:marTop w:val="0"/>
      <w:marBottom w:val="0"/>
      <w:divBdr>
        <w:top w:val="none" w:sz="0" w:space="0" w:color="auto"/>
        <w:left w:val="none" w:sz="0" w:space="0" w:color="auto"/>
        <w:bottom w:val="none" w:sz="0" w:space="0" w:color="auto"/>
        <w:right w:val="none" w:sz="0" w:space="0" w:color="auto"/>
      </w:divBdr>
    </w:div>
    <w:div w:id="99180044">
      <w:bodyDiv w:val="1"/>
      <w:marLeft w:val="0"/>
      <w:marRight w:val="0"/>
      <w:marTop w:val="0"/>
      <w:marBottom w:val="0"/>
      <w:divBdr>
        <w:top w:val="none" w:sz="0" w:space="0" w:color="auto"/>
        <w:left w:val="none" w:sz="0" w:space="0" w:color="auto"/>
        <w:bottom w:val="none" w:sz="0" w:space="0" w:color="auto"/>
        <w:right w:val="none" w:sz="0" w:space="0" w:color="auto"/>
      </w:divBdr>
    </w:div>
    <w:div w:id="211042504">
      <w:bodyDiv w:val="1"/>
      <w:marLeft w:val="0"/>
      <w:marRight w:val="0"/>
      <w:marTop w:val="0"/>
      <w:marBottom w:val="0"/>
      <w:divBdr>
        <w:top w:val="none" w:sz="0" w:space="0" w:color="auto"/>
        <w:left w:val="none" w:sz="0" w:space="0" w:color="auto"/>
        <w:bottom w:val="none" w:sz="0" w:space="0" w:color="auto"/>
        <w:right w:val="none" w:sz="0" w:space="0" w:color="auto"/>
      </w:divBdr>
    </w:div>
    <w:div w:id="363600981">
      <w:bodyDiv w:val="1"/>
      <w:marLeft w:val="0"/>
      <w:marRight w:val="0"/>
      <w:marTop w:val="0"/>
      <w:marBottom w:val="0"/>
      <w:divBdr>
        <w:top w:val="none" w:sz="0" w:space="0" w:color="auto"/>
        <w:left w:val="none" w:sz="0" w:space="0" w:color="auto"/>
        <w:bottom w:val="none" w:sz="0" w:space="0" w:color="auto"/>
        <w:right w:val="none" w:sz="0" w:space="0" w:color="auto"/>
      </w:divBdr>
      <w:divsChild>
        <w:div w:id="246840274">
          <w:marLeft w:val="547"/>
          <w:marRight w:val="0"/>
          <w:marTop w:val="154"/>
          <w:marBottom w:val="0"/>
          <w:divBdr>
            <w:top w:val="none" w:sz="0" w:space="0" w:color="auto"/>
            <w:left w:val="none" w:sz="0" w:space="0" w:color="auto"/>
            <w:bottom w:val="none" w:sz="0" w:space="0" w:color="auto"/>
            <w:right w:val="none" w:sz="0" w:space="0" w:color="auto"/>
          </w:divBdr>
        </w:div>
        <w:div w:id="1483959683">
          <w:marLeft w:val="547"/>
          <w:marRight w:val="0"/>
          <w:marTop w:val="154"/>
          <w:marBottom w:val="0"/>
          <w:divBdr>
            <w:top w:val="none" w:sz="0" w:space="0" w:color="auto"/>
            <w:left w:val="none" w:sz="0" w:space="0" w:color="auto"/>
            <w:bottom w:val="none" w:sz="0" w:space="0" w:color="auto"/>
            <w:right w:val="none" w:sz="0" w:space="0" w:color="auto"/>
          </w:divBdr>
        </w:div>
        <w:div w:id="2006661965">
          <w:marLeft w:val="547"/>
          <w:marRight w:val="0"/>
          <w:marTop w:val="154"/>
          <w:marBottom w:val="0"/>
          <w:divBdr>
            <w:top w:val="none" w:sz="0" w:space="0" w:color="auto"/>
            <w:left w:val="none" w:sz="0" w:space="0" w:color="auto"/>
            <w:bottom w:val="none" w:sz="0" w:space="0" w:color="auto"/>
            <w:right w:val="none" w:sz="0" w:space="0" w:color="auto"/>
          </w:divBdr>
        </w:div>
      </w:divsChild>
    </w:div>
    <w:div w:id="411244438">
      <w:bodyDiv w:val="1"/>
      <w:marLeft w:val="0"/>
      <w:marRight w:val="0"/>
      <w:marTop w:val="0"/>
      <w:marBottom w:val="0"/>
      <w:divBdr>
        <w:top w:val="none" w:sz="0" w:space="0" w:color="auto"/>
        <w:left w:val="none" w:sz="0" w:space="0" w:color="auto"/>
        <w:bottom w:val="none" w:sz="0" w:space="0" w:color="auto"/>
        <w:right w:val="none" w:sz="0" w:space="0" w:color="auto"/>
      </w:divBdr>
      <w:divsChild>
        <w:div w:id="612177231">
          <w:marLeft w:val="547"/>
          <w:marRight w:val="0"/>
          <w:marTop w:val="120"/>
          <w:marBottom w:val="0"/>
          <w:divBdr>
            <w:top w:val="none" w:sz="0" w:space="0" w:color="auto"/>
            <w:left w:val="none" w:sz="0" w:space="0" w:color="auto"/>
            <w:bottom w:val="none" w:sz="0" w:space="0" w:color="auto"/>
            <w:right w:val="none" w:sz="0" w:space="0" w:color="auto"/>
          </w:divBdr>
        </w:div>
        <w:div w:id="662006844">
          <w:marLeft w:val="547"/>
          <w:marRight w:val="0"/>
          <w:marTop w:val="120"/>
          <w:marBottom w:val="0"/>
          <w:divBdr>
            <w:top w:val="none" w:sz="0" w:space="0" w:color="auto"/>
            <w:left w:val="none" w:sz="0" w:space="0" w:color="auto"/>
            <w:bottom w:val="none" w:sz="0" w:space="0" w:color="auto"/>
            <w:right w:val="none" w:sz="0" w:space="0" w:color="auto"/>
          </w:divBdr>
        </w:div>
        <w:div w:id="971978092">
          <w:marLeft w:val="547"/>
          <w:marRight w:val="0"/>
          <w:marTop w:val="120"/>
          <w:marBottom w:val="0"/>
          <w:divBdr>
            <w:top w:val="none" w:sz="0" w:space="0" w:color="auto"/>
            <w:left w:val="none" w:sz="0" w:space="0" w:color="auto"/>
            <w:bottom w:val="none" w:sz="0" w:space="0" w:color="auto"/>
            <w:right w:val="none" w:sz="0" w:space="0" w:color="auto"/>
          </w:divBdr>
        </w:div>
        <w:div w:id="1507941931">
          <w:marLeft w:val="547"/>
          <w:marRight w:val="0"/>
          <w:marTop w:val="120"/>
          <w:marBottom w:val="0"/>
          <w:divBdr>
            <w:top w:val="none" w:sz="0" w:space="0" w:color="auto"/>
            <w:left w:val="none" w:sz="0" w:space="0" w:color="auto"/>
            <w:bottom w:val="none" w:sz="0" w:space="0" w:color="auto"/>
            <w:right w:val="none" w:sz="0" w:space="0" w:color="auto"/>
          </w:divBdr>
        </w:div>
        <w:div w:id="1959800905">
          <w:marLeft w:val="547"/>
          <w:marRight w:val="0"/>
          <w:marTop w:val="120"/>
          <w:marBottom w:val="0"/>
          <w:divBdr>
            <w:top w:val="none" w:sz="0" w:space="0" w:color="auto"/>
            <w:left w:val="none" w:sz="0" w:space="0" w:color="auto"/>
            <w:bottom w:val="none" w:sz="0" w:space="0" w:color="auto"/>
            <w:right w:val="none" w:sz="0" w:space="0" w:color="auto"/>
          </w:divBdr>
        </w:div>
      </w:divsChild>
    </w:div>
    <w:div w:id="478575040">
      <w:bodyDiv w:val="1"/>
      <w:marLeft w:val="0"/>
      <w:marRight w:val="0"/>
      <w:marTop w:val="0"/>
      <w:marBottom w:val="0"/>
      <w:divBdr>
        <w:top w:val="none" w:sz="0" w:space="0" w:color="auto"/>
        <w:left w:val="none" w:sz="0" w:space="0" w:color="auto"/>
        <w:bottom w:val="none" w:sz="0" w:space="0" w:color="auto"/>
        <w:right w:val="none" w:sz="0" w:space="0" w:color="auto"/>
      </w:divBdr>
    </w:div>
    <w:div w:id="573126190">
      <w:bodyDiv w:val="1"/>
      <w:marLeft w:val="0"/>
      <w:marRight w:val="0"/>
      <w:marTop w:val="0"/>
      <w:marBottom w:val="0"/>
      <w:divBdr>
        <w:top w:val="none" w:sz="0" w:space="0" w:color="auto"/>
        <w:left w:val="none" w:sz="0" w:space="0" w:color="auto"/>
        <w:bottom w:val="none" w:sz="0" w:space="0" w:color="auto"/>
        <w:right w:val="none" w:sz="0" w:space="0" w:color="auto"/>
      </w:divBdr>
    </w:div>
    <w:div w:id="656884663">
      <w:bodyDiv w:val="1"/>
      <w:marLeft w:val="0"/>
      <w:marRight w:val="0"/>
      <w:marTop w:val="0"/>
      <w:marBottom w:val="0"/>
      <w:divBdr>
        <w:top w:val="none" w:sz="0" w:space="0" w:color="auto"/>
        <w:left w:val="none" w:sz="0" w:space="0" w:color="auto"/>
        <w:bottom w:val="none" w:sz="0" w:space="0" w:color="auto"/>
        <w:right w:val="none" w:sz="0" w:space="0" w:color="auto"/>
      </w:divBdr>
    </w:div>
    <w:div w:id="879173289">
      <w:bodyDiv w:val="1"/>
      <w:marLeft w:val="0"/>
      <w:marRight w:val="0"/>
      <w:marTop w:val="0"/>
      <w:marBottom w:val="0"/>
      <w:divBdr>
        <w:top w:val="none" w:sz="0" w:space="0" w:color="auto"/>
        <w:left w:val="none" w:sz="0" w:space="0" w:color="auto"/>
        <w:bottom w:val="none" w:sz="0" w:space="0" w:color="auto"/>
        <w:right w:val="none" w:sz="0" w:space="0" w:color="auto"/>
      </w:divBdr>
    </w:div>
    <w:div w:id="1005016366">
      <w:bodyDiv w:val="1"/>
      <w:marLeft w:val="0"/>
      <w:marRight w:val="0"/>
      <w:marTop w:val="0"/>
      <w:marBottom w:val="0"/>
      <w:divBdr>
        <w:top w:val="none" w:sz="0" w:space="0" w:color="auto"/>
        <w:left w:val="none" w:sz="0" w:space="0" w:color="auto"/>
        <w:bottom w:val="none" w:sz="0" w:space="0" w:color="auto"/>
        <w:right w:val="none" w:sz="0" w:space="0" w:color="auto"/>
      </w:divBdr>
      <w:divsChild>
        <w:div w:id="98725867">
          <w:marLeft w:val="547"/>
          <w:marRight w:val="0"/>
          <w:marTop w:val="154"/>
          <w:marBottom w:val="0"/>
          <w:divBdr>
            <w:top w:val="none" w:sz="0" w:space="0" w:color="auto"/>
            <w:left w:val="none" w:sz="0" w:space="0" w:color="auto"/>
            <w:bottom w:val="none" w:sz="0" w:space="0" w:color="auto"/>
            <w:right w:val="none" w:sz="0" w:space="0" w:color="auto"/>
          </w:divBdr>
        </w:div>
      </w:divsChild>
    </w:div>
    <w:div w:id="1227691847">
      <w:bodyDiv w:val="1"/>
      <w:marLeft w:val="0"/>
      <w:marRight w:val="0"/>
      <w:marTop w:val="0"/>
      <w:marBottom w:val="0"/>
      <w:divBdr>
        <w:top w:val="none" w:sz="0" w:space="0" w:color="auto"/>
        <w:left w:val="none" w:sz="0" w:space="0" w:color="auto"/>
        <w:bottom w:val="none" w:sz="0" w:space="0" w:color="auto"/>
        <w:right w:val="none" w:sz="0" w:space="0" w:color="auto"/>
      </w:divBdr>
      <w:divsChild>
        <w:div w:id="1448158950">
          <w:marLeft w:val="0"/>
          <w:marRight w:val="0"/>
          <w:marTop w:val="0"/>
          <w:marBottom w:val="0"/>
          <w:divBdr>
            <w:top w:val="none" w:sz="0" w:space="0" w:color="auto"/>
            <w:left w:val="none" w:sz="0" w:space="0" w:color="auto"/>
            <w:bottom w:val="none" w:sz="0" w:space="0" w:color="auto"/>
            <w:right w:val="none" w:sz="0" w:space="0" w:color="auto"/>
          </w:divBdr>
          <w:divsChild>
            <w:div w:id="552808574">
              <w:marLeft w:val="0"/>
              <w:marRight w:val="0"/>
              <w:marTop w:val="0"/>
              <w:marBottom w:val="0"/>
              <w:divBdr>
                <w:top w:val="none" w:sz="0" w:space="0" w:color="auto"/>
                <w:left w:val="none" w:sz="0" w:space="0" w:color="auto"/>
                <w:bottom w:val="none" w:sz="0" w:space="0" w:color="auto"/>
                <w:right w:val="none" w:sz="0" w:space="0" w:color="auto"/>
              </w:divBdr>
              <w:divsChild>
                <w:div w:id="1542474551">
                  <w:marLeft w:val="0"/>
                  <w:marRight w:val="0"/>
                  <w:marTop w:val="0"/>
                  <w:marBottom w:val="0"/>
                  <w:divBdr>
                    <w:top w:val="none" w:sz="0" w:space="0" w:color="auto"/>
                    <w:left w:val="none" w:sz="0" w:space="0" w:color="auto"/>
                    <w:bottom w:val="none" w:sz="0" w:space="0" w:color="auto"/>
                    <w:right w:val="none" w:sz="0" w:space="0" w:color="auto"/>
                  </w:divBdr>
                  <w:divsChild>
                    <w:div w:id="880364802">
                      <w:marLeft w:val="2325"/>
                      <w:marRight w:val="0"/>
                      <w:marTop w:val="0"/>
                      <w:marBottom w:val="0"/>
                      <w:divBdr>
                        <w:top w:val="none" w:sz="0" w:space="0" w:color="auto"/>
                        <w:left w:val="none" w:sz="0" w:space="0" w:color="auto"/>
                        <w:bottom w:val="none" w:sz="0" w:space="0" w:color="auto"/>
                        <w:right w:val="none" w:sz="0" w:space="0" w:color="auto"/>
                      </w:divBdr>
                      <w:divsChild>
                        <w:div w:id="930897204">
                          <w:marLeft w:val="0"/>
                          <w:marRight w:val="0"/>
                          <w:marTop w:val="0"/>
                          <w:marBottom w:val="0"/>
                          <w:divBdr>
                            <w:top w:val="none" w:sz="0" w:space="0" w:color="auto"/>
                            <w:left w:val="none" w:sz="0" w:space="0" w:color="auto"/>
                            <w:bottom w:val="none" w:sz="0" w:space="0" w:color="auto"/>
                            <w:right w:val="none" w:sz="0" w:space="0" w:color="auto"/>
                          </w:divBdr>
                          <w:divsChild>
                            <w:div w:id="20471145">
                              <w:marLeft w:val="0"/>
                              <w:marRight w:val="0"/>
                              <w:marTop w:val="0"/>
                              <w:marBottom w:val="0"/>
                              <w:divBdr>
                                <w:top w:val="none" w:sz="0" w:space="0" w:color="auto"/>
                                <w:left w:val="none" w:sz="0" w:space="0" w:color="auto"/>
                                <w:bottom w:val="none" w:sz="0" w:space="0" w:color="auto"/>
                                <w:right w:val="none" w:sz="0" w:space="0" w:color="auto"/>
                              </w:divBdr>
                              <w:divsChild>
                                <w:div w:id="946812825">
                                  <w:marLeft w:val="0"/>
                                  <w:marRight w:val="0"/>
                                  <w:marTop w:val="0"/>
                                  <w:marBottom w:val="0"/>
                                  <w:divBdr>
                                    <w:top w:val="none" w:sz="0" w:space="0" w:color="auto"/>
                                    <w:left w:val="none" w:sz="0" w:space="0" w:color="auto"/>
                                    <w:bottom w:val="none" w:sz="0" w:space="0" w:color="auto"/>
                                    <w:right w:val="none" w:sz="0" w:space="0" w:color="auto"/>
                                  </w:divBdr>
                                  <w:divsChild>
                                    <w:div w:id="429392642">
                                      <w:marLeft w:val="0"/>
                                      <w:marRight w:val="0"/>
                                      <w:marTop w:val="0"/>
                                      <w:marBottom w:val="0"/>
                                      <w:divBdr>
                                        <w:top w:val="none" w:sz="0" w:space="0" w:color="auto"/>
                                        <w:left w:val="none" w:sz="0" w:space="0" w:color="auto"/>
                                        <w:bottom w:val="none" w:sz="0" w:space="0" w:color="auto"/>
                                        <w:right w:val="none" w:sz="0" w:space="0" w:color="auto"/>
                                      </w:divBdr>
                                      <w:divsChild>
                                        <w:div w:id="1232041187">
                                          <w:marLeft w:val="0"/>
                                          <w:marRight w:val="0"/>
                                          <w:marTop w:val="0"/>
                                          <w:marBottom w:val="0"/>
                                          <w:divBdr>
                                            <w:top w:val="none" w:sz="0" w:space="0" w:color="auto"/>
                                            <w:left w:val="none" w:sz="0" w:space="0" w:color="auto"/>
                                            <w:bottom w:val="none" w:sz="0" w:space="0" w:color="auto"/>
                                            <w:right w:val="none" w:sz="0" w:space="0" w:color="auto"/>
                                          </w:divBdr>
                                          <w:divsChild>
                                            <w:div w:id="12814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834370">
      <w:bodyDiv w:val="1"/>
      <w:marLeft w:val="0"/>
      <w:marRight w:val="0"/>
      <w:marTop w:val="0"/>
      <w:marBottom w:val="0"/>
      <w:divBdr>
        <w:top w:val="none" w:sz="0" w:space="0" w:color="auto"/>
        <w:left w:val="none" w:sz="0" w:space="0" w:color="auto"/>
        <w:bottom w:val="none" w:sz="0" w:space="0" w:color="auto"/>
        <w:right w:val="none" w:sz="0" w:space="0" w:color="auto"/>
      </w:divBdr>
      <w:divsChild>
        <w:div w:id="750200537">
          <w:marLeft w:val="547"/>
          <w:marRight w:val="0"/>
          <w:marTop w:val="154"/>
          <w:marBottom w:val="0"/>
          <w:divBdr>
            <w:top w:val="none" w:sz="0" w:space="0" w:color="auto"/>
            <w:left w:val="none" w:sz="0" w:space="0" w:color="auto"/>
            <w:bottom w:val="none" w:sz="0" w:space="0" w:color="auto"/>
            <w:right w:val="none" w:sz="0" w:space="0" w:color="auto"/>
          </w:divBdr>
        </w:div>
        <w:div w:id="1566408191">
          <w:marLeft w:val="547"/>
          <w:marRight w:val="0"/>
          <w:marTop w:val="154"/>
          <w:marBottom w:val="0"/>
          <w:divBdr>
            <w:top w:val="none" w:sz="0" w:space="0" w:color="auto"/>
            <w:left w:val="none" w:sz="0" w:space="0" w:color="auto"/>
            <w:bottom w:val="none" w:sz="0" w:space="0" w:color="auto"/>
            <w:right w:val="none" w:sz="0" w:space="0" w:color="auto"/>
          </w:divBdr>
        </w:div>
        <w:div w:id="1873574706">
          <w:marLeft w:val="547"/>
          <w:marRight w:val="0"/>
          <w:marTop w:val="154"/>
          <w:marBottom w:val="0"/>
          <w:divBdr>
            <w:top w:val="none" w:sz="0" w:space="0" w:color="auto"/>
            <w:left w:val="none" w:sz="0" w:space="0" w:color="auto"/>
            <w:bottom w:val="none" w:sz="0" w:space="0" w:color="auto"/>
            <w:right w:val="none" w:sz="0" w:space="0" w:color="auto"/>
          </w:divBdr>
        </w:div>
      </w:divsChild>
    </w:div>
    <w:div w:id="1309289357">
      <w:bodyDiv w:val="1"/>
      <w:marLeft w:val="0"/>
      <w:marRight w:val="0"/>
      <w:marTop w:val="0"/>
      <w:marBottom w:val="0"/>
      <w:divBdr>
        <w:top w:val="none" w:sz="0" w:space="0" w:color="auto"/>
        <w:left w:val="none" w:sz="0" w:space="0" w:color="auto"/>
        <w:bottom w:val="none" w:sz="0" w:space="0" w:color="auto"/>
        <w:right w:val="none" w:sz="0" w:space="0" w:color="auto"/>
      </w:divBdr>
      <w:divsChild>
        <w:div w:id="1499274471">
          <w:marLeft w:val="0"/>
          <w:marRight w:val="0"/>
          <w:marTop w:val="0"/>
          <w:marBottom w:val="0"/>
          <w:divBdr>
            <w:top w:val="none" w:sz="0" w:space="0" w:color="auto"/>
            <w:left w:val="none" w:sz="0" w:space="0" w:color="auto"/>
            <w:bottom w:val="none" w:sz="0" w:space="0" w:color="auto"/>
            <w:right w:val="none" w:sz="0" w:space="0" w:color="auto"/>
          </w:divBdr>
          <w:divsChild>
            <w:div w:id="1983924622">
              <w:marLeft w:val="0"/>
              <w:marRight w:val="0"/>
              <w:marTop w:val="0"/>
              <w:marBottom w:val="0"/>
              <w:divBdr>
                <w:top w:val="none" w:sz="0" w:space="0" w:color="auto"/>
                <w:left w:val="none" w:sz="0" w:space="0" w:color="auto"/>
                <w:bottom w:val="none" w:sz="0" w:space="0" w:color="auto"/>
                <w:right w:val="none" w:sz="0" w:space="0" w:color="auto"/>
              </w:divBdr>
              <w:divsChild>
                <w:div w:id="428745366">
                  <w:marLeft w:val="0"/>
                  <w:marRight w:val="0"/>
                  <w:marTop w:val="0"/>
                  <w:marBottom w:val="0"/>
                  <w:divBdr>
                    <w:top w:val="none" w:sz="0" w:space="0" w:color="auto"/>
                    <w:left w:val="none" w:sz="0" w:space="0" w:color="auto"/>
                    <w:bottom w:val="none" w:sz="0" w:space="0" w:color="auto"/>
                    <w:right w:val="none" w:sz="0" w:space="0" w:color="auto"/>
                  </w:divBdr>
                  <w:divsChild>
                    <w:div w:id="1454135273">
                      <w:marLeft w:val="2325"/>
                      <w:marRight w:val="0"/>
                      <w:marTop w:val="0"/>
                      <w:marBottom w:val="0"/>
                      <w:divBdr>
                        <w:top w:val="none" w:sz="0" w:space="0" w:color="auto"/>
                        <w:left w:val="none" w:sz="0" w:space="0" w:color="auto"/>
                        <w:bottom w:val="none" w:sz="0" w:space="0" w:color="auto"/>
                        <w:right w:val="none" w:sz="0" w:space="0" w:color="auto"/>
                      </w:divBdr>
                      <w:divsChild>
                        <w:div w:id="7759374">
                          <w:marLeft w:val="0"/>
                          <w:marRight w:val="0"/>
                          <w:marTop w:val="0"/>
                          <w:marBottom w:val="0"/>
                          <w:divBdr>
                            <w:top w:val="none" w:sz="0" w:space="0" w:color="auto"/>
                            <w:left w:val="none" w:sz="0" w:space="0" w:color="auto"/>
                            <w:bottom w:val="none" w:sz="0" w:space="0" w:color="auto"/>
                            <w:right w:val="none" w:sz="0" w:space="0" w:color="auto"/>
                          </w:divBdr>
                          <w:divsChild>
                            <w:div w:id="421218886">
                              <w:marLeft w:val="0"/>
                              <w:marRight w:val="0"/>
                              <w:marTop w:val="0"/>
                              <w:marBottom w:val="0"/>
                              <w:divBdr>
                                <w:top w:val="none" w:sz="0" w:space="0" w:color="auto"/>
                                <w:left w:val="none" w:sz="0" w:space="0" w:color="auto"/>
                                <w:bottom w:val="none" w:sz="0" w:space="0" w:color="auto"/>
                                <w:right w:val="none" w:sz="0" w:space="0" w:color="auto"/>
                              </w:divBdr>
                              <w:divsChild>
                                <w:div w:id="13119855">
                                  <w:marLeft w:val="0"/>
                                  <w:marRight w:val="0"/>
                                  <w:marTop w:val="0"/>
                                  <w:marBottom w:val="0"/>
                                  <w:divBdr>
                                    <w:top w:val="none" w:sz="0" w:space="0" w:color="auto"/>
                                    <w:left w:val="none" w:sz="0" w:space="0" w:color="auto"/>
                                    <w:bottom w:val="none" w:sz="0" w:space="0" w:color="auto"/>
                                    <w:right w:val="none" w:sz="0" w:space="0" w:color="auto"/>
                                  </w:divBdr>
                                  <w:divsChild>
                                    <w:div w:id="104005800">
                                      <w:marLeft w:val="0"/>
                                      <w:marRight w:val="0"/>
                                      <w:marTop w:val="0"/>
                                      <w:marBottom w:val="0"/>
                                      <w:divBdr>
                                        <w:top w:val="none" w:sz="0" w:space="0" w:color="auto"/>
                                        <w:left w:val="none" w:sz="0" w:space="0" w:color="auto"/>
                                        <w:bottom w:val="none" w:sz="0" w:space="0" w:color="auto"/>
                                        <w:right w:val="none" w:sz="0" w:space="0" w:color="auto"/>
                                      </w:divBdr>
                                      <w:divsChild>
                                        <w:div w:id="772090772">
                                          <w:marLeft w:val="0"/>
                                          <w:marRight w:val="0"/>
                                          <w:marTop w:val="0"/>
                                          <w:marBottom w:val="0"/>
                                          <w:divBdr>
                                            <w:top w:val="none" w:sz="0" w:space="0" w:color="auto"/>
                                            <w:left w:val="none" w:sz="0" w:space="0" w:color="auto"/>
                                            <w:bottom w:val="none" w:sz="0" w:space="0" w:color="auto"/>
                                            <w:right w:val="none" w:sz="0" w:space="0" w:color="auto"/>
                                          </w:divBdr>
                                          <w:divsChild>
                                            <w:div w:id="84573432">
                                              <w:marLeft w:val="0"/>
                                              <w:marRight w:val="0"/>
                                              <w:marTop w:val="0"/>
                                              <w:marBottom w:val="0"/>
                                              <w:divBdr>
                                                <w:top w:val="none" w:sz="0" w:space="0" w:color="auto"/>
                                                <w:left w:val="none" w:sz="0" w:space="0" w:color="auto"/>
                                                <w:bottom w:val="none" w:sz="0" w:space="0" w:color="auto"/>
                                                <w:right w:val="none" w:sz="0" w:space="0" w:color="auto"/>
                                              </w:divBdr>
                                            </w:div>
                                            <w:div w:id="19809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347737">
      <w:bodyDiv w:val="1"/>
      <w:marLeft w:val="0"/>
      <w:marRight w:val="0"/>
      <w:marTop w:val="0"/>
      <w:marBottom w:val="0"/>
      <w:divBdr>
        <w:top w:val="none" w:sz="0" w:space="0" w:color="auto"/>
        <w:left w:val="none" w:sz="0" w:space="0" w:color="auto"/>
        <w:bottom w:val="none" w:sz="0" w:space="0" w:color="auto"/>
        <w:right w:val="none" w:sz="0" w:space="0" w:color="auto"/>
      </w:divBdr>
      <w:divsChild>
        <w:div w:id="389689039">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529294563">
      <w:bodyDiv w:val="1"/>
      <w:marLeft w:val="0"/>
      <w:marRight w:val="0"/>
      <w:marTop w:val="0"/>
      <w:marBottom w:val="0"/>
      <w:divBdr>
        <w:top w:val="none" w:sz="0" w:space="0" w:color="auto"/>
        <w:left w:val="none" w:sz="0" w:space="0" w:color="auto"/>
        <w:bottom w:val="none" w:sz="0" w:space="0" w:color="auto"/>
        <w:right w:val="none" w:sz="0" w:space="0" w:color="auto"/>
      </w:divBdr>
      <w:divsChild>
        <w:div w:id="527723133">
          <w:marLeft w:val="0"/>
          <w:marRight w:val="0"/>
          <w:marTop w:val="0"/>
          <w:marBottom w:val="0"/>
          <w:divBdr>
            <w:top w:val="none" w:sz="0" w:space="0" w:color="auto"/>
            <w:left w:val="none" w:sz="0" w:space="0" w:color="auto"/>
            <w:bottom w:val="none" w:sz="0" w:space="0" w:color="auto"/>
            <w:right w:val="none" w:sz="0" w:space="0" w:color="auto"/>
          </w:divBdr>
          <w:divsChild>
            <w:div w:id="850220052">
              <w:marLeft w:val="0"/>
              <w:marRight w:val="0"/>
              <w:marTop w:val="0"/>
              <w:marBottom w:val="0"/>
              <w:divBdr>
                <w:top w:val="none" w:sz="0" w:space="0" w:color="auto"/>
                <w:left w:val="none" w:sz="0" w:space="0" w:color="auto"/>
                <w:bottom w:val="none" w:sz="0" w:space="0" w:color="auto"/>
                <w:right w:val="none" w:sz="0" w:space="0" w:color="auto"/>
              </w:divBdr>
              <w:divsChild>
                <w:div w:id="1617907799">
                  <w:marLeft w:val="0"/>
                  <w:marRight w:val="0"/>
                  <w:marTop w:val="0"/>
                  <w:marBottom w:val="0"/>
                  <w:divBdr>
                    <w:top w:val="none" w:sz="0" w:space="0" w:color="auto"/>
                    <w:left w:val="none" w:sz="0" w:space="0" w:color="auto"/>
                    <w:bottom w:val="none" w:sz="0" w:space="0" w:color="auto"/>
                    <w:right w:val="none" w:sz="0" w:space="0" w:color="auto"/>
                  </w:divBdr>
                  <w:divsChild>
                    <w:div w:id="1674406281">
                      <w:marLeft w:val="2325"/>
                      <w:marRight w:val="0"/>
                      <w:marTop w:val="0"/>
                      <w:marBottom w:val="0"/>
                      <w:divBdr>
                        <w:top w:val="none" w:sz="0" w:space="0" w:color="auto"/>
                        <w:left w:val="none" w:sz="0" w:space="0" w:color="auto"/>
                        <w:bottom w:val="none" w:sz="0" w:space="0" w:color="auto"/>
                        <w:right w:val="none" w:sz="0" w:space="0" w:color="auto"/>
                      </w:divBdr>
                      <w:divsChild>
                        <w:div w:id="1342470358">
                          <w:marLeft w:val="0"/>
                          <w:marRight w:val="0"/>
                          <w:marTop w:val="0"/>
                          <w:marBottom w:val="0"/>
                          <w:divBdr>
                            <w:top w:val="none" w:sz="0" w:space="0" w:color="auto"/>
                            <w:left w:val="none" w:sz="0" w:space="0" w:color="auto"/>
                            <w:bottom w:val="none" w:sz="0" w:space="0" w:color="auto"/>
                            <w:right w:val="none" w:sz="0" w:space="0" w:color="auto"/>
                          </w:divBdr>
                          <w:divsChild>
                            <w:div w:id="320426532">
                              <w:marLeft w:val="0"/>
                              <w:marRight w:val="0"/>
                              <w:marTop w:val="0"/>
                              <w:marBottom w:val="0"/>
                              <w:divBdr>
                                <w:top w:val="none" w:sz="0" w:space="0" w:color="auto"/>
                                <w:left w:val="none" w:sz="0" w:space="0" w:color="auto"/>
                                <w:bottom w:val="none" w:sz="0" w:space="0" w:color="auto"/>
                                <w:right w:val="none" w:sz="0" w:space="0" w:color="auto"/>
                              </w:divBdr>
                              <w:divsChild>
                                <w:div w:id="841894320">
                                  <w:marLeft w:val="0"/>
                                  <w:marRight w:val="0"/>
                                  <w:marTop w:val="0"/>
                                  <w:marBottom w:val="0"/>
                                  <w:divBdr>
                                    <w:top w:val="none" w:sz="0" w:space="0" w:color="auto"/>
                                    <w:left w:val="none" w:sz="0" w:space="0" w:color="auto"/>
                                    <w:bottom w:val="none" w:sz="0" w:space="0" w:color="auto"/>
                                    <w:right w:val="none" w:sz="0" w:space="0" w:color="auto"/>
                                  </w:divBdr>
                                  <w:divsChild>
                                    <w:div w:id="309023607">
                                      <w:marLeft w:val="0"/>
                                      <w:marRight w:val="0"/>
                                      <w:marTop w:val="0"/>
                                      <w:marBottom w:val="0"/>
                                      <w:divBdr>
                                        <w:top w:val="none" w:sz="0" w:space="0" w:color="auto"/>
                                        <w:left w:val="none" w:sz="0" w:space="0" w:color="auto"/>
                                        <w:bottom w:val="none" w:sz="0" w:space="0" w:color="auto"/>
                                        <w:right w:val="none" w:sz="0" w:space="0" w:color="auto"/>
                                      </w:divBdr>
                                      <w:divsChild>
                                        <w:div w:id="1100876594">
                                          <w:marLeft w:val="0"/>
                                          <w:marRight w:val="0"/>
                                          <w:marTop w:val="0"/>
                                          <w:marBottom w:val="0"/>
                                          <w:divBdr>
                                            <w:top w:val="none" w:sz="0" w:space="0" w:color="auto"/>
                                            <w:left w:val="none" w:sz="0" w:space="0" w:color="auto"/>
                                            <w:bottom w:val="none" w:sz="0" w:space="0" w:color="auto"/>
                                            <w:right w:val="none" w:sz="0" w:space="0" w:color="auto"/>
                                          </w:divBdr>
                                          <w:divsChild>
                                            <w:div w:id="1123307444">
                                              <w:marLeft w:val="0"/>
                                              <w:marRight w:val="0"/>
                                              <w:marTop w:val="0"/>
                                              <w:marBottom w:val="0"/>
                                              <w:divBdr>
                                                <w:top w:val="none" w:sz="0" w:space="0" w:color="auto"/>
                                                <w:left w:val="none" w:sz="0" w:space="0" w:color="auto"/>
                                                <w:bottom w:val="none" w:sz="0" w:space="0" w:color="auto"/>
                                                <w:right w:val="none" w:sz="0" w:space="0" w:color="auto"/>
                                              </w:divBdr>
                                            </w:div>
                                            <w:div w:id="10711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749969">
      <w:bodyDiv w:val="1"/>
      <w:marLeft w:val="0"/>
      <w:marRight w:val="0"/>
      <w:marTop w:val="0"/>
      <w:marBottom w:val="0"/>
      <w:divBdr>
        <w:top w:val="none" w:sz="0" w:space="0" w:color="auto"/>
        <w:left w:val="none" w:sz="0" w:space="0" w:color="auto"/>
        <w:bottom w:val="none" w:sz="0" w:space="0" w:color="auto"/>
        <w:right w:val="none" w:sz="0" w:space="0" w:color="auto"/>
      </w:divBdr>
    </w:div>
    <w:div w:id="1839156407">
      <w:bodyDiv w:val="1"/>
      <w:marLeft w:val="0"/>
      <w:marRight w:val="0"/>
      <w:marTop w:val="0"/>
      <w:marBottom w:val="0"/>
      <w:divBdr>
        <w:top w:val="none" w:sz="0" w:space="0" w:color="auto"/>
        <w:left w:val="none" w:sz="0" w:space="0" w:color="auto"/>
        <w:bottom w:val="none" w:sz="0" w:space="0" w:color="auto"/>
        <w:right w:val="none" w:sz="0" w:space="0" w:color="auto"/>
      </w:divBdr>
    </w:div>
    <w:div w:id="1944609081">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1186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header" Target="header7.xml"/><Relationship Id="rId32"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www.ausaid.gov.au/Publications/Pages/8366_4980_7733_4383_326.aspx" TargetMode="External"/><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srilanka/2012_SL_fast_facts_HN.pdf" TargetMode="External"/><Relationship Id="rId2" Type="http://schemas.openxmlformats.org/officeDocument/2006/relationships/hyperlink" Target="http://www.ips.lk/talkingeconomics/2012/10/gender-equality-in-human-development-whats-holding-sri-lanka-back-2/" TargetMode="External"/><Relationship Id="rId1" Type="http://schemas.openxmlformats.org/officeDocument/2006/relationships/hyperlink" Target="http://www.treasury.gov.lk/publications/mahindaChintanaVision-2010full-eng.pdf" TargetMode="External"/><Relationship Id="rId4" Type="http://schemas.openxmlformats.org/officeDocument/2006/relationships/hyperlink" Target="http://www.unicef.org/turkey/gl/gl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9F32F5-4864-45A9-8C12-2705E745CE8F}"/>
</file>

<file path=customXml/itemProps2.xml><?xml version="1.0" encoding="utf-8"?>
<ds:datastoreItem xmlns:ds="http://schemas.openxmlformats.org/officeDocument/2006/customXml" ds:itemID="{38FA20AF-9EC6-4DFC-84F8-B18206E5CFDD}"/>
</file>

<file path=customXml/itemProps3.xml><?xml version="1.0" encoding="utf-8"?>
<ds:datastoreItem xmlns:ds="http://schemas.openxmlformats.org/officeDocument/2006/customXml" ds:itemID="{D44C4474-08CD-4ABB-A7BC-C9C6D07C50EC}"/>
</file>

<file path=customXml/itemProps4.xml><?xml version="1.0" encoding="utf-8"?>
<ds:datastoreItem xmlns:ds="http://schemas.openxmlformats.org/officeDocument/2006/customXml" ds:itemID="{E6630537-D55B-413B-8630-558B890411BC}"/>
</file>

<file path=customXml/itemProps5.xml><?xml version="1.0" encoding="utf-8"?>
<ds:datastoreItem xmlns:ds="http://schemas.openxmlformats.org/officeDocument/2006/customXml" ds:itemID="{AFE791E4-B975-457F-A6F7-4AEC4C6D5AAB}"/>
</file>

<file path=docProps/app.xml><?xml version="1.0" encoding="utf-8"?>
<Properties xmlns="http://schemas.openxmlformats.org/officeDocument/2006/extended-properties" xmlns:vt="http://schemas.openxmlformats.org/officeDocument/2006/docPropsVTypes">
  <Template>Normal.dotm</Template>
  <TotalTime>0</TotalTime>
  <Pages>17</Pages>
  <Words>6553</Words>
  <Characters>37552</Characters>
  <Application>Microsoft Office Word</Application>
  <DocSecurity>0</DocSecurity>
  <Lines>751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2014-01-31T00:18:00Z</dcterms:created>
  <dcterms:modified xsi:type="dcterms:W3CDTF">2014-01-31T00:18:00Z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316700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