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19FDE" w14:textId="77777777" w:rsidR="00230777" w:rsidRPr="00867443" w:rsidRDefault="00230777" w:rsidP="00230777">
      <w:pPr>
        <w:pStyle w:val="Title"/>
        <w:rPr>
          <w:sz w:val="16"/>
          <w:szCs w:val="16"/>
        </w:rPr>
      </w:pPr>
    </w:p>
    <w:p w14:paraId="1DFEE5D6" w14:textId="77777777" w:rsidR="00494F98" w:rsidRDefault="00494F98" w:rsidP="00EB398C">
      <w:pPr>
        <w:pStyle w:val="Title"/>
        <w:rPr>
          <w:sz w:val="36"/>
          <w:szCs w:val="36"/>
        </w:rPr>
      </w:pPr>
    </w:p>
    <w:p w14:paraId="56C40294" w14:textId="77777777" w:rsidR="00EB398C" w:rsidRDefault="00494F98" w:rsidP="00EB398C">
      <w:pPr>
        <w:pStyle w:val="Title"/>
        <w:rPr>
          <w:sz w:val="36"/>
          <w:szCs w:val="36"/>
        </w:rPr>
      </w:pPr>
      <w:r>
        <w:rPr>
          <w:sz w:val="36"/>
          <w:szCs w:val="36"/>
        </w:rPr>
        <w:t xml:space="preserve">2019-20 </w:t>
      </w:r>
      <w:r w:rsidR="00C76D46">
        <w:rPr>
          <w:sz w:val="36"/>
          <w:szCs w:val="36"/>
        </w:rPr>
        <w:t>Sri lanka</w:t>
      </w:r>
      <w:r w:rsidR="00235EAB">
        <w:rPr>
          <w:sz w:val="36"/>
          <w:szCs w:val="36"/>
        </w:rPr>
        <w:t xml:space="preserve"> </w:t>
      </w:r>
      <w:r w:rsidR="004C5598">
        <w:rPr>
          <w:sz w:val="36"/>
          <w:szCs w:val="36"/>
        </w:rPr>
        <w:t>development program progress report</w:t>
      </w:r>
      <w:r w:rsidR="00660121">
        <w:rPr>
          <w:sz w:val="36"/>
          <w:szCs w:val="36"/>
        </w:rPr>
        <w:t xml:space="preserve">  </w:t>
      </w:r>
    </w:p>
    <w:p w14:paraId="38A3DEAD" w14:textId="77777777" w:rsidR="00452298" w:rsidRDefault="00230777" w:rsidP="00EB398C">
      <w:pPr>
        <w:pStyle w:val="Title"/>
        <w:rPr>
          <w:noProof/>
          <w:sz w:val="36"/>
          <w:szCs w:val="36"/>
          <w:lang w:val="en-AU" w:eastAsia="en-AU"/>
        </w:rPr>
        <w:sectPr w:rsidR="00452298" w:rsidSect="0090092E">
          <w:headerReference w:type="default" r:id="rId11"/>
          <w:footerReference w:type="default" r:id="rId12"/>
          <w:headerReference w:type="first" r:id="rId13"/>
          <w:footerReference w:type="first" r:id="rId14"/>
          <w:pgSz w:w="11906" w:h="16838" w:code="9"/>
          <w:pgMar w:top="1701" w:right="140" w:bottom="1418" w:left="709" w:header="142" w:footer="493" w:gutter="0"/>
          <w:cols w:space="397"/>
          <w:titlePg/>
          <w:docGrid w:linePitch="360"/>
        </w:sectPr>
      </w:pPr>
      <w:r w:rsidRPr="0090092E">
        <w:rPr>
          <w:noProof/>
          <w:sz w:val="36"/>
          <w:szCs w:val="36"/>
          <w:lang w:val="en-AU" w:eastAsia="en-AU"/>
        </w:rPr>
        <w:t xml:space="preserve"> </w:t>
      </w:r>
    </w:p>
    <w:tbl>
      <w:tblPr>
        <w:tblStyle w:val="TableGrid"/>
        <w:tblW w:w="5277" w:type="dxa"/>
        <w:tblBorders>
          <w:top w:val="single" w:sz="2" w:space="0" w:color="65C5B4" w:themeColor="accent1"/>
          <w:left w:val="none" w:sz="0" w:space="0" w:color="auto"/>
          <w:bottom w:val="none" w:sz="0" w:space="0" w:color="auto"/>
          <w:right w:val="none" w:sz="0" w:space="0" w:color="auto"/>
          <w:insideH w:val="single" w:sz="2" w:space="0" w:color="65C5B4" w:themeColor="accent1"/>
          <w:insideV w:val="single" w:sz="2" w:space="0" w:color="65C5B4" w:themeColor="accent1"/>
        </w:tblBorders>
        <w:tblLook w:val="04A0" w:firstRow="1" w:lastRow="0" w:firstColumn="1" w:lastColumn="0" w:noHBand="0" w:noVBand="1"/>
        <w:tblCaption w:val="2019-20 Budget Estimate"/>
        <w:tblDescription w:val="Bilateral – 19.9&#10;Regional – 2.4&#10;Global – 4.8&#10;Other Government Departments – 0&#10;Total Australian ODA – 27.1&#10;Note. Actual expenditure is expected to be available in December 2020&#10;"/>
      </w:tblPr>
      <w:tblGrid>
        <w:gridCol w:w="3679"/>
        <w:gridCol w:w="1598"/>
      </w:tblGrid>
      <w:tr w:rsidR="00F52681" w14:paraId="2AF4D7CD" w14:textId="77777777" w:rsidTr="00F857E7">
        <w:trPr>
          <w:trHeight w:hRule="exact" w:val="786"/>
        </w:trPr>
        <w:tc>
          <w:tcPr>
            <w:tcW w:w="3679" w:type="dxa"/>
            <w:tcBorders>
              <w:left w:val="single" w:sz="2" w:space="0" w:color="65C5B4" w:themeColor="accent1"/>
              <w:bottom w:val="single" w:sz="2" w:space="0" w:color="65C5B4" w:themeColor="accent1"/>
            </w:tcBorders>
            <w:shd w:val="clear" w:color="auto" w:fill="C1E7E0" w:themeFill="accent1" w:themeFillTint="66"/>
            <w:vAlign w:val="center"/>
          </w:tcPr>
          <w:p w14:paraId="1675B538" w14:textId="77777777" w:rsidR="00F52681" w:rsidRPr="00357BED" w:rsidRDefault="00F52681" w:rsidP="00F857E7">
            <w:pPr>
              <w:pStyle w:val="NormalWeb"/>
              <w:spacing w:before="120" w:beforeAutospacing="0" w:after="60" w:afterAutospacing="0" w:line="200" w:lineRule="exact"/>
              <w:jc w:val="center"/>
              <w:rPr>
                <w:rFonts w:asciiTheme="minorHAnsi" w:hAnsiTheme="minorHAnsi" w:cstheme="minorHAnsi"/>
                <w:b/>
                <w:bCs/>
                <w:kern w:val="24"/>
                <w:sz w:val="20"/>
                <w:szCs w:val="20"/>
              </w:rPr>
            </w:pPr>
            <w:r w:rsidRPr="00357BED">
              <w:rPr>
                <w:rFonts w:asciiTheme="minorHAnsi" w:hAnsiTheme="minorHAnsi" w:cstheme="minorHAnsi"/>
                <w:b/>
                <w:sz w:val="22"/>
              </w:rPr>
              <w:t>Program Budget</w:t>
            </w:r>
          </w:p>
        </w:tc>
        <w:tc>
          <w:tcPr>
            <w:tcW w:w="1598" w:type="dxa"/>
            <w:tcBorders>
              <w:bottom w:val="single" w:sz="2" w:space="0" w:color="65C5B4" w:themeColor="accent1"/>
              <w:right w:val="single" w:sz="2" w:space="0" w:color="65C5B4" w:themeColor="accent1"/>
            </w:tcBorders>
            <w:shd w:val="clear" w:color="auto" w:fill="C1E7E0" w:themeFill="accent1" w:themeFillTint="66"/>
            <w:vAlign w:val="center"/>
          </w:tcPr>
          <w:p w14:paraId="3CB5F13F" w14:textId="77777777" w:rsidR="00F52681" w:rsidRPr="00561D94" w:rsidRDefault="00F52681" w:rsidP="00F857E7">
            <w:pPr>
              <w:pStyle w:val="NormalWeb"/>
              <w:spacing w:before="120" w:beforeAutospacing="0" w:after="60" w:afterAutospacing="0" w:line="200" w:lineRule="exact"/>
              <w:jc w:val="center"/>
              <w:rPr>
                <w:rFonts w:asciiTheme="minorHAnsi" w:hAnsiTheme="minorHAnsi" w:cs="Arial"/>
                <w:b/>
                <w:sz w:val="36"/>
                <w:szCs w:val="36"/>
              </w:rPr>
            </w:pPr>
            <w:r w:rsidRPr="00561D94">
              <w:rPr>
                <w:rFonts w:asciiTheme="minorHAnsi" w:hAnsiTheme="minorHAnsi" w:cs="Calibri"/>
                <w:b/>
                <w:bCs/>
                <w:kern w:val="24"/>
                <w:sz w:val="20"/>
                <w:szCs w:val="20"/>
              </w:rPr>
              <w:t>2019-20 Budget Estimate ($m)</w:t>
            </w:r>
            <w:r w:rsidRPr="00AA5926">
              <w:rPr>
                <w:rFonts w:asciiTheme="minorHAnsi" w:hAnsiTheme="minorHAnsi" w:cs="Calibri"/>
                <w:b/>
                <w:bCs/>
                <w:kern w:val="24"/>
                <w:sz w:val="20"/>
                <w:szCs w:val="20"/>
                <w:vertAlign w:val="superscript"/>
              </w:rPr>
              <w:t>*</w:t>
            </w:r>
          </w:p>
        </w:tc>
      </w:tr>
      <w:tr w:rsidR="00F52681" w14:paraId="7F19126F" w14:textId="77777777" w:rsidTr="00F857E7">
        <w:trPr>
          <w:trHeight w:hRule="exact" w:val="419"/>
        </w:trPr>
        <w:tc>
          <w:tcPr>
            <w:tcW w:w="3679" w:type="dxa"/>
            <w:tcBorders>
              <w:left w:val="single" w:sz="2" w:space="0" w:color="65C5B4" w:themeColor="accent1"/>
              <w:bottom w:val="single" w:sz="2" w:space="0" w:color="65C5B4" w:themeColor="accent1"/>
            </w:tcBorders>
            <w:shd w:val="clear" w:color="auto" w:fill="auto"/>
            <w:vAlign w:val="bottom"/>
          </w:tcPr>
          <w:p w14:paraId="0E07AC1E" w14:textId="77777777" w:rsidR="00F52681" w:rsidRPr="005F50B6" w:rsidRDefault="00F52681" w:rsidP="00F857E7">
            <w:pPr>
              <w:pStyle w:val="NormalWeb"/>
              <w:spacing w:before="20" w:beforeAutospacing="0" w:after="20" w:afterAutospacing="0"/>
              <w:ind w:right="172"/>
              <w:rPr>
                <w:rFonts w:asciiTheme="minorHAnsi" w:hAnsiTheme="minorHAnsi" w:cstheme="minorHAnsi"/>
                <w:sz w:val="20"/>
                <w:szCs w:val="20"/>
              </w:rPr>
            </w:pPr>
            <w:r>
              <w:rPr>
                <w:rFonts w:ascii="Calibri" w:hAnsi="Calibri" w:cs="Calibri"/>
                <w:color w:val="000000" w:themeColor="dark1"/>
                <w:kern w:val="24"/>
                <w:sz w:val="20"/>
                <w:szCs w:val="20"/>
              </w:rPr>
              <w:t>Bilateral</w:t>
            </w:r>
          </w:p>
        </w:tc>
        <w:tc>
          <w:tcPr>
            <w:tcW w:w="1598" w:type="dxa"/>
            <w:tcBorders>
              <w:bottom w:val="single" w:sz="2" w:space="0" w:color="65C5B4" w:themeColor="accent1"/>
              <w:right w:val="single" w:sz="2" w:space="0" w:color="65C5B4" w:themeColor="accent1"/>
            </w:tcBorders>
            <w:vAlign w:val="bottom"/>
          </w:tcPr>
          <w:p w14:paraId="5762A9CD" w14:textId="77777777" w:rsidR="00F52681" w:rsidRPr="005F50B6" w:rsidRDefault="00F52681" w:rsidP="00F857E7">
            <w:pPr>
              <w:pStyle w:val="NormalWeb"/>
              <w:spacing w:before="20" w:beforeAutospacing="0" w:after="20" w:afterAutospacing="0"/>
              <w:jc w:val="right"/>
              <w:rPr>
                <w:rFonts w:asciiTheme="minorHAnsi" w:hAnsiTheme="minorHAnsi" w:cstheme="minorHAnsi"/>
                <w:sz w:val="20"/>
                <w:szCs w:val="20"/>
              </w:rPr>
            </w:pPr>
            <w:r w:rsidRPr="005F50B6">
              <w:rPr>
                <w:rFonts w:asciiTheme="minorHAnsi" w:eastAsia="Calibri Light" w:hAnsiTheme="minorHAnsi" w:cstheme="minorHAnsi"/>
                <w:color w:val="495965" w:themeColor="text2"/>
                <w:kern w:val="24"/>
                <w:sz w:val="20"/>
                <w:szCs w:val="20"/>
              </w:rPr>
              <w:t>19.9</w:t>
            </w:r>
          </w:p>
        </w:tc>
      </w:tr>
      <w:tr w:rsidR="00F52681" w14:paraId="13B9F9A4" w14:textId="77777777" w:rsidTr="00F857E7">
        <w:trPr>
          <w:trHeight w:hRule="exact" w:val="419"/>
        </w:trPr>
        <w:tc>
          <w:tcPr>
            <w:tcW w:w="3679" w:type="dxa"/>
            <w:tcBorders>
              <w:left w:val="single" w:sz="2" w:space="0" w:color="65C5B4" w:themeColor="accent1"/>
              <w:bottom w:val="single" w:sz="2" w:space="0" w:color="65C5B4" w:themeColor="accent1"/>
            </w:tcBorders>
            <w:shd w:val="clear" w:color="auto" w:fill="auto"/>
            <w:vAlign w:val="bottom"/>
          </w:tcPr>
          <w:p w14:paraId="7FE51AEA" w14:textId="77777777" w:rsidR="00F52681" w:rsidRPr="005F50B6" w:rsidRDefault="00F52681" w:rsidP="00F857E7">
            <w:pPr>
              <w:pStyle w:val="NormalWeb"/>
              <w:spacing w:before="20" w:beforeAutospacing="0" w:after="20" w:afterAutospacing="0"/>
              <w:ind w:right="172"/>
              <w:rPr>
                <w:rFonts w:asciiTheme="minorHAnsi" w:hAnsiTheme="minorHAnsi" w:cstheme="minorHAnsi"/>
                <w:sz w:val="20"/>
                <w:szCs w:val="20"/>
              </w:rPr>
            </w:pPr>
            <w:r>
              <w:rPr>
                <w:rFonts w:ascii="Calibri" w:hAnsi="Calibri" w:cs="Calibri"/>
                <w:color w:val="000000" w:themeColor="dark1"/>
                <w:kern w:val="24"/>
                <w:sz w:val="20"/>
                <w:szCs w:val="20"/>
              </w:rPr>
              <w:t>Regional</w:t>
            </w:r>
          </w:p>
        </w:tc>
        <w:tc>
          <w:tcPr>
            <w:tcW w:w="1598" w:type="dxa"/>
            <w:tcBorders>
              <w:bottom w:val="single" w:sz="2" w:space="0" w:color="65C5B4" w:themeColor="accent1"/>
              <w:right w:val="single" w:sz="2" w:space="0" w:color="65C5B4" w:themeColor="accent1"/>
            </w:tcBorders>
            <w:vAlign w:val="bottom"/>
          </w:tcPr>
          <w:p w14:paraId="1346871C" w14:textId="77777777" w:rsidR="00F52681" w:rsidRPr="005F50B6" w:rsidRDefault="00F52681" w:rsidP="00F857E7">
            <w:pPr>
              <w:pStyle w:val="NormalWeb"/>
              <w:spacing w:before="20" w:beforeAutospacing="0" w:after="20" w:afterAutospacing="0"/>
              <w:jc w:val="right"/>
              <w:rPr>
                <w:rFonts w:asciiTheme="minorHAnsi" w:hAnsiTheme="minorHAnsi" w:cstheme="minorHAnsi"/>
                <w:sz w:val="20"/>
                <w:szCs w:val="20"/>
              </w:rPr>
            </w:pPr>
            <w:r w:rsidRPr="005F50B6">
              <w:rPr>
                <w:rFonts w:asciiTheme="minorHAnsi" w:eastAsia="Calibri Light" w:hAnsiTheme="minorHAnsi" w:cstheme="minorHAnsi"/>
                <w:color w:val="495965" w:themeColor="text2"/>
                <w:kern w:val="24"/>
                <w:sz w:val="20"/>
                <w:szCs w:val="20"/>
              </w:rPr>
              <w:t>2.4</w:t>
            </w:r>
          </w:p>
        </w:tc>
      </w:tr>
      <w:tr w:rsidR="00F52681" w14:paraId="2968372D" w14:textId="77777777" w:rsidTr="00F857E7">
        <w:trPr>
          <w:trHeight w:hRule="exact" w:val="419"/>
        </w:trPr>
        <w:tc>
          <w:tcPr>
            <w:tcW w:w="3679" w:type="dxa"/>
            <w:tcBorders>
              <w:left w:val="single" w:sz="2" w:space="0" w:color="65C5B4" w:themeColor="accent1"/>
              <w:bottom w:val="single" w:sz="2" w:space="0" w:color="65C5B4" w:themeColor="accent1"/>
            </w:tcBorders>
            <w:shd w:val="clear" w:color="auto" w:fill="auto"/>
            <w:vAlign w:val="bottom"/>
          </w:tcPr>
          <w:p w14:paraId="60AAD275" w14:textId="77777777" w:rsidR="00F52681" w:rsidRPr="005F50B6" w:rsidRDefault="00F52681" w:rsidP="00F857E7">
            <w:pPr>
              <w:pStyle w:val="NormalWeb"/>
              <w:spacing w:before="20" w:beforeAutospacing="0" w:after="20" w:afterAutospacing="0"/>
              <w:ind w:right="172"/>
              <w:rPr>
                <w:rFonts w:asciiTheme="minorHAnsi" w:hAnsiTheme="minorHAnsi" w:cstheme="minorHAnsi"/>
                <w:sz w:val="20"/>
                <w:szCs w:val="20"/>
              </w:rPr>
            </w:pPr>
            <w:r>
              <w:rPr>
                <w:rFonts w:ascii="Calibri" w:hAnsi="Calibri" w:cs="Calibri"/>
                <w:color w:val="000000" w:themeColor="dark1"/>
                <w:kern w:val="24"/>
                <w:sz w:val="20"/>
                <w:szCs w:val="20"/>
              </w:rPr>
              <w:t>Global</w:t>
            </w:r>
          </w:p>
        </w:tc>
        <w:tc>
          <w:tcPr>
            <w:tcW w:w="1598" w:type="dxa"/>
            <w:tcBorders>
              <w:bottom w:val="single" w:sz="2" w:space="0" w:color="65C5B4" w:themeColor="accent1"/>
              <w:right w:val="single" w:sz="2" w:space="0" w:color="65C5B4" w:themeColor="accent1"/>
            </w:tcBorders>
            <w:vAlign w:val="bottom"/>
          </w:tcPr>
          <w:p w14:paraId="1458B018" w14:textId="77777777" w:rsidR="00F52681" w:rsidRPr="005F50B6" w:rsidRDefault="00F52681" w:rsidP="00F857E7">
            <w:pPr>
              <w:pStyle w:val="NormalWeb"/>
              <w:spacing w:before="20" w:beforeAutospacing="0" w:after="20" w:afterAutospacing="0"/>
              <w:jc w:val="right"/>
              <w:rPr>
                <w:rFonts w:asciiTheme="minorHAnsi" w:hAnsiTheme="minorHAnsi" w:cstheme="minorHAnsi"/>
                <w:sz w:val="20"/>
                <w:szCs w:val="20"/>
              </w:rPr>
            </w:pPr>
            <w:r w:rsidRPr="005F50B6">
              <w:rPr>
                <w:rFonts w:asciiTheme="minorHAnsi" w:eastAsia="Calibri Light" w:hAnsiTheme="minorHAnsi" w:cstheme="minorHAnsi"/>
                <w:color w:val="495965" w:themeColor="text2"/>
                <w:kern w:val="24"/>
                <w:sz w:val="20"/>
                <w:szCs w:val="20"/>
              </w:rPr>
              <w:t>4.8</w:t>
            </w:r>
          </w:p>
        </w:tc>
      </w:tr>
      <w:tr w:rsidR="00F52681" w14:paraId="2C7A7AFE" w14:textId="77777777" w:rsidTr="00F857E7">
        <w:trPr>
          <w:trHeight w:hRule="exact" w:val="419"/>
        </w:trPr>
        <w:tc>
          <w:tcPr>
            <w:tcW w:w="3679" w:type="dxa"/>
            <w:tcBorders>
              <w:left w:val="single" w:sz="2" w:space="0" w:color="65C5B4" w:themeColor="accent1"/>
              <w:bottom w:val="single" w:sz="2" w:space="0" w:color="65C5B4" w:themeColor="accent1"/>
            </w:tcBorders>
            <w:shd w:val="clear" w:color="auto" w:fill="auto"/>
            <w:vAlign w:val="bottom"/>
          </w:tcPr>
          <w:p w14:paraId="1E198481" w14:textId="77777777" w:rsidR="00F52681" w:rsidRPr="005F50B6" w:rsidRDefault="00F52681" w:rsidP="00F857E7">
            <w:pPr>
              <w:pStyle w:val="NormalWeb"/>
              <w:spacing w:before="20" w:beforeAutospacing="0" w:after="20" w:afterAutospacing="0"/>
              <w:ind w:right="172"/>
              <w:rPr>
                <w:rFonts w:asciiTheme="minorHAnsi" w:hAnsiTheme="minorHAnsi" w:cstheme="minorHAnsi"/>
                <w:sz w:val="20"/>
                <w:szCs w:val="20"/>
              </w:rPr>
            </w:pPr>
            <w:r>
              <w:rPr>
                <w:rFonts w:ascii="Calibri" w:hAnsi="Calibri" w:cs="Calibri"/>
                <w:color w:val="000000" w:themeColor="dark1"/>
                <w:kern w:val="24"/>
                <w:sz w:val="20"/>
                <w:szCs w:val="20"/>
              </w:rPr>
              <w:t>Other Government Departments</w:t>
            </w:r>
          </w:p>
        </w:tc>
        <w:tc>
          <w:tcPr>
            <w:tcW w:w="1598" w:type="dxa"/>
            <w:tcBorders>
              <w:bottom w:val="single" w:sz="2" w:space="0" w:color="65C5B4" w:themeColor="accent1"/>
              <w:right w:val="single" w:sz="2" w:space="0" w:color="65C5B4" w:themeColor="accent1"/>
            </w:tcBorders>
            <w:vAlign w:val="bottom"/>
          </w:tcPr>
          <w:p w14:paraId="53FD0375" w14:textId="77777777" w:rsidR="00F52681" w:rsidRPr="005F50B6" w:rsidRDefault="00F52681" w:rsidP="00F857E7">
            <w:pPr>
              <w:pStyle w:val="NormalWeb"/>
              <w:spacing w:before="20" w:beforeAutospacing="0" w:after="20" w:afterAutospacing="0"/>
              <w:jc w:val="right"/>
              <w:rPr>
                <w:rFonts w:asciiTheme="minorHAnsi" w:hAnsiTheme="minorHAnsi" w:cstheme="minorHAnsi"/>
                <w:sz w:val="20"/>
                <w:szCs w:val="20"/>
              </w:rPr>
            </w:pPr>
            <w:r w:rsidRPr="005F50B6">
              <w:rPr>
                <w:rFonts w:asciiTheme="minorHAnsi" w:eastAsia="Calibri Light" w:hAnsiTheme="minorHAnsi" w:cstheme="minorHAnsi"/>
                <w:color w:val="495965" w:themeColor="text2"/>
                <w:kern w:val="24"/>
                <w:sz w:val="20"/>
                <w:szCs w:val="20"/>
              </w:rPr>
              <w:t>-</w:t>
            </w:r>
          </w:p>
        </w:tc>
      </w:tr>
      <w:tr w:rsidR="00F52681" w14:paraId="4F753EDB" w14:textId="77777777" w:rsidTr="00F857E7">
        <w:trPr>
          <w:trHeight w:hRule="exact" w:val="419"/>
        </w:trPr>
        <w:tc>
          <w:tcPr>
            <w:tcW w:w="3679" w:type="dxa"/>
            <w:tcBorders>
              <w:left w:val="single" w:sz="2" w:space="0" w:color="65C5B4" w:themeColor="accent1"/>
              <w:bottom w:val="single" w:sz="2" w:space="0" w:color="65C5B4" w:themeColor="accent1"/>
            </w:tcBorders>
            <w:shd w:val="clear" w:color="auto" w:fill="auto"/>
            <w:vAlign w:val="bottom"/>
          </w:tcPr>
          <w:p w14:paraId="71CD33CB" w14:textId="77777777" w:rsidR="00F52681" w:rsidRPr="005F50B6" w:rsidRDefault="00F52681" w:rsidP="00F857E7">
            <w:pPr>
              <w:pStyle w:val="NormalWeb"/>
              <w:spacing w:before="20" w:beforeAutospacing="0" w:after="20" w:afterAutospacing="0"/>
              <w:rPr>
                <w:rFonts w:asciiTheme="minorHAnsi" w:hAnsiTheme="minorHAnsi" w:cstheme="minorHAnsi"/>
                <w:sz w:val="20"/>
                <w:szCs w:val="20"/>
              </w:rPr>
            </w:pPr>
            <w:r>
              <w:rPr>
                <w:rFonts w:ascii="Calibri" w:hAnsi="Calibri" w:cs="Calibri"/>
                <w:b/>
                <w:bCs/>
                <w:color w:val="000000" w:themeColor="dark1"/>
                <w:kern w:val="24"/>
                <w:sz w:val="20"/>
                <w:szCs w:val="20"/>
              </w:rPr>
              <w:t>Total Australian ODA to Sri Lanka</w:t>
            </w:r>
          </w:p>
        </w:tc>
        <w:tc>
          <w:tcPr>
            <w:tcW w:w="1598" w:type="dxa"/>
            <w:tcBorders>
              <w:bottom w:val="single" w:sz="2" w:space="0" w:color="65C5B4" w:themeColor="accent1"/>
              <w:right w:val="single" w:sz="2" w:space="0" w:color="65C5B4" w:themeColor="accent1"/>
            </w:tcBorders>
            <w:vAlign w:val="bottom"/>
          </w:tcPr>
          <w:p w14:paraId="6848E48F" w14:textId="77777777" w:rsidR="00F52681" w:rsidRPr="00561D94" w:rsidRDefault="00F52681" w:rsidP="00F857E7">
            <w:pPr>
              <w:pStyle w:val="NormalWeb"/>
              <w:spacing w:before="20" w:beforeAutospacing="0" w:after="20" w:afterAutospacing="0"/>
              <w:jc w:val="right"/>
              <w:rPr>
                <w:rFonts w:ascii="Calibri" w:hAnsi="Calibri" w:cs="Calibri"/>
                <w:b/>
                <w:bCs/>
                <w:color w:val="000000" w:themeColor="dark1"/>
                <w:kern w:val="24"/>
                <w:sz w:val="20"/>
                <w:szCs w:val="20"/>
              </w:rPr>
            </w:pPr>
            <w:r w:rsidRPr="00561D94">
              <w:rPr>
                <w:rFonts w:ascii="Calibri" w:hAnsi="Calibri" w:cs="Calibri"/>
                <w:b/>
                <w:bCs/>
                <w:color w:val="000000" w:themeColor="dark1"/>
                <w:kern w:val="24"/>
                <w:sz w:val="20"/>
                <w:szCs w:val="20"/>
              </w:rPr>
              <w:t>27.1</w:t>
            </w:r>
          </w:p>
        </w:tc>
      </w:tr>
    </w:tbl>
    <w:p w14:paraId="0967FD4E" w14:textId="5E5FC2F7" w:rsidR="00F52681" w:rsidRPr="00CC228E" w:rsidRDefault="00F52681" w:rsidP="002234AD">
      <w:pPr>
        <w:spacing w:before="0" w:line="240" w:lineRule="auto"/>
        <w:rPr>
          <w:rFonts w:cstheme="minorHAnsi"/>
          <w:sz w:val="20"/>
        </w:rPr>
      </w:pPr>
      <w:r w:rsidRPr="00CC228E">
        <w:rPr>
          <w:rFonts w:cstheme="minorHAnsi"/>
          <w:bCs/>
          <w:color w:val="000000" w:themeColor="dark1"/>
          <w:kern w:val="24"/>
          <w:sz w:val="16"/>
          <w:szCs w:val="20"/>
        </w:rPr>
        <w:t>*Actual expenditure is expected to be available in December 2020</w:t>
      </w:r>
    </w:p>
    <w:p w14:paraId="09F43EBF" w14:textId="325E4855" w:rsidR="00452298" w:rsidRDefault="00F52681" w:rsidP="00494F98">
      <w:pPr>
        <w:spacing w:before="0" w:after="0"/>
      </w:pPr>
      <w:r>
        <w:rPr>
          <w:noProof/>
          <w:lang w:val="en-AU" w:eastAsia="en-AU"/>
        </w:rPr>
        <w:drawing>
          <wp:inline distT="0" distB="0" distL="0" distR="0" wp14:anchorId="6609C47C" wp14:editId="31FDC839">
            <wp:extent cx="3340100" cy="1791335"/>
            <wp:effectExtent l="0" t="0" r="0" b="0"/>
            <wp:docPr id="1" name="Picture 1" descr="Infrastructure and trade – 20%&#10;Agriculture, fisheries and water – 4%&#10;Governance – 49%&#10;Education – 22%&#10;Health – 0.3%&#10;Building resilience – 4%&#10;General development support – 1%&#10;Due to rounding total percentage may not add up to 100 per cent&#10;" title="Estimated ODA by Sector, 20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43624" cy="1793225"/>
                    </a:xfrm>
                    <a:prstGeom prst="rect">
                      <a:avLst/>
                    </a:prstGeom>
                    <a:noFill/>
                  </pic:spPr>
                </pic:pic>
              </a:graphicData>
            </a:graphic>
          </wp:inline>
        </w:drawing>
      </w:r>
    </w:p>
    <w:p w14:paraId="7824F9E9" w14:textId="454B2353" w:rsidR="00F52681" w:rsidRDefault="00F52681" w:rsidP="00494F98">
      <w:pPr>
        <w:spacing w:before="0" w:after="0"/>
      </w:pPr>
    </w:p>
    <w:p w14:paraId="6E96F0BB" w14:textId="6593946E" w:rsidR="00F52681" w:rsidRDefault="00F52681" w:rsidP="00494F98">
      <w:pPr>
        <w:spacing w:before="0" w:after="0"/>
      </w:pPr>
    </w:p>
    <w:p w14:paraId="69B22AE2" w14:textId="77777777" w:rsidR="00F52681" w:rsidRPr="00452298" w:rsidRDefault="00F52681" w:rsidP="00494F98">
      <w:pPr>
        <w:spacing w:before="0" w:after="0"/>
        <w:sectPr w:rsidR="00F52681" w:rsidRPr="00452298" w:rsidSect="00F52681">
          <w:type w:val="continuous"/>
          <w:pgSz w:w="11906" w:h="16838" w:code="9"/>
          <w:pgMar w:top="1701" w:right="140" w:bottom="1418" w:left="709" w:header="142" w:footer="493" w:gutter="0"/>
          <w:cols w:num="2" w:space="397"/>
          <w:titlePg/>
          <w:docGrid w:linePitch="360"/>
        </w:sectPr>
      </w:pPr>
    </w:p>
    <w:p w14:paraId="7A17D1E4" w14:textId="77777777" w:rsidR="00C76D46" w:rsidRDefault="00C76D46" w:rsidP="00C76D46">
      <w:pPr>
        <w:rPr>
          <w:b/>
        </w:rPr>
      </w:pPr>
      <w:r>
        <w:rPr>
          <w:b/>
          <w:sz w:val="24"/>
        </w:rPr>
        <w:t>COVID-19 Development Response</w:t>
      </w:r>
      <w:r>
        <w:rPr>
          <w:b/>
        </w:rPr>
        <w:tab/>
      </w:r>
    </w:p>
    <w:p w14:paraId="7EDC13FB" w14:textId="77777777" w:rsidR="00C76D46" w:rsidRDefault="00C76D46" w:rsidP="003920C9">
      <w:pPr>
        <w:pStyle w:val="ListParagraph"/>
        <w:numPr>
          <w:ilvl w:val="0"/>
          <w:numId w:val="47"/>
        </w:numPr>
      </w:pPr>
      <w:r>
        <w:t>$1m</w:t>
      </w:r>
      <w:r w:rsidR="00015BAC">
        <w:t>illion</w:t>
      </w:r>
      <w:r>
        <w:t xml:space="preserve"> provided by Whole of Government partners through arrangements with the WHO and the UN Resident Coordinator’s Office in the first days of the COVID-19.</w:t>
      </w:r>
    </w:p>
    <w:p w14:paraId="5BF783A3" w14:textId="77777777" w:rsidR="00C76D46" w:rsidRDefault="00C76D46" w:rsidP="003920C9">
      <w:pPr>
        <w:pStyle w:val="ListParagraph"/>
        <w:numPr>
          <w:ilvl w:val="0"/>
          <w:numId w:val="47"/>
        </w:numPr>
      </w:pPr>
      <w:r>
        <w:t>Our funding supported improved capacity of health management by the Sri Lankan government.</w:t>
      </w:r>
    </w:p>
    <w:p w14:paraId="4181DD01" w14:textId="77777777" w:rsidR="00C76D46" w:rsidRDefault="00C76D46" w:rsidP="003920C9">
      <w:pPr>
        <w:pStyle w:val="ListParagraph"/>
        <w:numPr>
          <w:ilvl w:val="0"/>
          <w:numId w:val="47"/>
        </w:numPr>
      </w:pPr>
      <w:r>
        <w:t>DFAT supported women’s sexual and reproductive health needs exacerbated by the pandemic.</w:t>
      </w:r>
      <w:r w:rsidRPr="00B9769F">
        <w:t xml:space="preserve"> </w:t>
      </w:r>
    </w:p>
    <w:p w14:paraId="2E085292" w14:textId="77777777" w:rsidR="00C76D46" w:rsidRDefault="00C76D46" w:rsidP="003920C9">
      <w:pPr>
        <w:pStyle w:val="ListParagraph"/>
        <w:numPr>
          <w:ilvl w:val="0"/>
          <w:numId w:val="47"/>
        </w:numPr>
      </w:pPr>
      <w:r w:rsidRPr="00383857">
        <w:t xml:space="preserve">The </w:t>
      </w:r>
      <w:r>
        <w:t xml:space="preserve">Australian </w:t>
      </w:r>
      <w:r w:rsidRPr="00383857">
        <w:t xml:space="preserve">Department of Defence provided PPE supplies to </w:t>
      </w:r>
      <w:r>
        <w:t>Sri Lanka’s</w:t>
      </w:r>
      <w:r w:rsidRPr="00383857">
        <w:t xml:space="preserve"> National Centre for Prevention of COVID-19 Outbreak</w:t>
      </w:r>
      <w:r>
        <w:t>.</w:t>
      </w:r>
      <w:r w:rsidRPr="00383857">
        <w:t xml:space="preserve"> </w:t>
      </w:r>
    </w:p>
    <w:p w14:paraId="10547166" w14:textId="77777777" w:rsidR="00C76D46" w:rsidRDefault="00C76D46" w:rsidP="003920C9">
      <w:pPr>
        <w:pStyle w:val="ListParagraph"/>
        <w:numPr>
          <w:ilvl w:val="0"/>
          <w:numId w:val="47"/>
        </w:numPr>
      </w:pPr>
      <w:r>
        <w:t xml:space="preserve">The Department of Home Affairs partnered with the International Organisation for Migration (IOM) on its Integrated Border Management project to build health security capacity at Sri Lanka’s border, delivering health screening equipment and establishing an online health declaration system for incoming passengers. </w:t>
      </w:r>
    </w:p>
    <w:p w14:paraId="128F1F0A" w14:textId="77777777" w:rsidR="00C76D46" w:rsidRDefault="00C76D46" w:rsidP="003920C9">
      <w:pPr>
        <w:pStyle w:val="ListParagraph"/>
        <w:numPr>
          <w:ilvl w:val="0"/>
          <w:numId w:val="47"/>
        </w:numPr>
      </w:pPr>
      <w:r>
        <w:t>Home Affairs provided dry rations to</w:t>
      </w:r>
      <w:r w:rsidRPr="00F42CBA">
        <w:rPr>
          <w:b/>
        </w:rPr>
        <w:t xml:space="preserve"> </w:t>
      </w:r>
      <w:r w:rsidRPr="00F57DAF">
        <w:t xml:space="preserve">vulnerable families </w:t>
      </w:r>
      <w:r>
        <w:t xml:space="preserve">impacted by COVID-19 curfews and shut downs in Batticaloa District. </w:t>
      </w:r>
    </w:p>
    <w:p w14:paraId="17A672F7" w14:textId="77777777" w:rsidR="00C76D46" w:rsidRPr="00401547" w:rsidRDefault="00C76D46" w:rsidP="003920C9">
      <w:pPr>
        <w:pStyle w:val="ListParagraph"/>
        <w:numPr>
          <w:ilvl w:val="0"/>
          <w:numId w:val="47"/>
        </w:numPr>
        <w:rPr>
          <w:b/>
          <w:sz w:val="24"/>
        </w:rPr>
      </w:pPr>
      <w:r>
        <w:t xml:space="preserve">Australia’s COVID-19 Response Plan (CRP) sets out how we will support Sri Lanka’s recovery over 2020-22. </w:t>
      </w:r>
    </w:p>
    <w:p w14:paraId="29E6174D" w14:textId="77777777" w:rsidR="009B0C0D" w:rsidRDefault="009B0C0D" w:rsidP="00C76D46">
      <w:pPr>
        <w:jc w:val="both"/>
        <w:rPr>
          <w:b/>
          <w:sz w:val="24"/>
        </w:rPr>
      </w:pPr>
    </w:p>
    <w:p w14:paraId="7AF3560E" w14:textId="77777777" w:rsidR="009B0C0D" w:rsidRDefault="009B0C0D" w:rsidP="00C76D46">
      <w:pPr>
        <w:jc w:val="both"/>
        <w:rPr>
          <w:b/>
          <w:sz w:val="24"/>
        </w:rPr>
      </w:pPr>
    </w:p>
    <w:p w14:paraId="080735ED" w14:textId="77777777" w:rsidR="009B0C0D" w:rsidRDefault="009B0C0D" w:rsidP="00C76D46">
      <w:pPr>
        <w:jc w:val="both"/>
        <w:rPr>
          <w:b/>
          <w:sz w:val="24"/>
        </w:rPr>
      </w:pPr>
    </w:p>
    <w:p w14:paraId="67952746" w14:textId="64395F3B" w:rsidR="00C76D46" w:rsidRPr="00401547" w:rsidRDefault="00C76D46" w:rsidP="00C76D46">
      <w:pPr>
        <w:jc w:val="both"/>
        <w:rPr>
          <w:b/>
          <w:sz w:val="24"/>
        </w:rPr>
      </w:pPr>
      <w:r w:rsidRPr="00401547">
        <w:rPr>
          <w:b/>
          <w:sz w:val="24"/>
        </w:rPr>
        <w:t>Other program highlights</w:t>
      </w:r>
    </w:p>
    <w:p w14:paraId="60109573" w14:textId="77777777" w:rsidR="00C76D46" w:rsidRDefault="00C76D46" w:rsidP="003920C9">
      <w:pPr>
        <w:pStyle w:val="ListParagraph"/>
        <w:numPr>
          <w:ilvl w:val="0"/>
          <w:numId w:val="48"/>
        </w:numPr>
      </w:pPr>
      <w:r w:rsidRPr="00401547">
        <w:rPr>
          <w:i/>
        </w:rPr>
        <w:t>Economic Opportunities for the Poor (EOP)</w:t>
      </w:r>
      <w:r>
        <w:t xml:space="preserve"> delivered</w:t>
      </w:r>
      <w:r w:rsidRPr="00FC4EEF">
        <w:t xml:space="preserve"> </w:t>
      </w:r>
      <w:r>
        <w:t>$9.5</w:t>
      </w:r>
      <w:r w:rsidR="006940BB">
        <w:t xml:space="preserve"> </w:t>
      </w:r>
      <w:r>
        <w:t>million</w:t>
      </w:r>
      <w:r w:rsidRPr="00FC4EEF">
        <w:t xml:space="preserve"> </w:t>
      </w:r>
      <w:r>
        <w:t>in</w:t>
      </w:r>
      <w:r w:rsidRPr="00FC4EEF">
        <w:t xml:space="preserve"> net additional income</w:t>
      </w:r>
      <w:r>
        <w:t>,</w:t>
      </w:r>
      <w:r w:rsidRPr="00FC4EEF">
        <w:t xml:space="preserve"> </w:t>
      </w:r>
      <w:r>
        <w:t xml:space="preserve">increased incomes for </w:t>
      </w:r>
      <w:r w:rsidRPr="00FC4EEF">
        <w:t xml:space="preserve">1,114 </w:t>
      </w:r>
      <w:r>
        <w:t xml:space="preserve">economically </w:t>
      </w:r>
      <w:r w:rsidRPr="00FC4EEF">
        <w:t>disadvantaged people in targeted sectors</w:t>
      </w:r>
      <w:r>
        <w:t>,</w:t>
      </w:r>
      <w:r w:rsidRPr="00FC4EEF">
        <w:t xml:space="preserve"> and created 17</w:t>
      </w:r>
      <w:r>
        <w:t>8 full-time</w:t>
      </w:r>
      <w:r w:rsidRPr="00FC4EEF">
        <w:t xml:space="preserve"> jobs. </w:t>
      </w:r>
    </w:p>
    <w:p w14:paraId="774241A1" w14:textId="77777777" w:rsidR="00C76D46" w:rsidRPr="00FC4EEF" w:rsidRDefault="00C76D46" w:rsidP="003920C9">
      <w:pPr>
        <w:pStyle w:val="ListParagraph"/>
        <w:numPr>
          <w:ilvl w:val="0"/>
          <w:numId w:val="48"/>
        </w:numPr>
      </w:pPr>
      <w:r w:rsidRPr="00401547">
        <w:t>We supported</w:t>
      </w:r>
      <w:r>
        <w:t xml:space="preserve"> the </w:t>
      </w:r>
      <w:r w:rsidRPr="0021673C">
        <w:t>establishment of the Sri</w:t>
      </w:r>
      <w:r>
        <w:t> </w:t>
      </w:r>
      <w:r w:rsidRPr="0021673C">
        <w:t>Lanka Tourism Alliance</w:t>
      </w:r>
      <w:r>
        <w:t xml:space="preserve"> – </w:t>
      </w:r>
      <w:r w:rsidRPr="0021673C">
        <w:t xml:space="preserve">the first </w:t>
      </w:r>
      <w:r>
        <w:t xml:space="preserve">industry </w:t>
      </w:r>
      <w:r w:rsidRPr="0021673C">
        <w:t>umbrella body of its kind</w:t>
      </w:r>
      <w:r>
        <w:t>.</w:t>
      </w:r>
    </w:p>
    <w:p w14:paraId="43DCAA0F" w14:textId="77777777" w:rsidR="00C76D46" w:rsidRDefault="00C76D46" w:rsidP="003920C9">
      <w:pPr>
        <w:pStyle w:val="ListParagraph"/>
        <w:numPr>
          <w:ilvl w:val="0"/>
          <w:numId w:val="48"/>
        </w:numPr>
      </w:pPr>
      <w:r w:rsidRPr="00401547">
        <w:rPr>
          <w:i/>
        </w:rPr>
        <w:t>Governance for Growth (G4G)</w:t>
      </w:r>
      <w:r>
        <w:t xml:space="preserve"> contributed to Sri Lanka’s continued improvement against</w:t>
      </w:r>
      <w:r w:rsidRPr="00B57185">
        <w:t xml:space="preserve"> the Doing Business Inde</w:t>
      </w:r>
      <w:r>
        <w:t xml:space="preserve">x. </w:t>
      </w:r>
    </w:p>
    <w:p w14:paraId="0374E2EF" w14:textId="77777777" w:rsidR="00C76D46" w:rsidRDefault="00C76D46" w:rsidP="003920C9">
      <w:pPr>
        <w:pStyle w:val="ListParagraph"/>
        <w:numPr>
          <w:ilvl w:val="0"/>
          <w:numId w:val="48"/>
        </w:numPr>
      </w:pPr>
      <w:r>
        <w:t xml:space="preserve">Australia </w:t>
      </w:r>
      <w:r w:rsidRPr="00B57185">
        <w:t xml:space="preserve">supported reforms </w:t>
      </w:r>
      <w:r>
        <w:t>such as</w:t>
      </w:r>
      <w:r w:rsidRPr="00B57185">
        <w:t xml:space="preserve"> a one-day business registration portal linked to the Inland Revenue Department and an online land registry</w:t>
      </w:r>
      <w:r>
        <w:t>.</w:t>
      </w:r>
    </w:p>
    <w:p w14:paraId="3632AA5D" w14:textId="77777777" w:rsidR="00C76D46" w:rsidRDefault="00C76D46" w:rsidP="003920C9">
      <w:pPr>
        <w:pStyle w:val="ListParagraph"/>
        <w:numPr>
          <w:ilvl w:val="0"/>
          <w:numId w:val="48"/>
        </w:numPr>
      </w:pPr>
      <w:r w:rsidRPr="005A1314">
        <w:rPr>
          <w:i/>
        </w:rPr>
        <w:t>G4G</w:t>
      </w:r>
      <w:r>
        <w:t xml:space="preserve"> improved service delivery and accountability at the local government level</w:t>
      </w:r>
    </w:p>
    <w:p w14:paraId="50BE8CD3" w14:textId="77777777" w:rsidR="00C76D46" w:rsidRDefault="00C76D46" w:rsidP="003920C9">
      <w:pPr>
        <w:pStyle w:val="ListParagraph"/>
        <w:numPr>
          <w:ilvl w:val="0"/>
          <w:numId w:val="48"/>
        </w:numPr>
      </w:pPr>
      <w:r w:rsidRPr="005A1314">
        <w:rPr>
          <w:i/>
        </w:rPr>
        <w:t>Women in Work (</w:t>
      </w:r>
      <w:proofErr w:type="spellStart"/>
      <w:r w:rsidRPr="005A1314">
        <w:rPr>
          <w:i/>
        </w:rPr>
        <w:t>WiW</w:t>
      </w:r>
      <w:proofErr w:type="spellEnd"/>
      <w:r w:rsidRPr="005A1314">
        <w:rPr>
          <w:i/>
        </w:rPr>
        <w:t>)</w:t>
      </w:r>
      <w:r>
        <w:t xml:space="preserve"> undertook concerted effort by DFAT and delivery partner, the International Finance Corporation, to improve performance over the past 12 months. </w:t>
      </w:r>
    </w:p>
    <w:p w14:paraId="392D48BA" w14:textId="575B4058" w:rsidR="00C76D46" w:rsidRDefault="00C76D46" w:rsidP="003920C9">
      <w:pPr>
        <w:pStyle w:val="ListParagraph"/>
        <w:numPr>
          <w:ilvl w:val="0"/>
          <w:numId w:val="48"/>
        </w:numPr>
      </w:pPr>
      <w:r>
        <w:t>90</w:t>
      </w:r>
      <w:r w:rsidR="003920C9">
        <w:t xml:space="preserve"> per cent</w:t>
      </w:r>
      <w:r>
        <w:t xml:space="preserve"> achievement of commitments to improved employment conditions and financial consumer protection for women. </w:t>
      </w:r>
    </w:p>
    <w:p w14:paraId="194BEBC1" w14:textId="77777777" w:rsidR="00C76D46" w:rsidRDefault="00C76D46" w:rsidP="003920C9">
      <w:pPr>
        <w:pStyle w:val="ListParagraph"/>
        <w:numPr>
          <w:ilvl w:val="0"/>
          <w:numId w:val="48"/>
        </w:numPr>
      </w:pPr>
      <w:r w:rsidRPr="005A1314">
        <w:rPr>
          <w:rFonts w:cstheme="minorHAnsi"/>
        </w:rPr>
        <w:t xml:space="preserve">We have maintained our strong commitment to monitoring and evaluation, and learning across the program and strengthened this aspect of our work through the establishment of the </w:t>
      </w:r>
      <w:r w:rsidRPr="005A1314">
        <w:rPr>
          <w:rFonts w:cstheme="minorHAnsi"/>
          <w:i/>
        </w:rPr>
        <w:t xml:space="preserve">Sri Lanka Support Unit </w:t>
      </w:r>
      <w:r w:rsidRPr="005A1314">
        <w:rPr>
          <w:rFonts w:cstheme="minorHAnsi"/>
        </w:rPr>
        <w:t>(SLSU)</w:t>
      </w:r>
      <w:r>
        <w:rPr>
          <w:rFonts w:cstheme="minorHAnsi"/>
        </w:rPr>
        <w:t xml:space="preserve"> in Colombo</w:t>
      </w:r>
      <w:r w:rsidRPr="005A1314">
        <w:rPr>
          <w:rFonts w:cstheme="minorHAnsi"/>
        </w:rPr>
        <w:t>.</w:t>
      </w:r>
    </w:p>
    <w:p w14:paraId="109FF8F9" w14:textId="77777777" w:rsidR="00C76D46" w:rsidRDefault="00C76D46" w:rsidP="00C76D46">
      <w:pPr>
        <w:sectPr w:rsidR="00C76D46" w:rsidSect="0021673C">
          <w:headerReference w:type="default" r:id="rId16"/>
          <w:footerReference w:type="default" r:id="rId17"/>
          <w:headerReference w:type="first" r:id="rId18"/>
          <w:footerReference w:type="first" r:id="rId19"/>
          <w:type w:val="continuous"/>
          <w:pgSz w:w="11906" w:h="16838" w:code="9"/>
          <w:pgMar w:top="1701" w:right="424" w:bottom="1418" w:left="709" w:header="425" w:footer="493" w:gutter="0"/>
          <w:cols w:num="2" w:space="397"/>
          <w:titlePg/>
          <w:docGrid w:linePitch="360"/>
        </w:sectPr>
      </w:pPr>
    </w:p>
    <w:p w14:paraId="641F223A" w14:textId="77777777" w:rsidR="00C76D46" w:rsidRDefault="00C76D46" w:rsidP="00C76D46">
      <w:pPr>
        <w:pStyle w:val="Heading2"/>
        <w:spacing w:before="360" w:line="300" w:lineRule="exact"/>
        <w:contextualSpacing w:val="0"/>
        <w:rPr>
          <w:sz w:val="24"/>
          <w:szCs w:val="24"/>
        </w:rPr>
      </w:pPr>
      <w:r>
        <w:lastRenderedPageBreak/>
        <w:t xml:space="preserve">Progress against 2019-20 performance INDICATORS </w:t>
      </w:r>
      <w:r>
        <w:br/>
      </w:r>
    </w:p>
    <w:tbl>
      <w:tblPr>
        <w:tblStyle w:val="TableGrid"/>
        <w:tblW w:w="10201" w:type="dxa"/>
        <w:tblBorders>
          <w:top w:val="single" w:sz="2" w:space="0" w:color="65C5B4" w:themeColor="accent1"/>
          <w:left w:val="single" w:sz="2" w:space="0" w:color="65C5B4" w:themeColor="accent1"/>
          <w:bottom w:val="single" w:sz="2" w:space="0" w:color="65C5B4" w:themeColor="accent1"/>
          <w:right w:val="single" w:sz="2" w:space="0" w:color="65C5B4" w:themeColor="accent1"/>
          <w:insideH w:val="single" w:sz="2" w:space="0" w:color="65C5B4" w:themeColor="accent1"/>
          <w:insideV w:val="single" w:sz="2" w:space="0" w:color="65C5B4" w:themeColor="accent1"/>
        </w:tblBorders>
        <w:tblLook w:val="04A0" w:firstRow="1" w:lastRow="0" w:firstColumn="1" w:lastColumn="0" w:noHBand="0" w:noVBand="1"/>
        <w:tblCaption w:val="Performance Assessment Framework"/>
        <w:tblDescription w:val="This program has three strategic objectives and three performance benchmark, indicators that are used to measure progress."/>
      </w:tblPr>
      <w:tblGrid>
        <w:gridCol w:w="2095"/>
        <w:gridCol w:w="3570"/>
        <w:gridCol w:w="4536"/>
      </w:tblGrid>
      <w:tr w:rsidR="00C76D46" w:rsidRPr="00274483" w14:paraId="6C1DF0D0" w14:textId="77777777" w:rsidTr="00FB2BAA">
        <w:trPr>
          <w:tblHeader/>
        </w:trPr>
        <w:tc>
          <w:tcPr>
            <w:tcW w:w="2095" w:type="dxa"/>
            <w:shd w:val="clear" w:color="auto" w:fill="C1E7E0" w:themeFill="accent1" w:themeFillTint="66"/>
          </w:tcPr>
          <w:p w14:paraId="1970E6A3" w14:textId="77777777" w:rsidR="00C76D46" w:rsidRPr="00274483" w:rsidRDefault="00C76D46" w:rsidP="0035053B">
            <w:pPr>
              <w:pStyle w:val="BodyText"/>
              <w:spacing w:before="40" w:after="40" w:line="240" w:lineRule="auto"/>
              <w:rPr>
                <w:rFonts w:asciiTheme="majorHAnsi" w:eastAsiaTheme="majorEastAsia" w:hAnsiTheme="majorHAnsi" w:cstheme="majorHAnsi"/>
                <w:b/>
                <w:caps/>
                <w:sz w:val="20"/>
                <w:szCs w:val="20"/>
              </w:rPr>
            </w:pPr>
            <w:r>
              <w:rPr>
                <w:rFonts w:asciiTheme="majorHAnsi" w:eastAsiaTheme="majorEastAsia" w:hAnsiTheme="majorHAnsi" w:cstheme="majorHAnsi"/>
                <w:b/>
                <w:caps/>
                <w:sz w:val="20"/>
                <w:szCs w:val="20"/>
              </w:rPr>
              <w:t xml:space="preserve">title of strategic </w:t>
            </w:r>
            <w:r w:rsidRPr="00274483">
              <w:rPr>
                <w:rFonts w:asciiTheme="majorHAnsi" w:eastAsiaTheme="majorEastAsia" w:hAnsiTheme="majorHAnsi" w:cstheme="majorHAnsi"/>
                <w:b/>
                <w:caps/>
                <w:sz w:val="20"/>
                <w:szCs w:val="20"/>
              </w:rPr>
              <w:t>OBJECTIVE</w:t>
            </w:r>
          </w:p>
        </w:tc>
        <w:tc>
          <w:tcPr>
            <w:tcW w:w="3570" w:type="dxa"/>
            <w:shd w:val="clear" w:color="auto" w:fill="C1E7E0" w:themeFill="accent1" w:themeFillTint="66"/>
          </w:tcPr>
          <w:p w14:paraId="1B4CAD58" w14:textId="77777777" w:rsidR="00C76D46" w:rsidRDefault="00C76D46" w:rsidP="0035053B">
            <w:pPr>
              <w:pStyle w:val="BodyText"/>
              <w:spacing w:before="40" w:after="40" w:line="240" w:lineRule="auto"/>
              <w:rPr>
                <w:rFonts w:asciiTheme="majorHAnsi" w:eastAsiaTheme="majorEastAsia" w:hAnsiTheme="majorHAnsi" w:cstheme="majorHAnsi"/>
                <w:b/>
                <w:caps/>
                <w:sz w:val="20"/>
                <w:szCs w:val="20"/>
              </w:rPr>
            </w:pPr>
            <w:r>
              <w:rPr>
                <w:rFonts w:asciiTheme="majorHAnsi" w:eastAsiaTheme="majorEastAsia" w:hAnsiTheme="majorHAnsi" w:cstheme="majorHAnsi"/>
                <w:b/>
                <w:caps/>
                <w:sz w:val="20"/>
                <w:szCs w:val="20"/>
              </w:rPr>
              <w:t>Performance assessment framework indicator/benchmark</w:t>
            </w:r>
          </w:p>
        </w:tc>
        <w:tc>
          <w:tcPr>
            <w:tcW w:w="4536" w:type="dxa"/>
            <w:shd w:val="clear" w:color="auto" w:fill="C1E7E0" w:themeFill="accent1" w:themeFillTint="66"/>
          </w:tcPr>
          <w:p w14:paraId="67A2D04C" w14:textId="77777777" w:rsidR="00C76D46" w:rsidRPr="00274483" w:rsidRDefault="00C76D46" w:rsidP="0035053B">
            <w:pPr>
              <w:pStyle w:val="BodyText"/>
              <w:spacing w:before="40" w:after="40" w:line="240" w:lineRule="auto"/>
              <w:rPr>
                <w:rFonts w:asciiTheme="majorHAnsi" w:eastAsiaTheme="majorEastAsia" w:hAnsiTheme="majorHAnsi" w:cstheme="majorHAnsi"/>
                <w:b/>
                <w:caps/>
                <w:sz w:val="20"/>
                <w:szCs w:val="20"/>
              </w:rPr>
            </w:pPr>
            <w:r>
              <w:rPr>
                <w:rFonts w:asciiTheme="majorHAnsi" w:eastAsiaTheme="majorEastAsia" w:hAnsiTheme="majorHAnsi" w:cstheme="majorHAnsi"/>
                <w:b/>
                <w:caps/>
                <w:sz w:val="20"/>
                <w:szCs w:val="20"/>
              </w:rPr>
              <w:t>Brief summary of progress against indicator/benchmark</w:t>
            </w:r>
          </w:p>
        </w:tc>
      </w:tr>
      <w:tr w:rsidR="00C76D46" w:rsidRPr="00274483" w14:paraId="322198B7" w14:textId="77777777" w:rsidTr="00FB2BAA">
        <w:trPr>
          <w:tblHeader/>
        </w:trPr>
        <w:tc>
          <w:tcPr>
            <w:tcW w:w="2095" w:type="dxa"/>
          </w:tcPr>
          <w:p w14:paraId="53AC4968" w14:textId="13E2A588" w:rsidR="00C76D46" w:rsidRPr="00E52D72" w:rsidRDefault="00C76D46" w:rsidP="0035053B">
            <w:pPr>
              <w:pStyle w:val="BodyText"/>
              <w:spacing w:before="40" w:after="40" w:line="240" w:lineRule="auto"/>
              <w:rPr>
                <w:rFonts w:eastAsiaTheme="majorEastAsia" w:cstheme="minorHAnsi"/>
                <w:caps/>
                <w:sz w:val="20"/>
                <w:szCs w:val="20"/>
              </w:rPr>
            </w:pPr>
            <w:r w:rsidRPr="00E52D72">
              <w:rPr>
                <w:rFonts w:eastAsiaTheme="majorEastAsia" w:cstheme="minorHAnsi"/>
                <w:b/>
                <w:sz w:val="20"/>
                <w:szCs w:val="20"/>
              </w:rPr>
              <w:t>Objective 1</w:t>
            </w:r>
            <w:r w:rsidR="000C460B">
              <w:rPr>
                <w:rFonts w:eastAsiaTheme="majorEastAsia" w:cstheme="minorHAnsi"/>
                <w:b/>
                <w:sz w:val="20"/>
                <w:szCs w:val="20"/>
              </w:rPr>
              <w:t>.</w:t>
            </w:r>
            <w:r w:rsidRPr="00E52D72">
              <w:rPr>
                <w:rFonts w:eastAsiaTheme="majorEastAsia" w:cstheme="minorHAnsi"/>
                <w:caps/>
                <w:sz w:val="20"/>
                <w:szCs w:val="20"/>
              </w:rPr>
              <w:t xml:space="preserve"> </w:t>
            </w:r>
          </w:p>
          <w:p w14:paraId="1388FFB6" w14:textId="77777777" w:rsidR="00C76D46" w:rsidRPr="00E52D72" w:rsidRDefault="00C76D46" w:rsidP="0035053B">
            <w:pPr>
              <w:pStyle w:val="BodyText"/>
              <w:spacing w:before="40" w:after="40" w:line="240" w:lineRule="auto"/>
              <w:rPr>
                <w:rFonts w:eastAsiaTheme="majorEastAsia" w:cstheme="minorHAnsi"/>
                <w:b/>
                <w:sz w:val="20"/>
                <w:szCs w:val="20"/>
              </w:rPr>
            </w:pPr>
            <w:r w:rsidRPr="00E52D72">
              <w:rPr>
                <w:rFonts w:eastAsiaTheme="majorEastAsia" w:cstheme="minorHAnsi"/>
                <w:sz w:val="20"/>
                <w:szCs w:val="20"/>
              </w:rPr>
              <w:t>Expand Opportunities for the Poor (EOP)</w:t>
            </w:r>
          </w:p>
        </w:tc>
        <w:tc>
          <w:tcPr>
            <w:tcW w:w="3570" w:type="dxa"/>
          </w:tcPr>
          <w:p w14:paraId="09C6B64C" w14:textId="77777777" w:rsidR="00C76D46" w:rsidRPr="00E52D72" w:rsidRDefault="00C76D46" w:rsidP="0035053B">
            <w:pPr>
              <w:pStyle w:val="BodyText"/>
              <w:spacing w:before="40" w:after="40" w:line="240" w:lineRule="auto"/>
              <w:rPr>
                <w:rFonts w:eastAsiaTheme="majorEastAsia" w:cstheme="minorHAnsi"/>
                <w:caps/>
                <w:sz w:val="20"/>
                <w:szCs w:val="20"/>
              </w:rPr>
            </w:pPr>
            <w:r w:rsidRPr="000C460B">
              <w:rPr>
                <w:rFonts w:asciiTheme="majorHAnsi" w:eastAsiaTheme="majorEastAsia" w:hAnsiTheme="majorHAnsi" w:cstheme="majorHAnsi"/>
                <w:caps/>
                <w:sz w:val="20"/>
                <w:szCs w:val="20"/>
              </w:rPr>
              <w:t>1.</w:t>
            </w:r>
            <w:r w:rsidRPr="000C460B">
              <w:rPr>
                <w:rFonts w:asciiTheme="majorHAnsi" w:eastAsiaTheme="majorEastAsia" w:hAnsiTheme="majorHAnsi" w:cstheme="majorHAnsi"/>
                <w:sz w:val="20"/>
                <w:szCs w:val="20"/>
              </w:rPr>
              <w:t>1</w:t>
            </w:r>
            <w:r w:rsidRPr="00E52D72">
              <w:rPr>
                <w:rFonts w:eastAsiaTheme="majorEastAsia" w:cstheme="minorHAnsi"/>
                <w:sz w:val="20"/>
                <w:szCs w:val="20"/>
              </w:rPr>
              <w:t xml:space="preserve"> Increase the targeted populations, including women and people with a disability, who have an increase in net additional income</w:t>
            </w:r>
          </w:p>
        </w:tc>
        <w:tc>
          <w:tcPr>
            <w:tcW w:w="4536" w:type="dxa"/>
          </w:tcPr>
          <w:p w14:paraId="274C3889" w14:textId="1C934515" w:rsidR="00C76D46" w:rsidRPr="00E52D72" w:rsidRDefault="000C460B" w:rsidP="0035053B">
            <w:pPr>
              <w:pStyle w:val="BodyText"/>
              <w:spacing w:before="40" w:after="40" w:line="240" w:lineRule="auto"/>
              <w:rPr>
                <w:rFonts w:eastAsiaTheme="majorEastAsia" w:cstheme="minorHAnsi"/>
                <w:caps/>
                <w:sz w:val="20"/>
                <w:szCs w:val="20"/>
              </w:rPr>
            </w:pPr>
            <w:r>
              <w:rPr>
                <w:rFonts w:eastAsiaTheme="majorEastAsia" w:cstheme="minorHAnsi"/>
                <w:iCs/>
                <w:sz w:val="20"/>
                <w:szCs w:val="20"/>
              </w:rPr>
              <w:t xml:space="preserve">~ </w:t>
            </w:r>
            <w:r w:rsidR="00C76D46" w:rsidRPr="00E52D72">
              <w:rPr>
                <w:rFonts w:eastAsiaTheme="majorEastAsia" w:cstheme="minorHAnsi"/>
                <w:iCs/>
                <w:sz w:val="20"/>
                <w:szCs w:val="20"/>
              </w:rPr>
              <w:t>The combined impact of the EOP activities has resulted in just over $9.5</w:t>
            </w:r>
            <w:r w:rsidR="003920C9">
              <w:rPr>
                <w:rFonts w:eastAsiaTheme="majorEastAsia" w:cstheme="minorHAnsi"/>
                <w:iCs/>
                <w:sz w:val="20"/>
                <w:szCs w:val="20"/>
              </w:rPr>
              <w:t xml:space="preserve"> </w:t>
            </w:r>
            <w:r w:rsidR="00C76D46" w:rsidRPr="00E52D72">
              <w:rPr>
                <w:rFonts w:eastAsiaTheme="majorEastAsia" w:cstheme="minorHAnsi"/>
                <w:iCs/>
                <w:sz w:val="20"/>
                <w:szCs w:val="20"/>
              </w:rPr>
              <w:t>m</w:t>
            </w:r>
            <w:r w:rsidR="003920C9">
              <w:rPr>
                <w:rFonts w:eastAsiaTheme="majorEastAsia" w:cstheme="minorHAnsi"/>
                <w:iCs/>
                <w:sz w:val="20"/>
                <w:szCs w:val="20"/>
              </w:rPr>
              <w:t>illion</w:t>
            </w:r>
            <w:r w:rsidR="00C76D46" w:rsidRPr="00E52D72">
              <w:rPr>
                <w:rFonts w:eastAsiaTheme="majorEastAsia" w:cstheme="minorHAnsi"/>
                <w:iCs/>
                <w:sz w:val="20"/>
                <w:szCs w:val="20"/>
              </w:rPr>
              <w:t xml:space="preserve"> net additional income, with 13</w:t>
            </w:r>
            <w:r w:rsidR="003920C9">
              <w:rPr>
                <w:rFonts w:eastAsiaTheme="majorEastAsia" w:cstheme="minorHAnsi"/>
                <w:iCs/>
                <w:sz w:val="20"/>
                <w:szCs w:val="20"/>
              </w:rPr>
              <w:t xml:space="preserve"> per cent</w:t>
            </w:r>
            <w:r w:rsidR="00C76D46" w:rsidRPr="00E52D72">
              <w:rPr>
                <w:rFonts w:eastAsiaTheme="majorEastAsia" w:cstheme="minorHAnsi"/>
                <w:iCs/>
                <w:sz w:val="20"/>
                <w:szCs w:val="20"/>
              </w:rPr>
              <w:t xml:space="preserve"> of that increase going to women. Of direct beneficiaries, 56</w:t>
            </w:r>
            <w:r w:rsidR="003920C9">
              <w:rPr>
                <w:rFonts w:eastAsiaTheme="majorEastAsia" w:cstheme="minorHAnsi"/>
                <w:iCs/>
                <w:sz w:val="20"/>
                <w:szCs w:val="20"/>
              </w:rPr>
              <w:t xml:space="preserve"> per cent</w:t>
            </w:r>
            <w:r w:rsidR="00C76D46" w:rsidRPr="00E52D72">
              <w:rPr>
                <w:rFonts w:eastAsiaTheme="majorEastAsia" w:cstheme="minorHAnsi"/>
                <w:iCs/>
                <w:sz w:val="20"/>
                <w:szCs w:val="20"/>
              </w:rPr>
              <w:t xml:space="preserve"> are women. </w:t>
            </w:r>
          </w:p>
        </w:tc>
      </w:tr>
      <w:tr w:rsidR="00C76D46" w:rsidRPr="00274483" w14:paraId="278E9E80" w14:textId="77777777" w:rsidTr="00FB2BAA">
        <w:trPr>
          <w:tblHeader/>
        </w:trPr>
        <w:tc>
          <w:tcPr>
            <w:tcW w:w="2095" w:type="dxa"/>
          </w:tcPr>
          <w:p w14:paraId="4DEC801E" w14:textId="5035860C" w:rsidR="00C76D46" w:rsidRPr="00E52D72" w:rsidRDefault="00C76D46" w:rsidP="0035053B">
            <w:pPr>
              <w:pStyle w:val="BodyText"/>
              <w:spacing w:before="40" w:after="40" w:line="240" w:lineRule="auto"/>
              <w:rPr>
                <w:rFonts w:eastAsiaTheme="majorEastAsia" w:cstheme="minorHAnsi"/>
                <w:b/>
                <w:sz w:val="20"/>
                <w:szCs w:val="20"/>
              </w:rPr>
            </w:pPr>
            <w:r w:rsidRPr="00E52D72">
              <w:rPr>
                <w:rFonts w:eastAsiaTheme="majorEastAsia" w:cstheme="minorHAnsi"/>
                <w:b/>
                <w:sz w:val="20"/>
                <w:szCs w:val="20"/>
              </w:rPr>
              <w:t>Objective 2</w:t>
            </w:r>
            <w:r w:rsidR="000C460B">
              <w:rPr>
                <w:rFonts w:eastAsiaTheme="majorEastAsia" w:cstheme="minorHAnsi"/>
                <w:b/>
                <w:sz w:val="20"/>
                <w:szCs w:val="20"/>
              </w:rPr>
              <w:t>.</w:t>
            </w:r>
          </w:p>
          <w:p w14:paraId="04FBDE5C" w14:textId="77777777" w:rsidR="00C76D46" w:rsidRPr="00E52D72" w:rsidRDefault="00C76D46" w:rsidP="0035053B">
            <w:pPr>
              <w:pStyle w:val="BodyText"/>
              <w:spacing w:before="40" w:after="40" w:line="240" w:lineRule="auto"/>
              <w:rPr>
                <w:rFonts w:eastAsiaTheme="majorEastAsia" w:cstheme="minorHAnsi"/>
                <w:b/>
                <w:caps/>
                <w:sz w:val="20"/>
                <w:szCs w:val="20"/>
              </w:rPr>
            </w:pPr>
            <w:r w:rsidRPr="00E52D72">
              <w:rPr>
                <w:rFonts w:eastAsiaTheme="majorEastAsia" w:cstheme="minorHAnsi"/>
                <w:sz w:val="20"/>
                <w:szCs w:val="20"/>
              </w:rPr>
              <w:t>Support government to be more responsive to the needs of citizens and the private sector</w:t>
            </w:r>
          </w:p>
        </w:tc>
        <w:tc>
          <w:tcPr>
            <w:tcW w:w="3570" w:type="dxa"/>
          </w:tcPr>
          <w:p w14:paraId="4D8E32A2" w14:textId="77777777" w:rsidR="00C76D46" w:rsidRPr="00E52D72" w:rsidRDefault="00C76D46" w:rsidP="0035053B">
            <w:pPr>
              <w:pStyle w:val="BodyText"/>
              <w:spacing w:before="40" w:after="40" w:line="240" w:lineRule="auto"/>
              <w:rPr>
                <w:rFonts w:eastAsiaTheme="majorEastAsia" w:cstheme="minorHAnsi"/>
                <w:caps/>
                <w:sz w:val="20"/>
                <w:szCs w:val="20"/>
              </w:rPr>
            </w:pPr>
            <w:r w:rsidRPr="000C460B">
              <w:rPr>
                <w:rFonts w:asciiTheme="majorHAnsi" w:eastAsiaTheme="majorEastAsia" w:hAnsiTheme="majorHAnsi" w:cstheme="majorHAnsi"/>
                <w:sz w:val="20"/>
                <w:szCs w:val="20"/>
              </w:rPr>
              <w:t>2.1</w:t>
            </w:r>
            <w:r w:rsidRPr="00E52D72">
              <w:rPr>
                <w:rFonts w:eastAsiaTheme="majorEastAsia" w:cstheme="minorHAnsi"/>
                <w:sz w:val="20"/>
                <w:szCs w:val="20"/>
              </w:rPr>
              <w:t xml:space="preserve"> Increased satisfaction of citizens and the private sector with national and subnational government performance in delivering key services</w:t>
            </w:r>
          </w:p>
        </w:tc>
        <w:tc>
          <w:tcPr>
            <w:tcW w:w="4536" w:type="dxa"/>
          </w:tcPr>
          <w:p w14:paraId="63394811" w14:textId="37D0E69D" w:rsidR="00C76D46" w:rsidRPr="00E52D72" w:rsidRDefault="000C460B" w:rsidP="0035053B">
            <w:pPr>
              <w:pStyle w:val="BodyText"/>
              <w:spacing w:before="40" w:after="40" w:line="240" w:lineRule="auto"/>
              <w:rPr>
                <w:rFonts w:eastAsiaTheme="majorEastAsia" w:cstheme="minorHAnsi"/>
                <w:caps/>
                <w:sz w:val="20"/>
                <w:szCs w:val="20"/>
              </w:rPr>
            </w:pPr>
            <w:r>
              <w:rPr>
                <w:rFonts w:eastAsiaTheme="majorEastAsia" w:cstheme="minorHAnsi"/>
                <w:iCs/>
                <w:sz w:val="20"/>
                <w:szCs w:val="20"/>
              </w:rPr>
              <w:t xml:space="preserve">~ </w:t>
            </w:r>
            <w:r w:rsidR="00C76D46" w:rsidRPr="00E52D72">
              <w:rPr>
                <w:rFonts w:eastAsiaTheme="majorEastAsia" w:cstheme="minorHAnsi"/>
                <w:iCs/>
                <w:sz w:val="20"/>
                <w:szCs w:val="20"/>
              </w:rPr>
              <w:t>The Asia Foundation’s Sub-National Governance Program’s completion report confirmed earlier longitudinal data that there has been a gradual improvement, off a low baseline, in citizens’ assessments of local government service delivery. The World Bank’s Doing Business Index assessment continues to show the Sri Lankan government is making gradual improvements in its policy responsiveness to private sector needs.</w:t>
            </w:r>
          </w:p>
        </w:tc>
      </w:tr>
      <w:tr w:rsidR="00C76D46" w:rsidRPr="00274483" w14:paraId="6F39DE1F" w14:textId="77777777" w:rsidTr="00FB2BAA">
        <w:trPr>
          <w:tblHeader/>
        </w:trPr>
        <w:tc>
          <w:tcPr>
            <w:tcW w:w="2095" w:type="dxa"/>
          </w:tcPr>
          <w:p w14:paraId="256364AD" w14:textId="73579441" w:rsidR="00C76D46" w:rsidRPr="00E52D72" w:rsidRDefault="00C76D46" w:rsidP="0035053B">
            <w:pPr>
              <w:pStyle w:val="BodyText"/>
              <w:spacing w:before="40" w:after="40" w:line="240" w:lineRule="auto"/>
              <w:rPr>
                <w:rFonts w:eastAsiaTheme="majorEastAsia" w:cstheme="minorHAnsi"/>
                <w:b/>
                <w:sz w:val="20"/>
                <w:szCs w:val="20"/>
              </w:rPr>
            </w:pPr>
            <w:r w:rsidRPr="00E52D72">
              <w:rPr>
                <w:rFonts w:eastAsiaTheme="majorEastAsia" w:cstheme="minorHAnsi"/>
                <w:b/>
                <w:sz w:val="20"/>
                <w:szCs w:val="20"/>
              </w:rPr>
              <w:t>Objective 3</w:t>
            </w:r>
            <w:r w:rsidR="000C460B">
              <w:rPr>
                <w:rFonts w:eastAsiaTheme="majorEastAsia" w:cstheme="minorHAnsi"/>
                <w:b/>
                <w:sz w:val="20"/>
                <w:szCs w:val="20"/>
              </w:rPr>
              <w:t>.</w:t>
            </w:r>
          </w:p>
          <w:p w14:paraId="711A01F5" w14:textId="77777777" w:rsidR="00C76D46" w:rsidRPr="00E52D72" w:rsidRDefault="00C76D46" w:rsidP="0035053B">
            <w:pPr>
              <w:pStyle w:val="BodyText"/>
              <w:spacing w:before="40" w:after="40" w:line="240" w:lineRule="auto"/>
              <w:rPr>
                <w:rFonts w:eastAsiaTheme="majorEastAsia" w:cstheme="minorHAnsi"/>
                <w:b/>
                <w:caps/>
                <w:sz w:val="20"/>
                <w:szCs w:val="20"/>
              </w:rPr>
            </w:pPr>
            <w:r w:rsidRPr="00E52D72">
              <w:rPr>
                <w:rFonts w:eastAsiaTheme="majorEastAsia" w:cstheme="minorHAnsi"/>
                <w:sz w:val="20"/>
                <w:szCs w:val="20"/>
              </w:rPr>
              <w:t>Increase gender equality</w:t>
            </w:r>
          </w:p>
        </w:tc>
        <w:tc>
          <w:tcPr>
            <w:tcW w:w="3570" w:type="dxa"/>
          </w:tcPr>
          <w:p w14:paraId="0DCA0E4A" w14:textId="76336EC2" w:rsidR="00C76D46" w:rsidRPr="00E52D72" w:rsidRDefault="00C76D46" w:rsidP="0035053B">
            <w:pPr>
              <w:pStyle w:val="BodyText"/>
              <w:spacing w:before="40" w:after="40" w:line="240" w:lineRule="auto"/>
              <w:rPr>
                <w:rFonts w:eastAsiaTheme="majorEastAsia" w:cstheme="minorHAnsi"/>
                <w:caps/>
                <w:sz w:val="20"/>
                <w:szCs w:val="20"/>
              </w:rPr>
            </w:pPr>
            <w:r w:rsidRPr="000C460B">
              <w:rPr>
                <w:rFonts w:asciiTheme="majorHAnsi" w:eastAsiaTheme="majorEastAsia" w:hAnsiTheme="majorHAnsi" w:cstheme="majorHAnsi"/>
                <w:sz w:val="20"/>
                <w:szCs w:val="20"/>
              </w:rPr>
              <w:t>3.1</w:t>
            </w:r>
            <w:r w:rsidRPr="00E52D72">
              <w:rPr>
                <w:rFonts w:eastAsiaTheme="majorEastAsia" w:cstheme="minorHAnsi"/>
                <w:sz w:val="20"/>
                <w:szCs w:val="20"/>
              </w:rPr>
              <w:t xml:space="preserve"> Increase the number of women in targeted populations in formal and informal employment</w:t>
            </w:r>
          </w:p>
        </w:tc>
        <w:tc>
          <w:tcPr>
            <w:tcW w:w="4536" w:type="dxa"/>
          </w:tcPr>
          <w:p w14:paraId="1B92F125" w14:textId="22AE38C2" w:rsidR="00C76D46" w:rsidRPr="00E52D72" w:rsidRDefault="000C460B" w:rsidP="00871902">
            <w:pPr>
              <w:pStyle w:val="BodyText"/>
              <w:spacing w:before="40" w:after="40" w:line="240" w:lineRule="auto"/>
              <w:rPr>
                <w:rFonts w:eastAsiaTheme="majorEastAsia" w:cstheme="minorHAnsi"/>
                <w:caps/>
                <w:sz w:val="20"/>
                <w:szCs w:val="20"/>
              </w:rPr>
            </w:pPr>
            <w:r>
              <w:rPr>
                <w:rFonts w:cstheme="minorHAnsi"/>
                <w:sz w:val="20"/>
                <w:szCs w:val="20"/>
              </w:rPr>
              <w:t xml:space="preserve">~ </w:t>
            </w:r>
            <w:r w:rsidR="00C76D46" w:rsidRPr="00E52D72">
              <w:rPr>
                <w:rFonts w:cstheme="minorHAnsi"/>
                <w:sz w:val="20"/>
                <w:szCs w:val="20"/>
              </w:rPr>
              <w:t>While the EOP program has improved the number of women engaged in employment, our Women in Work investment is gradually improving the business environment for increasing women’s economic empowerment. The business case for supporting childcare and investing in women employees has been demonstrated and improvements in gender diversity on boards has been achieved (Mid</w:t>
            </w:r>
            <w:r w:rsidR="00871902" w:rsidRPr="00E52D72">
              <w:rPr>
                <w:rFonts w:cstheme="minorHAnsi"/>
                <w:sz w:val="20"/>
                <w:szCs w:val="20"/>
              </w:rPr>
              <w:t>-</w:t>
            </w:r>
            <w:r w:rsidR="00C76D46" w:rsidRPr="00E52D72">
              <w:rPr>
                <w:rFonts w:cstheme="minorHAnsi"/>
                <w:sz w:val="20"/>
                <w:szCs w:val="20"/>
              </w:rPr>
              <w:t>term review findings). The investment is beginning to have an impact in creating sustainable jobs for women in target areas.</w:t>
            </w:r>
          </w:p>
        </w:tc>
      </w:tr>
    </w:tbl>
    <w:p w14:paraId="1A0B489F" w14:textId="77777777" w:rsidR="00C76D46" w:rsidRDefault="00C76D46" w:rsidP="00C76D46">
      <w:pPr>
        <w:sectPr w:rsidR="00C76D46" w:rsidSect="00494F98">
          <w:headerReference w:type="default" r:id="rId20"/>
          <w:pgSz w:w="11906" w:h="16838" w:code="9"/>
          <w:pgMar w:top="1701" w:right="1134" w:bottom="1418" w:left="1134" w:header="425" w:footer="493" w:gutter="0"/>
          <w:cols w:space="397"/>
          <w:docGrid w:linePitch="360"/>
        </w:sectPr>
      </w:pPr>
    </w:p>
    <w:p w14:paraId="3DEDAAE4" w14:textId="77777777" w:rsidR="00C76D46" w:rsidRPr="00B927C4" w:rsidRDefault="00C76D46" w:rsidP="00C76D46">
      <w:pPr>
        <w:pStyle w:val="Heading2Numbered"/>
        <w:numPr>
          <w:ilvl w:val="0"/>
          <w:numId w:val="0"/>
        </w:numPr>
        <w:spacing w:before="240" w:after="240"/>
        <w:rPr>
          <w:sz w:val="28"/>
          <w:szCs w:val="28"/>
        </w:rPr>
      </w:pPr>
      <w:r w:rsidRPr="00B927C4">
        <w:rPr>
          <w:sz w:val="28"/>
          <w:szCs w:val="28"/>
        </w:rPr>
        <w:lastRenderedPageBreak/>
        <w:t>ANNEX A: Program Quality</w:t>
      </w:r>
    </w:p>
    <w:p w14:paraId="61C1D055" w14:textId="77777777" w:rsidR="00C76D46" w:rsidRDefault="00C76D46" w:rsidP="00C76D46">
      <w:pPr>
        <w:pStyle w:val="Heading3"/>
      </w:pPr>
      <w:r>
        <w:t>Investment Monitoring Report ratings</w:t>
      </w:r>
    </w:p>
    <w:tbl>
      <w:tblPr>
        <w:tblStyle w:val="APPR"/>
        <w:tblW w:w="5000" w:type="pct"/>
        <w:tblBorders>
          <w:top w:val="single" w:sz="18" w:space="0" w:color="65C5B4" w:themeColor="accent1"/>
          <w:bottom w:val="single" w:sz="18" w:space="0" w:color="65C5B4" w:themeColor="accent1"/>
        </w:tblBorders>
        <w:tblLook w:val="0020" w:firstRow="1" w:lastRow="0" w:firstColumn="0" w:lastColumn="0" w:noHBand="0" w:noVBand="0"/>
      </w:tblPr>
      <w:tblGrid>
        <w:gridCol w:w="3466"/>
        <w:gridCol w:w="1332"/>
        <w:gridCol w:w="1245"/>
        <w:gridCol w:w="1244"/>
        <w:gridCol w:w="779"/>
        <w:gridCol w:w="779"/>
        <w:gridCol w:w="793"/>
      </w:tblGrid>
      <w:tr w:rsidR="00C76D46" w:rsidRPr="00812509" w14:paraId="641233C7" w14:textId="77777777" w:rsidTr="00525390">
        <w:trPr>
          <w:cnfStyle w:val="100000000000" w:firstRow="1" w:lastRow="0" w:firstColumn="0" w:lastColumn="0" w:oddVBand="0" w:evenVBand="0" w:oddHBand="0" w:evenHBand="0" w:firstRowFirstColumn="0" w:firstRowLastColumn="0" w:lastRowFirstColumn="0" w:lastRowLastColumn="0"/>
          <w:trHeight w:val="1413"/>
        </w:trPr>
        <w:tc>
          <w:tcPr>
            <w:tcW w:w="1776" w:type="pct"/>
          </w:tcPr>
          <w:p w14:paraId="63622F1C" w14:textId="77777777" w:rsidR="00C76D46" w:rsidRPr="00812509" w:rsidRDefault="00C76D46" w:rsidP="0035053B">
            <w:pPr>
              <w:keepLines/>
              <w:spacing w:before="80" w:after="80" w:line="200" w:lineRule="atLeast"/>
              <w:rPr>
                <w:rFonts w:asciiTheme="minorHAnsi" w:eastAsia="Times New Roman" w:hAnsiTheme="minorHAnsi"/>
                <w:b w:val="0"/>
                <w:iCs/>
                <w:szCs w:val="17"/>
                <w:lang w:eastAsia="en-US"/>
              </w:rPr>
            </w:pPr>
            <w:r w:rsidRPr="00812509">
              <w:rPr>
                <w:rFonts w:eastAsia="Times New Roman"/>
                <w:iCs/>
                <w:noProof/>
                <w:szCs w:val="17"/>
                <w:lang w:val="en-AU"/>
              </w:rPr>
              <w:drawing>
                <wp:anchor distT="0" distB="0" distL="114300" distR="114300" simplePos="0" relativeHeight="251659264" behindDoc="0" locked="0" layoutInCell="1" allowOverlap="1" wp14:anchorId="6698C3CF" wp14:editId="7633F88F">
                  <wp:simplePos x="0" y="0"/>
                  <wp:positionH relativeFrom="column">
                    <wp:posOffset>0</wp:posOffset>
                  </wp:positionH>
                  <wp:positionV relativeFrom="paragraph">
                    <wp:posOffset>0</wp:posOffset>
                  </wp:positionV>
                  <wp:extent cx="1857375" cy="228600"/>
                  <wp:effectExtent l="0" t="0" r="9525" b="0"/>
                  <wp:wrapNone/>
                  <wp:docPr id="48" name="Picture 48"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52D72">
              <w:rPr>
                <w:rFonts w:asciiTheme="minorHAnsi" w:eastAsia="Times New Roman" w:hAnsiTheme="minorHAnsi"/>
                <w:iCs/>
                <w:szCs w:val="17"/>
                <w:lang w:eastAsia="en-US"/>
              </w:rPr>
              <w:t>Investment name</w:t>
            </w:r>
          </w:p>
        </w:tc>
        <w:tc>
          <w:tcPr>
            <w:tcW w:w="676" w:type="pct"/>
            <w:textDirection w:val="btLr"/>
            <w:vAlign w:val="center"/>
          </w:tcPr>
          <w:p w14:paraId="48B62408" w14:textId="77777777" w:rsidR="00C76D46" w:rsidRPr="00812509" w:rsidRDefault="00C76D46" w:rsidP="0035053B">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Approved budget and duration</w:t>
            </w:r>
          </w:p>
        </w:tc>
        <w:tc>
          <w:tcPr>
            <w:tcW w:w="631" w:type="pct"/>
            <w:textDirection w:val="btLr"/>
            <w:vAlign w:val="center"/>
          </w:tcPr>
          <w:p w14:paraId="0E911F1A" w14:textId="77777777" w:rsidR="00C76D46" w:rsidRPr="00812509" w:rsidRDefault="00C76D46" w:rsidP="0035053B">
            <w:pPr>
              <w:keepLines/>
              <w:spacing w:before="80" w:after="80" w:line="200" w:lineRule="atLeast"/>
              <w:rPr>
                <w:rFonts w:eastAsia="Times New Roman"/>
                <w:b w:val="0"/>
                <w:iCs/>
                <w:szCs w:val="17"/>
              </w:rPr>
            </w:pPr>
            <w:r>
              <w:rPr>
                <w:rFonts w:eastAsia="Times New Roman"/>
                <w:iCs/>
                <w:szCs w:val="17"/>
              </w:rPr>
              <w:t>Duration</w:t>
            </w:r>
          </w:p>
        </w:tc>
        <w:tc>
          <w:tcPr>
            <w:tcW w:w="631" w:type="pct"/>
            <w:textDirection w:val="btLr"/>
            <w:vAlign w:val="center"/>
          </w:tcPr>
          <w:p w14:paraId="7062D3E7" w14:textId="77777777" w:rsidR="00C76D46" w:rsidRPr="00812509" w:rsidRDefault="00C76D46" w:rsidP="0035053B">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year on year</w:t>
            </w:r>
          </w:p>
        </w:tc>
        <w:tc>
          <w:tcPr>
            <w:tcW w:w="390" w:type="pct"/>
            <w:textDirection w:val="btLr"/>
            <w:vAlign w:val="center"/>
          </w:tcPr>
          <w:p w14:paraId="1A682C3F" w14:textId="77777777" w:rsidR="00C76D46" w:rsidRPr="00812509" w:rsidRDefault="00C76D46" w:rsidP="0035053B">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Effectiveness</w:t>
            </w:r>
          </w:p>
        </w:tc>
        <w:tc>
          <w:tcPr>
            <w:tcW w:w="390" w:type="pct"/>
            <w:textDirection w:val="btLr"/>
            <w:vAlign w:val="center"/>
          </w:tcPr>
          <w:p w14:paraId="297632F2" w14:textId="77777777" w:rsidR="00C76D46" w:rsidRPr="00812509" w:rsidRDefault="00C76D46" w:rsidP="0035053B">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Efficiency</w:t>
            </w:r>
          </w:p>
        </w:tc>
        <w:tc>
          <w:tcPr>
            <w:tcW w:w="390" w:type="pct"/>
            <w:textDirection w:val="btLr"/>
            <w:vAlign w:val="center"/>
          </w:tcPr>
          <w:p w14:paraId="368D4163" w14:textId="77777777" w:rsidR="00C76D46" w:rsidRPr="00812509" w:rsidRDefault="00C76D46" w:rsidP="0035053B">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Gender equality</w:t>
            </w:r>
          </w:p>
        </w:tc>
      </w:tr>
      <w:tr w:rsidR="00C76D46" w:rsidRPr="00812509" w14:paraId="2AC7F160" w14:textId="77777777" w:rsidTr="00525390">
        <w:trPr>
          <w:cnfStyle w:val="100000000000" w:firstRow="1" w:lastRow="0" w:firstColumn="0" w:lastColumn="0" w:oddVBand="0" w:evenVBand="0" w:oddHBand="0" w:evenHBand="0" w:firstRowFirstColumn="0" w:firstRowLastColumn="0" w:lastRowFirstColumn="0" w:lastRowLastColumn="0"/>
          <w:trHeight w:val="284"/>
        </w:trPr>
        <w:tc>
          <w:tcPr>
            <w:tcW w:w="1776" w:type="pct"/>
            <w:tcBorders>
              <w:top w:val="single" w:sz="2" w:space="0" w:color="65C5B4" w:themeColor="accent1"/>
            </w:tcBorders>
            <w:vAlign w:val="center"/>
          </w:tcPr>
          <w:p w14:paraId="295937B4" w14:textId="77777777" w:rsidR="00C76D46" w:rsidRPr="00E52D72" w:rsidRDefault="00C76D46" w:rsidP="0035053B">
            <w:pPr>
              <w:keepLines/>
              <w:spacing w:before="40" w:after="40" w:line="200" w:lineRule="atLeast"/>
              <w:rPr>
                <w:rFonts w:asciiTheme="minorHAnsi" w:eastAsia="Times New Roman" w:hAnsiTheme="minorHAnsi"/>
                <w:iCs/>
                <w:szCs w:val="17"/>
                <w:lang w:eastAsia="en-US"/>
              </w:rPr>
            </w:pPr>
            <w:r w:rsidRPr="00E52D72">
              <w:rPr>
                <w:rFonts w:asciiTheme="minorHAnsi" w:eastAsia="Times New Roman" w:hAnsiTheme="minorHAnsi"/>
                <w:iCs/>
                <w:szCs w:val="17"/>
                <w:lang w:eastAsia="en-US"/>
              </w:rPr>
              <w:t>Economic Opportunities for the Poor (EOP)</w:t>
            </w:r>
          </w:p>
        </w:tc>
        <w:tc>
          <w:tcPr>
            <w:tcW w:w="676" w:type="pct"/>
            <w:tcBorders>
              <w:top w:val="single" w:sz="2" w:space="0" w:color="65C5B4" w:themeColor="accent1"/>
            </w:tcBorders>
            <w:vAlign w:val="center"/>
          </w:tcPr>
          <w:p w14:paraId="5EBAC922" w14:textId="77777777" w:rsidR="00C76D46" w:rsidRPr="00826D50" w:rsidRDefault="00C76D46" w:rsidP="0035053B">
            <w:pPr>
              <w:autoSpaceDE w:val="0"/>
              <w:autoSpaceDN w:val="0"/>
              <w:adjustRightInd w:val="0"/>
              <w:spacing w:before="40" w:after="40" w:line="240" w:lineRule="auto"/>
              <w:jc w:val="center"/>
              <w:rPr>
                <w:rFonts w:asciiTheme="minorHAnsi" w:eastAsia="Times New Roman" w:hAnsiTheme="minorHAnsi"/>
                <w:b w:val="0"/>
                <w:iCs/>
                <w:szCs w:val="17"/>
                <w:lang w:eastAsia="en-US"/>
              </w:rPr>
            </w:pPr>
            <w:r w:rsidRPr="00812509">
              <w:rPr>
                <w:rFonts w:asciiTheme="minorHAnsi" w:hAnsiTheme="minorHAnsi" w:cs="Franklin Gothic Book"/>
                <w:color w:val="000000"/>
                <w:szCs w:val="17"/>
              </w:rPr>
              <w:t>$</w:t>
            </w:r>
            <w:r>
              <w:rPr>
                <w:rFonts w:asciiTheme="minorHAnsi" w:hAnsiTheme="minorHAnsi" w:cs="Franklin Gothic Book"/>
                <w:color w:val="000000"/>
                <w:szCs w:val="17"/>
              </w:rPr>
              <w:t>33</w:t>
            </w:r>
            <w:r w:rsidRPr="00812509">
              <w:rPr>
                <w:rFonts w:asciiTheme="minorHAnsi" w:hAnsiTheme="minorHAnsi" w:cs="Franklin Gothic Book"/>
                <w:color w:val="000000"/>
                <w:szCs w:val="17"/>
              </w:rPr>
              <w:t>m</w:t>
            </w:r>
          </w:p>
        </w:tc>
        <w:tc>
          <w:tcPr>
            <w:tcW w:w="631" w:type="pct"/>
            <w:tcBorders>
              <w:top w:val="single" w:sz="2" w:space="0" w:color="65C5B4" w:themeColor="accent1"/>
            </w:tcBorders>
            <w:vAlign w:val="center"/>
          </w:tcPr>
          <w:p w14:paraId="3EC307E6" w14:textId="77777777" w:rsidR="00C76D46" w:rsidRPr="00812509" w:rsidRDefault="00C76D46" w:rsidP="0035053B">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2014-2022</w:t>
            </w:r>
          </w:p>
        </w:tc>
        <w:tc>
          <w:tcPr>
            <w:tcW w:w="631" w:type="pct"/>
            <w:tcBorders>
              <w:top w:val="single" w:sz="2" w:space="0" w:color="65C5B4" w:themeColor="accent1"/>
            </w:tcBorders>
            <w:vAlign w:val="center"/>
          </w:tcPr>
          <w:p w14:paraId="5B12E7A2" w14:textId="77777777" w:rsidR="00C76D46" w:rsidRPr="00812509" w:rsidRDefault="00C76D46" w:rsidP="0035053B">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90" w:type="pct"/>
            <w:tcBorders>
              <w:top w:val="single" w:sz="2" w:space="0" w:color="65C5B4" w:themeColor="accent1"/>
            </w:tcBorders>
            <w:shd w:val="clear" w:color="auto" w:fill="auto"/>
            <w:noWrap/>
          </w:tcPr>
          <w:p w14:paraId="7F4D0CF6" w14:textId="77777777" w:rsidR="00C76D46" w:rsidRPr="00812509" w:rsidRDefault="00C76D46" w:rsidP="0035053B">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90" w:type="pct"/>
            <w:tcBorders>
              <w:top w:val="single" w:sz="2" w:space="0" w:color="65C5B4" w:themeColor="accent1"/>
            </w:tcBorders>
            <w:shd w:val="clear" w:color="auto" w:fill="auto"/>
            <w:noWrap/>
          </w:tcPr>
          <w:p w14:paraId="49F734C6" w14:textId="77777777" w:rsidR="00C76D46" w:rsidRPr="00812509" w:rsidRDefault="00C76D46" w:rsidP="0035053B">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390" w:type="pct"/>
            <w:tcBorders>
              <w:top w:val="single" w:sz="2" w:space="0" w:color="65C5B4" w:themeColor="accent1"/>
            </w:tcBorders>
            <w:shd w:val="clear" w:color="auto" w:fill="auto"/>
            <w:noWrap/>
          </w:tcPr>
          <w:p w14:paraId="2BB07010" w14:textId="77777777" w:rsidR="00C76D46" w:rsidRPr="00812509" w:rsidRDefault="00C76D46" w:rsidP="0035053B">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r>
      <w:tr w:rsidR="00C76D46" w:rsidRPr="00812509" w14:paraId="66800A15" w14:textId="77777777" w:rsidTr="00525390">
        <w:trPr>
          <w:cnfStyle w:val="100000000000" w:firstRow="1" w:lastRow="0" w:firstColumn="0" w:lastColumn="0" w:oddVBand="0" w:evenVBand="0" w:oddHBand="0" w:evenHBand="0" w:firstRowFirstColumn="0" w:firstRowLastColumn="0" w:lastRowFirstColumn="0" w:lastRowLastColumn="0"/>
          <w:trHeight w:val="284"/>
        </w:trPr>
        <w:tc>
          <w:tcPr>
            <w:tcW w:w="1776" w:type="pct"/>
            <w:vAlign w:val="center"/>
          </w:tcPr>
          <w:p w14:paraId="5383C85D" w14:textId="77777777" w:rsidR="00C76D46" w:rsidRPr="00E52D72" w:rsidRDefault="00C76D46" w:rsidP="0035053B">
            <w:pPr>
              <w:keepLines/>
              <w:spacing w:before="40" w:after="40" w:line="200" w:lineRule="atLeast"/>
              <w:rPr>
                <w:rFonts w:asciiTheme="minorHAnsi" w:eastAsia="Times New Roman" w:hAnsiTheme="minorHAnsi"/>
                <w:iCs/>
                <w:szCs w:val="17"/>
                <w:lang w:eastAsia="en-US"/>
              </w:rPr>
            </w:pPr>
          </w:p>
        </w:tc>
        <w:tc>
          <w:tcPr>
            <w:tcW w:w="676" w:type="pct"/>
            <w:vAlign w:val="center"/>
          </w:tcPr>
          <w:p w14:paraId="01AA857C" w14:textId="77777777" w:rsidR="00C76D46" w:rsidRPr="00812509" w:rsidRDefault="00C76D46" w:rsidP="0035053B">
            <w:pPr>
              <w:keepLines/>
              <w:spacing w:before="40" w:after="40" w:line="240" w:lineRule="auto"/>
              <w:jc w:val="center"/>
              <w:rPr>
                <w:rFonts w:asciiTheme="minorHAnsi" w:eastAsia="Times New Roman" w:hAnsiTheme="minorHAnsi"/>
                <w:iCs/>
                <w:szCs w:val="17"/>
                <w:lang w:eastAsia="en-US"/>
              </w:rPr>
            </w:pPr>
          </w:p>
        </w:tc>
        <w:tc>
          <w:tcPr>
            <w:tcW w:w="631" w:type="pct"/>
            <w:vAlign w:val="center"/>
          </w:tcPr>
          <w:p w14:paraId="05CF9688" w14:textId="77777777" w:rsidR="00C76D46" w:rsidRPr="00812509" w:rsidRDefault="00C76D46" w:rsidP="0035053B">
            <w:pPr>
              <w:keepLines/>
              <w:spacing w:before="40" w:after="40" w:line="200" w:lineRule="atLeast"/>
              <w:jc w:val="center"/>
              <w:rPr>
                <w:rFonts w:eastAsia="Times New Roman"/>
                <w:iCs/>
                <w:szCs w:val="17"/>
              </w:rPr>
            </w:pPr>
          </w:p>
        </w:tc>
        <w:tc>
          <w:tcPr>
            <w:tcW w:w="631" w:type="pct"/>
            <w:tcBorders>
              <w:top w:val="single" w:sz="2" w:space="0" w:color="65C5B4" w:themeColor="accent1"/>
            </w:tcBorders>
            <w:vAlign w:val="center"/>
          </w:tcPr>
          <w:p w14:paraId="07CE8088" w14:textId="77777777" w:rsidR="00C76D46" w:rsidRPr="00812509" w:rsidRDefault="00C76D46" w:rsidP="0035053B">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w:t>
            </w:r>
            <w:r>
              <w:rPr>
                <w:rFonts w:asciiTheme="minorHAnsi" w:eastAsia="Times New Roman" w:hAnsiTheme="minorHAnsi"/>
                <w:iCs/>
                <w:szCs w:val="17"/>
                <w:lang w:eastAsia="en-US"/>
              </w:rPr>
              <w:t>20</w:t>
            </w:r>
            <w:r w:rsidRPr="00812509">
              <w:rPr>
                <w:rFonts w:asciiTheme="minorHAnsi" w:eastAsia="Times New Roman" w:hAnsiTheme="minorHAnsi"/>
                <w:iCs/>
                <w:szCs w:val="17"/>
                <w:lang w:eastAsia="en-US"/>
              </w:rPr>
              <w:t xml:space="preserve"> </w:t>
            </w:r>
            <w:r>
              <w:rPr>
                <w:rFonts w:asciiTheme="minorHAnsi" w:eastAsia="Times New Roman" w:hAnsiTheme="minorHAnsi"/>
                <w:iCs/>
                <w:szCs w:val="17"/>
                <w:lang w:eastAsia="en-US"/>
              </w:rPr>
              <w:t>AQC</w:t>
            </w:r>
          </w:p>
        </w:tc>
        <w:tc>
          <w:tcPr>
            <w:tcW w:w="390" w:type="pct"/>
            <w:tcBorders>
              <w:top w:val="single" w:sz="2" w:space="0" w:color="65C5B4" w:themeColor="accent1"/>
            </w:tcBorders>
            <w:shd w:val="clear" w:color="auto" w:fill="auto"/>
            <w:noWrap/>
          </w:tcPr>
          <w:p w14:paraId="18259074" w14:textId="77777777" w:rsidR="00C76D46" w:rsidRPr="00812509" w:rsidRDefault="00C76D46" w:rsidP="0035053B">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90" w:type="pct"/>
            <w:tcBorders>
              <w:top w:val="single" w:sz="2" w:space="0" w:color="65C5B4" w:themeColor="accent1"/>
            </w:tcBorders>
            <w:shd w:val="clear" w:color="auto" w:fill="auto"/>
            <w:noWrap/>
          </w:tcPr>
          <w:p w14:paraId="74237F6B" w14:textId="77777777" w:rsidR="00C76D46" w:rsidRPr="00812509" w:rsidRDefault="00C76D46" w:rsidP="0035053B">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90" w:type="pct"/>
            <w:tcBorders>
              <w:top w:val="single" w:sz="2" w:space="0" w:color="65C5B4" w:themeColor="accent1"/>
            </w:tcBorders>
            <w:shd w:val="clear" w:color="auto" w:fill="auto"/>
            <w:noWrap/>
          </w:tcPr>
          <w:p w14:paraId="10DC178C" w14:textId="77777777" w:rsidR="00C76D46" w:rsidRPr="00812509" w:rsidRDefault="00C76D46" w:rsidP="0035053B">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r>
      <w:tr w:rsidR="00C76D46" w:rsidRPr="00812509" w14:paraId="08F82D7E" w14:textId="77777777" w:rsidTr="00525390">
        <w:trPr>
          <w:cnfStyle w:val="100000000000" w:firstRow="1" w:lastRow="0" w:firstColumn="0" w:lastColumn="0" w:oddVBand="0" w:evenVBand="0" w:oddHBand="0" w:evenHBand="0" w:firstRowFirstColumn="0" w:firstRowLastColumn="0" w:lastRowFirstColumn="0" w:lastRowLastColumn="0"/>
          <w:trHeight w:val="284"/>
        </w:trPr>
        <w:tc>
          <w:tcPr>
            <w:tcW w:w="1776" w:type="pct"/>
            <w:tcBorders>
              <w:top w:val="single" w:sz="2" w:space="0" w:color="65C5B4" w:themeColor="accent1"/>
            </w:tcBorders>
            <w:vAlign w:val="center"/>
          </w:tcPr>
          <w:p w14:paraId="590FB89F" w14:textId="77777777" w:rsidR="00C76D46" w:rsidRPr="00E52D72" w:rsidRDefault="00C76D46" w:rsidP="0035053B">
            <w:pPr>
              <w:keepLines/>
              <w:spacing w:before="40" w:after="40" w:line="200" w:lineRule="atLeast"/>
              <w:rPr>
                <w:rFonts w:asciiTheme="minorHAnsi" w:eastAsia="Times New Roman" w:hAnsiTheme="minorHAnsi"/>
                <w:iCs/>
                <w:szCs w:val="17"/>
                <w:lang w:eastAsia="en-US"/>
              </w:rPr>
            </w:pPr>
            <w:r w:rsidRPr="00E52D72">
              <w:rPr>
                <w:rFonts w:asciiTheme="minorHAnsi" w:eastAsia="Times New Roman" w:hAnsiTheme="minorHAnsi"/>
                <w:iCs/>
                <w:szCs w:val="17"/>
                <w:lang w:eastAsia="en-US"/>
              </w:rPr>
              <w:t>Governance for Growth (G4G)</w:t>
            </w:r>
          </w:p>
        </w:tc>
        <w:tc>
          <w:tcPr>
            <w:tcW w:w="676" w:type="pct"/>
            <w:tcBorders>
              <w:top w:val="single" w:sz="2" w:space="0" w:color="65C5B4" w:themeColor="accent1"/>
            </w:tcBorders>
            <w:vAlign w:val="center"/>
          </w:tcPr>
          <w:p w14:paraId="4B2A824E" w14:textId="77777777" w:rsidR="00C76D46" w:rsidRPr="00812509" w:rsidRDefault="00C76D46" w:rsidP="0035053B">
            <w:pPr>
              <w:autoSpaceDE w:val="0"/>
              <w:autoSpaceDN w:val="0"/>
              <w:adjustRightInd w:val="0"/>
              <w:spacing w:before="40" w:after="40" w:line="240" w:lineRule="auto"/>
              <w:jc w:val="center"/>
              <w:rPr>
                <w:rFonts w:asciiTheme="minorHAnsi" w:eastAsia="Times New Roman" w:hAnsiTheme="minorHAnsi"/>
                <w:iCs/>
                <w:szCs w:val="17"/>
                <w:lang w:eastAsia="en-US"/>
              </w:rPr>
            </w:pPr>
            <w:r w:rsidRPr="00812509">
              <w:rPr>
                <w:rFonts w:asciiTheme="minorHAnsi" w:hAnsiTheme="minorHAnsi" w:cs="Franklin Gothic Book"/>
                <w:color w:val="000000"/>
                <w:szCs w:val="17"/>
              </w:rPr>
              <w:t>$</w:t>
            </w:r>
            <w:r>
              <w:rPr>
                <w:rFonts w:asciiTheme="minorHAnsi" w:hAnsiTheme="minorHAnsi" w:cs="Franklin Gothic Book"/>
                <w:color w:val="000000"/>
                <w:szCs w:val="17"/>
              </w:rPr>
              <w:t>14</w:t>
            </w:r>
            <w:r w:rsidRPr="00812509">
              <w:rPr>
                <w:rFonts w:asciiTheme="minorHAnsi" w:hAnsiTheme="minorHAnsi" w:cs="Franklin Gothic Book"/>
                <w:color w:val="000000"/>
                <w:szCs w:val="17"/>
              </w:rPr>
              <w:t>m</w:t>
            </w:r>
          </w:p>
        </w:tc>
        <w:tc>
          <w:tcPr>
            <w:tcW w:w="631" w:type="pct"/>
            <w:tcBorders>
              <w:top w:val="single" w:sz="2" w:space="0" w:color="65C5B4" w:themeColor="accent1"/>
            </w:tcBorders>
            <w:vAlign w:val="center"/>
          </w:tcPr>
          <w:p w14:paraId="38D5BC4F" w14:textId="77777777" w:rsidR="00C76D46" w:rsidRPr="00812509" w:rsidRDefault="00C76D46" w:rsidP="0035053B">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2014-2022</w:t>
            </w:r>
          </w:p>
        </w:tc>
        <w:tc>
          <w:tcPr>
            <w:tcW w:w="631" w:type="pct"/>
            <w:tcBorders>
              <w:top w:val="single" w:sz="2" w:space="0" w:color="65C5B4" w:themeColor="accent1"/>
            </w:tcBorders>
            <w:vAlign w:val="center"/>
          </w:tcPr>
          <w:p w14:paraId="7AA5F198" w14:textId="77777777" w:rsidR="00C76D46" w:rsidRPr="00812509" w:rsidRDefault="00C76D46" w:rsidP="0035053B">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90" w:type="pct"/>
            <w:tcBorders>
              <w:top w:val="single" w:sz="2" w:space="0" w:color="65C5B4" w:themeColor="accent1"/>
            </w:tcBorders>
            <w:shd w:val="clear" w:color="auto" w:fill="auto"/>
            <w:noWrap/>
          </w:tcPr>
          <w:p w14:paraId="4B325EB0" w14:textId="77777777" w:rsidR="00C76D46" w:rsidRPr="00812509" w:rsidRDefault="00C76D46" w:rsidP="0035053B">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5</w:t>
            </w:r>
          </w:p>
        </w:tc>
        <w:tc>
          <w:tcPr>
            <w:tcW w:w="390" w:type="pct"/>
            <w:tcBorders>
              <w:top w:val="single" w:sz="2" w:space="0" w:color="65C5B4" w:themeColor="accent1"/>
            </w:tcBorders>
            <w:shd w:val="clear" w:color="auto" w:fill="auto"/>
            <w:noWrap/>
          </w:tcPr>
          <w:p w14:paraId="66675330" w14:textId="77777777" w:rsidR="00C76D46" w:rsidRPr="00812509" w:rsidRDefault="00C76D46" w:rsidP="0035053B">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390" w:type="pct"/>
            <w:tcBorders>
              <w:top w:val="single" w:sz="2" w:space="0" w:color="65C5B4" w:themeColor="accent1"/>
            </w:tcBorders>
            <w:shd w:val="clear" w:color="auto" w:fill="auto"/>
            <w:noWrap/>
          </w:tcPr>
          <w:p w14:paraId="24EF3CB2" w14:textId="77777777" w:rsidR="00C76D46" w:rsidRPr="00812509" w:rsidRDefault="00C76D46" w:rsidP="0035053B">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r>
      <w:tr w:rsidR="00C76D46" w:rsidRPr="00812509" w14:paraId="6FAABE29" w14:textId="77777777" w:rsidTr="00525390">
        <w:trPr>
          <w:cnfStyle w:val="100000000000" w:firstRow="1" w:lastRow="0" w:firstColumn="0" w:lastColumn="0" w:oddVBand="0" w:evenVBand="0" w:oddHBand="0" w:evenHBand="0" w:firstRowFirstColumn="0" w:firstRowLastColumn="0" w:lastRowFirstColumn="0" w:lastRowLastColumn="0"/>
          <w:trHeight w:val="284"/>
        </w:trPr>
        <w:tc>
          <w:tcPr>
            <w:tcW w:w="1776" w:type="pct"/>
            <w:vAlign w:val="center"/>
          </w:tcPr>
          <w:p w14:paraId="33F5F06C" w14:textId="77777777" w:rsidR="00C76D46" w:rsidRPr="00E52D72" w:rsidRDefault="00C76D46" w:rsidP="0035053B">
            <w:pPr>
              <w:keepLines/>
              <w:spacing w:before="40" w:after="40" w:line="200" w:lineRule="atLeast"/>
              <w:rPr>
                <w:rFonts w:eastAsia="Times New Roman"/>
                <w:iCs/>
                <w:szCs w:val="17"/>
              </w:rPr>
            </w:pPr>
          </w:p>
        </w:tc>
        <w:tc>
          <w:tcPr>
            <w:tcW w:w="676" w:type="pct"/>
            <w:vAlign w:val="center"/>
          </w:tcPr>
          <w:p w14:paraId="7D153B2B" w14:textId="77777777" w:rsidR="00C76D46" w:rsidRPr="00812509" w:rsidRDefault="00C76D46" w:rsidP="0035053B">
            <w:pPr>
              <w:autoSpaceDE w:val="0"/>
              <w:autoSpaceDN w:val="0"/>
              <w:adjustRightInd w:val="0"/>
              <w:spacing w:before="40" w:after="40" w:line="240" w:lineRule="auto"/>
              <w:jc w:val="center"/>
              <w:rPr>
                <w:rFonts w:cs="Franklin Gothic Book"/>
                <w:color w:val="000000"/>
                <w:szCs w:val="17"/>
              </w:rPr>
            </w:pPr>
          </w:p>
        </w:tc>
        <w:tc>
          <w:tcPr>
            <w:tcW w:w="631" w:type="pct"/>
            <w:vAlign w:val="center"/>
          </w:tcPr>
          <w:p w14:paraId="328BDBF4" w14:textId="77777777" w:rsidR="00C76D46" w:rsidRPr="00812509" w:rsidRDefault="00C76D46" w:rsidP="0035053B">
            <w:pPr>
              <w:keepLines/>
              <w:spacing w:before="40" w:after="40" w:line="200" w:lineRule="atLeast"/>
              <w:jc w:val="center"/>
              <w:rPr>
                <w:rFonts w:eastAsia="Times New Roman"/>
                <w:iCs/>
                <w:szCs w:val="17"/>
              </w:rPr>
            </w:pPr>
          </w:p>
        </w:tc>
        <w:tc>
          <w:tcPr>
            <w:tcW w:w="631" w:type="pct"/>
            <w:tcBorders>
              <w:top w:val="single" w:sz="2" w:space="0" w:color="65C5B4" w:themeColor="accent1"/>
            </w:tcBorders>
            <w:vAlign w:val="center"/>
          </w:tcPr>
          <w:p w14:paraId="3A81F8E2" w14:textId="77777777" w:rsidR="00C76D46" w:rsidRPr="00812509" w:rsidRDefault="00C76D46" w:rsidP="0035053B">
            <w:pPr>
              <w:keepLines/>
              <w:spacing w:before="40" w:after="40" w:line="200" w:lineRule="atLeast"/>
              <w:jc w:val="center"/>
              <w:rPr>
                <w:rFonts w:eastAsia="Times New Roman"/>
                <w:iCs/>
                <w:szCs w:val="17"/>
              </w:rPr>
            </w:pPr>
            <w:r w:rsidRPr="00812509">
              <w:rPr>
                <w:rFonts w:asciiTheme="minorHAnsi" w:eastAsia="Times New Roman" w:hAnsiTheme="minorHAnsi"/>
                <w:iCs/>
                <w:szCs w:val="17"/>
                <w:lang w:eastAsia="en-US"/>
              </w:rPr>
              <w:t>20</w:t>
            </w:r>
            <w:r>
              <w:rPr>
                <w:rFonts w:asciiTheme="minorHAnsi" w:eastAsia="Times New Roman" w:hAnsiTheme="minorHAnsi"/>
                <w:iCs/>
                <w:szCs w:val="17"/>
                <w:lang w:eastAsia="en-US"/>
              </w:rPr>
              <w:t>20</w:t>
            </w:r>
            <w:r w:rsidRPr="00812509">
              <w:rPr>
                <w:rFonts w:asciiTheme="minorHAnsi" w:eastAsia="Times New Roman" w:hAnsiTheme="minorHAnsi"/>
                <w:iCs/>
                <w:szCs w:val="17"/>
                <w:lang w:eastAsia="en-US"/>
              </w:rPr>
              <w:t xml:space="preserve"> </w:t>
            </w:r>
            <w:r>
              <w:rPr>
                <w:rFonts w:asciiTheme="minorHAnsi" w:eastAsia="Times New Roman" w:hAnsiTheme="minorHAnsi"/>
                <w:iCs/>
                <w:szCs w:val="17"/>
                <w:lang w:eastAsia="en-US"/>
              </w:rPr>
              <w:t>AQC</w:t>
            </w:r>
          </w:p>
        </w:tc>
        <w:tc>
          <w:tcPr>
            <w:tcW w:w="390" w:type="pct"/>
            <w:tcBorders>
              <w:top w:val="single" w:sz="2" w:space="0" w:color="65C5B4" w:themeColor="accent1"/>
            </w:tcBorders>
            <w:shd w:val="clear" w:color="auto" w:fill="auto"/>
            <w:noWrap/>
          </w:tcPr>
          <w:p w14:paraId="2735B664" w14:textId="77777777" w:rsidR="00C76D46" w:rsidRPr="00826D50" w:rsidRDefault="00C76D46" w:rsidP="0035053B">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90" w:type="pct"/>
            <w:tcBorders>
              <w:top w:val="single" w:sz="2" w:space="0" w:color="65C5B4" w:themeColor="accent1"/>
            </w:tcBorders>
            <w:shd w:val="clear" w:color="auto" w:fill="auto"/>
            <w:noWrap/>
          </w:tcPr>
          <w:p w14:paraId="52A2EE52" w14:textId="77777777" w:rsidR="00C76D46" w:rsidRPr="00826D50" w:rsidRDefault="00C76D46" w:rsidP="0035053B">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90" w:type="pct"/>
            <w:tcBorders>
              <w:top w:val="single" w:sz="2" w:space="0" w:color="65C5B4" w:themeColor="accent1"/>
            </w:tcBorders>
            <w:shd w:val="clear" w:color="auto" w:fill="auto"/>
            <w:noWrap/>
          </w:tcPr>
          <w:p w14:paraId="4F9DB161" w14:textId="77777777" w:rsidR="00C76D46" w:rsidRPr="00826D50" w:rsidRDefault="00C76D46" w:rsidP="0035053B">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r>
      <w:tr w:rsidR="00C76D46" w:rsidRPr="00812509" w14:paraId="2A4AA34E" w14:textId="77777777" w:rsidTr="00525390">
        <w:trPr>
          <w:cnfStyle w:val="100000000000" w:firstRow="1" w:lastRow="0" w:firstColumn="0" w:lastColumn="0" w:oddVBand="0" w:evenVBand="0" w:oddHBand="0" w:evenHBand="0" w:firstRowFirstColumn="0" w:firstRowLastColumn="0" w:lastRowFirstColumn="0" w:lastRowLastColumn="0"/>
          <w:trHeight w:val="284"/>
        </w:trPr>
        <w:tc>
          <w:tcPr>
            <w:tcW w:w="1776" w:type="pct"/>
            <w:tcBorders>
              <w:top w:val="single" w:sz="2" w:space="0" w:color="65C5B4" w:themeColor="accent1"/>
            </w:tcBorders>
            <w:vAlign w:val="center"/>
          </w:tcPr>
          <w:p w14:paraId="044E28A1" w14:textId="77777777" w:rsidR="00C76D46" w:rsidRPr="00E52D72" w:rsidRDefault="00C76D46" w:rsidP="0035053B">
            <w:pPr>
              <w:keepLines/>
              <w:spacing w:before="40" w:after="40" w:line="200" w:lineRule="atLeast"/>
              <w:rPr>
                <w:rFonts w:eastAsia="Times New Roman"/>
                <w:iCs/>
                <w:szCs w:val="17"/>
              </w:rPr>
            </w:pPr>
            <w:r w:rsidRPr="00E52D72">
              <w:rPr>
                <w:rFonts w:asciiTheme="minorHAnsi" w:eastAsia="Times New Roman" w:hAnsiTheme="minorHAnsi"/>
                <w:iCs/>
                <w:szCs w:val="17"/>
                <w:lang w:eastAsia="en-US"/>
              </w:rPr>
              <w:t>Women in Work (</w:t>
            </w:r>
            <w:proofErr w:type="spellStart"/>
            <w:r w:rsidRPr="00E52D72">
              <w:rPr>
                <w:rFonts w:asciiTheme="minorHAnsi" w:eastAsia="Times New Roman" w:hAnsiTheme="minorHAnsi"/>
                <w:iCs/>
                <w:szCs w:val="17"/>
                <w:lang w:eastAsia="en-US"/>
              </w:rPr>
              <w:t>WiW</w:t>
            </w:r>
            <w:proofErr w:type="spellEnd"/>
            <w:r w:rsidRPr="00E52D72">
              <w:rPr>
                <w:rFonts w:asciiTheme="minorHAnsi" w:eastAsia="Times New Roman" w:hAnsiTheme="minorHAnsi"/>
                <w:iCs/>
                <w:szCs w:val="17"/>
                <w:lang w:eastAsia="en-US"/>
              </w:rPr>
              <w:t>)</w:t>
            </w:r>
          </w:p>
        </w:tc>
        <w:tc>
          <w:tcPr>
            <w:tcW w:w="676" w:type="pct"/>
            <w:tcBorders>
              <w:top w:val="single" w:sz="2" w:space="0" w:color="65C5B4" w:themeColor="accent1"/>
            </w:tcBorders>
            <w:vAlign w:val="center"/>
          </w:tcPr>
          <w:p w14:paraId="4579542C" w14:textId="77777777" w:rsidR="00C76D46" w:rsidRPr="00812509" w:rsidRDefault="00C76D46" w:rsidP="0035053B">
            <w:pPr>
              <w:autoSpaceDE w:val="0"/>
              <w:autoSpaceDN w:val="0"/>
              <w:adjustRightInd w:val="0"/>
              <w:spacing w:before="40" w:after="40" w:line="240" w:lineRule="auto"/>
              <w:jc w:val="center"/>
              <w:rPr>
                <w:rFonts w:cs="Franklin Gothic Book"/>
                <w:color w:val="000000"/>
                <w:szCs w:val="17"/>
              </w:rPr>
            </w:pPr>
            <w:r w:rsidRPr="00702F40">
              <w:rPr>
                <w:rFonts w:asciiTheme="minorHAnsi" w:hAnsiTheme="minorHAnsi" w:cs="Franklin Gothic Book"/>
                <w:color w:val="000000"/>
                <w:szCs w:val="17"/>
              </w:rPr>
              <w:t>$15m</w:t>
            </w:r>
          </w:p>
        </w:tc>
        <w:tc>
          <w:tcPr>
            <w:tcW w:w="631" w:type="pct"/>
            <w:tcBorders>
              <w:top w:val="single" w:sz="2" w:space="0" w:color="65C5B4" w:themeColor="accent1"/>
            </w:tcBorders>
            <w:vAlign w:val="center"/>
          </w:tcPr>
          <w:p w14:paraId="5A9EF1DA" w14:textId="77777777" w:rsidR="00C76D46" w:rsidRPr="00812509" w:rsidRDefault="00C76D46" w:rsidP="0035053B">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2015-2021</w:t>
            </w:r>
          </w:p>
        </w:tc>
        <w:tc>
          <w:tcPr>
            <w:tcW w:w="631" w:type="pct"/>
            <w:tcBorders>
              <w:top w:val="single" w:sz="2" w:space="0" w:color="65C5B4" w:themeColor="accent1"/>
            </w:tcBorders>
            <w:vAlign w:val="center"/>
          </w:tcPr>
          <w:p w14:paraId="1EB1182E" w14:textId="77777777" w:rsidR="00C76D46" w:rsidRPr="00812509" w:rsidRDefault="00C76D46" w:rsidP="0035053B">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90" w:type="pct"/>
            <w:tcBorders>
              <w:top w:val="single" w:sz="2" w:space="0" w:color="65C5B4" w:themeColor="accent1"/>
            </w:tcBorders>
            <w:shd w:val="clear" w:color="auto" w:fill="auto"/>
            <w:noWrap/>
          </w:tcPr>
          <w:p w14:paraId="0AF96A57" w14:textId="77777777" w:rsidR="00C76D46" w:rsidRPr="00826D50" w:rsidRDefault="00C76D46" w:rsidP="0035053B">
            <w:pPr>
              <w:keepLines/>
              <w:spacing w:before="40" w:after="40" w:line="200" w:lineRule="atLeast"/>
              <w:jc w:val="center"/>
              <w:rPr>
                <w:rFonts w:asciiTheme="minorHAnsi" w:eastAsia="Times New Roman" w:hAnsiTheme="minorHAnsi"/>
                <w:iCs/>
                <w:szCs w:val="17"/>
                <w:lang w:eastAsia="en-US"/>
              </w:rPr>
            </w:pPr>
            <w:r w:rsidRPr="00826D50">
              <w:rPr>
                <w:rFonts w:asciiTheme="minorHAnsi" w:eastAsia="Times New Roman" w:hAnsiTheme="minorHAnsi"/>
                <w:iCs/>
                <w:szCs w:val="17"/>
                <w:lang w:eastAsia="en-US"/>
              </w:rPr>
              <w:t>3</w:t>
            </w:r>
          </w:p>
        </w:tc>
        <w:tc>
          <w:tcPr>
            <w:tcW w:w="390" w:type="pct"/>
            <w:tcBorders>
              <w:top w:val="single" w:sz="2" w:space="0" w:color="65C5B4" w:themeColor="accent1"/>
            </w:tcBorders>
            <w:shd w:val="clear" w:color="auto" w:fill="auto"/>
            <w:noWrap/>
          </w:tcPr>
          <w:p w14:paraId="1D7145FA" w14:textId="77777777" w:rsidR="00C76D46" w:rsidRPr="00826D50" w:rsidRDefault="00C76D46" w:rsidP="0035053B">
            <w:pPr>
              <w:keepLines/>
              <w:spacing w:before="40" w:after="40" w:line="200" w:lineRule="atLeast"/>
              <w:jc w:val="center"/>
              <w:rPr>
                <w:rFonts w:asciiTheme="minorHAnsi" w:eastAsia="Times New Roman" w:hAnsiTheme="minorHAnsi"/>
                <w:iCs/>
                <w:szCs w:val="17"/>
                <w:lang w:eastAsia="en-US"/>
              </w:rPr>
            </w:pPr>
            <w:r w:rsidRPr="00826D50">
              <w:rPr>
                <w:rFonts w:asciiTheme="minorHAnsi" w:eastAsia="Times New Roman" w:hAnsiTheme="minorHAnsi"/>
                <w:iCs/>
                <w:szCs w:val="17"/>
                <w:lang w:eastAsia="en-US"/>
              </w:rPr>
              <w:t>3</w:t>
            </w:r>
          </w:p>
        </w:tc>
        <w:tc>
          <w:tcPr>
            <w:tcW w:w="390" w:type="pct"/>
            <w:tcBorders>
              <w:top w:val="single" w:sz="2" w:space="0" w:color="65C5B4" w:themeColor="accent1"/>
            </w:tcBorders>
            <w:shd w:val="clear" w:color="auto" w:fill="auto"/>
            <w:noWrap/>
          </w:tcPr>
          <w:p w14:paraId="1D964E68" w14:textId="77777777" w:rsidR="00C76D46" w:rsidRPr="00826D50" w:rsidRDefault="00C76D46" w:rsidP="0035053B">
            <w:pPr>
              <w:keepLines/>
              <w:spacing w:before="40" w:after="40" w:line="200" w:lineRule="atLeast"/>
              <w:jc w:val="center"/>
              <w:rPr>
                <w:rFonts w:asciiTheme="minorHAnsi" w:eastAsia="Times New Roman" w:hAnsiTheme="minorHAnsi"/>
                <w:iCs/>
                <w:szCs w:val="17"/>
                <w:lang w:eastAsia="en-US"/>
              </w:rPr>
            </w:pPr>
            <w:r w:rsidRPr="00826D50">
              <w:rPr>
                <w:rFonts w:asciiTheme="minorHAnsi" w:eastAsia="Times New Roman" w:hAnsiTheme="minorHAnsi"/>
                <w:iCs/>
                <w:szCs w:val="17"/>
                <w:lang w:eastAsia="en-US"/>
              </w:rPr>
              <w:t>3</w:t>
            </w:r>
          </w:p>
        </w:tc>
      </w:tr>
      <w:tr w:rsidR="00C76D46" w:rsidRPr="00812509" w14:paraId="71666937" w14:textId="77777777" w:rsidTr="00A3293A">
        <w:trPr>
          <w:cnfStyle w:val="100000000000" w:firstRow="1" w:lastRow="0" w:firstColumn="0" w:lastColumn="0" w:oddVBand="0" w:evenVBand="0" w:oddHBand="0" w:evenHBand="0" w:firstRowFirstColumn="0" w:firstRowLastColumn="0" w:lastRowFirstColumn="0" w:lastRowLastColumn="0"/>
          <w:trHeight w:val="284"/>
        </w:trPr>
        <w:tc>
          <w:tcPr>
            <w:tcW w:w="1776" w:type="pct"/>
          </w:tcPr>
          <w:p w14:paraId="0C67B1AB" w14:textId="77777777" w:rsidR="00C76D46" w:rsidRDefault="00C76D46" w:rsidP="0035053B">
            <w:pPr>
              <w:keepLines/>
              <w:spacing w:before="40" w:after="40" w:line="200" w:lineRule="atLeast"/>
              <w:rPr>
                <w:rFonts w:eastAsia="Times New Roman"/>
                <w:iCs/>
                <w:szCs w:val="17"/>
              </w:rPr>
            </w:pPr>
          </w:p>
        </w:tc>
        <w:tc>
          <w:tcPr>
            <w:tcW w:w="676" w:type="pct"/>
          </w:tcPr>
          <w:p w14:paraId="0117A7CB" w14:textId="77777777" w:rsidR="00C76D46" w:rsidRPr="00812509" w:rsidRDefault="00C76D46" w:rsidP="0035053B">
            <w:pPr>
              <w:autoSpaceDE w:val="0"/>
              <w:autoSpaceDN w:val="0"/>
              <w:adjustRightInd w:val="0"/>
              <w:spacing w:before="40" w:after="40" w:line="240" w:lineRule="auto"/>
              <w:rPr>
                <w:rFonts w:cs="Franklin Gothic Book"/>
                <w:color w:val="000000"/>
                <w:szCs w:val="17"/>
              </w:rPr>
            </w:pPr>
          </w:p>
        </w:tc>
        <w:tc>
          <w:tcPr>
            <w:tcW w:w="631" w:type="pct"/>
          </w:tcPr>
          <w:p w14:paraId="038CD2D8" w14:textId="77777777" w:rsidR="00C76D46" w:rsidRPr="00812509" w:rsidRDefault="00C76D46" w:rsidP="0035053B">
            <w:pPr>
              <w:keepLines/>
              <w:spacing w:before="40" w:after="40" w:line="200" w:lineRule="atLeast"/>
              <w:rPr>
                <w:rFonts w:eastAsia="Times New Roman"/>
                <w:iCs/>
                <w:szCs w:val="17"/>
              </w:rPr>
            </w:pPr>
          </w:p>
        </w:tc>
        <w:tc>
          <w:tcPr>
            <w:tcW w:w="631" w:type="pct"/>
            <w:tcBorders>
              <w:top w:val="single" w:sz="2" w:space="0" w:color="65C5B4" w:themeColor="accent1"/>
            </w:tcBorders>
            <w:vAlign w:val="center"/>
          </w:tcPr>
          <w:p w14:paraId="4C814F82" w14:textId="77777777" w:rsidR="00C76D46" w:rsidRPr="00812509" w:rsidRDefault="00C76D46" w:rsidP="0035053B">
            <w:pPr>
              <w:keepLines/>
              <w:spacing w:before="40" w:after="40" w:line="200" w:lineRule="atLeast"/>
              <w:jc w:val="center"/>
              <w:rPr>
                <w:rFonts w:eastAsia="Times New Roman"/>
                <w:iCs/>
                <w:szCs w:val="17"/>
              </w:rPr>
            </w:pPr>
            <w:r w:rsidRPr="00812509">
              <w:rPr>
                <w:rFonts w:asciiTheme="minorHAnsi" w:eastAsia="Times New Roman" w:hAnsiTheme="minorHAnsi"/>
                <w:iCs/>
                <w:szCs w:val="17"/>
                <w:lang w:eastAsia="en-US"/>
              </w:rPr>
              <w:t>20</w:t>
            </w:r>
            <w:r>
              <w:rPr>
                <w:rFonts w:asciiTheme="minorHAnsi" w:eastAsia="Times New Roman" w:hAnsiTheme="minorHAnsi"/>
                <w:iCs/>
                <w:szCs w:val="17"/>
                <w:lang w:eastAsia="en-US"/>
              </w:rPr>
              <w:t>20</w:t>
            </w:r>
            <w:r w:rsidRPr="00812509">
              <w:rPr>
                <w:rFonts w:asciiTheme="minorHAnsi" w:eastAsia="Times New Roman" w:hAnsiTheme="minorHAnsi"/>
                <w:iCs/>
                <w:szCs w:val="17"/>
                <w:lang w:eastAsia="en-US"/>
              </w:rPr>
              <w:t xml:space="preserve"> </w:t>
            </w:r>
            <w:r>
              <w:rPr>
                <w:rFonts w:asciiTheme="minorHAnsi" w:eastAsia="Times New Roman" w:hAnsiTheme="minorHAnsi"/>
                <w:iCs/>
                <w:szCs w:val="17"/>
                <w:lang w:eastAsia="en-US"/>
              </w:rPr>
              <w:t>AQC</w:t>
            </w:r>
          </w:p>
        </w:tc>
        <w:tc>
          <w:tcPr>
            <w:tcW w:w="390" w:type="pct"/>
            <w:tcBorders>
              <w:top w:val="single" w:sz="2" w:space="0" w:color="65C5B4" w:themeColor="accent1"/>
            </w:tcBorders>
            <w:shd w:val="clear" w:color="auto" w:fill="auto"/>
            <w:noWrap/>
          </w:tcPr>
          <w:p w14:paraId="17D4058E" w14:textId="77777777" w:rsidR="00C76D46" w:rsidRPr="00826D50" w:rsidRDefault="00C76D46" w:rsidP="0035053B">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90" w:type="pct"/>
            <w:tcBorders>
              <w:top w:val="single" w:sz="2" w:space="0" w:color="65C5B4" w:themeColor="accent1"/>
            </w:tcBorders>
            <w:shd w:val="clear" w:color="auto" w:fill="auto"/>
            <w:noWrap/>
          </w:tcPr>
          <w:p w14:paraId="3BE5CC36" w14:textId="77777777" w:rsidR="00C76D46" w:rsidRPr="00826D50" w:rsidRDefault="00C76D46" w:rsidP="0035053B">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390" w:type="pct"/>
            <w:tcBorders>
              <w:top w:val="single" w:sz="2" w:space="0" w:color="65C5B4" w:themeColor="accent1"/>
            </w:tcBorders>
            <w:shd w:val="clear" w:color="auto" w:fill="auto"/>
            <w:noWrap/>
          </w:tcPr>
          <w:p w14:paraId="79D81339" w14:textId="77777777" w:rsidR="00C76D46" w:rsidRPr="00826D50" w:rsidRDefault="00C76D46" w:rsidP="0035053B">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r>
      <w:tr w:rsidR="00A3293A" w:rsidRPr="00812509" w14:paraId="06055A6C" w14:textId="77777777" w:rsidTr="00A3293A">
        <w:trPr>
          <w:cnfStyle w:val="100000000000" w:firstRow="1" w:lastRow="0" w:firstColumn="0" w:lastColumn="0" w:oddVBand="0" w:evenVBand="0" w:oddHBand="0" w:evenHBand="0" w:firstRowFirstColumn="0" w:firstRowLastColumn="0" w:lastRowFirstColumn="0" w:lastRowLastColumn="0"/>
          <w:trHeight w:val="143"/>
        </w:trPr>
        <w:tc>
          <w:tcPr>
            <w:tcW w:w="1776" w:type="pct"/>
            <w:tcBorders>
              <w:top w:val="single" w:sz="2" w:space="0" w:color="65C5B4" w:themeColor="accent1"/>
            </w:tcBorders>
          </w:tcPr>
          <w:p w14:paraId="77427B8F" w14:textId="7913A3AD" w:rsidR="00A3293A" w:rsidRDefault="00A3293A" w:rsidP="0076468F">
            <w:pPr>
              <w:keepLines/>
              <w:spacing w:before="40" w:after="40" w:line="200" w:lineRule="atLeast"/>
              <w:rPr>
                <w:rFonts w:eastAsia="Times New Roman"/>
                <w:iCs/>
                <w:szCs w:val="17"/>
              </w:rPr>
            </w:pPr>
            <w:r>
              <w:rPr>
                <w:rFonts w:eastAsia="Times New Roman"/>
                <w:iCs/>
                <w:szCs w:val="17"/>
              </w:rPr>
              <w:t>Reconciliation Package</w:t>
            </w:r>
          </w:p>
        </w:tc>
        <w:tc>
          <w:tcPr>
            <w:tcW w:w="676" w:type="pct"/>
            <w:tcBorders>
              <w:top w:val="single" w:sz="2" w:space="0" w:color="65C5B4" w:themeColor="accent1"/>
            </w:tcBorders>
            <w:vAlign w:val="center"/>
          </w:tcPr>
          <w:p w14:paraId="4C8B1EE0" w14:textId="24B7C031" w:rsidR="00A3293A" w:rsidRPr="00812509" w:rsidRDefault="00A3293A" w:rsidP="0076468F">
            <w:pPr>
              <w:autoSpaceDE w:val="0"/>
              <w:autoSpaceDN w:val="0"/>
              <w:adjustRightInd w:val="0"/>
              <w:spacing w:before="40" w:after="40" w:line="240" w:lineRule="auto"/>
              <w:jc w:val="center"/>
              <w:rPr>
                <w:rFonts w:cs="Franklin Gothic Book"/>
                <w:color w:val="000000"/>
                <w:szCs w:val="17"/>
              </w:rPr>
            </w:pPr>
            <w:r w:rsidRPr="00702F40">
              <w:rPr>
                <w:rFonts w:asciiTheme="minorHAnsi" w:hAnsiTheme="minorHAnsi" w:cs="Franklin Gothic Book"/>
                <w:color w:val="000000"/>
                <w:szCs w:val="17"/>
              </w:rPr>
              <w:t>$</w:t>
            </w:r>
            <w:r>
              <w:rPr>
                <w:rFonts w:asciiTheme="minorHAnsi" w:hAnsiTheme="minorHAnsi" w:cs="Franklin Gothic Book"/>
                <w:color w:val="000000"/>
                <w:szCs w:val="17"/>
              </w:rPr>
              <w:t>8</w:t>
            </w:r>
            <w:r w:rsidRPr="00702F40">
              <w:rPr>
                <w:rFonts w:asciiTheme="minorHAnsi" w:hAnsiTheme="minorHAnsi" w:cs="Franklin Gothic Book"/>
                <w:color w:val="000000"/>
                <w:szCs w:val="17"/>
              </w:rPr>
              <w:t>m</w:t>
            </w:r>
          </w:p>
        </w:tc>
        <w:tc>
          <w:tcPr>
            <w:tcW w:w="631" w:type="pct"/>
            <w:tcBorders>
              <w:top w:val="single" w:sz="2" w:space="0" w:color="65C5B4" w:themeColor="accent1"/>
            </w:tcBorders>
            <w:vAlign w:val="center"/>
          </w:tcPr>
          <w:p w14:paraId="102C5005" w14:textId="2C07F65D" w:rsidR="00A3293A" w:rsidRPr="00812509" w:rsidRDefault="00A3293A" w:rsidP="0076468F">
            <w:pPr>
              <w:keepLines/>
              <w:spacing w:before="40" w:after="40" w:line="200" w:lineRule="atLeast"/>
              <w:rPr>
                <w:rFonts w:eastAsia="Times New Roman"/>
                <w:iCs/>
                <w:szCs w:val="17"/>
              </w:rPr>
            </w:pPr>
            <w:r>
              <w:rPr>
                <w:rFonts w:asciiTheme="minorHAnsi" w:eastAsia="Times New Roman" w:hAnsiTheme="minorHAnsi"/>
                <w:iCs/>
                <w:szCs w:val="17"/>
                <w:lang w:eastAsia="en-US"/>
              </w:rPr>
              <w:t>2015-2022</w:t>
            </w:r>
          </w:p>
        </w:tc>
        <w:tc>
          <w:tcPr>
            <w:tcW w:w="631" w:type="pct"/>
            <w:tcBorders>
              <w:top w:val="single" w:sz="2" w:space="0" w:color="65C5B4" w:themeColor="accent1"/>
            </w:tcBorders>
            <w:vAlign w:val="center"/>
          </w:tcPr>
          <w:p w14:paraId="0F067EBA" w14:textId="090EEA64" w:rsidR="00A3293A" w:rsidRPr="00812509" w:rsidRDefault="00A3293A" w:rsidP="0076468F">
            <w:pPr>
              <w:keepLines/>
              <w:spacing w:before="40" w:after="40" w:line="200" w:lineRule="atLeast"/>
              <w:jc w:val="center"/>
              <w:rPr>
                <w:rFonts w:eastAsia="Times New Roman"/>
                <w:iCs/>
                <w:szCs w:val="17"/>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90" w:type="pct"/>
            <w:tcBorders>
              <w:top w:val="single" w:sz="2" w:space="0" w:color="65C5B4" w:themeColor="accent1"/>
            </w:tcBorders>
            <w:shd w:val="clear" w:color="auto" w:fill="auto"/>
            <w:noWrap/>
          </w:tcPr>
          <w:p w14:paraId="07384DD0" w14:textId="622822F9" w:rsidR="00A3293A" w:rsidRDefault="00A3293A" w:rsidP="0076468F">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n/a</w:t>
            </w:r>
          </w:p>
        </w:tc>
        <w:tc>
          <w:tcPr>
            <w:tcW w:w="390" w:type="pct"/>
            <w:tcBorders>
              <w:top w:val="single" w:sz="2" w:space="0" w:color="65C5B4" w:themeColor="accent1"/>
            </w:tcBorders>
            <w:shd w:val="clear" w:color="auto" w:fill="auto"/>
            <w:noWrap/>
          </w:tcPr>
          <w:p w14:paraId="160DC66F" w14:textId="7FB2FD71" w:rsidR="00A3293A" w:rsidRDefault="00A3293A" w:rsidP="0076468F">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n/a</w:t>
            </w:r>
          </w:p>
        </w:tc>
        <w:tc>
          <w:tcPr>
            <w:tcW w:w="390" w:type="pct"/>
            <w:tcBorders>
              <w:top w:val="single" w:sz="2" w:space="0" w:color="65C5B4" w:themeColor="accent1"/>
            </w:tcBorders>
            <w:shd w:val="clear" w:color="auto" w:fill="auto"/>
            <w:noWrap/>
          </w:tcPr>
          <w:p w14:paraId="298247B3" w14:textId="44309984" w:rsidR="00A3293A" w:rsidRDefault="00A3293A" w:rsidP="0076468F">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n/a</w:t>
            </w:r>
          </w:p>
        </w:tc>
      </w:tr>
      <w:tr w:rsidR="0076468F" w:rsidRPr="00812509" w14:paraId="130417E7" w14:textId="77777777" w:rsidTr="00A3293A">
        <w:trPr>
          <w:cnfStyle w:val="100000000000" w:firstRow="1" w:lastRow="0" w:firstColumn="0" w:lastColumn="0" w:oddVBand="0" w:evenVBand="0" w:oddHBand="0" w:evenHBand="0" w:firstRowFirstColumn="0" w:firstRowLastColumn="0" w:lastRowFirstColumn="0" w:lastRowLastColumn="0"/>
          <w:trHeight w:val="284"/>
        </w:trPr>
        <w:tc>
          <w:tcPr>
            <w:tcW w:w="1776" w:type="pct"/>
          </w:tcPr>
          <w:p w14:paraId="57F49C1F" w14:textId="77777777" w:rsidR="0076468F" w:rsidRDefault="0076468F" w:rsidP="0076468F">
            <w:pPr>
              <w:keepLines/>
              <w:spacing w:before="40" w:after="40" w:line="200" w:lineRule="atLeast"/>
              <w:rPr>
                <w:rFonts w:eastAsia="Times New Roman"/>
                <w:iCs/>
                <w:szCs w:val="17"/>
              </w:rPr>
            </w:pPr>
          </w:p>
        </w:tc>
        <w:tc>
          <w:tcPr>
            <w:tcW w:w="676" w:type="pct"/>
          </w:tcPr>
          <w:p w14:paraId="5E162A0D" w14:textId="77777777" w:rsidR="0076468F" w:rsidRPr="00702F40" w:rsidRDefault="0076468F" w:rsidP="0076468F">
            <w:pPr>
              <w:autoSpaceDE w:val="0"/>
              <w:autoSpaceDN w:val="0"/>
              <w:adjustRightInd w:val="0"/>
              <w:spacing w:before="40" w:after="40" w:line="240" w:lineRule="auto"/>
              <w:rPr>
                <w:rFonts w:cs="Franklin Gothic Book"/>
                <w:color w:val="000000"/>
                <w:szCs w:val="17"/>
              </w:rPr>
            </w:pPr>
          </w:p>
        </w:tc>
        <w:tc>
          <w:tcPr>
            <w:tcW w:w="631" w:type="pct"/>
          </w:tcPr>
          <w:p w14:paraId="13582EEF" w14:textId="77777777" w:rsidR="0076468F" w:rsidRDefault="0076468F" w:rsidP="0076468F">
            <w:pPr>
              <w:keepLines/>
              <w:spacing w:before="40" w:after="40" w:line="200" w:lineRule="atLeast"/>
              <w:rPr>
                <w:rFonts w:eastAsia="Times New Roman"/>
                <w:iCs/>
                <w:szCs w:val="17"/>
              </w:rPr>
            </w:pPr>
          </w:p>
        </w:tc>
        <w:tc>
          <w:tcPr>
            <w:tcW w:w="631" w:type="pct"/>
            <w:tcBorders>
              <w:top w:val="single" w:sz="2" w:space="0" w:color="65C5B4" w:themeColor="accent1"/>
            </w:tcBorders>
            <w:vAlign w:val="center"/>
          </w:tcPr>
          <w:p w14:paraId="390D441E" w14:textId="1F15B709" w:rsidR="0076468F" w:rsidRPr="00812509" w:rsidRDefault="0076468F" w:rsidP="0076468F">
            <w:pPr>
              <w:keepLines/>
              <w:spacing w:before="40" w:after="40" w:line="200" w:lineRule="atLeast"/>
              <w:jc w:val="center"/>
              <w:rPr>
                <w:rFonts w:eastAsia="Times New Roman"/>
                <w:iCs/>
                <w:szCs w:val="17"/>
              </w:rPr>
            </w:pPr>
            <w:r w:rsidRPr="00812509">
              <w:rPr>
                <w:rFonts w:asciiTheme="minorHAnsi" w:eastAsia="Times New Roman" w:hAnsiTheme="minorHAnsi"/>
                <w:iCs/>
                <w:szCs w:val="17"/>
                <w:lang w:eastAsia="en-US"/>
              </w:rPr>
              <w:t>20</w:t>
            </w:r>
            <w:r>
              <w:rPr>
                <w:rFonts w:asciiTheme="minorHAnsi" w:eastAsia="Times New Roman" w:hAnsiTheme="minorHAnsi"/>
                <w:iCs/>
                <w:szCs w:val="17"/>
                <w:lang w:eastAsia="en-US"/>
              </w:rPr>
              <w:t>20</w:t>
            </w:r>
            <w:r w:rsidRPr="00812509">
              <w:rPr>
                <w:rFonts w:asciiTheme="minorHAnsi" w:eastAsia="Times New Roman" w:hAnsiTheme="minorHAnsi"/>
                <w:iCs/>
                <w:szCs w:val="17"/>
                <w:lang w:eastAsia="en-US"/>
              </w:rPr>
              <w:t xml:space="preserve"> </w:t>
            </w:r>
            <w:r>
              <w:rPr>
                <w:rFonts w:asciiTheme="minorHAnsi" w:eastAsia="Times New Roman" w:hAnsiTheme="minorHAnsi"/>
                <w:iCs/>
                <w:szCs w:val="17"/>
                <w:lang w:eastAsia="en-US"/>
              </w:rPr>
              <w:t>AQC</w:t>
            </w:r>
          </w:p>
        </w:tc>
        <w:tc>
          <w:tcPr>
            <w:tcW w:w="390" w:type="pct"/>
            <w:tcBorders>
              <w:top w:val="single" w:sz="2" w:space="0" w:color="65C5B4" w:themeColor="accent1"/>
            </w:tcBorders>
            <w:shd w:val="clear" w:color="auto" w:fill="auto"/>
            <w:noWrap/>
          </w:tcPr>
          <w:p w14:paraId="4CFAFCB4" w14:textId="1F1B9E00" w:rsidR="0076468F" w:rsidRPr="00826D50" w:rsidRDefault="0076468F" w:rsidP="0076468F">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4</w:t>
            </w:r>
          </w:p>
        </w:tc>
        <w:tc>
          <w:tcPr>
            <w:tcW w:w="390" w:type="pct"/>
            <w:tcBorders>
              <w:top w:val="single" w:sz="2" w:space="0" w:color="65C5B4" w:themeColor="accent1"/>
            </w:tcBorders>
            <w:shd w:val="clear" w:color="auto" w:fill="auto"/>
            <w:noWrap/>
          </w:tcPr>
          <w:p w14:paraId="53BD5C02" w14:textId="65F0CC35" w:rsidR="0076468F" w:rsidRPr="00826D50" w:rsidRDefault="0076468F" w:rsidP="0076468F">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4</w:t>
            </w:r>
          </w:p>
        </w:tc>
        <w:tc>
          <w:tcPr>
            <w:tcW w:w="390" w:type="pct"/>
            <w:tcBorders>
              <w:top w:val="single" w:sz="2" w:space="0" w:color="65C5B4" w:themeColor="accent1"/>
            </w:tcBorders>
            <w:shd w:val="clear" w:color="auto" w:fill="auto"/>
            <w:noWrap/>
          </w:tcPr>
          <w:p w14:paraId="227F91AB" w14:textId="07DBFE5F" w:rsidR="0076468F" w:rsidRPr="00826D50" w:rsidRDefault="0076468F" w:rsidP="0076468F">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4</w:t>
            </w:r>
          </w:p>
        </w:tc>
      </w:tr>
    </w:tbl>
    <w:p w14:paraId="00DF5866" w14:textId="02F81AC4" w:rsidR="00C76D46" w:rsidRPr="00532F71" w:rsidRDefault="00C76D46" w:rsidP="00C76D46"/>
    <w:p w14:paraId="134EE672" w14:textId="77777777" w:rsidR="00C76D46" w:rsidRDefault="00C76D46" w:rsidP="00C76D46">
      <w:pPr>
        <w:pStyle w:val="Heading3"/>
        <w:rPr>
          <w:rFonts w:eastAsia="Times New Roman"/>
        </w:rPr>
      </w:pPr>
      <w:r w:rsidRPr="00D03BF3">
        <w:rPr>
          <w:rFonts w:eastAsia="Times New Roman"/>
        </w:rPr>
        <w:t>H</w:t>
      </w:r>
      <w:r>
        <w:rPr>
          <w:rFonts w:eastAsia="Times New Roman"/>
        </w:rPr>
        <w:t>umanitarian Investment Monitoring Report ratings</w:t>
      </w:r>
      <w:bookmarkStart w:id="0" w:name="_GoBack"/>
      <w:bookmarkEnd w:id="0"/>
    </w:p>
    <w:tbl>
      <w:tblPr>
        <w:tblStyle w:val="APPR"/>
        <w:tblW w:w="5000" w:type="pct"/>
        <w:tblBorders>
          <w:top w:val="single" w:sz="18" w:space="0" w:color="65C5B4" w:themeColor="accent1"/>
          <w:bottom w:val="single" w:sz="18" w:space="0" w:color="65C5B4" w:themeColor="accent1"/>
        </w:tblBorders>
        <w:tblLook w:val="0020" w:firstRow="1" w:lastRow="0" w:firstColumn="0" w:lastColumn="0" w:noHBand="0" w:noVBand="0"/>
      </w:tblPr>
      <w:tblGrid>
        <w:gridCol w:w="3466"/>
        <w:gridCol w:w="1332"/>
        <w:gridCol w:w="1245"/>
        <w:gridCol w:w="1244"/>
        <w:gridCol w:w="779"/>
        <w:gridCol w:w="779"/>
        <w:gridCol w:w="793"/>
      </w:tblGrid>
      <w:tr w:rsidR="00C76D46" w:rsidRPr="00812509" w14:paraId="15C5B90F" w14:textId="77777777" w:rsidTr="00525390">
        <w:trPr>
          <w:cnfStyle w:val="100000000000" w:firstRow="1" w:lastRow="0" w:firstColumn="0" w:lastColumn="0" w:oddVBand="0" w:evenVBand="0" w:oddHBand="0" w:evenHBand="0" w:firstRowFirstColumn="0" w:firstRowLastColumn="0" w:lastRowFirstColumn="0" w:lastRowLastColumn="0"/>
          <w:trHeight w:val="1413"/>
        </w:trPr>
        <w:tc>
          <w:tcPr>
            <w:tcW w:w="1776" w:type="pct"/>
          </w:tcPr>
          <w:p w14:paraId="54EB6F64" w14:textId="77777777" w:rsidR="00C76D46" w:rsidRPr="00812509" w:rsidRDefault="00C76D46" w:rsidP="0035053B">
            <w:pPr>
              <w:keepLines/>
              <w:spacing w:before="80" w:after="80" w:line="200" w:lineRule="atLeast"/>
              <w:rPr>
                <w:rFonts w:asciiTheme="minorHAnsi" w:eastAsia="Times New Roman" w:hAnsiTheme="minorHAnsi"/>
                <w:b w:val="0"/>
                <w:iCs/>
                <w:szCs w:val="17"/>
                <w:lang w:eastAsia="en-US"/>
              </w:rPr>
            </w:pPr>
            <w:r w:rsidRPr="00812509">
              <w:rPr>
                <w:rFonts w:eastAsia="Times New Roman"/>
                <w:iCs/>
                <w:noProof/>
                <w:szCs w:val="17"/>
                <w:lang w:val="en-AU"/>
              </w:rPr>
              <w:drawing>
                <wp:anchor distT="0" distB="0" distL="114300" distR="114300" simplePos="0" relativeHeight="251660288" behindDoc="0" locked="0" layoutInCell="1" allowOverlap="1" wp14:anchorId="5364883F" wp14:editId="42D38CE5">
                  <wp:simplePos x="0" y="0"/>
                  <wp:positionH relativeFrom="column">
                    <wp:posOffset>0</wp:posOffset>
                  </wp:positionH>
                  <wp:positionV relativeFrom="paragraph">
                    <wp:posOffset>0</wp:posOffset>
                  </wp:positionV>
                  <wp:extent cx="1857375" cy="228600"/>
                  <wp:effectExtent l="0" t="0" r="9525" b="0"/>
                  <wp:wrapNone/>
                  <wp:docPr id="3" name="Picture 3"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52D72">
              <w:rPr>
                <w:rFonts w:asciiTheme="minorHAnsi" w:eastAsia="Times New Roman" w:hAnsiTheme="minorHAnsi"/>
                <w:iCs/>
                <w:szCs w:val="17"/>
                <w:lang w:eastAsia="en-US"/>
              </w:rPr>
              <w:t>Investment name</w:t>
            </w:r>
          </w:p>
        </w:tc>
        <w:tc>
          <w:tcPr>
            <w:tcW w:w="676" w:type="pct"/>
            <w:textDirection w:val="btLr"/>
            <w:vAlign w:val="center"/>
          </w:tcPr>
          <w:p w14:paraId="671D3BB6" w14:textId="77777777" w:rsidR="00C76D46" w:rsidRPr="00812509" w:rsidRDefault="00C76D46" w:rsidP="0035053B">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Approved budget and duration</w:t>
            </w:r>
          </w:p>
        </w:tc>
        <w:tc>
          <w:tcPr>
            <w:tcW w:w="631" w:type="pct"/>
            <w:textDirection w:val="btLr"/>
            <w:vAlign w:val="center"/>
          </w:tcPr>
          <w:p w14:paraId="67889852" w14:textId="77777777" w:rsidR="00C76D46" w:rsidRPr="00812509" w:rsidRDefault="00C76D46" w:rsidP="0035053B">
            <w:pPr>
              <w:keepLines/>
              <w:spacing w:before="80" w:after="80" w:line="200" w:lineRule="atLeast"/>
              <w:rPr>
                <w:rFonts w:eastAsia="Times New Roman"/>
                <w:b w:val="0"/>
                <w:iCs/>
                <w:szCs w:val="17"/>
              </w:rPr>
            </w:pPr>
            <w:r>
              <w:rPr>
                <w:rFonts w:eastAsia="Times New Roman"/>
                <w:iCs/>
                <w:szCs w:val="17"/>
              </w:rPr>
              <w:t>Duration</w:t>
            </w:r>
          </w:p>
        </w:tc>
        <w:tc>
          <w:tcPr>
            <w:tcW w:w="631" w:type="pct"/>
            <w:textDirection w:val="btLr"/>
            <w:vAlign w:val="center"/>
          </w:tcPr>
          <w:p w14:paraId="7E486E82" w14:textId="77777777" w:rsidR="00C76D46" w:rsidRPr="00812509" w:rsidRDefault="00C76D46" w:rsidP="0035053B">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year on year</w:t>
            </w:r>
          </w:p>
        </w:tc>
        <w:tc>
          <w:tcPr>
            <w:tcW w:w="390" w:type="pct"/>
            <w:textDirection w:val="btLr"/>
            <w:vAlign w:val="center"/>
          </w:tcPr>
          <w:p w14:paraId="3BC46092" w14:textId="77777777" w:rsidR="00C76D46" w:rsidRPr="00812509" w:rsidRDefault="00C76D46" w:rsidP="0035053B">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Effectiveness</w:t>
            </w:r>
          </w:p>
        </w:tc>
        <w:tc>
          <w:tcPr>
            <w:tcW w:w="390" w:type="pct"/>
            <w:textDirection w:val="btLr"/>
            <w:vAlign w:val="center"/>
          </w:tcPr>
          <w:p w14:paraId="77B997E1" w14:textId="77777777" w:rsidR="00C76D46" w:rsidRPr="00812509" w:rsidRDefault="00C76D46" w:rsidP="0035053B">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Efficiency</w:t>
            </w:r>
          </w:p>
        </w:tc>
        <w:tc>
          <w:tcPr>
            <w:tcW w:w="390" w:type="pct"/>
            <w:textDirection w:val="btLr"/>
            <w:vAlign w:val="center"/>
          </w:tcPr>
          <w:p w14:paraId="26048096" w14:textId="77777777" w:rsidR="00C76D46" w:rsidRPr="00812509" w:rsidRDefault="00C76D46" w:rsidP="0035053B">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Gender equality</w:t>
            </w:r>
          </w:p>
        </w:tc>
      </w:tr>
      <w:tr w:rsidR="00C76D46" w:rsidRPr="00812509" w14:paraId="0313477A" w14:textId="77777777" w:rsidTr="00525390">
        <w:trPr>
          <w:cnfStyle w:val="100000000000" w:firstRow="1" w:lastRow="0" w:firstColumn="0" w:lastColumn="0" w:oddVBand="0" w:evenVBand="0" w:oddHBand="0" w:evenHBand="0" w:firstRowFirstColumn="0" w:firstRowLastColumn="0" w:lastRowFirstColumn="0" w:lastRowLastColumn="0"/>
          <w:trHeight w:val="284"/>
        </w:trPr>
        <w:tc>
          <w:tcPr>
            <w:tcW w:w="1776" w:type="pct"/>
            <w:tcBorders>
              <w:top w:val="single" w:sz="2" w:space="0" w:color="65C5B4" w:themeColor="accent1"/>
            </w:tcBorders>
            <w:vAlign w:val="center"/>
          </w:tcPr>
          <w:p w14:paraId="5D5941A0" w14:textId="77777777" w:rsidR="00C76D46" w:rsidRPr="00E52D72" w:rsidRDefault="00C76D46" w:rsidP="0035053B">
            <w:pPr>
              <w:keepLines/>
              <w:spacing w:before="40" w:after="40" w:line="200" w:lineRule="atLeast"/>
              <w:rPr>
                <w:rFonts w:asciiTheme="minorHAnsi" w:eastAsia="Times New Roman" w:hAnsiTheme="minorHAnsi"/>
                <w:iCs/>
                <w:szCs w:val="17"/>
                <w:lang w:eastAsia="en-US"/>
              </w:rPr>
            </w:pPr>
            <w:r w:rsidRPr="00E52D72">
              <w:rPr>
                <w:rFonts w:asciiTheme="minorHAnsi" w:eastAsia="Times New Roman" w:hAnsiTheme="minorHAnsi"/>
                <w:iCs/>
                <w:szCs w:val="17"/>
                <w:lang w:eastAsia="en-US"/>
              </w:rPr>
              <w:t>Humanitarian Assistance</w:t>
            </w:r>
          </w:p>
        </w:tc>
        <w:tc>
          <w:tcPr>
            <w:tcW w:w="676" w:type="pct"/>
            <w:tcBorders>
              <w:top w:val="single" w:sz="2" w:space="0" w:color="65C5B4" w:themeColor="accent1"/>
            </w:tcBorders>
            <w:vAlign w:val="center"/>
          </w:tcPr>
          <w:p w14:paraId="44377469" w14:textId="77777777" w:rsidR="00C76D46" w:rsidRPr="00826D50" w:rsidRDefault="00C76D46" w:rsidP="0035053B">
            <w:pPr>
              <w:autoSpaceDE w:val="0"/>
              <w:autoSpaceDN w:val="0"/>
              <w:adjustRightInd w:val="0"/>
              <w:spacing w:before="40" w:after="40" w:line="240" w:lineRule="auto"/>
              <w:jc w:val="center"/>
              <w:rPr>
                <w:rFonts w:asciiTheme="minorHAnsi" w:eastAsia="Times New Roman" w:hAnsiTheme="minorHAnsi"/>
                <w:b w:val="0"/>
                <w:iCs/>
                <w:szCs w:val="17"/>
                <w:lang w:eastAsia="en-US"/>
              </w:rPr>
            </w:pPr>
            <w:r w:rsidRPr="00812509">
              <w:rPr>
                <w:rFonts w:asciiTheme="minorHAnsi" w:hAnsiTheme="minorHAnsi" w:cs="Franklin Gothic Book"/>
                <w:color w:val="000000"/>
                <w:szCs w:val="17"/>
              </w:rPr>
              <w:t>$</w:t>
            </w:r>
            <w:r>
              <w:rPr>
                <w:rFonts w:asciiTheme="minorHAnsi" w:hAnsiTheme="minorHAnsi" w:cs="Franklin Gothic Book"/>
                <w:color w:val="000000"/>
                <w:szCs w:val="17"/>
              </w:rPr>
              <w:t>4.4</w:t>
            </w:r>
            <w:r w:rsidRPr="00812509">
              <w:rPr>
                <w:rFonts w:asciiTheme="minorHAnsi" w:hAnsiTheme="minorHAnsi" w:cs="Franklin Gothic Book"/>
                <w:color w:val="000000"/>
                <w:szCs w:val="17"/>
              </w:rPr>
              <w:t>m</w:t>
            </w:r>
          </w:p>
        </w:tc>
        <w:tc>
          <w:tcPr>
            <w:tcW w:w="631" w:type="pct"/>
            <w:tcBorders>
              <w:top w:val="single" w:sz="2" w:space="0" w:color="65C5B4" w:themeColor="accent1"/>
            </w:tcBorders>
            <w:vAlign w:val="center"/>
          </w:tcPr>
          <w:p w14:paraId="1E79BF75" w14:textId="77777777" w:rsidR="00C76D46" w:rsidRPr="00812509" w:rsidRDefault="00C76D46" w:rsidP="0035053B">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2016-2021</w:t>
            </w:r>
          </w:p>
        </w:tc>
        <w:tc>
          <w:tcPr>
            <w:tcW w:w="631" w:type="pct"/>
            <w:tcBorders>
              <w:top w:val="single" w:sz="2" w:space="0" w:color="65C5B4" w:themeColor="accent1"/>
            </w:tcBorders>
            <w:vAlign w:val="center"/>
          </w:tcPr>
          <w:p w14:paraId="3FB2A0C7" w14:textId="77777777" w:rsidR="00C76D46" w:rsidRPr="00812509" w:rsidRDefault="00C76D46" w:rsidP="0035053B">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90" w:type="pct"/>
            <w:tcBorders>
              <w:top w:val="single" w:sz="2" w:space="0" w:color="65C5B4" w:themeColor="accent1"/>
            </w:tcBorders>
            <w:shd w:val="clear" w:color="auto" w:fill="auto"/>
            <w:noWrap/>
          </w:tcPr>
          <w:p w14:paraId="42CED1C0" w14:textId="77777777" w:rsidR="00C76D46" w:rsidRPr="00812509" w:rsidRDefault="00C76D46" w:rsidP="0035053B">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c>
          <w:tcPr>
            <w:tcW w:w="390" w:type="pct"/>
            <w:tcBorders>
              <w:top w:val="single" w:sz="2" w:space="0" w:color="65C5B4" w:themeColor="accent1"/>
            </w:tcBorders>
            <w:shd w:val="clear" w:color="auto" w:fill="auto"/>
            <w:noWrap/>
          </w:tcPr>
          <w:p w14:paraId="13519C54" w14:textId="77777777" w:rsidR="00C76D46" w:rsidRPr="00812509" w:rsidRDefault="00C76D46" w:rsidP="0035053B">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c>
          <w:tcPr>
            <w:tcW w:w="390" w:type="pct"/>
            <w:tcBorders>
              <w:top w:val="single" w:sz="2" w:space="0" w:color="65C5B4" w:themeColor="accent1"/>
            </w:tcBorders>
            <w:shd w:val="clear" w:color="auto" w:fill="auto"/>
            <w:noWrap/>
          </w:tcPr>
          <w:p w14:paraId="3CE6F35F" w14:textId="77777777" w:rsidR="00C76D46" w:rsidRPr="00812509" w:rsidRDefault="00C76D46" w:rsidP="0035053B">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r>
      <w:tr w:rsidR="00C76D46" w:rsidRPr="00812509" w14:paraId="1D8B29D2" w14:textId="77777777" w:rsidTr="00525390">
        <w:trPr>
          <w:cnfStyle w:val="100000000000" w:firstRow="1" w:lastRow="0" w:firstColumn="0" w:lastColumn="0" w:oddVBand="0" w:evenVBand="0" w:oddHBand="0" w:evenHBand="0" w:firstRowFirstColumn="0" w:firstRowLastColumn="0" w:lastRowFirstColumn="0" w:lastRowLastColumn="0"/>
          <w:trHeight w:val="284"/>
        </w:trPr>
        <w:tc>
          <w:tcPr>
            <w:tcW w:w="1776" w:type="pct"/>
            <w:vAlign w:val="center"/>
          </w:tcPr>
          <w:p w14:paraId="15A9BD22" w14:textId="77777777" w:rsidR="00C76D46" w:rsidRPr="00812509" w:rsidRDefault="00C76D46" w:rsidP="0035053B">
            <w:pPr>
              <w:keepLines/>
              <w:spacing w:before="40" w:after="40" w:line="200" w:lineRule="atLeast"/>
              <w:rPr>
                <w:rFonts w:asciiTheme="minorHAnsi" w:eastAsia="Times New Roman" w:hAnsiTheme="minorHAnsi"/>
                <w:iCs/>
                <w:szCs w:val="17"/>
                <w:lang w:eastAsia="en-US"/>
              </w:rPr>
            </w:pPr>
          </w:p>
        </w:tc>
        <w:tc>
          <w:tcPr>
            <w:tcW w:w="676" w:type="pct"/>
            <w:vAlign w:val="center"/>
          </w:tcPr>
          <w:p w14:paraId="2BC98278" w14:textId="77777777" w:rsidR="00C76D46" w:rsidRPr="00812509" w:rsidRDefault="00C76D46" w:rsidP="0035053B">
            <w:pPr>
              <w:keepLines/>
              <w:spacing w:before="40" w:after="40" w:line="240" w:lineRule="auto"/>
              <w:jc w:val="center"/>
              <w:rPr>
                <w:rFonts w:asciiTheme="minorHAnsi" w:eastAsia="Times New Roman" w:hAnsiTheme="minorHAnsi"/>
                <w:iCs/>
                <w:szCs w:val="17"/>
                <w:lang w:eastAsia="en-US"/>
              </w:rPr>
            </w:pPr>
          </w:p>
        </w:tc>
        <w:tc>
          <w:tcPr>
            <w:tcW w:w="631" w:type="pct"/>
            <w:vAlign w:val="center"/>
          </w:tcPr>
          <w:p w14:paraId="6C9EFA27" w14:textId="77777777" w:rsidR="00C76D46" w:rsidRPr="00812509" w:rsidRDefault="00C76D46" w:rsidP="0035053B">
            <w:pPr>
              <w:keepLines/>
              <w:spacing w:before="40" w:after="40" w:line="200" w:lineRule="atLeast"/>
              <w:jc w:val="center"/>
              <w:rPr>
                <w:rFonts w:eastAsia="Times New Roman"/>
                <w:iCs/>
                <w:szCs w:val="17"/>
              </w:rPr>
            </w:pPr>
          </w:p>
        </w:tc>
        <w:tc>
          <w:tcPr>
            <w:tcW w:w="631" w:type="pct"/>
            <w:tcBorders>
              <w:top w:val="single" w:sz="2" w:space="0" w:color="65C5B4" w:themeColor="accent1"/>
            </w:tcBorders>
            <w:vAlign w:val="center"/>
          </w:tcPr>
          <w:p w14:paraId="29EF8BBA" w14:textId="77777777" w:rsidR="00C76D46" w:rsidRPr="00812509" w:rsidRDefault="00C76D46" w:rsidP="0035053B">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w:t>
            </w:r>
            <w:r>
              <w:rPr>
                <w:rFonts w:asciiTheme="minorHAnsi" w:eastAsia="Times New Roman" w:hAnsiTheme="minorHAnsi"/>
                <w:iCs/>
                <w:szCs w:val="17"/>
                <w:lang w:eastAsia="en-US"/>
              </w:rPr>
              <w:t>20</w:t>
            </w:r>
            <w:r w:rsidRPr="00812509">
              <w:rPr>
                <w:rFonts w:asciiTheme="minorHAnsi" w:eastAsia="Times New Roman" w:hAnsiTheme="minorHAnsi"/>
                <w:iCs/>
                <w:szCs w:val="17"/>
                <w:lang w:eastAsia="en-US"/>
              </w:rPr>
              <w:t xml:space="preserve"> </w:t>
            </w:r>
            <w:r>
              <w:rPr>
                <w:rFonts w:asciiTheme="minorHAnsi" w:eastAsia="Times New Roman" w:hAnsiTheme="minorHAnsi"/>
                <w:iCs/>
                <w:szCs w:val="17"/>
                <w:lang w:eastAsia="en-US"/>
              </w:rPr>
              <w:t>AQC</w:t>
            </w:r>
          </w:p>
        </w:tc>
        <w:tc>
          <w:tcPr>
            <w:tcW w:w="390" w:type="pct"/>
            <w:tcBorders>
              <w:top w:val="single" w:sz="2" w:space="0" w:color="65C5B4" w:themeColor="accent1"/>
            </w:tcBorders>
            <w:shd w:val="clear" w:color="auto" w:fill="auto"/>
            <w:noWrap/>
          </w:tcPr>
          <w:p w14:paraId="65D0253A" w14:textId="77777777" w:rsidR="00C76D46" w:rsidRPr="00812509" w:rsidRDefault="00C76D46" w:rsidP="0035053B">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90" w:type="pct"/>
            <w:tcBorders>
              <w:top w:val="single" w:sz="2" w:space="0" w:color="65C5B4" w:themeColor="accent1"/>
            </w:tcBorders>
            <w:shd w:val="clear" w:color="auto" w:fill="auto"/>
            <w:noWrap/>
          </w:tcPr>
          <w:p w14:paraId="7D3106EC" w14:textId="77777777" w:rsidR="00C76D46" w:rsidRPr="00812509" w:rsidRDefault="00C76D46" w:rsidP="0035053B">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90" w:type="pct"/>
            <w:tcBorders>
              <w:top w:val="single" w:sz="2" w:space="0" w:color="65C5B4" w:themeColor="accent1"/>
            </w:tcBorders>
            <w:shd w:val="clear" w:color="auto" w:fill="auto"/>
            <w:noWrap/>
          </w:tcPr>
          <w:p w14:paraId="5CE3784E" w14:textId="77777777" w:rsidR="00C76D46" w:rsidRPr="00812509" w:rsidRDefault="00C76D46" w:rsidP="0035053B">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r>
    </w:tbl>
    <w:p w14:paraId="7ED01CD3" w14:textId="77777777" w:rsidR="00C76D46" w:rsidRPr="00E65CF9" w:rsidRDefault="00C76D46" w:rsidP="00C76D46">
      <w:pPr>
        <w:spacing w:before="20" w:after="20" w:line="180" w:lineRule="atLeast"/>
        <w:jc w:val="both"/>
        <w:rPr>
          <w:rFonts w:eastAsia="Times New Roman"/>
          <w:b/>
          <w:sz w:val="16"/>
          <w:szCs w:val="14"/>
        </w:rPr>
      </w:pPr>
    </w:p>
    <w:p w14:paraId="10EECC0F" w14:textId="77777777" w:rsidR="00C76D46" w:rsidRPr="00812509" w:rsidRDefault="00C76D46" w:rsidP="00C76D46">
      <w:pPr>
        <w:spacing w:before="20" w:after="20" w:line="180" w:lineRule="atLeast"/>
        <w:jc w:val="both"/>
        <w:rPr>
          <w:rFonts w:eastAsia="Times New Roman"/>
          <w:b/>
          <w:sz w:val="16"/>
          <w:szCs w:val="14"/>
        </w:rPr>
      </w:pPr>
      <w:r w:rsidRPr="00812509">
        <w:rPr>
          <w:rFonts w:eastAsia="Times New Roman"/>
          <w:b/>
          <w:sz w:val="16"/>
          <w:szCs w:val="14"/>
        </w:rPr>
        <w:t>Definitions of rating scale:</w:t>
      </w:r>
      <w:r w:rsidRPr="00812509">
        <w:rPr>
          <w:rFonts w:eastAsia="Times New Roman"/>
          <w:b/>
          <w:sz w:val="16"/>
          <w:szCs w:val="14"/>
        </w:rPr>
        <w:tab/>
      </w:r>
    </w:p>
    <w:p w14:paraId="3417033D" w14:textId="77777777" w:rsidR="00C76D46" w:rsidRPr="00B927C4" w:rsidRDefault="00C76D46" w:rsidP="00C76D46">
      <w:pPr>
        <w:spacing w:before="20" w:after="20" w:line="180" w:lineRule="atLeast"/>
        <w:jc w:val="both"/>
        <w:rPr>
          <w:rFonts w:eastAsia="Times New Roman"/>
          <w:b/>
          <w:sz w:val="16"/>
          <w:szCs w:val="14"/>
          <w:u w:val="single"/>
        </w:rPr>
      </w:pPr>
      <w:r w:rsidRPr="00B927C4">
        <w:rPr>
          <w:rFonts w:eastAsia="Times New Roman"/>
          <w:b/>
          <w:sz w:val="16"/>
          <w:szCs w:val="14"/>
          <w:u w:val="single"/>
        </w:rPr>
        <w:t>Satisfactory (4, 5 and 6)</w:t>
      </w:r>
    </w:p>
    <w:p w14:paraId="71E3FFF1" w14:textId="77777777" w:rsidR="00C76D46" w:rsidRPr="00812509" w:rsidRDefault="00C76D46" w:rsidP="00C76D46">
      <w:pPr>
        <w:spacing w:before="20" w:after="20" w:line="180" w:lineRule="atLeast"/>
        <w:rPr>
          <w:rFonts w:eastAsia="Times New Roman"/>
          <w:b/>
          <w:sz w:val="16"/>
          <w:szCs w:val="14"/>
        </w:rPr>
      </w:pPr>
      <w:r w:rsidRPr="00812509">
        <w:rPr>
          <w:rFonts w:eastAsia="Times New Roman"/>
          <w:b/>
          <w:sz w:val="16"/>
          <w:szCs w:val="14"/>
        </w:rPr>
        <w:t>6 = Very good; satisfies criteria in all areas.  5 = Good; satisfies criteria in almost all areas.</w:t>
      </w:r>
    </w:p>
    <w:p w14:paraId="52DEB703" w14:textId="77777777" w:rsidR="00C76D46" w:rsidRPr="00812509" w:rsidRDefault="00C76D46" w:rsidP="00C76D46">
      <w:pPr>
        <w:spacing w:before="20" w:after="20" w:line="180" w:lineRule="atLeast"/>
        <w:rPr>
          <w:rFonts w:eastAsia="Times New Roman"/>
          <w:b/>
          <w:sz w:val="16"/>
          <w:szCs w:val="14"/>
        </w:rPr>
      </w:pPr>
      <w:r w:rsidRPr="00812509">
        <w:rPr>
          <w:rFonts w:eastAsia="Times New Roman"/>
          <w:b/>
          <w:sz w:val="16"/>
          <w:szCs w:val="14"/>
        </w:rPr>
        <w:t>4 = Adequate; on balance, satisfies criteria; does not fail in any major area.</w:t>
      </w:r>
    </w:p>
    <w:p w14:paraId="451FCEAC" w14:textId="77777777" w:rsidR="00C76D46" w:rsidRPr="00B927C4" w:rsidRDefault="00C76D46" w:rsidP="00C76D46">
      <w:pPr>
        <w:spacing w:before="20" w:after="20" w:line="180" w:lineRule="atLeast"/>
        <w:rPr>
          <w:rFonts w:eastAsia="Times New Roman"/>
          <w:b/>
          <w:sz w:val="16"/>
          <w:szCs w:val="14"/>
          <w:u w:val="single"/>
        </w:rPr>
      </w:pPr>
      <w:r w:rsidRPr="00B927C4">
        <w:rPr>
          <w:rFonts w:eastAsia="Times New Roman"/>
          <w:b/>
          <w:sz w:val="16"/>
          <w:szCs w:val="14"/>
          <w:u w:val="single"/>
        </w:rPr>
        <w:t>Less than satisfactory (1, 2 and 3)</w:t>
      </w:r>
    </w:p>
    <w:p w14:paraId="70487B7E" w14:textId="77777777" w:rsidR="00C76D46" w:rsidRPr="00812509" w:rsidRDefault="00C76D46" w:rsidP="00C76D46">
      <w:pPr>
        <w:spacing w:before="20" w:after="20" w:line="180" w:lineRule="atLeast"/>
        <w:rPr>
          <w:rFonts w:eastAsia="Times New Roman"/>
          <w:b/>
          <w:sz w:val="16"/>
          <w:szCs w:val="14"/>
        </w:rPr>
      </w:pPr>
      <w:r w:rsidRPr="00812509">
        <w:rPr>
          <w:rFonts w:eastAsia="Times New Roman"/>
          <w:b/>
          <w:color w:val="E36C0A"/>
          <w:sz w:val="16"/>
          <w:szCs w:val="14"/>
        </w:rPr>
        <w:t xml:space="preserve"> </w:t>
      </w:r>
      <w:r w:rsidRPr="00812509">
        <w:rPr>
          <w:rFonts w:eastAsia="Times New Roman"/>
          <w:b/>
          <w:sz w:val="16"/>
          <w:szCs w:val="14"/>
        </w:rPr>
        <w:t>3 = Less than adequate; on balance does not satisfy criteria and/or fails in at least one major area.</w:t>
      </w:r>
    </w:p>
    <w:p w14:paraId="27B676E7" w14:textId="77777777" w:rsidR="00C76D46" w:rsidRPr="00812509" w:rsidRDefault="00C76D46" w:rsidP="00C76D46">
      <w:pPr>
        <w:spacing w:before="20" w:after="20" w:line="180" w:lineRule="atLeast"/>
        <w:rPr>
          <w:sz w:val="24"/>
        </w:rPr>
      </w:pPr>
      <w:r w:rsidRPr="00812509">
        <w:rPr>
          <w:rFonts w:eastAsia="Times New Roman"/>
          <w:b/>
          <w:sz w:val="16"/>
          <w:szCs w:val="14"/>
        </w:rPr>
        <w:t xml:space="preserve"> 2 = Poor; does not satisfy criteria in major areas.  1 = Very poor; does not satisfy criteria in many major area.</w:t>
      </w:r>
    </w:p>
    <w:sectPr w:rsidR="00C76D46" w:rsidRPr="00812509" w:rsidSect="00EC3C2D">
      <w:headerReference w:type="even" r:id="rId22"/>
      <w:headerReference w:type="default" r:id="rId23"/>
      <w:headerReference w:type="first" r:id="rId24"/>
      <w:footerReference w:type="first" r:id="rId25"/>
      <w:pgSz w:w="11906" w:h="16838" w:code="9"/>
      <w:pgMar w:top="1701" w:right="1134" w:bottom="1418" w:left="1134" w:header="425" w:footer="493"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17DB" w14:textId="77777777" w:rsidR="00AB048C" w:rsidRDefault="00AB048C" w:rsidP="00D37B04">
      <w:r>
        <w:separator/>
      </w:r>
    </w:p>
  </w:endnote>
  <w:endnote w:type="continuationSeparator" w:id="0">
    <w:p w14:paraId="75A47583" w14:textId="77777777" w:rsidR="00AB048C" w:rsidRDefault="00AB048C"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DC455" w14:textId="77777777" w:rsidR="00230777" w:rsidRPr="00FC322F" w:rsidRDefault="00230777" w:rsidP="00FC322F">
    <w:pPr>
      <w:pStyle w:val="Footer"/>
      <w:rPr>
        <w:b/>
      </w:rPr>
    </w:pPr>
    <w:r w:rsidRPr="00FC322F">
      <w:rPr>
        <w:b/>
        <w:noProof/>
        <w:lang w:val="en-AU" w:eastAsia="en-AU"/>
      </w:rPr>
      <w:drawing>
        <wp:inline distT="0" distB="0" distL="0" distR="0" wp14:anchorId="0A0961A9" wp14:editId="24F436FC">
          <wp:extent cx="108000" cy="87480"/>
          <wp:effectExtent l="0" t="0" r="6350" b="8255"/>
          <wp:docPr id="9" name="Picture 9"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 xml:space="preserve">@DFAT  </w:t>
    </w:r>
    <w:r w:rsidRPr="00FC322F">
      <w:rPr>
        <w:rStyle w:val="Green"/>
        <w:b/>
      </w:rPr>
      <w:t>DFAT.GOV.AU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122738"/>
      <w:docPartObj>
        <w:docPartGallery w:val="Page Numbers (Bottom of Page)"/>
        <w:docPartUnique/>
      </w:docPartObj>
    </w:sdtPr>
    <w:sdtEndPr>
      <w:rPr>
        <w:noProof/>
      </w:rPr>
    </w:sdtEndPr>
    <w:sdtContent>
      <w:p w14:paraId="7C581D07" w14:textId="1A855C3D" w:rsidR="004E4DF1" w:rsidRDefault="004E4DF1">
        <w:pPr>
          <w:pStyle w:val="Footer"/>
          <w:jc w:val="center"/>
        </w:pPr>
        <w:r>
          <w:fldChar w:fldCharType="begin"/>
        </w:r>
        <w:r>
          <w:instrText xml:space="preserve"> PAGE   \* MERGEFORMAT </w:instrText>
        </w:r>
        <w:r>
          <w:fldChar w:fldCharType="separate"/>
        </w:r>
        <w:r w:rsidR="00FB2BAA">
          <w:rPr>
            <w:noProof/>
          </w:rPr>
          <w:t>1</w:t>
        </w:r>
        <w:r>
          <w:rPr>
            <w:noProof/>
          </w:rPr>
          <w:fldChar w:fldCharType="end"/>
        </w:r>
      </w:p>
    </w:sdtContent>
  </w:sdt>
  <w:p w14:paraId="5B5E8230" w14:textId="77777777" w:rsidR="00230777" w:rsidRPr="00FC322F" w:rsidRDefault="00230777" w:rsidP="00FC322F">
    <w:pPr>
      <w:pStyle w:val="Foo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126914"/>
      <w:docPartObj>
        <w:docPartGallery w:val="Page Numbers (Bottom of Page)"/>
        <w:docPartUnique/>
      </w:docPartObj>
    </w:sdtPr>
    <w:sdtEndPr>
      <w:rPr>
        <w:noProof/>
      </w:rPr>
    </w:sdtEndPr>
    <w:sdtContent>
      <w:p w14:paraId="0AC975CF" w14:textId="22C28765" w:rsidR="004E4DF1" w:rsidRDefault="004E4DF1">
        <w:pPr>
          <w:pStyle w:val="Footer"/>
          <w:jc w:val="center"/>
        </w:pPr>
        <w:r>
          <w:fldChar w:fldCharType="begin"/>
        </w:r>
        <w:r>
          <w:instrText xml:space="preserve"> PAGE   \* MERGEFORMAT </w:instrText>
        </w:r>
        <w:r>
          <w:fldChar w:fldCharType="separate"/>
        </w:r>
        <w:r w:rsidR="00FB2BAA">
          <w:rPr>
            <w:noProof/>
          </w:rPr>
          <w:t>2</w:t>
        </w:r>
        <w:r>
          <w:rPr>
            <w:noProof/>
          </w:rPr>
          <w:fldChar w:fldCharType="end"/>
        </w:r>
      </w:p>
    </w:sdtContent>
  </w:sdt>
  <w:p w14:paraId="6DB932DB" w14:textId="77777777" w:rsidR="00C76D46" w:rsidRPr="00FC322F" w:rsidRDefault="00C76D46" w:rsidP="00FC322F">
    <w:pPr>
      <w:pStyle w:val="Footer"/>
      <w:rPr>
        <w: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DBB32" w14:textId="77777777" w:rsidR="00C76D46" w:rsidRPr="00FC322F" w:rsidRDefault="00C76D46" w:rsidP="00FC322F">
    <w:pPr>
      <w:pStyle w:val="Footer"/>
      <w:rPr>
        <w:b/>
      </w:rPr>
    </w:pPr>
    <w:r w:rsidRPr="00FC322F">
      <w:rPr>
        <w:b/>
        <w:noProof/>
        <w:lang w:val="en-AU" w:eastAsia="en-AU"/>
      </w:rPr>
      <w:drawing>
        <wp:inline distT="0" distB="0" distL="0" distR="0" wp14:anchorId="5C911EE3" wp14:editId="465AD384">
          <wp:extent cx="108000" cy="87480"/>
          <wp:effectExtent l="0" t="0" r="6350" b="8255"/>
          <wp:docPr id="84" name="Picture 84"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 xml:space="preserve">@DFAT  </w:t>
    </w:r>
    <w:r w:rsidRPr="00FC322F">
      <w:rPr>
        <w:rStyle w:val="Green"/>
        <w:b/>
      </w:rPr>
      <w:t>DFAT.GOV.AU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6884672"/>
      <w:docPartObj>
        <w:docPartGallery w:val="Page Numbers (Bottom of Page)"/>
        <w:docPartUnique/>
      </w:docPartObj>
    </w:sdtPr>
    <w:sdtEndPr>
      <w:rPr>
        <w:noProof/>
      </w:rPr>
    </w:sdtEndPr>
    <w:sdtContent>
      <w:p w14:paraId="07A8DAB5" w14:textId="4B452C93" w:rsidR="004E4DF1" w:rsidRDefault="004E4DF1">
        <w:pPr>
          <w:pStyle w:val="Footer"/>
          <w:jc w:val="center"/>
        </w:pPr>
        <w:r>
          <w:fldChar w:fldCharType="begin"/>
        </w:r>
        <w:r>
          <w:instrText xml:space="preserve"> PAGE   \* MERGEFORMAT </w:instrText>
        </w:r>
        <w:r>
          <w:fldChar w:fldCharType="separate"/>
        </w:r>
        <w:r w:rsidR="00FB2BAA">
          <w:rPr>
            <w:noProof/>
          </w:rPr>
          <w:t>3</w:t>
        </w:r>
        <w:r>
          <w:rPr>
            <w:noProof/>
          </w:rPr>
          <w:fldChar w:fldCharType="end"/>
        </w:r>
      </w:p>
    </w:sdtContent>
  </w:sdt>
  <w:p w14:paraId="73DB16FC" w14:textId="77777777" w:rsidR="00C76D46" w:rsidRPr="00EC3C2D" w:rsidRDefault="00C76D46" w:rsidP="00EC3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1044C" w14:textId="77777777" w:rsidR="00AB048C" w:rsidRPr="008C5A0E" w:rsidRDefault="00AB048C" w:rsidP="00D37B04">
      <w:pPr>
        <w:pStyle w:val="Footer"/>
      </w:pPr>
    </w:p>
  </w:footnote>
  <w:footnote w:type="continuationSeparator" w:id="0">
    <w:p w14:paraId="11B87DBE" w14:textId="77777777" w:rsidR="00AB048C" w:rsidRDefault="00AB048C"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E3836" w14:textId="77777777" w:rsidR="00230777" w:rsidRPr="000854FD" w:rsidRDefault="00230777" w:rsidP="002D5B25">
    <w:pPr>
      <w:pStyle w:val="Header"/>
    </w:pPr>
    <w:r w:rsidRPr="00943730">
      <w:rPr>
        <w:noProof/>
        <w:lang w:val="en-AU" w:eastAsia="en-AU"/>
      </w:rPr>
      <w:drawing>
        <wp:anchor distT="0" distB="0" distL="114300" distR="114300" simplePos="0" relativeHeight="251668480" behindDoc="1" locked="1" layoutInCell="1" allowOverlap="1" wp14:anchorId="56D48DAD" wp14:editId="48D10C46">
          <wp:simplePos x="0" y="0"/>
          <wp:positionH relativeFrom="page">
            <wp:posOffset>12700</wp:posOffset>
          </wp:positionH>
          <wp:positionV relativeFrom="page">
            <wp:posOffset>0</wp:posOffset>
          </wp:positionV>
          <wp:extent cx="7559040" cy="10692765"/>
          <wp:effectExtent l="0" t="0" r="381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17F03" w14:textId="77777777" w:rsidR="00230777" w:rsidRPr="00943730" w:rsidRDefault="00230777" w:rsidP="0090092E">
    <w:pPr>
      <w:pStyle w:val="Header"/>
      <w:ind w:left="0"/>
    </w:pPr>
    <w:r w:rsidRPr="00252C04">
      <w:rPr>
        <w:noProof/>
        <w:lang w:val="en-AU" w:eastAsia="en-AU"/>
      </w:rPr>
      <w:drawing>
        <wp:anchor distT="0" distB="0" distL="114300" distR="114300" simplePos="0" relativeHeight="251669504" behindDoc="1" locked="1" layoutInCell="1" allowOverlap="1" wp14:anchorId="47EE29ED" wp14:editId="16D0C687">
          <wp:simplePos x="0" y="0"/>
          <wp:positionH relativeFrom="page">
            <wp:posOffset>5699125</wp:posOffset>
          </wp:positionH>
          <wp:positionV relativeFrom="topMargin">
            <wp:align>bottom</wp:align>
          </wp:positionV>
          <wp:extent cx="1115060" cy="512445"/>
          <wp:effectExtent l="0" t="0" r="8890" b="190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5060" cy="51244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67456" behindDoc="1" locked="1" layoutInCell="1" allowOverlap="1" wp14:anchorId="117FE415" wp14:editId="625CEE80">
          <wp:simplePos x="0" y="0"/>
          <wp:positionH relativeFrom="page">
            <wp:posOffset>713740</wp:posOffset>
          </wp:positionH>
          <wp:positionV relativeFrom="topMargin">
            <wp:align>bottom</wp:align>
          </wp:positionV>
          <wp:extent cx="3166745" cy="554355"/>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66432" behindDoc="1" locked="1" layoutInCell="1" allowOverlap="1" wp14:anchorId="11339A8D" wp14:editId="22368CF4">
          <wp:simplePos x="0" y="0"/>
          <wp:positionH relativeFrom="page">
            <wp:posOffset>12700</wp:posOffset>
          </wp:positionH>
          <wp:positionV relativeFrom="page">
            <wp:posOffset>-68580</wp:posOffset>
          </wp:positionV>
          <wp:extent cx="7559040" cy="10692130"/>
          <wp:effectExtent l="0" t="0" r="381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3">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2ED1D" w14:textId="77777777" w:rsidR="00C76D46" w:rsidRPr="000854FD" w:rsidRDefault="00C76D46" w:rsidP="002D5B25">
    <w:pPr>
      <w:pStyle w:val="Header"/>
    </w:pPr>
    <w:r w:rsidRPr="00943730">
      <w:rPr>
        <w:noProof/>
        <w:lang w:val="en-AU" w:eastAsia="en-AU"/>
      </w:rPr>
      <w:drawing>
        <wp:anchor distT="0" distB="0" distL="114300" distR="114300" simplePos="0" relativeHeight="251676672" behindDoc="1" locked="1" layoutInCell="1" allowOverlap="1" wp14:anchorId="7AE920AA" wp14:editId="21CA2810">
          <wp:simplePos x="0" y="0"/>
          <wp:positionH relativeFrom="page">
            <wp:posOffset>12700</wp:posOffset>
          </wp:positionH>
          <wp:positionV relativeFrom="page">
            <wp:posOffset>0</wp:posOffset>
          </wp:positionV>
          <wp:extent cx="7559040" cy="10692765"/>
          <wp:effectExtent l="0" t="0" r="3810" b="0"/>
          <wp:wrapNone/>
          <wp:docPr id="79" name="Picture 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2EABA" w14:textId="472D034D" w:rsidR="00C76D46" w:rsidRPr="00943730" w:rsidRDefault="00C76D46" w:rsidP="00943730">
    <w:pPr>
      <w:pStyle w:val="Header"/>
    </w:pPr>
    <w:r w:rsidRPr="00943730">
      <w:fldChar w:fldCharType="begin"/>
    </w:r>
    <w:r w:rsidRPr="00943730">
      <w:instrText xml:space="preserve"> DATE  \@ "MMMM yyyy"  \* MERGEFORMAT </w:instrText>
    </w:r>
    <w:r w:rsidRPr="00943730">
      <w:fldChar w:fldCharType="separate"/>
    </w:r>
    <w:r w:rsidR="00A3293A">
      <w:rPr>
        <w:noProof/>
      </w:rPr>
      <w:t>November 2020</w:t>
    </w:r>
    <w:r w:rsidRPr="00943730">
      <w:fldChar w:fldCharType="end"/>
    </w:r>
    <w:r w:rsidRPr="00252C04">
      <w:rPr>
        <w:noProof/>
        <w:lang w:val="en-AU" w:eastAsia="en-AU"/>
      </w:rPr>
      <w:drawing>
        <wp:anchor distT="0" distB="0" distL="114300" distR="114300" simplePos="0" relativeHeight="251677696" behindDoc="1" locked="1" layoutInCell="1" allowOverlap="1" wp14:anchorId="29701F46" wp14:editId="4CC7C2D7">
          <wp:simplePos x="0" y="0"/>
          <wp:positionH relativeFrom="page">
            <wp:posOffset>5724525</wp:posOffset>
          </wp:positionH>
          <wp:positionV relativeFrom="page">
            <wp:posOffset>720090</wp:posOffset>
          </wp:positionV>
          <wp:extent cx="1115060" cy="512445"/>
          <wp:effectExtent l="0" t="0" r="8890" b="1905"/>
          <wp:wrapNone/>
          <wp:docPr id="81" name="Picture 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5060" cy="51244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75648" behindDoc="1" locked="1" layoutInCell="1" allowOverlap="1" wp14:anchorId="58D78CB7" wp14:editId="636FA2DC">
          <wp:simplePos x="0" y="0"/>
          <wp:positionH relativeFrom="page">
            <wp:posOffset>720090</wp:posOffset>
          </wp:positionH>
          <wp:positionV relativeFrom="page">
            <wp:posOffset>683895</wp:posOffset>
          </wp:positionV>
          <wp:extent cx="3166745" cy="554355"/>
          <wp:effectExtent l="0" t="0" r="0" b="0"/>
          <wp:wrapNone/>
          <wp:docPr id="82" name="Picture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74624" behindDoc="1" locked="1" layoutInCell="1" allowOverlap="1" wp14:anchorId="4A419AC3" wp14:editId="2A9DC64E">
          <wp:simplePos x="0" y="0"/>
          <wp:positionH relativeFrom="page">
            <wp:posOffset>12700</wp:posOffset>
          </wp:positionH>
          <wp:positionV relativeFrom="page">
            <wp:posOffset>-69850</wp:posOffset>
          </wp:positionV>
          <wp:extent cx="10585450" cy="10692130"/>
          <wp:effectExtent l="0" t="0" r="6350" b="0"/>
          <wp:wrapNone/>
          <wp:docPr id="83" name="Picture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3">
                    <a:extLst>
                      <a:ext uri="{28A0092B-C50C-407E-A947-70E740481C1C}">
                        <a14:useLocalDpi xmlns:a14="http://schemas.microsoft.com/office/drawing/2010/main" val="0"/>
                      </a:ext>
                    </a:extLst>
                  </a:blip>
                  <a:stretch>
                    <a:fillRect/>
                  </a:stretch>
                </pic:blipFill>
                <pic:spPr>
                  <a:xfrm>
                    <a:off x="0" y="0"/>
                    <a:ext cx="10585450"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A7D8B" w14:textId="77777777" w:rsidR="00C76D46" w:rsidRPr="000854FD" w:rsidRDefault="00C76D46" w:rsidP="002D5B25">
    <w:pPr>
      <w:pStyle w:val="Header"/>
    </w:pPr>
    <w:r w:rsidRPr="00943730">
      <w:rPr>
        <w:noProof/>
        <w:lang w:val="en-AU" w:eastAsia="en-AU"/>
      </w:rPr>
      <w:drawing>
        <wp:anchor distT="0" distB="0" distL="114300" distR="114300" simplePos="0" relativeHeight="251680768" behindDoc="1" locked="1" layoutInCell="1" allowOverlap="1" wp14:anchorId="25713BC2" wp14:editId="268A81AE">
          <wp:simplePos x="0" y="0"/>
          <wp:positionH relativeFrom="page">
            <wp:posOffset>12700</wp:posOffset>
          </wp:positionH>
          <wp:positionV relativeFrom="page">
            <wp:posOffset>0</wp:posOffset>
          </wp:positionV>
          <wp:extent cx="7559040" cy="10692765"/>
          <wp:effectExtent l="0" t="0" r="381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D2D0D" w14:textId="77777777" w:rsidR="00C76D46" w:rsidRDefault="00C76D4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3D91D" w14:textId="77777777" w:rsidR="00C76D46" w:rsidRPr="00333501" w:rsidRDefault="00C76D46" w:rsidP="008F56A8">
    <w:pPr>
      <w:pStyle w:val="Header"/>
    </w:pPr>
    <w:r>
      <w:rPr>
        <w:noProof/>
        <w:lang w:val="en-AU" w:eastAsia="en-AU"/>
      </w:rPr>
      <w:drawing>
        <wp:anchor distT="0" distB="0" distL="114300" distR="114300" simplePos="0" relativeHeight="251679744" behindDoc="1" locked="1" layoutInCell="1" allowOverlap="1" wp14:anchorId="311D9A49" wp14:editId="5B868857">
          <wp:simplePos x="0" y="0"/>
          <wp:positionH relativeFrom="page">
            <wp:posOffset>52705</wp:posOffset>
          </wp:positionH>
          <wp:positionV relativeFrom="page">
            <wp:posOffset>158115</wp:posOffset>
          </wp:positionV>
          <wp:extent cx="7447280" cy="10480675"/>
          <wp:effectExtent l="0" t="0" r="127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47280" cy="10480675"/>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0D640" w14:textId="77777777" w:rsidR="00C76D46" w:rsidRPr="003D352D" w:rsidRDefault="00C76D46" w:rsidP="003D352D">
    <w:pPr>
      <w:pStyle w:val="Header"/>
    </w:pPr>
    <w:r>
      <w:rPr>
        <w:noProof/>
        <w:lang w:val="en-AU" w:eastAsia="en-AU"/>
      </w:rPr>
      <w:drawing>
        <wp:anchor distT="0" distB="0" distL="114300" distR="114300" simplePos="0" relativeHeight="251678720" behindDoc="1" locked="1" layoutInCell="1" allowOverlap="1" wp14:anchorId="4BA80739" wp14:editId="532965D2">
          <wp:simplePos x="0" y="0"/>
          <wp:positionH relativeFrom="page">
            <wp:posOffset>46990</wp:posOffset>
          </wp:positionH>
          <wp:positionV relativeFrom="page">
            <wp:posOffset>5080</wp:posOffset>
          </wp:positionV>
          <wp:extent cx="7512050" cy="10639425"/>
          <wp:effectExtent l="0" t="0" r="0" b="952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12050" cy="106394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F6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7A24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CE23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4C40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A008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0AF3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967D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1474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C077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48FE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56AC2"/>
    <w:multiLevelType w:val="hybridMultilevel"/>
    <w:tmpl w:val="8D94D83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7EA455A"/>
    <w:multiLevelType w:val="hybridMultilevel"/>
    <w:tmpl w:val="0F103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0C5133A8"/>
    <w:multiLevelType w:val="hybridMultilevel"/>
    <w:tmpl w:val="C13A7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6" w15:restartNumberingAfterBreak="0">
    <w:nsid w:val="1E531538"/>
    <w:multiLevelType w:val="multilevel"/>
    <w:tmpl w:val="9A148B46"/>
    <w:lvl w:ilvl="0">
      <w:start w:val="2019"/>
      <w:numFmt w:val="decimal"/>
      <w:lvlText w:val="%1"/>
      <w:lvlJc w:val="left"/>
      <w:pPr>
        <w:ind w:left="495" w:hanging="495"/>
      </w:pPr>
      <w:rPr>
        <w:rFonts w:hint="default"/>
      </w:rPr>
    </w:lvl>
    <w:lvl w:ilvl="1">
      <w:start w:val="20"/>
      <w:numFmt w:val="decimal"/>
      <w:lvlText w:val="%1-%2"/>
      <w:lvlJc w:val="left"/>
      <w:pPr>
        <w:ind w:left="855" w:hanging="495"/>
      </w:pPr>
      <w:rPr>
        <w:rFonts w:hint="default"/>
      </w:rPr>
    </w:lvl>
    <w:lvl w:ilvl="2">
      <w:start w:val="1"/>
      <w:numFmt w:val="decimal"/>
      <w:lvlText w:val="%1-%2.%3"/>
      <w:lvlJc w:val="left"/>
      <w:pPr>
        <w:ind w:left="1215" w:hanging="495"/>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17" w15:restartNumberingAfterBreak="0">
    <w:nsid w:val="279E1258"/>
    <w:multiLevelType w:val="hybridMultilevel"/>
    <w:tmpl w:val="5E369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9" w15:restartNumberingAfterBreak="0">
    <w:nsid w:val="2C5F7049"/>
    <w:multiLevelType w:val="hybridMultilevel"/>
    <w:tmpl w:val="CFB6F2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95411D1"/>
    <w:multiLevelType w:val="hybridMultilevel"/>
    <w:tmpl w:val="0F9E6B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2512C0"/>
    <w:multiLevelType w:val="hybridMultilevel"/>
    <w:tmpl w:val="7B5861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2880FB8"/>
    <w:multiLevelType w:val="hybridMultilevel"/>
    <w:tmpl w:val="79C2626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3" w15:restartNumberingAfterBreak="0">
    <w:nsid w:val="44483A55"/>
    <w:multiLevelType w:val="hybridMultilevel"/>
    <w:tmpl w:val="18CA7660"/>
    <w:lvl w:ilvl="0" w:tplc="9F5CFAB6">
      <w:start w:val="1"/>
      <w:numFmt w:val="bullet"/>
      <w:lvlText w:val="•"/>
      <w:lvlJc w:val="left"/>
      <w:pPr>
        <w:tabs>
          <w:tab w:val="num" w:pos="720"/>
        </w:tabs>
        <w:ind w:left="720" w:hanging="360"/>
      </w:pPr>
      <w:rPr>
        <w:rFonts w:ascii="Arial" w:hAnsi="Arial" w:hint="default"/>
      </w:rPr>
    </w:lvl>
    <w:lvl w:ilvl="1" w:tplc="B242FDEC" w:tentative="1">
      <w:start w:val="1"/>
      <w:numFmt w:val="bullet"/>
      <w:lvlText w:val="•"/>
      <w:lvlJc w:val="left"/>
      <w:pPr>
        <w:tabs>
          <w:tab w:val="num" w:pos="1440"/>
        </w:tabs>
        <w:ind w:left="1440" w:hanging="360"/>
      </w:pPr>
      <w:rPr>
        <w:rFonts w:ascii="Arial" w:hAnsi="Arial" w:hint="default"/>
      </w:rPr>
    </w:lvl>
    <w:lvl w:ilvl="2" w:tplc="E1D430AE" w:tentative="1">
      <w:start w:val="1"/>
      <w:numFmt w:val="bullet"/>
      <w:lvlText w:val="•"/>
      <w:lvlJc w:val="left"/>
      <w:pPr>
        <w:tabs>
          <w:tab w:val="num" w:pos="2160"/>
        </w:tabs>
        <w:ind w:left="2160" w:hanging="360"/>
      </w:pPr>
      <w:rPr>
        <w:rFonts w:ascii="Arial" w:hAnsi="Arial" w:hint="default"/>
      </w:rPr>
    </w:lvl>
    <w:lvl w:ilvl="3" w:tplc="0C8A4E22" w:tentative="1">
      <w:start w:val="1"/>
      <w:numFmt w:val="bullet"/>
      <w:lvlText w:val="•"/>
      <w:lvlJc w:val="left"/>
      <w:pPr>
        <w:tabs>
          <w:tab w:val="num" w:pos="2880"/>
        </w:tabs>
        <w:ind w:left="2880" w:hanging="360"/>
      </w:pPr>
      <w:rPr>
        <w:rFonts w:ascii="Arial" w:hAnsi="Arial" w:hint="default"/>
      </w:rPr>
    </w:lvl>
    <w:lvl w:ilvl="4" w:tplc="DFAC8E46" w:tentative="1">
      <w:start w:val="1"/>
      <w:numFmt w:val="bullet"/>
      <w:lvlText w:val="•"/>
      <w:lvlJc w:val="left"/>
      <w:pPr>
        <w:tabs>
          <w:tab w:val="num" w:pos="3600"/>
        </w:tabs>
        <w:ind w:left="3600" w:hanging="360"/>
      </w:pPr>
      <w:rPr>
        <w:rFonts w:ascii="Arial" w:hAnsi="Arial" w:hint="default"/>
      </w:rPr>
    </w:lvl>
    <w:lvl w:ilvl="5" w:tplc="783627A4" w:tentative="1">
      <w:start w:val="1"/>
      <w:numFmt w:val="bullet"/>
      <w:lvlText w:val="•"/>
      <w:lvlJc w:val="left"/>
      <w:pPr>
        <w:tabs>
          <w:tab w:val="num" w:pos="4320"/>
        </w:tabs>
        <w:ind w:left="4320" w:hanging="360"/>
      </w:pPr>
      <w:rPr>
        <w:rFonts w:ascii="Arial" w:hAnsi="Arial" w:hint="default"/>
      </w:rPr>
    </w:lvl>
    <w:lvl w:ilvl="6" w:tplc="0C4C2FDE" w:tentative="1">
      <w:start w:val="1"/>
      <w:numFmt w:val="bullet"/>
      <w:lvlText w:val="•"/>
      <w:lvlJc w:val="left"/>
      <w:pPr>
        <w:tabs>
          <w:tab w:val="num" w:pos="5040"/>
        </w:tabs>
        <w:ind w:left="5040" w:hanging="360"/>
      </w:pPr>
      <w:rPr>
        <w:rFonts w:ascii="Arial" w:hAnsi="Arial" w:hint="default"/>
      </w:rPr>
    </w:lvl>
    <w:lvl w:ilvl="7" w:tplc="AA30793E" w:tentative="1">
      <w:start w:val="1"/>
      <w:numFmt w:val="bullet"/>
      <w:lvlText w:val="•"/>
      <w:lvlJc w:val="left"/>
      <w:pPr>
        <w:tabs>
          <w:tab w:val="num" w:pos="5760"/>
        </w:tabs>
        <w:ind w:left="5760" w:hanging="360"/>
      </w:pPr>
      <w:rPr>
        <w:rFonts w:ascii="Arial" w:hAnsi="Arial" w:hint="default"/>
      </w:rPr>
    </w:lvl>
    <w:lvl w:ilvl="8" w:tplc="AB16E88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74A148B"/>
    <w:multiLevelType w:val="hybridMultilevel"/>
    <w:tmpl w:val="FC90C7DA"/>
    <w:lvl w:ilvl="0" w:tplc="59463C12">
      <w:start w:val="6"/>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95464FD"/>
    <w:multiLevelType w:val="hybridMultilevel"/>
    <w:tmpl w:val="8224402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1741785"/>
    <w:multiLevelType w:val="multilevel"/>
    <w:tmpl w:val="1DA6A938"/>
    <w:lvl w:ilvl="0">
      <w:start w:val="2019"/>
      <w:numFmt w:val="decimal"/>
      <w:lvlText w:val="%1"/>
      <w:lvlJc w:val="left"/>
      <w:pPr>
        <w:ind w:left="495" w:hanging="495"/>
      </w:pPr>
      <w:rPr>
        <w:rFonts w:hint="default"/>
      </w:rPr>
    </w:lvl>
    <w:lvl w:ilvl="1">
      <w:start w:val="20"/>
      <w:numFmt w:val="decimal"/>
      <w:lvlText w:val="%1-%2"/>
      <w:lvlJc w:val="left"/>
      <w:pPr>
        <w:ind w:left="1350" w:hanging="495"/>
      </w:pPr>
      <w:rPr>
        <w:rFonts w:hint="default"/>
      </w:rPr>
    </w:lvl>
    <w:lvl w:ilvl="2">
      <w:start w:val="1"/>
      <w:numFmt w:val="decimal"/>
      <w:lvlText w:val="%1-%2.%3"/>
      <w:lvlJc w:val="left"/>
      <w:pPr>
        <w:ind w:left="2205" w:hanging="495"/>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140" w:hanging="720"/>
      </w:pPr>
      <w:rPr>
        <w:rFonts w:hint="default"/>
      </w:rPr>
    </w:lvl>
    <w:lvl w:ilvl="5">
      <w:start w:val="1"/>
      <w:numFmt w:val="decimal"/>
      <w:lvlText w:val="%1-%2.%3.%4.%5.%6"/>
      <w:lvlJc w:val="left"/>
      <w:pPr>
        <w:ind w:left="4995" w:hanging="720"/>
      </w:pPr>
      <w:rPr>
        <w:rFonts w:hint="default"/>
      </w:rPr>
    </w:lvl>
    <w:lvl w:ilvl="6">
      <w:start w:val="1"/>
      <w:numFmt w:val="decimal"/>
      <w:lvlText w:val="%1-%2.%3.%4.%5.%6.%7"/>
      <w:lvlJc w:val="left"/>
      <w:pPr>
        <w:ind w:left="6210" w:hanging="1080"/>
      </w:pPr>
      <w:rPr>
        <w:rFonts w:hint="default"/>
      </w:rPr>
    </w:lvl>
    <w:lvl w:ilvl="7">
      <w:start w:val="1"/>
      <w:numFmt w:val="decimal"/>
      <w:lvlText w:val="%1-%2.%3.%4.%5.%6.%7.%8"/>
      <w:lvlJc w:val="left"/>
      <w:pPr>
        <w:ind w:left="7065" w:hanging="1080"/>
      </w:pPr>
      <w:rPr>
        <w:rFonts w:hint="default"/>
      </w:rPr>
    </w:lvl>
    <w:lvl w:ilvl="8">
      <w:start w:val="1"/>
      <w:numFmt w:val="decimal"/>
      <w:lvlText w:val="%1-%2.%3.%4.%5.%6.%7.%8.%9"/>
      <w:lvlJc w:val="left"/>
      <w:pPr>
        <w:ind w:left="7920" w:hanging="1080"/>
      </w:pPr>
      <w:rPr>
        <w:rFonts w:hint="default"/>
      </w:rPr>
    </w:lvl>
  </w:abstractNum>
  <w:abstractNum w:abstractNumId="27" w15:restartNumberingAfterBreak="0">
    <w:nsid w:val="52553D9F"/>
    <w:multiLevelType w:val="multilevel"/>
    <w:tmpl w:val="A6FA45D0"/>
    <w:numStyleLink w:val="BulletsList"/>
  </w:abstractNum>
  <w:abstractNum w:abstractNumId="2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9" w15:restartNumberingAfterBreak="0">
    <w:nsid w:val="5D3C1EA7"/>
    <w:multiLevelType w:val="multilevel"/>
    <w:tmpl w:val="A6FA45D0"/>
    <w:numStyleLink w:val="BulletsList"/>
  </w:abstractNum>
  <w:abstractNum w:abstractNumId="3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1" w15:restartNumberingAfterBreak="0">
    <w:nsid w:val="6B683F31"/>
    <w:multiLevelType w:val="multilevel"/>
    <w:tmpl w:val="DEF05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3107305"/>
    <w:multiLevelType w:val="multilevel"/>
    <w:tmpl w:val="A6FA45D0"/>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3" w15:restartNumberingAfterBreak="0">
    <w:nsid w:val="75615908"/>
    <w:multiLevelType w:val="hybridMultilevel"/>
    <w:tmpl w:val="8C623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32"/>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8"/>
  </w:num>
  <w:num w:numId="10">
    <w:abstractNumId w:val="3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9"/>
  </w:num>
  <w:num w:numId="22">
    <w:abstractNumId w:val="18"/>
  </w:num>
  <w:num w:numId="23">
    <w:abstractNumId w:val="18"/>
  </w:num>
  <w:num w:numId="24">
    <w:abstractNumId w:val="29"/>
  </w:num>
  <w:num w:numId="25">
    <w:abstractNumId w:val="29"/>
  </w:num>
  <w:num w:numId="26">
    <w:abstractNumId w:val="29"/>
  </w:num>
  <w:num w:numId="27">
    <w:abstractNumId w:val="28"/>
  </w:num>
  <w:num w:numId="28">
    <w:abstractNumId w:val="12"/>
  </w:num>
  <w:num w:numId="29">
    <w:abstractNumId w:val="12"/>
  </w:num>
  <w:num w:numId="30">
    <w:abstractNumId w:val="12"/>
  </w:num>
  <w:num w:numId="31">
    <w:abstractNumId w:val="15"/>
  </w:num>
  <w:num w:numId="32">
    <w:abstractNumId w:val="34"/>
  </w:num>
  <w:num w:numId="33">
    <w:abstractNumId w:val="27"/>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31"/>
  </w:num>
  <w:num w:numId="37">
    <w:abstractNumId w:val="25"/>
  </w:num>
  <w:num w:numId="38">
    <w:abstractNumId w:val="24"/>
  </w:num>
  <w:num w:numId="39">
    <w:abstractNumId w:val="17"/>
  </w:num>
  <w:num w:numId="40">
    <w:abstractNumId w:val="13"/>
  </w:num>
  <w:num w:numId="41">
    <w:abstractNumId w:val="21"/>
  </w:num>
  <w:num w:numId="42">
    <w:abstractNumId w:val="16"/>
  </w:num>
  <w:num w:numId="43">
    <w:abstractNumId w:val="26"/>
  </w:num>
  <w:num w:numId="44">
    <w:abstractNumId w:val="23"/>
  </w:num>
  <w:num w:numId="45">
    <w:abstractNumId w:val="33"/>
  </w:num>
  <w:num w:numId="46">
    <w:abstractNumId w:val="19"/>
  </w:num>
  <w:num w:numId="47">
    <w:abstractNumId w:val="11"/>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6C"/>
    <w:rsid w:val="00001DA8"/>
    <w:rsid w:val="000020C1"/>
    <w:rsid w:val="00015783"/>
    <w:rsid w:val="00015BAC"/>
    <w:rsid w:val="000168E4"/>
    <w:rsid w:val="0002080A"/>
    <w:rsid w:val="0002782F"/>
    <w:rsid w:val="00030E03"/>
    <w:rsid w:val="00035BBF"/>
    <w:rsid w:val="00040DF1"/>
    <w:rsid w:val="00050806"/>
    <w:rsid w:val="000546D9"/>
    <w:rsid w:val="00054AAA"/>
    <w:rsid w:val="00054E4D"/>
    <w:rsid w:val="00060073"/>
    <w:rsid w:val="000616C6"/>
    <w:rsid w:val="00071788"/>
    <w:rsid w:val="000854FD"/>
    <w:rsid w:val="000A3256"/>
    <w:rsid w:val="000A7C36"/>
    <w:rsid w:val="000B37F5"/>
    <w:rsid w:val="000B5B0C"/>
    <w:rsid w:val="000C460B"/>
    <w:rsid w:val="000C5205"/>
    <w:rsid w:val="000D66D6"/>
    <w:rsid w:val="000E01F9"/>
    <w:rsid w:val="000E689C"/>
    <w:rsid w:val="000E782A"/>
    <w:rsid w:val="0011051F"/>
    <w:rsid w:val="00110C81"/>
    <w:rsid w:val="00113288"/>
    <w:rsid w:val="001214BE"/>
    <w:rsid w:val="0013101C"/>
    <w:rsid w:val="001461D6"/>
    <w:rsid w:val="001541EA"/>
    <w:rsid w:val="00154523"/>
    <w:rsid w:val="001616D0"/>
    <w:rsid w:val="00163118"/>
    <w:rsid w:val="00171A79"/>
    <w:rsid w:val="0018396B"/>
    <w:rsid w:val="001907AA"/>
    <w:rsid w:val="001962F2"/>
    <w:rsid w:val="001A7ED5"/>
    <w:rsid w:val="001C0925"/>
    <w:rsid w:val="001C50B3"/>
    <w:rsid w:val="001D663E"/>
    <w:rsid w:val="001E1DC0"/>
    <w:rsid w:val="00203277"/>
    <w:rsid w:val="00205B2E"/>
    <w:rsid w:val="002068B7"/>
    <w:rsid w:val="00213A46"/>
    <w:rsid w:val="00216442"/>
    <w:rsid w:val="002234AD"/>
    <w:rsid w:val="0022631C"/>
    <w:rsid w:val="00230777"/>
    <w:rsid w:val="00234A81"/>
    <w:rsid w:val="00235EAB"/>
    <w:rsid w:val="002379AF"/>
    <w:rsid w:val="00252C04"/>
    <w:rsid w:val="00256F2C"/>
    <w:rsid w:val="002646C3"/>
    <w:rsid w:val="002653EC"/>
    <w:rsid w:val="00265DDB"/>
    <w:rsid w:val="00267519"/>
    <w:rsid w:val="00276A54"/>
    <w:rsid w:val="0028368E"/>
    <w:rsid w:val="0028602A"/>
    <w:rsid w:val="002A7F56"/>
    <w:rsid w:val="002B01DB"/>
    <w:rsid w:val="002B5E10"/>
    <w:rsid w:val="002C793D"/>
    <w:rsid w:val="002D48EF"/>
    <w:rsid w:val="002D5844"/>
    <w:rsid w:val="002D5B25"/>
    <w:rsid w:val="002E2BAE"/>
    <w:rsid w:val="002F4F2B"/>
    <w:rsid w:val="002F5B94"/>
    <w:rsid w:val="003002C0"/>
    <w:rsid w:val="00301144"/>
    <w:rsid w:val="00302C4B"/>
    <w:rsid w:val="003031C6"/>
    <w:rsid w:val="00304984"/>
    <w:rsid w:val="00312BF8"/>
    <w:rsid w:val="003148B7"/>
    <w:rsid w:val="003158C3"/>
    <w:rsid w:val="00317CEB"/>
    <w:rsid w:val="0032541D"/>
    <w:rsid w:val="003274CD"/>
    <w:rsid w:val="00330E12"/>
    <w:rsid w:val="00331F13"/>
    <w:rsid w:val="00333501"/>
    <w:rsid w:val="003365E4"/>
    <w:rsid w:val="00337087"/>
    <w:rsid w:val="0033744E"/>
    <w:rsid w:val="00342D6B"/>
    <w:rsid w:val="003457C4"/>
    <w:rsid w:val="003500CF"/>
    <w:rsid w:val="0035119D"/>
    <w:rsid w:val="00357BED"/>
    <w:rsid w:val="00365569"/>
    <w:rsid w:val="00372FC5"/>
    <w:rsid w:val="003753EF"/>
    <w:rsid w:val="00384D40"/>
    <w:rsid w:val="00390828"/>
    <w:rsid w:val="003920C9"/>
    <w:rsid w:val="0039344A"/>
    <w:rsid w:val="00395163"/>
    <w:rsid w:val="003B4F12"/>
    <w:rsid w:val="003C3A62"/>
    <w:rsid w:val="003D4C6F"/>
    <w:rsid w:val="003D7914"/>
    <w:rsid w:val="003F03A3"/>
    <w:rsid w:val="003F2041"/>
    <w:rsid w:val="003F4C3A"/>
    <w:rsid w:val="00402ACC"/>
    <w:rsid w:val="004120EC"/>
    <w:rsid w:val="00413670"/>
    <w:rsid w:val="00423F31"/>
    <w:rsid w:val="00431899"/>
    <w:rsid w:val="00442055"/>
    <w:rsid w:val="00452298"/>
    <w:rsid w:val="00461BAD"/>
    <w:rsid w:val="00474072"/>
    <w:rsid w:val="00482AE8"/>
    <w:rsid w:val="0048492D"/>
    <w:rsid w:val="00486804"/>
    <w:rsid w:val="004910E7"/>
    <w:rsid w:val="004939C4"/>
    <w:rsid w:val="00494F98"/>
    <w:rsid w:val="00497007"/>
    <w:rsid w:val="004A258D"/>
    <w:rsid w:val="004B09DF"/>
    <w:rsid w:val="004B1618"/>
    <w:rsid w:val="004B2091"/>
    <w:rsid w:val="004B223C"/>
    <w:rsid w:val="004B3775"/>
    <w:rsid w:val="004C5598"/>
    <w:rsid w:val="004C6342"/>
    <w:rsid w:val="004D0BA0"/>
    <w:rsid w:val="004E058F"/>
    <w:rsid w:val="004E3B87"/>
    <w:rsid w:val="004E4DF1"/>
    <w:rsid w:val="005012AA"/>
    <w:rsid w:val="00505577"/>
    <w:rsid w:val="0051003E"/>
    <w:rsid w:val="00510921"/>
    <w:rsid w:val="00510AD3"/>
    <w:rsid w:val="00513348"/>
    <w:rsid w:val="00513AD8"/>
    <w:rsid w:val="005204D2"/>
    <w:rsid w:val="00522396"/>
    <w:rsid w:val="00525390"/>
    <w:rsid w:val="0053351C"/>
    <w:rsid w:val="00533B5D"/>
    <w:rsid w:val="0054782C"/>
    <w:rsid w:val="00561D94"/>
    <w:rsid w:val="00591B5F"/>
    <w:rsid w:val="005A20F6"/>
    <w:rsid w:val="005B55E8"/>
    <w:rsid w:val="005B7E64"/>
    <w:rsid w:val="005C24D1"/>
    <w:rsid w:val="005C56CF"/>
    <w:rsid w:val="005D3655"/>
    <w:rsid w:val="005D5CB2"/>
    <w:rsid w:val="005E3B69"/>
    <w:rsid w:val="005E4830"/>
    <w:rsid w:val="005F42E6"/>
    <w:rsid w:val="00600A1A"/>
    <w:rsid w:val="00613A23"/>
    <w:rsid w:val="00615A93"/>
    <w:rsid w:val="00622B86"/>
    <w:rsid w:val="00623BA1"/>
    <w:rsid w:val="00624C16"/>
    <w:rsid w:val="006346BC"/>
    <w:rsid w:val="00651213"/>
    <w:rsid w:val="00660121"/>
    <w:rsid w:val="0066652A"/>
    <w:rsid w:val="00667907"/>
    <w:rsid w:val="0067029E"/>
    <w:rsid w:val="006719C3"/>
    <w:rsid w:val="00676886"/>
    <w:rsid w:val="0067788C"/>
    <w:rsid w:val="00677944"/>
    <w:rsid w:val="00680522"/>
    <w:rsid w:val="00682167"/>
    <w:rsid w:val="0068580C"/>
    <w:rsid w:val="006940BB"/>
    <w:rsid w:val="006A2D60"/>
    <w:rsid w:val="006A49EF"/>
    <w:rsid w:val="006C42AF"/>
    <w:rsid w:val="006D3069"/>
    <w:rsid w:val="006D628E"/>
    <w:rsid w:val="006D630F"/>
    <w:rsid w:val="006E716D"/>
    <w:rsid w:val="007031B5"/>
    <w:rsid w:val="00705AB6"/>
    <w:rsid w:val="00711163"/>
    <w:rsid w:val="00711D8E"/>
    <w:rsid w:val="00712672"/>
    <w:rsid w:val="00712C4E"/>
    <w:rsid w:val="00715351"/>
    <w:rsid w:val="00716AD8"/>
    <w:rsid w:val="00720E58"/>
    <w:rsid w:val="0072723E"/>
    <w:rsid w:val="00733231"/>
    <w:rsid w:val="00734E3F"/>
    <w:rsid w:val="00736985"/>
    <w:rsid w:val="00740BF9"/>
    <w:rsid w:val="007423A4"/>
    <w:rsid w:val="00745DF5"/>
    <w:rsid w:val="0076250F"/>
    <w:rsid w:val="0076468F"/>
    <w:rsid w:val="007706B8"/>
    <w:rsid w:val="00774EE4"/>
    <w:rsid w:val="00776EA1"/>
    <w:rsid w:val="00780FA5"/>
    <w:rsid w:val="00785361"/>
    <w:rsid w:val="00790171"/>
    <w:rsid w:val="007A5328"/>
    <w:rsid w:val="007A6663"/>
    <w:rsid w:val="007B06DC"/>
    <w:rsid w:val="007B08E8"/>
    <w:rsid w:val="007B59BC"/>
    <w:rsid w:val="007B6200"/>
    <w:rsid w:val="007C43B9"/>
    <w:rsid w:val="007C4629"/>
    <w:rsid w:val="007D2751"/>
    <w:rsid w:val="007D63DF"/>
    <w:rsid w:val="007D70EF"/>
    <w:rsid w:val="007E1F62"/>
    <w:rsid w:val="007E3FF9"/>
    <w:rsid w:val="007E4969"/>
    <w:rsid w:val="007F1185"/>
    <w:rsid w:val="007F3395"/>
    <w:rsid w:val="00801B9F"/>
    <w:rsid w:val="0080204D"/>
    <w:rsid w:val="00805B9C"/>
    <w:rsid w:val="00810213"/>
    <w:rsid w:val="00814579"/>
    <w:rsid w:val="00817DE6"/>
    <w:rsid w:val="008237F8"/>
    <w:rsid w:val="00823B7F"/>
    <w:rsid w:val="0083052F"/>
    <w:rsid w:val="008329B4"/>
    <w:rsid w:val="008475F0"/>
    <w:rsid w:val="00854659"/>
    <w:rsid w:val="00854DB7"/>
    <w:rsid w:val="00855257"/>
    <w:rsid w:val="008557A7"/>
    <w:rsid w:val="00870928"/>
    <w:rsid w:val="00871902"/>
    <w:rsid w:val="00880AFF"/>
    <w:rsid w:val="00885A62"/>
    <w:rsid w:val="0089405C"/>
    <w:rsid w:val="00897FA2"/>
    <w:rsid w:val="008A5AFE"/>
    <w:rsid w:val="008A7439"/>
    <w:rsid w:val="008C0D73"/>
    <w:rsid w:val="008C48F9"/>
    <w:rsid w:val="008C5A0E"/>
    <w:rsid w:val="008D0005"/>
    <w:rsid w:val="008D74C9"/>
    <w:rsid w:val="008F6176"/>
    <w:rsid w:val="009066F9"/>
    <w:rsid w:val="00917E55"/>
    <w:rsid w:val="00927172"/>
    <w:rsid w:val="009278D2"/>
    <w:rsid w:val="00935ABC"/>
    <w:rsid w:val="00942FD9"/>
    <w:rsid w:val="00943730"/>
    <w:rsid w:val="0095053A"/>
    <w:rsid w:val="00952195"/>
    <w:rsid w:val="00961E72"/>
    <w:rsid w:val="0097421D"/>
    <w:rsid w:val="00975CA5"/>
    <w:rsid w:val="00977676"/>
    <w:rsid w:val="00980574"/>
    <w:rsid w:val="00983AED"/>
    <w:rsid w:val="00986590"/>
    <w:rsid w:val="00992C76"/>
    <w:rsid w:val="009969D6"/>
    <w:rsid w:val="009A0908"/>
    <w:rsid w:val="009A3DD2"/>
    <w:rsid w:val="009B0C0D"/>
    <w:rsid w:val="009B4D3B"/>
    <w:rsid w:val="009B7942"/>
    <w:rsid w:val="009D57C0"/>
    <w:rsid w:val="009D7407"/>
    <w:rsid w:val="009E0866"/>
    <w:rsid w:val="009E273C"/>
    <w:rsid w:val="009F1350"/>
    <w:rsid w:val="009F6423"/>
    <w:rsid w:val="009F713D"/>
    <w:rsid w:val="00A10497"/>
    <w:rsid w:val="00A11AE0"/>
    <w:rsid w:val="00A16856"/>
    <w:rsid w:val="00A175B3"/>
    <w:rsid w:val="00A24A62"/>
    <w:rsid w:val="00A31C9F"/>
    <w:rsid w:val="00A3293A"/>
    <w:rsid w:val="00A35285"/>
    <w:rsid w:val="00A4144F"/>
    <w:rsid w:val="00A614DE"/>
    <w:rsid w:val="00A61B4D"/>
    <w:rsid w:val="00A63917"/>
    <w:rsid w:val="00A80F95"/>
    <w:rsid w:val="00A91795"/>
    <w:rsid w:val="00A940CA"/>
    <w:rsid w:val="00A95D7E"/>
    <w:rsid w:val="00A97BF1"/>
    <w:rsid w:val="00AA14F8"/>
    <w:rsid w:val="00AA298A"/>
    <w:rsid w:val="00AA315B"/>
    <w:rsid w:val="00AA5926"/>
    <w:rsid w:val="00AB048C"/>
    <w:rsid w:val="00AB376E"/>
    <w:rsid w:val="00AB4389"/>
    <w:rsid w:val="00AC164A"/>
    <w:rsid w:val="00AC68FC"/>
    <w:rsid w:val="00AC6996"/>
    <w:rsid w:val="00AD09FE"/>
    <w:rsid w:val="00AD2F4D"/>
    <w:rsid w:val="00AE448A"/>
    <w:rsid w:val="00AE609F"/>
    <w:rsid w:val="00AF2050"/>
    <w:rsid w:val="00AF26E2"/>
    <w:rsid w:val="00B0385D"/>
    <w:rsid w:val="00B03CA8"/>
    <w:rsid w:val="00B05089"/>
    <w:rsid w:val="00B1070B"/>
    <w:rsid w:val="00B120ED"/>
    <w:rsid w:val="00B16FE3"/>
    <w:rsid w:val="00B33C0A"/>
    <w:rsid w:val="00B55E19"/>
    <w:rsid w:val="00B637DD"/>
    <w:rsid w:val="00B6495A"/>
    <w:rsid w:val="00B66722"/>
    <w:rsid w:val="00B70B50"/>
    <w:rsid w:val="00B75023"/>
    <w:rsid w:val="00B77180"/>
    <w:rsid w:val="00B927C4"/>
    <w:rsid w:val="00B94758"/>
    <w:rsid w:val="00B97DAA"/>
    <w:rsid w:val="00BA0538"/>
    <w:rsid w:val="00BA4B6D"/>
    <w:rsid w:val="00BB26C5"/>
    <w:rsid w:val="00BC0926"/>
    <w:rsid w:val="00BC31BD"/>
    <w:rsid w:val="00BD2CB3"/>
    <w:rsid w:val="00BD2E69"/>
    <w:rsid w:val="00BF4DE6"/>
    <w:rsid w:val="00C003F4"/>
    <w:rsid w:val="00C04EC3"/>
    <w:rsid w:val="00C06B13"/>
    <w:rsid w:val="00C2456B"/>
    <w:rsid w:val="00C27D25"/>
    <w:rsid w:val="00C32299"/>
    <w:rsid w:val="00C352DF"/>
    <w:rsid w:val="00C41AC4"/>
    <w:rsid w:val="00C42541"/>
    <w:rsid w:val="00C42CDE"/>
    <w:rsid w:val="00C4353A"/>
    <w:rsid w:val="00C453F8"/>
    <w:rsid w:val="00C5182A"/>
    <w:rsid w:val="00C63C51"/>
    <w:rsid w:val="00C63EE9"/>
    <w:rsid w:val="00C660CB"/>
    <w:rsid w:val="00C737FA"/>
    <w:rsid w:val="00C763DA"/>
    <w:rsid w:val="00C76D46"/>
    <w:rsid w:val="00CA16F3"/>
    <w:rsid w:val="00CA37B1"/>
    <w:rsid w:val="00CB068B"/>
    <w:rsid w:val="00CB1959"/>
    <w:rsid w:val="00CC228E"/>
    <w:rsid w:val="00CC741B"/>
    <w:rsid w:val="00CD0E4B"/>
    <w:rsid w:val="00CE4C89"/>
    <w:rsid w:val="00CF07BA"/>
    <w:rsid w:val="00CF6C83"/>
    <w:rsid w:val="00D00153"/>
    <w:rsid w:val="00D0296C"/>
    <w:rsid w:val="00D17A29"/>
    <w:rsid w:val="00D23666"/>
    <w:rsid w:val="00D32D6F"/>
    <w:rsid w:val="00D338B0"/>
    <w:rsid w:val="00D37560"/>
    <w:rsid w:val="00D37B04"/>
    <w:rsid w:val="00D464AE"/>
    <w:rsid w:val="00D540C6"/>
    <w:rsid w:val="00D64BD1"/>
    <w:rsid w:val="00D65749"/>
    <w:rsid w:val="00D75D4C"/>
    <w:rsid w:val="00D813DF"/>
    <w:rsid w:val="00D92254"/>
    <w:rsid w:val="00D93BC6"/>
    <w:rsid w:val="00DB1CF1"/>
    <w:rsid w:val="00DB249D"/>
    <w:rsid w:val="00DE084C"/>
    <w:rsid w:val="00DE439D"/>
    <w:rsid w:val="00E14F51"/>
    <w:rsid w:val="00E357B7"/>
    <w:rsid w:val="00E52D72"/>
    <w:rsid w:val="00E53800"/>
    <w:rsid w:val="00E558EE"/>
    <w:rsid w:val="00E6081F"/>
    <w:rsid w:val="00E655FE"/>
    <w:rsid w:val="00E8296D"/>
    <w:rsid w:val="00E8457B"/>
    <w:rsid w:val="00E9094E"/>
    <w:rsid w:val="00E93EAC"/>
    <w:rsid w:val="00E956C9"/>
    <w:rsid w:val="00EA04B2"/>
    <w:rsid w:val="00EA20F3"/>
    <w:rsid w:val="00EB2D18"/>
    <w:rsid w:val="00EB398C"/>
    <w:rsid w:val="00EB43D4"/>
    <w:rsid w:val="00EC3C2D"/>
    <w:rsid w:val="00EC53BA"/>
    <w:rsid w:val="00ED2831"/>
    <w:rsid w:val="00ED43D1"/>
    <w:rsid w:val="00EE1027"/>
    <w:rsid w:val="00EE25F4"/>
    <w:rsid w:val="00EE4EE1"/>
    <w:rsid w:val="00EE6EED"/>
    <w:rsid w:val="00EF2C69"/>
    <w:rsid w:val="00EF4574"/>
    <w:rsid w:val="00EF5FB3"/>
    <w:rsid w:val="00F074B8"/>
    <w:rsid w:val="00F22E64"/>
    <w:rsid w:val="00F25A93"/>
    <w:rsid w:val="00F2684E"/>
    <w:rsid w:val="00F30087"/>
    <w:rsid w:val="00F344FD"/>
    <w:rsid w:val="00F366DB"/>
    <w:rsid w:val="00F36D55"/>
    <w:rsid w:val="00F52681"/>
    <w:rsid w:val="00F5404C"/>
    <w:rsid w:val="00F5567E"/>
    <w:rsid w:val="00F617F9"/>
    <w:rsid w:val="00F729EF"/>
    <w:rsid w:val="00F744A2"/>
    <w:rsid w:val="00F74546"/>
    <w:rsid w:val="00F77CAE"/>
    <w:rsid w:val="00F82271"/>
    <w:rsid w:val="00F83428"/>
    <w:rsid w:val="00F950F7"/>
    <w:rsid w:val="00F96BB9"/>
    <w:rsid w:val="00FA2389"/>
    <w:rsid w:val="00FA26C3"/>
    <w:rsid w:val="00FA5B57"/>
    <w:rsid w:val="00FA69AF"/>
    <w:rsid w:val="00FA7833"/>
    <w:rsid w:val="00FB2BAA"/>
    <w:rsid w:val="00FB6919"/>
    <w:rsid w:val="00FB6D8C"/>
    <w:rsid w:val="00FC322F"/>
    <w:rsid w:val="00FC3B53"/>
    <w:rsid w:val="00FD235F"/>
    <w:rsid w:val="00FD4F88"/>
    <w:rsid w:val="00FE49E6"/>
    <w:rsid w:val="00FE6D51"/>
    <w:rsid w:val="00FE6F2A"/>
    <w:rsid w:val="00FF228F"/>
    <w:rsid w:val="00FF49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58A4270"/>
  <w15:docId w15:val="{19BED66C-9F36-41BE-9162-E3444C680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0"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B55E8"/>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7706B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983AED"/>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7706B8"/>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6B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983AED"/>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7706B8"/>
    <w:pPr>
      <w:numPr>
        <w:numId w:val="33"/>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7706B8"/>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525390"/>
    <w:pPr>
      <w:tabs>
        <w:tab w:val="center" w:pos="4513"/>
        <w:tab w:val="right" w:pos="9026"/>
      </w:tabs>
      <w:spacing w:before="0" w:after="0"/>
      <w:ind w:left="227"/>
    </w:pPr>
    <w:rPr>
      <w:b/>
      <w:caps/>
      <w:color w:val="auto"/>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7706B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525390"/>
    <w:rPr>
      <w:b/>
      <w:caps/>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7706B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525390"/>
    <w:pPr>
      <w:spacing w:before="0" w:after="0" w:line="240" w:lineRule="exact"/>
      <w:ind w:left="284" w:right="284"/>
    </w:pPr>
    <w:rPr>
      <w:color w:val="auto"/>
    </w:rPr>
  </w:style>
  <w:style w:type="character" w:customStyle="1" w:styleId="FooterChar">
    <w:name w:val="Footer Char"/>
    <w:basedOn w:val="DefaultParagraphFont"/>
    <w:link w:val="Footer"/>
    <w:uiPriority w:val="99"/>
    <w:rsid w:val="00525390"/>
    <w:rPr>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aliases w:val="ft,fn,FOOTNOTES,single space,Footnote Text Char1 Char,Footnote Text Char Char Char,Footnote Text Char Char Char Char Char,Footnote Text Char Char Char Char Char Char Char Char Char Char,Nbpage Moens,(NECG) Footnote Text Char Char Char,f,A"/>
    <w:basedOn w:val="Normal"/>
    <w:link w:val="FootnoteTextChar"/>
    <w:uiPriority w:val="99"/>
    <w:unhideWhenUsed/>
    <w:qFormat/>
    <w:rsid w:val="008C5A0E"/>
    <w:pPr>
      <w:spacing w:before="60" w:after="0" w:line="140" w:lineRule="atLeast"/>
      <w:ind w:left="170" w:hanging="170"/>
    </w:pPr>
    <w:rPr>
      <w:sz w:val="12"/>
      <w:szCs w:val="20"/>
    </w:rPr>
  </w:style>
  <w:style w:type="character" w:customStyle="1" w:styleId="FootnoteTextChar">
    <w:name w:val="Footnote Text Char"/>
    <w:aliases w:val="ft Char,fn Char,FOOTNOTES Char,single space Char,Footnote Text Char1 Char Char,Footnote Text Char Char Char Char,Footnote Text Char Char Char Char Char Char,Footnote Text Char Char Char Char Char Char Char Char Char Char Char,f Char"/>
    <w:basedOn w:val="DefaultParagraphFont"/>
    <w:link w:val="FootnoteText"/>
    <w:uiPriority w:val="99"/>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525390"/>
    <w:rPr>
      <w:color w:val="auto"/>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7E4969"/>
    <w:pPr>
      <w:ind w:left="720"/>
      <w:contextualSpacing/>
    </w:pPr>
  </w:style>
  <w:style w:type="table" w:styleId="PlainTable3">
    <w:name w:val="Plain Table 3"/>
    <w:basedOn w:val="TableNormal"/>
    <w:uiPriority w:val="43"/>
    <w:locked/>
    <w:rsid w:val="009278D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B05089"/>
    <w:rPr>
      <w:color w:val="495965" w:themeColor="text2"/>
      <w:lang w:val="en-GB"/>
    </w:rPr>
  </w:style>
  <w:style w:type="paragraph" w:styleId="NormalWeb">
    <w:name w:val="Normal (Web)"/>
    <w:basedOn w:val="Normal"/>
    <w:uiPriority w:val="99"/>
    <w:unhideWhenUsed/>
    <w:rsid w:val="007E3FF9"/>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table" w:customStyle="1" w:styleId="APPR">
    <w:name w:val="APPR"/>
    <w:basedOn w:val="TableNormal"/>
    <w:uiPriority w:val="99"/>
    <w:rsid w:val="00390828"/>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Revision">
    <w:name w:val="Revision"/>
    <w:hidden/>
    <w:uiPriority w:val="99"/>
    <w:semiHidden/>
    <w:rsid w:val="00660121"/>
    <w:pPr>
      <w:spacing w:after="0" w:line="240" w:lineRule="auto"/>
    </w:pPr>
    <w:rPr>
      <w:color w:val="495965" w:themeColor="text2"/>
      <w:lang w:val="en-GB"/>
    </w:rPr>
  </w:style>
  <w:style w:type="paragraph" w:customStyle="1" w:styleId="Tablenormalleft">
    <w:name w:val="Table normal left"/>
    <w:qFormat/>
    <w:rsid w:val="00C41AC4"/>
    <w:pPr>
      <w:keepLines/>
      <w:widowControl w:val="0"/>
      <w:spacing w:before="40" w:after="40" w:line="240" w:lineRule="auto"/>
    </w:pPr>
    <w:rPr>
      <w:rFonts w:ascii="Arial" w:hAnsi="Arial"/>
      <w:bCs/>
      <w:sz w:val="18"/>
    </w:rPr>
  </w:style>
  <w:style w:type="paragraph" w:customStyle="1" w:styleId="SSCnormal">
    <w:name w:val="SSC normal"/>
    <w:basedOn w:val="Normal"/>
    <w:qFormat/>
    <w:rsid w:val="00EE6EED"/>
    <w:pPr>
      <w:suppressAutoHyphens w:val="0"/>
      <w:spacing w:after="240" w:line="276" w:lineRule="auto"/>
    </w:pPr>
    <w:rPr>
      <w:rFonts w:ascii="Arial" w:hAnsi="Arial"/>
      <w:color w:val="000000" w:themeColor="text1"/>
      <w:sz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4796">
      <w:bodyDiv w:val="1"/>
      <w:marLeft w:val="0"/>
      <w:marRight w:val="0"/>
      <w:marTop w:val="0"/>
      <w:marBottom w:val="0"/>
      <w:divBdr>
        <w:top w:val="none" w:sz="0" w:space="0" w:color="auto"/>
        <w:left w:val="none" w:sz="0" w:space="0" w:color="auto"/>
        <w:bottom w:val="none" w:sz="0" w:space="0" w:color="auto"/>
        <w:right w:val="none" w:sz="0" w:space="0" w:color="auto"/>
      </w:divBdr>
    </w:div>
    <w:div w:id="388267503">
      <w:bodyDiv w:val="1"/>
      <w:marLeft w:val="0"/>
      <w:marRight w:val="0"/>
      <w:marTop w:val="0"/>
      <w:marBottom w:val="0"/>
      <w:divBdr>
        <w:top w:val="none" w:sz="0" w:space="0" w:color="auto"/>
        <w:left w:val="none" w:sz="0" w:space="0" w:color="auto"/>
        <w:bottom w:val="none" w:sz="0" w:space="0" w:color="auto"/>
        <w:right w:val="none" w:sz="0" w:space="0" w:color="auto"/>
      </w:divBdr>
    </w:div>
    <w:div w:id="474446788">
      <w:bodyDiv w:val="1"/>
      <w:marLeft w:val="0"/>
      <w:marRight w:val="0"/>
      <w:marTop w:val="0"/>
      <w:marBottom w:val="0"/>
      <w:divBdr>
        <w:top w:val="none" w:sz="0" w:space="0" w:color="auto"/>
        <w:left w:val="none" w:sz="0" w:space="0" w:color="auto"/>
        <w:bottom w:val="none" w:sz="0" w:space="0" w:color="auto"/>
        <w:right w:val="none" w:sz="0" w:space="0" w:color="auto"/>
      </w:divBdr>
    </w:div>
    <w:div w:id="489640626">
      <w:bodyDiv w:val="1"/>
      <w:marLeft w:val="0"/>
      <w:marRight w:val="0"/>
      <w:marTop w:val="0"/>
      <w:marBottom w:val="0"/>
      <w:divBdr>
        <w:top w:val="none" w:sz="0" w:space="0" w:color="auto"/>
        <w:left w:val="none" w:sz="0" w:space="0" w:color="auto"/>
        <w:bottom w:val="none" w:sz="0" w:space="0" w:color="auto"/>
        <w:right w:val="none" w:sz="0" w:space="0" w:color="auto"/>
      </w:divBdr>
    </w:div>
    <w:div w:id="562717897">
      <w:bodyDiv w:val="1"/>
      <w:marLeft w:val="0"/>
      <w:marRight w:val="0"/>
      <w:marTop w:val="0"/>
      <w:marBottom w:val="0"/>
      <w:divBdr>
        <w:top w:val="none" w:sz="0" w:space="0" w:color="auto"/>
        <w:left w:val="none" w:sz="0" w:space="0" w:color="auto"/>
        <w:bottom w:val="none" w:sz="0" w:space="0" w:color="auto"/>
        <w:right w:val="none" w:sz="0" w:space="0" w:color="auto"/>
      </w:divBdr>
    </w:div>
    <w:div w:id="681664332">
      <w:bodyDiv w:val="1"/>
      <w:marLeft w:val="0"/>
      <w:marRight w:val="0"/>
      <w:marTop w:val="0"/>
      <w:marBottom w:val="0"/>
      <w:divBdr>
        <w:top w:val="none" w:sz="0" w:space="0" w:color="auto"/>
        <w:left w:val="none" w:sz="0" w:space="0" w:color="auto"/>
        <w:bottom w:val="none" w:sz="0" w:space="0" w:color="auto"/>
        <w:right w:val="none" w:sz="0" w:space="0" w:color="auto"/>
      </w:divBdr>
    </w:div>
    <w:div w:id="802693257">
      <w:bodyDiv w:val="1"/>
      <w:marLeft w:val="0"/>
      <w:marRight w:val="0"/>
      <w:marTop w:val="0"/>
      <w:marBottom w:val="0"/>
      <w:divBdr>
        <w:top w:val="none" w:sz="0" w:space="0" w:color="auto"/>
        <w:left w:val="none" w:sz="0" w:space="0" w:color="auto"/>
        <w:bottom w:val="none" w:sz="0" w:space="0" w:color="auto"/>
        <w:right w:val="none" w:sz="0" w:space="0" w:color="auto"/>
      </w:divBdr>
    </w:div>
    <w:div w:id="993988907">
      <w:bodyDiv w:val="1"/>
      <w:marLeft w:val="0"/>
      <w:marRight w:val="0"/>
      <w:marTop w:val="0"/>
      <w:marBottom w:val="0"/>
      <w:divBdr>
        <w:top w:val="none" w:sz="0" w:space="0" w:color="auto"/>
        <w:left w:val="none" w:sz="0" w:space="0" w:color="auto"/>
        <w:bottom w:val="none" w:sz="0" w:space="0" w:color="auto"/>
        <w:right w:val="none" w:sz="0" w:space="0" w:color="auto"/>
      </w:divBdr>
    </w:div>
    <w:div w:id="1161970788">
      <w:bodyDiv w:val="1"/>
      <w:marLeft w:val="0"/>
      <w:marRight w:val="0"/>
      <w:marTop w:val="0"/>
      <w:marBottom w:val="0"/>
      <w:divBdr>
        <w:top w:val="none" w:sz="0" w:space="0" w:color="auto"/>
        <w:left w:val="none" w:sz="0" w:space="0" w:color="auto"/>
        <w:bottom w:val="none" w:sz="0" w:space="0" w:color="auto"/>
        <w:right w:val="none" w:sz="0" w:space="0" w:color="auto"/>
      </w:divBdr>
    </w:div>
    <w:div w:id="1168977536">
      <w:bodyDiv w:val="1"/>
      <w:marLeft w:val="0"/>
      <w:marRight w:val="0"/>
      <w:marTop w:val="0"/>
      <w:marBottom w:val="0"/>
      <w:divBdr>
        <w:top w:val="none" w:sz="0" w:space="0" w:color="auto"/>
        <w:left w:val="none" w:sz="0" w:space="0" w:color="auto"/>
        <w:bottom w:val="none" w:sz="0" w:space="0" w:color="auto"/>
        <w:right w:val="none" w:sz="0" w:space="0" w:color="auto"/>
      </w:divBdr>
    </w:div>
    <w:div w:id="1180923512">
      <w:bodyDiv w:val="1"/>
      <w:marLeft w:val="0"/>
      <w:marRight w:val="0"/>
      <w:marTop w:val="0"/>
      <w:marBottom w:val="0"/>
      <w:divBdr>
        <w:top w:val="none" w:sz="0" w:space="0" w:color="auto"/>
        <w:left w:val="none" w:sz="0" w:space="0" w:color="auto"/>
        <w:bottom w:val="none" w:sz="0" w:space="0" w:color="auto"/>
        <w:right w:val="none" w:sz="0" w:space="0" w:color="auto"/>
      </w:divBdr>
    </w:div>
    <w:div w:id="1341353538">
      <w:bodyDiv w:val="1"/>
      <w:marLeft w:val="0"/>
      <w:marRight w:val="0"/>
      <w:marTop w:val="0"/>
      <w:marBottom w:val="0"/>
      <w:divBdr>
        <w:top w:val="none" w:sz="0" w:space="0" w:color="auto"/>
        <w:left w:val="none" w:sz="0" w:space="0" w:color="auto"/>
        <w:bottom w:val="none" w:sz="0" w:space="0" w:color="auto"/>
        <w:right w:val="none" w:sz="0" w:space="0" w:color="auto"/>
      </w:divBdr>
    </w:div>
    <w:div w:id="1726879630">
      <w:bodyDiv w:val="1"/>
      <w:marLeft w:val="0"/>
      <w:marRight w:val="0"/>
      <w:marTop w:val="0"/>
      <w:marBottom w:val="0"/>
      <w:divBdr>
        <w:top w:val="none" w:sz="0" w:space="0" w:color="auto"/>
        <w:left w:val="none" w:sz="0" w:space="0" w:color="auto"/>
        <w:bottom w:val="none" w:sz="0" w:space="0" w:color="auto"/>
        <w:right w:val="none" w:sz="0" w:space="0" w:color="auto"/>
      </w:divBdr>
    </w:div>
    <w:div w:id="1731686273">
      <w:bodyDiv w:val="1"/>
      <w:marLeft w:val="0"/>
      <w:marRight w:val="0"/>
      <w:marTop w:val="0"/>
      <w:marBottom w:val="0"/>
      <w:divBdr>
        <w:top w:val="none" w:sz="0" w:space="0" w:color="auto"/>
        <w:left w:val="none" w:sz="0" w:space="0" w:color="auto"/>
        <w:bottom w:val="none" w:sz="0" w:space="0" w:color="auto"/>
        <w:right w:val="none" w:sz="0" w:space="0" w:color="auto"/>
      </w:divBdr>
      <w:divsChild>
        <w:div w:id="861240672">
          <w:marLeft w:val="274"/>
          <w:marRight w:val="0"/>
          <w:marTop w:val="120"/>
          <w:marBottom w:val="0"/>
          <w:divBdr>
            <w:top w:val="none" w:sz="0" w:space="0" w:color="auto"/>
            <w:left w:val="none" w:sz="0" w:space="0" w:color="auto"/>
            <w:bottom w:val="none" w:sz="0" w:space="0" w:color="auto"/>
            <w:right w:val="none" w:sz="0" w:space="0" w:color="auto"/>
          </w:divBdr>
        </w:div>
        <w:div w:id="104663363">
          <w:marLeft w:val="274"/>
          <w:marRight w:val="0"/>
          <w:marTop w:val="120"/>
          <w:marBottom w:val="0"/>
          <w:divBdr>
            <w:top w:val="none" w:sz="0" w:space="0" w:color="auto"/>
            <w:left w:val="none" w:sz="0" w:space="0" w:color="auto"/>
            <w:bottom w:val="none" w:sz="0" w:space="0" w:color="auto"/>
            <w:right w:val="none" w:sz="0" w:space="0" w:color="auto"/>
          </w:divBdr>
        </w:div>
      </w:divsChild>
    </w:div>
    <w:div w:id="1756979459">
      <w:bodyDiv w:val="1"/>
      <w:marLeft w:val="0"/>
      <w:marRight w:val="0"/>
      <w:marTop w:val="0"/>
      <w:marBottom w:val="0"/>
      <w:divBdr>
        <w:top w:val="none" w:sz="0" w:space="0" w:color="auto"/>
        <w:left w:val="none" w:sz="0" w:space="0" w:color="auto"/>
        <w:bottom w:val="none" w:sz="0" w:space="0" w:color="auto"/>
        <w:right w:val="none" w:sz="0" w:space="0" w:color="auto"/>
      </w:divBdr>
    </w:div>
    <w:div w:id="2004385573">
      <w:bodyDiv w:val="1"/>
      <w:marLeft w:val="0"/>
      <w:marRight w:val="0"/>
      <w:marTop w:val="0"/>
      <w:marBottom w:val="0"/>
      <w:divBdr>
        <w:top w:val="none" w:sz="0" w:space="0" w:color="auto"/>
        <w:left w:val="none" w:sz="0" w:space="0" w:color="auto"/>
        <w:bottom w:val="none" w:sz="0" w:space="0" w:color="auto"/>
        <w:right w:val="none" w:sz="0" w:space="0" w:color="auto"/>
      </w:divBdr>
    </w:div>
    <w:div w:id="2025478766">
      <w:bodyDiv w:val="1"/>
      <w:marLeft w:val="0"/>
      <w:marRight w:val="0"/>
      <w:marTop w:val="0"/>
      <w:marBottom w:val="0"/>
      <w:divBdr>
        <w:top w:val="none" w:sz="0" w:space="0" w:color="auto"/>
        <w:left w:val="none" w:sz="0" w:space="0" w:color="auto"/>
        <w:bottom w:val="none" w:sz="0" w:space="0" w:color="auto"/>
        <w:right w:val="none" w:sz="0" w:space="0" w:color="auto"/>
      </w:divBdr>
    </w:div>
    <w:div w:id="202967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7.png"/></Relationships>
</file>

<file path=word/_rels/header8.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9E693D3678C94CB8EEFC711F5CF666" ma:contentTypeVersion="4" ma:contentTypeDescription="Create a new document." ma:contentTypeScope="" ma:versionID="1b171b88e130cc792a0fd66ce8e9f58a">
  <xsd:schema xmlns:xsd="http://www.w3.org/2001/XMLSchema" xmlns:xs="http://www.w3.org/2001/XMLSchema" xmlns:p="http://schemas.microsoft.com/office/2006/metadata/properties" xmlns:ns3="69dde7e3-3707-4dc6-894e-213b60222617" targetNamespace="http://schemas.microsoft.com/office/2006/metadata/properties" ma:root="true" ma:fieldsID="3cb584e5cd371fcc76ff3d41c442cbbe" ns3:_="">
    <xsd:import namespace="69dde7e3-3707-4dc6-894e-213b602226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de7e3-3707-4dc6-894e-213b60222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744F3-77A8-42E6-9FDA-A7B27B5C94ED}">
  <ds:schemaRefs>
    <ds:schemaRef ds:uri="http://schemas.microsoft.com/sharepoint/v3/contenttype/forms"/>
  </ds:schemaRefs>
</ds:datastoreItem>
</file>

<file path=customXml/itemProps2.xml><?xml version="1.0" encoding="utf-8"?>
<ds:datastoreItem xmlns:ds="http://schemas.openxmlformats.org/officeDocument/2006/customXml" ds:itemID="{2BE12A1F-D03C-4C23-AB32-9C23FA81F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de7e3-3707-4dc6-894e-213b60222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44B631-7640-4A17-8550-BEE8955DE750}">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69dde7e3-3707-4dc6-894e-213b60222617"/>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E0B6031-038E-4A27-902E-6C508DF96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Aid Fact Sheet - aqua - single column</vt:lpstr>
    </vt:vector>
  </TitlesOfParts>
  <Company>Department of Foreign Affairs and Trade</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Aid Fact Sheet - aqua - single column</dc:title>
  <dc:creator>Ben</dc:creator>
  <cp:lastModifiedBy>Sydney Carpenter</cp:lastModifiedBy>
  <cp:revision>11</cp:revision>
  <cp:lastPrinted>2020-09-15T23:06:00Z</cp:lastPrinted>
  <dcterms:created xsi:type="dcterms:W3CDTF">2020-11-03T06:11:00Z</dcterms:created>
  <dcterms:modified xsi:type="dcterms:W3CDTF">2020-11-17T23:03:00Z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de4f6c95-bbea-4837-af10-74df1a0a5f11</vt:lpwstr>
  </property>
  <property fmtid="{D5CDD505-2E9C-101B-9397-08002B2CF9AE}" pid="3" name="ContentTypeId">
    <vt:lpwstr>0x010100C19E693D3678C94CB8EEFC711F5CF666</vt:lpwstr>
  </property>
  <property fmtid="{D5CDD505-2E9C-101B-9397-08002B2CF9AE}" pid="4" name="SEC">
    <vt:lpwstr>OFFICIAL</vt:lpwstr>
  </property>
  <property fmtid="{D5CDD505-2E9C-101B-9397-08002B2CF9AE}" pid="5" name="DLM">
    <vt:lpwstr>No DLM</vt:lpwstr>
  </property>
</Properties>
</file>