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header7.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68127B6"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F3D91A6" wp14:editId="58096425">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7B53CD48" wp14:editId="58F74E4C">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03DD4BB6" w14:textId="77777777" w:rsidR="003D352D" w:rsidRDefault="003D352D" w:rsidP="00D146A2"/>
    <w:p w14:paraId="5BAE2962" w14:textId="77777777" w:rsidR="003D352D" w:rsidRDefault="003D352D" w:rsidP="00D146A2"/>
    <w:p w14:paraId="43766B25" w14:textId="77777777" w:rsidR="003D352D" w:rsidRDefault="003D352D" w:rsidP="00D146A2"/>
    <w:p w14:paraId="30F93C6A" w14:textId="77777777" w:rsidR="003D352D" w:rsidRDefault="003D352D" w:rsidP="00D146A2"/>
    <w:p w14:paraId="648F7D68" w14:textId="77777777" w:rsidR="003D352D" w:rsidRDefault="003D352D" w:rsidP="00D146A2"/>
    <w:p w14:paraId="6FCAE2E2" w14:textId="77777777" w:rsidR="003D352D" w:rsidRDefault="003D352D" w:rsidP="00D146A2"/>
    <w:p w14:paraId="556EEBB7" w14:textId="77777777" w:rsidR="003D352D" w:rsidRDefault="003D352D" w:rsidP="00D146A2"/>
    <w:p w14:paraId="1B55AFD0" w14:textId="77777777" w:rsidR="003D352D" w:rsidRDefault="003D352D" w:rsidP="00D146A2"/>
    <w:p w14:paraId="41467A5B" w14:textId="77777777" w:rsidR="003D352D" w:rsidRDefault="003D352D" w:rsidP="00D146A2"/>
    <w:p w14:paraId="47D0CCF3" w14:textId="77777777" w:rsidR="003D352D" w:rsidRDefault="003D352D" w:rsidP="00D146A2"/>
    <w:p w14:paraId="30536297" w14:textId="77777777" w:rsidR="003D352D" w:rsidRDefault="003D352D" w:rsidP="00D146A2"/>
    <w:p w14:paraId="09FA0C4E" w14:textId="77777777" w:rsidR="003D352D" w:rsidRDefault="003D352D" w:rsidP="00D146A2"/>
    <w:p w14:paraId="58B6D0D2" w14:textId="77777777" w:rsidR="003D352D" w:rsidRDefault="003D352D" w:rsidP="00D146A2"/>
    <w:p w14:paraId="7875E2E0" w14:textId="77777777" w:rsidR="003D352D" w:rsidRDefault="003D352D" w:rsidP="00D146A2"/>
    <w:p w14:paraId="5D8D9C5E" w14:textId="77777777" w:rsidR="003D352D" w:rsidRDefault="003D352D" w:rsidP="00D146A2"/>
    <w:p w14:paraId="1CB498B1" w14:textId="77777777" w:rsidR="003D352D" w:rsidRPr="0059146A" w:rsidRDefault="003D352D" w:rsidP="0059146A"/>
    <w:p w14:paraId="57529045" w14:textId="77777777" w:rsidR="003D352D" w:rsidRPr="0059146A" w:rsidRDefault="003D352D" w:rsidP="0059146A"/>
    <w:p w14:paraId="15759C55" w14:textId="77777777" w:rsidR="003D352D" w:rsidRPr="0059146A" w:rsidRDefault="003D352D" w:rsidP="0059146A"/>
    <w:p w14:paraId="5BFB269E" w14:textId="77777777" w:rsidR="003D352D" w:rsidRPr="0059146A" w:rsidRDefault="003D352D" w:rsidP="0059146A"/>
    <w:p w14:paraId="4D056F03" w14:textId="77777777" w:rsidR="003D352D" w:rsidRPr="0059146A" w:rsidRDefault="003D352D" w:rsidP="0059146A"/>
    <w:p w14:paraId="6480AA58" w14:textId="77777777" w:rsidR="003D352D" w:rsidRPr="0059146A" w:rsidRDefault="003D352D" w:rsidP="0059146A"/>
    <w:p w14:paraId="3713CD28" w14:textId="77777777" w:rsidR="00A56F14" w:rsidRPr="0059146A" w:rsidRDefault="00A56F14" w:rsidP="00A56F14"/>
    <w:p w14:paraId="0DB2538C" w14:textId="77777777" w:rsidR="00A56F14" w:rsidRPr="0059146A" w:rsidRDefault="00A56F14" w:rsidP="0059146A"/>
    <w:p w14:paraId="0D3BD770" w14:textId="77777777" w:rsidR="00A56F14" w:rsidRDefault="00A56F14" w:rsidP="0059146A"/>
    <w:p w14:paraId="4BC4924B" w14:textId="77777777" w:rsidR="0059146A" w:rsidRDefault="0059146A" w:rsidP="0059146A"/>
    <w:p w14:paraId="4F2D2056" w14:textId="77777777" w:rsidR="0059146A" w:rsidRDefault="0059146A" w:rsidP="0059146A"/>
    <w:p w14:paraId="113E5BF6" w14:textId="77777777" w:rsidR="0059146A" w:rsidRDefault="0059146A" w:rsidP="0059146A"/>
    <w:p w14:paraId="205AA23E" w14:textId="77777777" w:rsidR="0059146A" w:rsidRPr="0059146A" w:rsidRDefault="0059146A" w:rsidP="0059146A"/>
    <w:p w14:paraId="500EEF00"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 xml:space="preserve">report </w:t>
      </w:r>
      <w:r w:rsidR="00550890">
        <w:rPr>
          <w:spacing w:val="-20"/>
          <w:sz w:val="60"/>
        </w:rPr>
        <w:t xml:space="preserve">SUMMARY </w:t>
      </w:r>
      <w:r>
        <w:rPr>
          <w:spacing w:val="-20"/>
          <w:sz w:val="60"/>
        </w:rPr>
        <w:t>201</w:t>
      </w:r>
      <w:r w:rsidR="00550890">
        <w:rPr>
          <w:spacing w:val="-20"/>
          <w:sz w:val="60"/>
        </w:rPr>
        <w:t>8-19</w:t>
      </w:r>
    </w:p>
    <w:p w14:paraId="67F3C1F7" w14:textId="77777777" w:rsidR="0059146A" w:rsidRDefault="00CF244A"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Sri Lanka</w:t>
      </w:r>
      <w:r w:rsidR="0059146A">
        <w:rPr>
          <w:sz w:val="40"/>
        </w:rPr>
        <w:br/>
      </w:r>
      <w:r w:rsidR="0059146A" w:rsidRPr="0059146A">
        <w:rPr>
          <w:sz w:val="24"/>
        </w:rPr>
        <w:t>September 201</w:t>
      </w:r>
      <w:r w:rsidR="00550890">
        <w:rPr>
          <w:sz w:val="24"/>
        </w:rPr>
        <w:t>9</w:t>
      </w:r>
    </w:p>
    <w:p w14:paraId="0D652150" w14:textId="77777777" w:rsidR="005B5769" w:rsidRPr="00CF244A" w:rsidRDefault="00CF244A" w:rsidP="00E01C62">
      <w:pPr>
        <w:pStyle w:val="Title"/>
        <w:spacing w:before="120" w:after="240" w:line="300" w:lineRule="exact"/>
        <w:contextualSpacing w:val="0"/>
        <w:rPr>
          <w:szCs w:val="38"/>
        </w:rPr>
      </w:pPr>
      <w:r w:rsidRPr="00CF244A">
        <w:rPr>
          <w:szCs w:val="38"/>
        </w:rPr>
        <w:lastRenderedPageBreak/>
        <w:t>SRI LANKA</w:t>
      </w:r>
      <w:r w:rsidR="005B5769" w:rsidRPr="00CF244A">
        <w:rPr>
          <w:szCs w:val="38"/>
        </w:rPr>
        <w:t xml:space="preserve"> Aid Program Performance Information </w:t>
      </w:r>
      <w:r w:rsidR="00442A60">
        <w:rPr>
          <w:szCs w:val="38"/>
        </w:rPr>
        <w:br/>
      </w:r>
      <w:r w:rsidR="005B5769" w:rsidRPr="00CF244A">
        <w:rPr>
          <w:szCs w:val="38"/>
        </w:rPr>
        <w:t>201</w:t>
      </w:r>
      <w:r w:rsidR="00272B5F" w:rsidRPr="00CF244A">
        <w:rPr>
          <w:szCs w:val="38"/>
        </w:rPr>
        <w:t>8-19</w:t>
      </w:r>
    </w:p>
    <w:p w14:paraId="7BBBA1D9" w14:textId="77777777" w:rsidR="005B5769" w:rsidRPr="00877607"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877607">
        <w:rPr>
          <w:rFonts w:asciiTheme="majorHAnsi" w:eastAsiaTheme="majorEastAsia" w:hAnsiTheme="majorHAnsi" w:cstheme="majorBidi"/>
          <w:caps/>
          <w:color w:val="495965" w:themeColor="text2"/>
          <w:sz w:val="38"/>
          <w:szCs w:val="38"/>
          <w:lang w:val="en-GB" w:eastAsia="en-US"/>
        </w:rPr>
        <w:t>Summary</w:t>
      </w:r>
    </w:p>
    <w:p w14:paraId="683CECFA" w14:textId="77777777" w:rsidR="00CD1652" w:rsidRPr="00CF244A" w:rsidRDefault="00CD1652" w:rsidP="00E01C62">
      <w:pPr>
        <w:spacing w:after="120"/>
      </w:pPr>
      <w:r w:rsidRPr="00CF244A">
        <w:t xml:space="preserve">This report summarises the performance of Australia’s aid program </w:t>
      </w:r>
      <w:r w:rsidR="00CF244A" w:rsidRPr="00CF244A">
        <w:t>in Sri Lanka</w:t>
      </w:r>
      <w:r w:rsidRPr="00CF244A">
        <w:t xml:space="preserve"> from July 201</w:t>
      </w:r>
      <w:r w:rsidR="006545B9" w:rsidRPr="00CF244A">
        <w:t>8</w:t>
      </w:r>
      <w:r w:rsidRPr="00CF244A">
        <w:t xml:space="preserve"> to June 201</w:t>
      </w:r>
      <w:r w:rsidR="006545B9" w:rsidRPr="00CF244A">
        <w:t>9</w:t>
      </w:r>
      <w:r w:rsidRPr="00CF244A">
        <w:t xml:space="preserve"> against the </w:t>
      </w:r>
      <w:r w:rsidR="00CF244A" w:rsidRPr="00CF244A">
        <w:t>Sri Lanka</w:t>
      </w:r>
      <w:r w:rsidRPr="00CF244A">
        <w:t xml:space="preserve"> Aid Investment Plan</w:t>
      </w:r>
      <w:r w:rsidR="00323E53" w:rsidRPr="00CF244A">
        <w:t xml:space="preserve"> (AIP)</w:t>
      </w:r>
      <w:r w:rsidRPr="00CF244A">
        <w:t xml:space="preserve"> </w:t>
      </w:r>
      <w:r w:rsidR="00CF244A" w:rsidRPr="00CF244A">
        <w:t>2015-2019</w:t>
      </w:r>
      <w:r w:rsidR="006545B9" w:rsidRPr="00CF244A">
        <w:t>.</w:t>
      </w:r>
    </w:p>
    <w:p w14:paraId="045C2970" w14:textId="77777777" w:rsidR="00CF244A" w:rsidRDefault="00CF244A" w:rsidP="00E01C62">
      <w:pPr>
        <w:spacing w:after="120"/>
      </w:pPr>
      <w:r w:rsidRPr="00CF244A">
        <w:t xml:space="preserve">The key objectives set by the AIP for achievement by 2019 are: to expand economic opportunities for the poor; support government to be more responsive to the needs of citizens and the private sector; and to increase gender equality. The guiding logic is that economies and societies perform better when markets operate efficiently, governments deliver services equitably, and women </w:t>
      </w:r>
      <w:r w:rsidRPr="00592F84">
        <w:t>and people with disabilities are full participants in the economy and public life. Reconciliation and long-term</w:t>
      </w:r>
      <w:r w:rsidRPr="00CF244A">
        <w:t xml:space="preserve"> stability are also important to Sri Lanka’s future prosperity. The AIP complements a central tenet of Australia’s 2017 Foreign Policy White Paper: Australia’s future prosperity relies on a stable and prosperous Indo-Pacific.</w:t>
      </w:r>
    </w:p>
    <w:p w14:paraId="5EAE4F67" w14:textId="2A8709A4" w:rsidR="00B83614" w:rsidRDefault="00B83614" w:rsidP="00B83614">
      <w:pPr>
        <w:spacing w:after="120"/>
      </w:pPr>
      <w:r>
        <w:t>Over the past year, the aid program has continued to build the economic partnership with Sri Lanka, with investments aimed at private sector</w:t>
      </w:r>
      <w:r w:rsidR="00E82539">
        <w:t>-</w:t>
      </w:r>
      <w:r>
        <w:t>led economic growth that is inclusive and reduces poverty. We have supported the Sri Lankan government’s economic reform agenda, including substantial reforms to improve the ease of doing business. Our delivery partners have also assisted local governments to promote economic development, increase their tax bases and deliver services in a responsive manner.</w:t>
      </w:r>
    </w:p>
    <w:p w14:paraId="60291894" w14:textId="3657F6DD" w:rsidR="005D72B3" w:rsidRDefault="00B83614" w:rsidP="00B83614">
      <w:pPr>
        <w:spacing w:after="120"/>
      </w:pPr>
      <w:r>
        <w:t xml:space="preserve">Australia’s aid investments in Sri Lanka have led to new jobs in the tourism </w:t>
      </w:r>
      <w:r w:rsidR="00E82539">
        <w:t>and value</w:t>
      </w:r>
      <w:r w:rsidR="000A0D6E">
        <w:t>-</w:t>
      </w:r>
      <w:r w:rsidR="00E82539">
        <w:t>added agriculture industries</w:t>
      </w:r>
      <w:r>
        <w:t xml:space="preserve">. They have assisted farmers and fishers </w:t>
      </w:r>
      <w:r w:rsidRPr="00FA1260">
        <w:t>(for example, in the conflict-affected north and east) to benefit from valuable export markets, and have also increased employment opportunities for women and people with disabilities. An investment delivered by the International Finance Corporation (IFC) formed partnerships with</w:t>
      </w:r>
      <w:r w:rsidR="005D72B3" w:rsidRPr="00FA1260">
        <w:t xml:space="preserve"> major</w:t>
      </w:r>
      <w:r w:rsidRPr="00FA1260">
        <w:t xml:space="preserve"> private sector companies to sign up to 99 commitments to advance gender equality within their organisations. The economic focus of the Sri Lan</w:t>
      </w:r>
      <w:r w:rsidR="005D72B3" w:rsidRPr="00FA1260">
        <w:t xml:space="preserve">ka aid program remains relevant, as Sri Lanka’s economy continues to recover following the Easter </w:t>
      </w:r>
      <w:r w:rsidR="00E82539" w:rsidRPr="00FA1260">
        <w:t>2019</w:t>
      </w:r>
      <w:r w:rsidR="00E82539">
        <w:t xml:space="preserve"> </w:t>
      </w:r>
      <w:r w:rsidR="005D72B3">
        <w:t xml:space="preserve">bombing attacks. </w:t>
      </w:r>
    </w:p>
    <w:p w14:paraId="23A0D0C4" w14:textId="4E7C0D7B" w:rsidR="005D72B3" w:rsidRDefault="00B83614" w:rsidP="00B83614">
      <w:pPr>
        <w:spacing w:after="120"/>
        <w:rPr>
          <w:color w:val="FF0000"/>
        </w:rPr>
      </w:pPr>
      <w:r>
        <w:t xml:space="preserve">Total Australian aid to Sri Lanka in </w:t>
      </w:r>
      <w:r w:rsidR="005D72B3">
        <w:t>2018-2019 amounted to $27.3</w:t>
      </w:r>
      <w:r>
        <w:t xml:space="preserve"> million, with the</w:t>
      </w:r>
      <w:r w:rsidR="005D72B3">
        <w:t xml:space="preserve"> bilateral component being $19.9</w:t>
      </w:r>
      <w:r>
        <w:t xml:space="preserve"> million. </w:t>
      </w:r>
      <w:r w:rsidR="007F449B">
        <w:t xml:space="preserve">The Development Assistance Committee data for Sri Lanka ranks Australia </w:t>
      </w:r>
      <w:r w:rsidR="00E05C18">
        <w:t>in the top ten</w:t>
      </w:r>
      <w:r w:rsidR="007F449B">
        <w:t xml:space="preserve"> donor</w:t>
      </w:r>
      <w:r w:rsidR="00E05C18">
        <w:t>s</w:t>
      </w:r>
      <w:r w:rsidR="007F449B">
        <w:t xml:space="preserve"> (2016-17) overall and </w:t>
      </w:r>
      <w:r w:rsidR="00E05C18">
        <w:t>in the top six of</w:t>
      </w:r>
      <w:r w:rsidR="007F449B">
        <w:t xml:space="preserve"> bilateral donor </w:t>
      </w:r>
      <w:r w:rsidRPr="00E05C18">
        <w:t>While Australia’s development assistance remains only around 2 per cent of gross ODA to Sri Lanka, unlike most other donors our contribution is through grants rather than concessional lending, giving us a positive point of differentiation.</w:t>
      </w:r>
      <w:r w:rsidRPr="006545B9">
        <w:rPr>
          <w:color w:val="FF0000"/>
        </w:rPr>
        <w:t xml:space="preserve"> </w:t>
      </w:r>
    </w:p>
    <w:p w14:paraId="6B75B15D" w14:textId="77777777" w:rsidR="00184F1E" w:rsidRPr="00BB648A" w:rsidRDefault="00184F1E"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B648A">
        <w:rPr>
          <w:rFonts w:asciiTheme="majorHAnsi" w:eastAsiaTheme="majorEastAsia" w:hAnsiTheme="majorHAnsi" w:cstheme="majorBidi"/>
          <w:caps/>
          <w:color w:val="495965" w:themeColor="text2"/>
          <w:sz w:val="38"/>
          <w:szCs w:val="38"/>
          <w:lang w:val="en-GB" w:eastAsia="en-US"/>
        </w:rPr>
        <w:t>Expenditure</w:t>
      </w:r>
    </w:p>
    <w:p w14:paraId="1D22258A" w14:textId="242A0F11"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0A0D6E">
        <w:rPr>
          <w:b/>
          <w:noProof/>
          <w:sz w:val="24"/>
        </w:rPr>
        <w:t>1</w:t>
      </w:r>
      <w:r w:rsidRPr="008C2F58">
        <w:rPr>
          <w:b/>
          <w:noProof/>
          <w:sz w:val="24"/>
        </w:rPr>
        <w:fldChar w:fldCharType="end"/>
      </w:r>
      <w:r w:rsidRPr="008C2F58">
        <w:rPr>
          <w:b/>
          <w:sz w:val="24"/>
        </w:rPr>
        <w:t xml:space="preserve"> Total ODA Expenditure in FY 201</w:t>
      </w:r>
      <w:r w:rsidR="00272B5F">
        <w:rPr>
          <w:b/>
          <w:sz w:val="24"/>
        </w:rPr>
        <w:t>8-19</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14:paraId="71E33228" w14:textId="77777777" w:rsidTr="00CD1652">
        <w:tc>
          <w:tcPr>
            <w:tcW w:w="6374" w:type="dxa"/>
          </w:tcPr>
          <w:p w14:paraId="4206D036" w14:textId="77777777" w:rsidR="00CD1652" w:rsidRDefault="00CD1652" w:rsidP="00E01C62">
            <w:pPr>
              <w:spacing w:before="60"/>
              <w:rPr>
                <w:b/>
                <w:sz w:val="24"/>
              </w:rPr>
            </w:pPr>
            <w:r w:rsidRPr="00BE6C6D">
              <w:rPr>
                <w:sz w:val="20"/>
              </w:rPr>
              <w:t>Objective</w:t>
            </w:r>
          </w:p>
        </w:tc>
        <w:tc>
          <w:tcPr>
            <w:tcW w:w="1423" w:type="dxa"/>
          </w:tcPr>
          <w:p w14:paraId="1A6E807C" w14:textId="77777777" w:rsidR="00CD1652" w:rsidRDefault="00CD1652" w:rsidP="00E01C62">
            <w:pPr>
              <w:spacing w:before="60"/>
              <w:jc w:val="center"/>
              <w:rPr>
                <w:b/>
                <w:sz w:val="24"/>
              </w:rPr>
            </w:pPr>
            <w:r w:rsidRPr="00BE6C6D">
              <w:rPr>
                <w:sz w:val="20"/>
              </w:rPr>
              <w:t>A$ million</w:t>
            </w:r>
          </w:p>
        </w:tc>
        <w:tc>
          <w:tcPr>
            <w:tcW w:w="1417" w:type="dxa"/>
          </w:tcPr>
          <w:p w14:paraId="1C43D8DC" w14:textId="77777777" w:rsidR="00CD1652" w:rsidRDefault="00CD1652" w:rsidP="00E01C62">
            <w:pPr>
              <w:spacing w:before="60"/>
              <w:jc w:val="center"/>
              <w:rPr>
                <w:b/>
                <w:sz w:val="24"/>
              </w:rPr>
            </w:pPr>
            <w:r w:rsidRPr="00BE6C6D">
              <w:rPr>
                <w:sz w:val="20"/>
              </w:rPr>
              <w:t>% of total ODA</w:t>
            </w:r>
          </w:p>
        </w:tc>
      </w:tr>
      <w:tr w:rsidR="00CD1652" w14:paraId="35CE648E" w14:textId="77777777" w:rsidTr="00CD1652">
        <w:tc>
          <w:tcPr>
            <w:tcW w:w="6374" w:type="dxa"/>
          </w:tcPr>
          <w:p w14:paraId="34081840" w14:textId="77777777" w:rsidR="00CD1652" w:rsidRDefault="00442A60" w:rsidP="00E01C62">
            <w:pPr>
              <w:spacing w:before="60"/>
              <w:rPr>
                <w:b/>
                <w:sz w:val="24"/>
              </w:rPr>
            </w:pPr>
            <w:r>
              <w:rPr>
                <w:sz w:val="20"/>
              </w:rPr>
              <w:t>Expand Economic Opportunities for the Poor</w:t>
            </w:r>
          </w:p>
        </w:tc>
        <w:tc>
          <w:tcPr>
            <w:tcW w:w="1423" w:type="dxa"/>
          </w:tcPr>
          <w:p w14:paraId="3597227F" w14:textId="77777777" w:rsidR="00CD1652" w:rsidRPr="00731EF7" w:rsidRDefault="00E00190" w:rsidP="00E00190">
            <w:pPr>
              <w:spacing w:before="60"/>
              <w:jc w:val="right"/>
              <w:rPr>
                <w:b/>
                <w:sz w:val="20"/>
                <w:szCs w:val="20"/>
              </w:rPr>
            </w:pPr>
            <w:r w:rsidRPr="00731EF7">
              <w:rPr>
                <w:b/>
                <w:sz w:val="20"/>
                <w:szCs w:val="20"/>
              </w:rPr>
              <w:t>7.3</w:t>
            </w:r>
          </w:p>
        </w:tc>
        <w:tc>
          <w:tcPr>
            <w:tcW w:w="1417" w:type="dxa"/>
          </w:tcPr>
          <w:p w14:paraId="02133469" w14:textId="77777777" w:rsidR="00CD1652" w:rsidRPr="00731EF7" w:rsidRDefault="00C0107E" w:rsidP="00731EF7">
            <w:pPr>
              <w:spacing w:before="60"/>
              <w:jc w:val="right"/>
              <w:rPr>
                <w:b/>
                <w:sz w:val="20"/>
                <w:szCs w:val="20"/>
              </w:rPr>
            </w:pPr>
            <w:r>
              <w:rPr>
                <w:b/>
                <w:sz w:val="20"/>
                <w:szCs w:val="20"/>
              </w:rPr>
              <w:t>27</w:t>
            </w:r>
          </w:p>
        </w:tc>
      </w:tr>
      <w:tr w:rsidR="00CD1652" w14:paraId="553AAA55" w14:textId="77777777" w:rsidTr="00CD1652">
        <w:tc>
          <w:tcPr>
            <w:tcW w:w="6374" w:type="dxa"/>
          </w:tcPr>
          <w:p w14:paraId="49F46F35" w14:textId="77777777" w:rsidR="00CD1652" w:rsidRPr="00A40C98" w:rsidRDefault="00442A60" w:rsidP="00E01C62">
            <w:pPr>
              <w:spacing w:before="60"/>
              <w:rPr>
                <w:sz w:val="20"/>
              </w:rPr>
            </w:pPr>
            <w:r w:rsidRPr="00A40C98">
              <w:rPr>
                <w:sz w:val="20"/>
              </w:rPr>
              <w:t>Support  government to be more responsive to the needs of citizens and the private sector</w:t>
            </w:r>
          </w:p>
        </w:tc>
        <w:tc>
          <w:tcPr>
            <w:tcW w:w="1423" w:type="dxa"/>
          </w:tcPr>
          <w:p w14:paraId="415B2A02" w14:textId="77777777" w:rsidR="00CD1652" w:rsidRPr="00731EF7" w:rsidRDefault="00E00190" w:rsidP="00E00190">
            <w:pPr>
              <w:spacing w:before="60"/>
              <w:jc w:val="right"/>
              <w:rPr>
                <w:b/>
                <w:sz w:val="20"/>
                <w:szCs w:val="20"/>
              </w:rPr>
            </w:pPr>
            <w:r w:rsidRPr="00731EF7">
              <w:rPr>
                <w:b/>
                <w:sz w:val="20"/>
                <w:szCs w:val="20"/>
              </w:rPr>
              <w:t>6.0</w:t>
            </w:r>
          </w:p>
        </w:tc>
        <w:tc>
          <w:tcPr>
            <w:tcW w:w="1417" w:type="dxa"/>
          </w:tcPr>
          <w:p w14:paraId="61675BD3" w14:textId="77777777" w:rsidR="00CD1652" w:rsidRPr="00731EF7" w:rsidRDefault="00C0107E" w:rsidP="00731EF7">
            <w:pPr>
              <w:spacing w:before="60"/>
              <w:jc w:val="right"/>
              <w:rPr>
                <w:b/>
                <w:sz w:val="20"/>
                <w:szCs w:val="20"/>
              </w:rPr>
            </w:pPr>
            <w:r>
              <w:rPr>
                <w:b/>
                <w:sz w:val="20"/>
                <w:szCs w:val="20"/>
              </w:rPr>
              <w:t>22.2</w:t>
            </w:r>
          </w:p>
        </w:tc>
      </w:tr>
      <w:tr w:rsidR="00CD1652" w14:paraId="4A87D126" w14:textId="77777777" w:rsidTr="00CD1652">
        <w:tc>
          <w:tcPr>
            <w:tcW w:w="6374" w:type="dxa"/>
          </w:tcPr>
          <w:p w14:paraId="46A5624F" w14:textId="77777777" w:rsidR="00CD1652" w:rsidRPr="00A40C98" w:rsidRDefault="00442A60" w:rsidP="00E01C62">
            <w:pPr>
              <w:spacing w:before="60"/>
              <w:rPr>
                <w:sz w:val="20"/>
              </w:rPr>
            </w:pPr>
            <w:r w:rsidRPr="00A40C98">
              <w:rPr>
                <w:sz w:val="20"/>
              </w:rPr>
              <w:t>Increase gender equality</w:t>
            </w:r>
          </w:p>
        </w:tc>
        <w:tc>
          <w:tcPr>
            <w:tcW w:w="1423" w:type="dxa"/>
          </w:tcPr>
          <w:p w14:paraId="51B94BF6" w14:textId="77777777" w:rsidR="00CD1652" w:rsidRPr="00731EF7" w:rsidRDefault="00E00190" w:rsidP="00E00190">
            <w:pPr>
              <w:spacing w:before="60"/>
              <w:jc w:val="right"/>
              <w:rPr>
                <w:b/>
                <w:sz w:val="20"/>
                <w:szCs w:val="20"/>
              </w:rPr>
            </w:pPr>
            <w:r w:rsidRPr="00731EF7">
              <w:rPr>
                <w:b/>
                <w:sz w:val="20"/>
                <w:szCs w:val="20"/>
              </w:rPr>
              <w:t>6.2</w:t>
            </w:r>
          </w:p>
        </w:tc>
        <w:tc>
          <w:tcPr>
            <w:tcW w:w="1417" w:type="dxa"/>
          </w:tcPr>
          <w:p w14:paraId="4CA3FF59" w14:textId="77777777" w:rsidR="00CD1652" w:rsidRPr="00731EF7" w:rsidRDefault="00C0107E" w:rsidP="00731EF7">
            <w:pPr>
              <w:spacing w:before="60"/>
              <w:jc w:val="right"/>
              <w:rPr>
                <w:b/>
                <w:sz w:val="20"/>
                <w:szCs w:val="20"/>
              </w:rPr>
            </w:pPr>
            <w:r>
              <w:rPr>
                <w:b/>
                <w:sz w:val="20"/>
                <w:szCs w:val="20"/>
              </w:rPr>
              <w:t>23</w:t>
            </w:r>
          </w:p>
        </w:tc>
      </w:tr>
      <w:tr w:rsidR="00CD1652" w14:paraId="07B7B2A9" w14:textId="77777777" w:rsidTr="00CD1652">
        <w:tc>
          <w:tcPr>
            <w:tcW w:w="6374" w:type="dxa"/>
          </w:tcPr>
          <w:p w14:paraId="576F7426" w14:textId="77777777" w:rsidR="00CD1652" w:rsidRDefault="00CD1652" w:rsidP="00E01C62">
            <w:pPr>
              <w:spacing w:before="60"/>
              <w:rPr>
                <w:b/>
                <w:sz w:val="24"/>
              </w:rPr>
            </w:pPr>
            <w:r w:rsidRPr="00BE6C6D">
              <w:rPr>
                <w:sz w:val="20"/>
              </w:rPr>
              <w:t>Sub-Total Bilateral</w:t>
            </w:r>
          </w:p>
        </w:tc>
        <w:tc>
          <w:tcPr>
            <w:tcW w:w="1423" w:type="dxa"/>
          </w:tcPr>
          <w:p w14:paraId="69C7AB5F" w14:textId="77777777" w:rsidR="00CD1652" w:rsidRPr="00731EF7" w:rsidRDefault="00A40C98" w:rsidP="00E00190">
            <w:pPr>
              <w:spacing w:before="60"/>
              <w:jc w:val="right"/>
              <w:rPr>
                <w:b/>
                <w:sz w:val="20"/>
                <w:szCs w:val="20"/>
              </w:rPr>
            </w:pPr>
            <w:r w:rsidRPr="00731EF7">
              <w:rPr>
                <w:b/>
                <w:sz w:val="20"/>
                <w:szCs w:val="20"/>
              </w:rPr>
              <w:t>19.</w:t>
            </w:r>
            <w:r w:rsidR="00E00190" w:rsidRPr="00731EF7">
              <w:rPr>
                <w:b/>
                <w:sz w:val="20"/>
                <w:szCs w:val="20"/>
              </w:rPr>
              <w:t>5</w:t>
            </w:r>
          </w:p>
        </w:tc>
        <w:tc>
          <w:tcPr>
            <w:tcW w:w="1417" w:type="dxa"/>
          </w:tcPr>
          <w:p w14:paraId="2C0645FD" w14:textId="77777777" w:rsidR="00CD1652" w:rsidRPr="00731EF7" w:rsidRDefault="00731EF7" w:rsidP="00731EF7">
            <w:pPr>
              <w:spacing w:before="60"/>
              <w:jc w:val="right"/>
              <w:rPr>
                <w:b/>
                <w:sz w:val="20"/>
                <w:szCs w:val="20"/>
              </w:rPr>
            </w:pPr>
            <w:r>
              <w:rPr>
                <w:b/>
                <w:sz w:val="20"/>
                <w:szCs w:val="20"/>
              </w:rPr>
              <w:t>72.2</w:t>
            </w:r>
          </w:p>
        </w:tc>
      </w:tr>
      <w:tr w:rsidR="00CD1652" w14:paraId="1423768F" w14:textId="77777777" w:rsidTr="00CD1652">
        <w:tc>
          <w:tcPr>
            <w:tcW w:w="6374" w:type="dxa"/>
          </w:tcPr>
          <w:p w14:paraId="2D4DB644" w14:textId="77777777" w:rsidR="00CD1652" w:rsidRDefault="00CD1652" w:rsidP="00E01C62">
            <w:pPr>
              <w:spacing w:before="60"/>
              <w:rPr>
                <w:b/>
                <w:sz w:val="24"/>
              </w:rPr>
            </w:pPr>
            <w:r w:rsidRPr="00BE6C6D">
              <w:rPr>
                <w:sz w:val="20"/>
              </w:rPr>
              <w:t>Regional and Global</w:t>
            </w:r>
          </w:p>
        </w:tc>
        <w:tc>
          <w:tcPr>
            <w:tcW w:w="1423" w:type="dxa"/>
          </w:tcPr>
          <w:p w14:paraId="19562360" w14:textId="77777777" w:rsidR="00CD1652" w:rsidRPr="00731EF7" w:rsidRDefault="00A40C98" w:rsidP="00A40C98">
            <w:pPr>
              <w:spacing w:before="60"/>
              <w:jc w:val="right"/>
              <w:rPr>
                <w:b/>
                <w:sz w:val="20"/>
                <w:szCs w:val="20"/>
              </w:rPr>
            </w:pPr>
            <w:r w:rsidRPr="00731EF7">
              <w:rPr>
                <w:b/>
                <w:sz w:val="20"/>
                <w:szCs w:val="20"/>
              </w:rPr>
              <w:t>7.5</w:t>
            </w:r>
          </w:p>
        </w:tc>
        <w:tc>
          <w:tcPr>
            <w:tcW w:w="1417" w:type="dxa"/>
          </w:tcPr>
          <w:p w14:paraId="1897D718" w14:textId="77777777" w:rsidR="00CD1652" w:rsidRPr="00731EF7" w:rsidRDefault="00731EF7" w:rsidP="00731EF7">
            <w:pPr>
              <w:spacing w:before="60"/>
              <w:jc w:val="right"/>
              <w:rPr>
                <w:b/>
                <w:sz w:val="20"/>
                <w:szCs w:val="20"/>
              </w:rPr>
            </w:pPr>
            <w:r>
              <w:rPr>
                <w:b/>
                <w:sz w:val="20"/>
                <w:szCs w:val="20"/>
              </w:rPr>
              <w:t>27.8</w:t>
            </w:r>
          </w:p>
        </w:tc>
      </w:tr>
      <w:tr w:rsidR="00CD1652" w14:paraId="4DCD2329" w14:textId="77777777" w:rsidTr="00CD1652">
        <w:tc>
          <w:tcPr>
            <w:tcW w:w="6374" w:type="dxa"/>
          </w:tcPr>
          <w:p w14:paraId="2F880053" w14:textId="77777777" w:rsidR="00CD1652" w:rsidRDefault="00CD1652" w:rsidP="00E01C62">
            <w:pPr>
              <w:spacing w:before="60"/>
              <w:rPr>
                <w:b/>
                <w:sz w:val="24"/>
              </w:rPr>
            </w:pPr>
            <w:r w:rsidRPr="00BE6C6D">
              <w:rPr>
                <w:sz w:val="20"/>
              </w:rPr>
              <w:t>Other Government Departments</w:t>
            </w:r>
          </w:p>
        </w:tc>
        <w:tc>
          <w:tcPr>
            <w:tcW w:w="1423" w:type="dxa"/>
          </w:tcPr>
          <w:p w14:paraId="0F8148B9" w14:textId="77777777" w:rsidR="00CD1652" w:rsidRPr="00731EF7" w:rsidRDefault="00CD1652" w:rsidP="00A40C98">
            <w:pPr>
              <w:spacing w:before="60"/>
              <w:jc w:val="right"/>
              <w:rPr>
                <w:b/>
                <w:sz w:val="20"/>
                <w:szCs w:val="20"/>
              </w:rPr>
            </w:pPr>
          </w:p>
        </w:tc>
        <w:tc>
          <w:tcPr>
            <w:tcW w:w="1417" w:type="dxa"/>
          </w:tcPr>
          <w:p w14:paraId="6DCF8924" w14:textId="77777777" w:rsidR="00CD1652" w:rsidRPr="00731EF7" w:rsidRDefault="00CD1652" w:rsidP="00731EF7">
            <w:pPr>
              <w:spacing w:before="60"/>
              <w:jc w:val="right"/>
              <w:rPr>
                <w:b/>
                <w:sz w:val="20"/>
                <w:szCs w:val="20"/>
              </w:rPr>
            </w:pPr>
          </w:p>
        </w:tc>
      </w:tr>
      <w:tr w:rsidR="00CD1652" w14:paraId="6826DF7F" w14:textId="77777777" w:rsidTr="00CD1652">
        <w:tc>
          <w:tcPr>
            <w:tcW w:w="6374" w:type="dxa"/>
          </w:tcPr>
          <w:p w14:paraId="51CACA1D" w14:textId="77777777" w:rsidR="00CD1652" w:rsidRDefault="00CD1652" w:rsidP="00E01C62">
            <w:pPr>
              <w:spacing w:before="60"/>
              <w:rPr>
                <w:b/>
                <w:sz w:val="24"/>
              </w:rPr>
            </w:pPr>
            <w:r w:rsidRPr="00BE6C6D">
              <w:rPr>
                <w:sz w:val="20"/>
              </w:rPr>
              <w:t>Total ODA Expenditure</w:t>
            </w:r>
          </w:p>
        </w:tc>
        <w:tc>
          <w:tcPr>
            <w:tcW w:w="1423" w:type="dxa"/>
          </w:tcPr>
          <w:p w14:paraId="6BB89BCA" w14:textId="77777777" w:rsidR="00CD1652" w:rsidRPr="00731EF7" w:rsidRDefault="00731EF7" w:rsidP="00A40C98">
            <w:pPr>
              <w:spacing w:before="60"/>
              <w:jc w:val="right"/>
              <w:rPr>
                <w:b/>
                <w:sz w:val="20"/>
                <w:szCs w:val="20"/>
              </w:rPr>
            </w:pPr>
            <w:r w:rsidRPr="00731EF7">
              <w:rPr>
                <w:b/>
                <w:sz w:val="20"/>
                <w:szCs w:val="20"/>
              </w:rPr>
              <w:t>27</w:t>
            </w:r>
          </w:p>
        </w:tc>
        <w:tc>
          <w:tcPr>
            <w:tcW w:w="1417" w:type="dxa"/>
          </w:tcPr>
          <w:p w14:paraId="243D8BBF" w14:textId="77777777" w:rsidR="00CD1652" w:rsidRPr="00731EF7" w:rsidRDefault="00731EF7" w:rsidP="00731EF7">
            <w:pPr>
              <w:spacing w:before="60"/>
              <w:jc w:val="right"/>
              <w:rPr>
                <w:b/>
                <w:sz w:val="20"/>
                <w:szCs w:val="20"/>
              </w:rPr>
            </w:pPr>
            <w:r>
              <w:rPr>
                <w:b/>
                <w:sz w:val="20"/>
                <w:szCs w:val="20"/>
              </w:rPr>
              <w:t>100</w:t>
            </w:r>
          </w:p>
        </w:tc>
      </w:tr>
    </w:tbl>
    <w:p w14:paraId="3659056C" w14:textId="77777777" w:rsidR="005B5769" w:rsidRDefault="005B5769" w:rsidP="00323E53">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D29CD">
        <w:rPr>
          <w:rFonts w:asciiTheme="majorHAnsi" w:eastAsiaTheme="majorEastAsia" w:hAnsiTheme="majorHAnsi" w:cstheme="majorBidi"/>
          <w:caps/>
          <w:color w:val="495965" w:themeColor="text2"/>
          <w:sz w:val="38"/>
          <w:szCs w:val="38"/>
          <w:lang w:val="en-GB" w:eastAsia="en-US"/>
        </w:rPr>
        <w:lastRenderedPageBreak/>
        <w:t xml:space="preserve">Performance </w:t>
      </w:r>
      <w:r w:rsidR="006545B9" w:rsidRPr="00BD29CD">
        <w:rPr>
          <w:rFonts w:asciiTheme="majorHAnsi" w:eastAsiaTheme="majorEastAsia" w:hAnsiTheme="majorHAnsi" w:cstheme="majorBidi"/>
          <w:caps/>
          <w:color w:val="495965" w:themeColor="text2"/>
          <w:sz w:val="38"/>
          <w:szCs w:val="38"/>
          <w:lang w:val="en-GB" w:eastAsia="en-US"/>
        </w:rPr>
        <w:t xml:space="preserve">TOWARDS aip </w:t>
      </w:r>
      <w:r w:rsidRPr="00BD29CD">
        <w:rPr>
          <w:rFonts w:asciiTheme="majorHAnsi" w:eastAsiaTheme="majorEastAsia" w:hAnsiTheme="majorHAnsi" w:cstheme="majorBidi"/>
          <w:caps/>
          <w:color w:val="495965" w:themeColor="text2"/>
          <w:sz w:val="38"/>
          <w:szCs w:val="38"/>
          <w:lang w:val="en-GB" w:eastAsia="en-US"/>
        </w:rPr>
        <w:t>Objectives</w:t>
      </w:r>
    </w:p>
    <w:p w14:paraId="1031C47F" w14:textId="3A9B6DEA" w:rsidR="00323E53" w:rsidRPr="00323E53" w:rsidRDefault="00323E53" w:rsidP="00323E53">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0A0D6E">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Look w:val="0000" w:firstRow="0" w:lastRow="0" w:firstColumn="0" w:lastColumn="0" w:noHBand="0" w:noVBand="0"/>
      </w:tblPr>
      <w:tblGrid>
        <w:gridCol w:w="6664"/>
        <w:gridCol w:w="1416"/>
        <w:gridCol w:w="1419"/>
      </w:tblGrid>
      <w:tr w:rsidR="00436526" w:rsidRPr="00812509" w14:paraId="06B2B2F1" w14:textId="77777777" w:rsidTr="00436526">
        <w:trPr>
          <w:cnfStyle w:val="000000010000" w:firstRow="0" w:lastRow="0" w:firstColumn="0" w:lastColumn="0" w:oddVBand="0" w:evenVBand="0" w:oddHBand="0" w:evenHBand="1" w:firstRowFirstColumn="0" w:firstRowLastColumn="0" w:lastRowFirstColumn="0" w:lastRowLastColumn="0"/>
          <w:trHeight w:val="651"/>
        </w:trPr>
        <w:tc>
          <w:tcPr>
            <w:tcW w:w="6622" w:type="dxa"/>
          </w:tcPr>
          <w:p w14:paraId="604C01D2" w14:textId="77777777" w:rsidR="00436526" w:rsidRPr="00812509" w:rsidRDefault="00436526" w:rsidP="00436526">
            <w:pPr>
              <w:pStyle w:val="TableTextColumnHeading"/>
              <w:ind w:left="0"/>
            </w:pPr>
            <w:r w:rsidRPr="00812509">
              <w:rPr>
                <w:noProof/>
              </w:rPr>
              <w:drawing>
                <wp:anchor distT="0" distB="0" distL="114300" distR="114300" simplePos="0" relativeHeight="251680768" behindDoc="0" locked="0" layoutInCell="1" allowOverlap="1" wp14:anchorId="22839F4A" wp14:editId="2E82A004">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388" w:type="dxa"/>
          </w:tcPr>
          <w:p w14:paraId="5EEEAC47" w14:textId="77777777" w:rsidR="00436526" w:rsidRPr="00812509" w:rsidRDefault="00436526" w:rsidP="00E65105">
            <w:pPr>
              <w:pStyle w:val="TableTextColumnHeading"/>
            </w:pPr>
            <w:r w:rsidRPr="00812509">
              <w:t>Previous Rating</w:t>
            </w:r>
          </w:p>
        </w:tc>
        <w:tc>
          <w:tcPr>
            <w:tcW w:w="1377" w:type="dxa"/>
          </w:tcPr>
          <w:p w14:paraId="05541B94" w14:textId="77777777" w:rsidR="00436526" w:rsidRPr="00812509" w:rsidRDefault="00436526" w:rsidP="00E65105">
            <w:pPr>
              <w:pStyle w:val="TableTextColumnHeading"/>
            </w:pPr>
            <w:r w:rsidRPr="00812509">
              <w:t>Current Rating</w:t>
            </w:r>
          </w:p>
        </w:tc>
      </w:tr>
      <w:tr w:rsidR="00436526" w:rsidRPr="00812509" w14:paraId="627D6C99" w14:textId="77777777" w:rsidTr="00DC119E">
        <w:trPr>
          <w:cnfStyle w:val="000000010000" w:firstRow="0" w:lastRow="0" w:firstColumn="0" w:lastColumn="0" w:oddVBand="0" w:evenVBand="0" w:oddHBand="0" w:evenHBand="1" w:firstRowFirstColumn="0" w:firstRowLastColumn="0" w:lastRowFirstColumn="0" w:lastRowLastColumn="0"/>
        </w:trPr>
        <w:tc>
          <w:tcPr>
            <w:tcW w:w="6622" w:type="dxa"/>
          </w:tcPr>
          <w:p w14:paraId="1087878B" w14:textId="77777777" w:rsidR="00436526" w:rsidRPr="00812509" w:rsidRDefault="00DC119E" w:rsidP="002A4A0E">
            <w:pPr>
              <w:pStyle w:val="TableTextEntries"/>
              <w:rPr>
                <w:rFonts w:asciiTheme="minorHAnsi" w:hAnsiTheme="minorHAnsi"/>
              </w:rPr>
            </w:pPr>
            <w:r>
              <w:rPr>
                <w:rFonts w:asciiTheme="minorHAnsi" w:hAnsiTheme="minorHAnsi"/>
              </w:rPr>
              <w:t>Objective 1—Expand economic opportunities for the poor</w:t>
            </w:r>
          </w:p>
        </w:tc>
        <w:tc>
          <w:tcPr>
            <w:tcW w:w="1388" w:type="dxa"/>
            <w:shd w:val="clear" w:color="auto" w:fill="72AF2F"/>
            <w:noWrap/>
          </w:tcPr>
          <w:p w14:paraId="3A67979E" w14:textId="77777777" w:rsidR="00436526" w:rsidRPr="00812509" w:rsidRDefault="00436526"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shd w:val="clear" w:color="auto" w:fill="72AF2F"/>
            <w:noWrap/>
          </w:tcPr>
          <w:p w14:paraId="3330641D" w14:textId="77777777" w:rsidR="00436526" w:rsidRPr="00812509" w:rsidRDefault="00DC119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436526" w:rsidRPr="00812509" w14:paraId="1DBE479B" w14:textId="77777777" w:rsidTr="00436526">
        <w:trPr>
          <w:cnfStyle w:val="000000010000" w:firstRow="0" w:lastRow="0" w:firstColumn="0" w:lastColumn="0" w:oddVBand="0" w:evenVBand="0" w:oddHBand="0" w:evenHBand="1" w:firstRowFirstColumn="0" w:firstRowLastColumn="0" w:lastRowFirstColumn="0" w:lastRowLastColumn="0"/>
        </w:trPr>
        <w:tc>
          <w:tcPr>
            <w:tcW w:w="6622" w:type="dxa"/>
          </w:tcPr>
          <w:p w14:paraId="00BC0F0A" w14:textId="77777777" w:rsidR="00436526" w:rsidRPr="00812509" w:rsidRDefault="00436526" w:rsidP="002A4A0E">
            <w:pPr>
              <w:pStyle w:val="TableTextEntries"/>
              <w:rPr>
                <w:rFonts w:asciiTheme="minorHAnsi" w:hAnsiTheme="minorHAnsi"/>
              </w:rPr>
            </w:pPr>
            <w:r w:rsidRPr="00812509">
              <w:rPr>
                <w:rFonts w:asciiTheme="minorHAnsi" w:hAnsiTheme="minorHAnsi"/>
              </w:rPr>
              <w:t>Objective 2</w:t>
            </w:r>
            <w:r w:rsidR="00DC119E">
              <w:rPr>
                <w:rFonts w:asciiTheme="minorHAnsi" w:hAnsiTheme="minorHAnsi"/>
              </w:rPr>
              <w:t>—</w:t>
            </w:r>
            <w:r w:rsidR="00DC119E" w:rsidRPr="00DC119E">
              <w:rPr>
                <w:rFonts w:asciiTheme="minorHAnsi" w:hAnsiTheme="minorHAnsi"/>
              </w:rPr>
              <w:t>Support</w:t>
            </w:r>
            <w:r w:rsidR="00DC119E">
              <w:rPr>
                <w:rFonts w:asciiTheme="minorHAnsi" w:hAnsiTheme="minorHAnsi"/>
              </w:rPr>
              <w:t xml:space="preserve"> </w:t>
            </w:r>
            <w:r w:rsidR="00DC119E" w:rsidRPr="00DC119E">
              <w:rPr>
                <w:rFonts w:asciiTheme="minorHAnsi" w:hAnsiTheme="minorHAnsi"/>
              </w:rPr>
              <w:t xml:space="preserve"> government to be more responsive to the needs of citizens and the private sector</w:t>
            </w:r>
            <w:r w:rsidR="00DC119E">
              <w:rPr>
                <w:rFonts w:asciiTheme="minorHAnsi" w:hAnsiTheme="minorHAnsi"/>
              </w:rPr>
              <w:t xml:space="preserve"> </w:t>
            </w:r>
          </w:p>
        </w:tc>
        <w:tc>
          <w:tcPr>
            <w:tcW w:w="1388" w:type="dxa"/>
            <w:shd w:val="clear" w:color="auto" w:fill="E36C0A"/>
            <w:noWrap/>
          </w:tcPr>
          <w:p w14:paraId="4999A3DC" w14:textId="77777777" w:rsidR="00436526" w:rsidRPr="00812509" w:rsidRDefault="00436526"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1377" w:type="dxa"/>
            <w:shd w:val="clear" w:color="auto" w:fill="72AF2F"/>
            <w:noWrap/>
          </w:tcPr>
          <w:p w14:paraId="263015BA" w14:textId="77777777" w:rsidR="00436526" w:rsidRPr="00812509" w:rsidRDefault="0043652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436526" w:rsidRPr="00812509" w14:paraId="590933CD" w14:textId="77777777" w:rsidTr="00DC119E">
        <w:trPr>
          <w:cnfStyle w:val="000000010000" w:firstRow="0" w:lastRow="0" w:firstColumn="0" w:lastColumn="0" w:oddVBand="0" w:evenVBand="0" w:oddHBand="0" w:evenHBand="1" w:firstRowFirstColumn="0" w:firstRowLastColumn="0" w:lastRowFirstColumn="0" w:lastRowLastColumn="0"/>
        </w:trPr>
        <w:tc>
          <w:tcPr>
            <w:tcW w:w="6622" w:type="dxa"/>
          </w:tcPr>
          <w:p w14:paraId="27CDC047" w14:textId="77777777" w:rsidR="00436526" w:rsidRPr="00812509" w:rsidRDefault="00436526" w:rsidP="002A4A0E">
            <w:pPr>
              <w:pStyle w:val="TableTextEntries"/>
              <w:rPr>
                <w:rFonts w:asciiTheme="minorHAnsi" w:hAnsiTheme="minorHAnsi"/>
              </w:rPr>
            </w:pPr>
            <w:r w:rsidRPr="00812509">
              <w:rPr>
                <w:rFonts w:asciiTheme="minorHAnsi" w:hAnsiTheme="minorHAnsi"/>
              </w:rPr>
              <w:t>Objective 3</w:t>
            </w:r>
            <w:r w:rsidR="00DC119E">
              <w:rPr>
                <w:rFonts w:asciiTheme="minorHAnsi" w:hAnsiTheme="minorHAnsi"/>
              </w:rPr>
              <w:t xml:space="preserve">—Increase gender equality </w:t>
            </w:r>
          </w:p>
        </w:tc>
        <w:tc>
          <w:tcPr>
            <w:tcW w:w="1388" w:type="dxa"/>
            <w:shd w:val="clear" w:color="auto" w:fill="72AF2F"/>
            <w:noWrap/>
          </w:tcPr>
          <w:p w14:paraId="1B563BC3" w14:textId="77777777" w:rsidR="00436526" w:rsidRPr="00812509" w:rsidRDefault="00DC119E" w:rsidP="002A4A0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77" w:type="dxa"/>
            <w:shd w:val="clear" w:color="auto" w:fill="E36C0A"/>
            <w:noWrap/>
          </w:tcPr>
          <w:p w14:paraId="563F64C1" w14:textId="77777777" w:rsidR="00436526" w:rsidRPr="00812509" w:rsidRDefault="00DC119E">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r>
    </w:tbl>
    <w:p w14:paraId="51152AB2"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3413C5BB"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75957351"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0175E935"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2380569F" w14:textId="77777777" w:rsidR="005B5769" w:rsidRPr="00C4114C" w:rsidRDefault="005B5769" w:rsidP="005B5769">
      <w:pPr>
        <w:pStyle w:val="Note"/>
      </w:pPr>
      <w:r w:rsidRPr="00C4114C">
        <w:t xml:space="preserve">  </w:t>
      </w:r>
    </w:p>
    <w:p w14:paraId="0D87C65E" w14:textId="77777777" w:rsidR="006545B9" w:rsidRPr="00877607" w:rsidRDefault="006545B9"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 xml:space="preserve">Objective </w:t>
      </w:r>
      <w:r w:rsidR="00A076AA">
        <w:rPr>
          <w:rFonts w:asciiTheme="majorHAnsi" w:eastAsiaTheme="majorEastAsia" w:hAnsiTheme="majorHAnsi" w:cstheme="majorBidi"/>
          <w:caps/>
          <w:sz w:val="32"/>
          <w:szCs w:val="32"/>
        </w:rPr>
        <w:t>1 – EXPAND ECONOMIC OPPORTUNITIES FOR THE POOR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545B9" w:rsidRPr="00695730" w14:paraId="028ECBBA" w14:textId="77777777" w:rsidTr="00F20EFD">
        <w:tc>
          <w:tcPr>
            <w:tcW w:w="2016" w:type="dxa"/>
          </w:tcPr>
          <w:p w14:paraId="2CD1B065" w14:textId="77777777" w:rsidR="006545B9" w:rsidRPr="00695730" w:rsidRDefault="006545B9" w:rsidP="00F20EFD">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44193E4" wp14:editId="42D374E2">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0368E348" w14:textId="77777777" w:rsidR="006545B9" w:rsidRPr="00695730" w:rsidRDefault="006545B9" w:rsidP="00F20EFD">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4537E0E3" wp14:editId="0BBB35B1">
                  <wp:extent cx="609600" cy="609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69E3EF0C" w14:textId="77777777" w:rsidR="006545B9" w:rsidRPr="00695730" w:rsidRDefault="00F92899" w:rsidP="00F20EF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80776E2" wp14:editId="41687CB1">
                  <wp:extent cx="612000" cy="612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68569628" w14:textId="77777777" w:rsidR="006545B9" w:rsidRPr="00695730" w:rsidRDefault="00F92899" w:rsidP="00F20EF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0845BCE" wp14:editId="50C2CEF1">
                  <wp:extent cx="609600" cy="609600"/>
                  <wp:effectExtent l="0" t="0" r="0" b="0"/>
                  <wp:docPr id="61" name="Picture 61"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5CCB692D" w14:textId="77777777" w:rsidR="006545B9" w:rsidRPr="00695730" w:rsidRDefault="00F92899" w:rsidP="00F20EF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C89DCF9" wp14:editId="2FEF2C1A">
                  <wp:extent cx="612000" cy="612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32071988" w14:textId="6555ADAB" w:rsidR="00376219" w:rsidRDefault="00376219" w:rsidP="00E01C62">
      <w:pPr>
        <w:spacing w:after="120"/>
        <w:rPr>
          <w:rFonts w:eastAsia="Times New Roman"/>
          <w:color w:val="auto"/>
        </w:rPr>
      </w:pPr>
      <w:r>
        <w:rPr>
          <w:rFonts w:eastAsia="Times New Roman"/>
          <w:color w:val="auto"/>
        </w:rPr>
        <w:t xml:space="preserve">Progress toward this objective is </w:t>
      </w:r>
      <w:r w:rsidR="006565B7">
        <w:rPr>
          <w:rFonts w:eastAsia="Times New Roman"/>
          <w:color w:val="auto"/>
        </w:rPr>
        <w:t>largely</w:t>
      </w:r>
      <w:r>
        <w:rPr>
          <w:rFonts w:eastAsia="Times New Roman"/>
          <w:color w:val="auto"/>
        </w:rPr>
        <w:t xml:space="preserve"> influenced by </w:t>
      </w:r>
      <w:r w:rsidRPr="00376219">
        <w:rPr>
          <w:rFonts w:eastAsia="Times New Roman"/>
          <w:color w:val="auto"/>
        </w:rPr>
        <w:t>the</w:t>
      </w:r>
      <w:r w:rsidR="00BD238F">
        <w:rPr>
          <w:rFonts w:eastAsia="Times New Roman"/>
          <w:color w:val="auto"/>
        </w:rPr>
        <w:t xml:space="preserve"> performance of the</w:t>
      </w:r>
      <w:r w:rsidRPr="00376219">
        <w:rPr>
          <w:rFonts w:eastAsia="Times New Roman"/>
          <w:color w:val="auto"/>
        </w:rPr>
        <w:t xml:space="preserve"> </w:t>
      </w:r>
      <w:r w:rsidRPr="00376219">
        <w:rPr>
          <w:rFonts w:eastAsia="Times New Roman"/>
          <w:i/>
          <w:color w:val="auto"/>
        </w:rPr>
        <w:t xml:space="preserve">Economic Opportunities for the Poor (EOP) </w:t>
      </w:r>
      <w:r w:rsidRPr="00376219">
        <w:rPr>
          <w:rFonts w:eastAsia="Times New Roman"/>
          <w:color w:val="auto"/>
        </w:rPr>
        <w:t>investment</w:t>
      </w:r>
      <w:r>
        <w:rPr>
          <w:rFonts w:eastAsia="Times New Roman"/>
          <w:color w:val="auto"/>
        </w:rPr>
        <w:t>.</w:t>
      </w:r>
      <w:r w:rsidR="00BD238F">
        <w:rPr>
          <w:rFonts w:eastAsia="Times New Roman"/>
          <w:color w:val="auto"/>
        </w:rPr>
        <w:t xml:space="preserve"> The</w:t>
      </w:r>
      <w:r w:rsidRPr="00376219">
        <w:rPr>
          <w:rFonts w:eastAsia="Times New Roman"/>
          <w:i/>
          <w:color w:val="auto"/>
        </w:rPr>
        <w:t xml:space="preserve"> EOP </w:t>
      </w:r>
      <w:r w:rsidRPr="00376219">
        <w:rPr>
          <w:rFonts w:eastAsia="Times New Roman"/>
          <w:color w:val="auto"/>
        </w:rPr>
        <w:t xml:space="preserve">portfolio </w:t>
      </w:r>
      <w:r>
        <w:rPr>
          <w:rFonts w:eastAsia="Times New Roman"/>
          <w:color w:val="auto"/>
        </w:rPr>
        <w:t xml:space="preserve">of work </w:t>
      </w:r>
      <w:r w:rsidR="006565B7">
        <w:rPr>
          <w:rFonts w:eastAsia="Times New Roman"/>
          <w:color w:val="auto"/>
        </w:rPr>
        <w:t>focuses</w:t>
      </w:r>
      <w:r w:rsidRPr="00376219">
        <w:rPr>
          <w:rFonts w:eastAsia="Times New Roman"/>
          <w:color w:val="auto"/>
        </w:rPr>
        <w:t xml:space="preserve"> on increasing economic inclusion in support of the broader bilateral program goal of reconciliation. The investment supports poor women and men to increase their incomes, and also access quality jobs and skills development services, through participation in key growth sectors of the Sri Lankan economy. </w:t>
      </w:r>
      <w:r>
        <w:rPr>
          <w:rFonts w:eastAsia="Times New Roman"/>
          <w:color w:val="auto"/>
        </w:rPr>
        <w:t>Overall, t</w:t>
      </w:r>
      <w:r w:rsidR="00B10E80">
        <w:rPr>
          <w:rFonts w:eastAsia="Times New Roman"/>
          <w:color w:val="auto"/>
        </w:rPr>
        <w:t xml:space="preserve">his objective was rated green, as the </w:t>
      </w:r>
      <w:r w:rsidR="00B10E80">
        <w:rPr>
          <w:rFonts w:eastAsia="Times New Roman"/>
          <w:i/>
          <w:color w:val="auto"/>
        </w:rPr>
        <w:t xml:space="preserve">EOP </w:t>
      </w:r>
      <w:r w:rsidR="00B10E80">
        <w:rPr>
          <w:rFonts w:eastAsia="Times New Roman"/>
          <w:color w:val="auto"/>
        </w:rPr>
        <w:t xml:space="preserve">investment has achieved almost all major outputs and targets expected </w:t>
      </w:r>
      <w:r w:rsidR="00E82539">
        <w:rPr>
          <w:rFonts w:eastAsia="Times New Roman"/>
          <w:color w:val="auto"/>
        </w:rPr>
        <w:t xml:space="preserve">at </w:t>
      </w:r>
      <w:r w:rsidR="00B10E80">
        <w:rPr>
          <w:rFonts w:eastAsia="Times New Roman"/>
          <w:color w:val="auto"/>
        </w:rPr>
        <w:t>this point in time.</w:t>
      </w:r>
      <w:r w:rsidRPr="00376219">
        <w:rPr>
          <w:rFonts w:eastAsia="Times New Roman"/>
          <w:color w:val="auto"/>
        </w:rPr>
        <w:t xml:space="preserve"> </w:t>
      </w:r>
      <w:r>
        <w:rPr>
          <w:rFonts w:eastAsia="Times New Roman"/>
          <w:color w:val="auto"/>
        </w:rPr>
        <w:t>While the programs are performing well at the activity/output level, more strategic thinking is needed around increasing the impact of the program’s innovations and taking them to scale. Greater inclusion of people with a disability has also emerged as a challenge.</w:t>
      </w:r>
    </w:p>
    <w:p w14:paraId="3B2A5305" w14:textId="569A3936" w:rsidR="00D84A31" w:rsidRDefault="00B10E80" w:rsidP="00E01C62">
      <w:pPr>
        <w:spacing w:after="120"/>
        <w:rPr>
          <w:rFonts w:eastAsia="Times New Roman"/>
          <w:color w:val="auto"/>
        </w:rPr>
      </w:pPr>
      <w:r>
        <w:rPr>
          <w:rFonts w:eastAsia="Times New Roman"/>
          <w:color w:val="auto"/>
        </w:rPr>
        <w:t>The three main activities under the investment are</w:t>
      </w:r>
      <w:r w:rsidR="00E82539">
        <w:rPr>
          <w:rFonts w:eastAsia="Times New Roman"/>
          <w:color w:val="auto"/>
        </w:rPr>
        <w:t>:</w:t>
      </w:r>
      <w:r>
        <w:rPr>
          <w:rFonts w:eastAsia="Times New Roman"/>
          <w:color w:val="auto"/>
        </w:rPr>
        <w:t xml:space="preserve"> the </w:t>
      </w:r>
      <w:r>
        <w:rPr>
          <w:rFonts w:eastAsia="Times New Roman"/>
          <w:i/>
          <w:color w:val="auto"/>
        </w:rPr>
        <w:t>Market Development Facility (MDF)</w:t>
      </w:r>
      <w:r>
        <w:rPr>
          <w:rFonts w:eastAsia="Times New Roman"/>
          <w:color w:val="auto"/>
        </w:rPr>
        <w:t xml:space="preserve"> which forms</w:t>
      </w:r>
      <w:r w:rsidR="00DD2525">
        <w:rPr>
          <w:rFonts w:eastAsia="Times New Roman"/>
          <w:color w:val="auto"/>
        </w:rPr>
        <w:t xml:space="preserve"> island</w:t>
      </w:r>
      <w:r w:rsidR="00DF1289">
        <w:rPr>
          <w:rFonts w:eastAsia="Times New Roman"/>
          <w:color w:val="auto"/>
        </w:rPr>
        <w:t>-</w:t>
      </w:r>
      <w:r w:rsidR="00DD2525">
        <w:rPr>
          <w:rFonts w:eastAsia="Times New Roman"/>
          <w:color w:val="auto"/>
        </w:rPr>
        <w:t>wide</w:t>
      </w:r>
      <w:r>
        <w:rPr>
          <w:rFonts w:eastAsia="Times New Roman"/>
          <w:color w:val="auto"/>
        </w:rPr>
        <w:t xml:space="preserve"> business adv</w:t>
      </w:r>
      <w:r w:rsidR="006838F0">
        <w:rPr>
          <w:rFonts w:eastAsia="Times New Roman"/>
          <w:color w:val="auto"/>
        </w:rPr>
        <w:t xml:space="preserve">isory partnerships with small to medium sized businesses in tourism and </w:t>
      </w:r>
      <w:r w:rsidR="00A21B4B">
        <w:rPr>
          <w:rFonts w:eastAsia="Times New Roman"/>
          <w:color w:val="auto"/>
        </w:rPr>
        <w:t>value-added agriculture</w:t>
      </w:r>
      <w:r w:rsidR="006838F0">
        <w:rPr>
          <w:rFonts w:eastAsia="Times New Roman"/>
          <w:color w:val="auto"/>
        </w:rPr>
        <w:t xml:space="preserve"> sectors; </w:t>
      </w:r>
      <w:r w:rsidR="00211CE3">
        <w:rPr>
          <w:rFonts w:eastAsia="Times New Roman"/>
          <w:color w:val="auto"/>
        </w:rPr>
        <w:t xml:space="preserve">the </w:t>
      </w:r>
      <w:r w:rsidR="00211CE3">
        <w:rPr>
          <w:rFonts w:eastAsia="Times New Roman"/>
          <w:i/>
          <w:color w:val="auto"/>
        </w:rPr>
        <w:t xml:space="preserve">Skills for Inclusive Economic Growth </w:t>
      </w:r>
      <w:r w:rsidR="00211CE3">
        <w:rPr>
          <w:rFonts w:eastAsia="Times New Roman"/>
          <w:color w:val="auto"/>
        </w:rPr>
        <w:t xml:space="preserve">program </w:t>
      </w:r>
      <w:r w:rsidR="00211CE3">
        <w:rPr>
          <w:rFonts w:eastAsia="Times New Roman"/>
          <w:i/>
          <w:color w:val="auto"/>
        </w:rPr>
        <w:t>(S4IG)</w:t>
      </w:r>
      <w:r w:rsidR="00211CE3">
        <w:rPr>
          <w:rFonts w:eastAsia="Times New Roman"/>
          <w:color w:val="auto"/>
        </w:rPr>
        <w:t xml:space="preserve">, </w:t>
      </w:r>
      <w:r w:rsidR="00A21B4B">
        <w:rPr>
          <w:rFonts w:eastAsia="Times New Roman"/>
          <w:color w:val="auto"/>
        </w:rPr>
        <w:t>which builds</w:t>
      </w:r>
      <w:r w:rsidR="00211CE3">
        <w:rPr>
          <w:rFonts w:eastAsia="Times New Roman"/>
          <w:color w:val="auto"/>
        </w:rPr>
        <w:t xml:space="preserve"> tou</w:t>
      </w:r>
      <w:r w:rsidR="005D5EB3">
        <w:rPr>
          <w:rFonts w:eastAsia="Times New Roman"/>
          <w:color w:val="auto"/>
        </w:rPr>
        <w:t xml:space="preserve">rism industry skills in Eastern Province and </w:t>
      </w:r>
      <w:proofErr w:type="spellStart"/>
      <w:r w:rsidR="005D5EB3">
        <w:rPr>
          <w:rFonts w:eastAsia="Times New Roman"/>
          <w:color w:val="auto"/>
        </w:rPr>
        <w:t>Polonnaruwa</w:t>
      </w:r>
      <w:proofErr w:type="spellEnd"/>
      <w:r w:rsidR="005D5EB3">
        <w:rPr>
          <w:rFonts w:eastAsia="Times New Roman"/>
          <w:color w:val="auto"/>
        </w:rPr>
        <w:t xml:space="preserve"> district; and the</w:t>
      </w:r>
      <w:r w:rsidR="00A21B4B">
        <w:rPr>
          <w:rFonts w:eastAsia="Times New Roman"/>
          <w:color w:val="auto"/>
        </w:rPr>
        <w:t xml:space="preserve"> recently-mobilised</w:t>
      </w:r>
      <w:r w:rsidR="005D5EB3">
        <w:rPr>
          <w:rFonts w:eastAsia="Times New Roman"/>
          <w:color w:val="auto"/>
        </w:rPr>
        <w:t xml:space="preserve"> </w:t>
      </w:r>
      <w:r w:rsidR="005D5EB3">
        <w:rPr>
          <w:rFonts w:eastAsia="Times New Roman"/>
          <w:i/>
          <w:color w:val="auto"/>
        </w:rPr>
        <w:t xml:space="preserve">Local Empowerment through Economic Development (LEED) </w:t>
      </w:r>
      <w:r w:rsidR="005D5EB3">
        <w:rPr>
          <w:rFonts w:eastAsia="Times New Roman"/>
          <w:color w:val="auto"/>
        </w:rPr>
        <w:t>project, which links fisheries and agricultural cooperatives in Northern Province with domestic and export supply chains.</w:t>
      </w:r>
      <w:r w:rsidR="00200210">
        <w:rPr>
          <w:rFonts w:eastAsia="Times New Roman"/>
          <w:color w:val="auto"/>
        </w:rPr>
        <w:t xml:space="preserve"> </w:t>
      </w:r>
      <w:r w:rsidR="00A21B4B" w:rsidRPr="00A21B4B">
        <w:rPr>
          <w:rFonts w:eastAsia="Times New Roman"/>
          <w:color w:val="auto"/>
        </w:rPr>
        <w:t>The three</w:t>
      </w:r>
      <w:r w:rsidR="00AA5641">
        <w:rPr>
          <w:rFonts w:eastAsia="Times New Roman"/>
          <w:color w:val="auto"/>
        </w:rPr>
        <w:t xml:space="preserve"> </w:t>
      </w:r>
      <w:r w:rsidR="00AA5641">
        <w:rPr>
          <w:rFonts w:eastAsia="Times New Roman"/>
          <w:i/>
          <w:color w:val="auto"/>
        </w:rPr>
        <w:t xml:space="preserve">EOP </w:t>
      </w:r>
      <w:r w:rsidR="00AA5641">
        <w:rPr>
          <w:rFonts w:eastAsia="Times New Roman"/>
          <w:color w:val="auto"/>
        </w:rPr>
        <w:t xml:space="preserve">partners have </w:t>
      </w:r>
      <w:r w:rsidR="00A21B4B">
        <w:rPr>
          <w:rFonts w:eastAsia="Times New Roman"/>
          <w:color w:val="auto"/>
        </w:rPr>
        <w:t xml:space="preserve">been </w:t>
      </w:r>
      <w:r w:rsidR="00AA5641">
        <w:rPr>
          <w:rFonts w:eastAsia="Times New Roman"/>
          <w:color w:val="auto"/>
        </w:rPr>
        <w:t xml:space="preserve">willing to </w:t>
      </w:r>
      <w:r w:rsidR="002E4BB4">
        <w:rPr>
          <w:rFonts w:eastAsia="Times New Roman"/>
          <w:color w:val="auto"/>
        </w:rPr>
        <w:t xml:space="preserve">harmonise and </w:t>
      </w:r>
      <w:r w:rsidR="00AA5641">
        <w:rPr>
          <w:rFonts w:eastAsia="Times New Roman"/>
          <w:color w:val="auto"/>
        </w:rPr>
        <w:t xml:space="preserve">explore collaboration, </w:t>
      </w:r>
      <w:r w:rsidR="00A21B4B">
        <w:rPr>
          <w:rFonts w:eastAsia="Times New Roman"/>
          <w:color w:val="auto"/>
        </w:rPr>
        <w:t xml:space="preserve">and the reporting period has seen some joint activities </w:t>
      </w:r>
      <w:r w:rsidR="00376219">
        <w:rPr>
          <w:rFonts w:eastAsia="Times New Roman"/>
          <w:color w:val="auto"/>
        </w:rPr>
        <w:t xml:space="preserve">be </w:t>
      </w:r>
      <w:r w:rsidR="00A21B4B">
        <w:rPr>
          <w:rFonts w:eastAsia="Times New Roman"/>
          <w:color w:val="auto"/>
        </w:rPr>
        <w:t>identified and</w:t>
      </w:r>
      <w:r w:rsidR="00376219">
        <w:rPr>
          <w:rFonts w:eastAsia="Times New Roman"/>
          <w:color w:val="auto"/>
        </w:rPr>
        <w:t xml:space="preserve"> prepared for implementation.</w:t>
      </w:r>
      <w:r w:rsidR="00DF1289">
        <w:rPr>
          <w:rFonts w:eastAsia="Times New Roman"/>
          <w:color w:val="auto"/>
        </w:rPr>
        <w:t xml:space="preserve"> </w:t>
      </w:r>
    </w:p>
    <w:p w14:paraId="618E6AEC" w14:textId="10FB6326" w:rsidR="00560AA6" w:rsidRPr="00A75A26" w:rsidRDefault="00B4553E" w:rsidP="00E01C62">
      <w:pPr>
        <w:spacing w:after="120"/>
        <w:rPr>
          <w:rFonts w:eastAsia="Times New Roman"/>
          <w:color w:val="auto"/>
        </w:rPr>
      </w:pPr>
      <w:r>
        <w:rPr>
          <w:rFonts w:eastAsia="Times New Roman"/>
          <w:color w:val="auto"/>
        </w:rPr>
        <w:t xml:space="preserve">Both </w:t>
      </w:r>
      <w:r>
        <w:rPr>
          <w:rFonts w:eastAsia="Times New Roman"/>
          <w:i/>
          <w:color w:val="auto"/>
        </w:rPr>
        <w:t>MDF</w:t>
      </w:r>
      <w:r>
        <w:rPr>
          <w:rFonts w:eastAsia="Times New Roman"/>
          <w:color w:val="auto"/>
        </w:rPr>
        <w:t xml:space="preserve"> (19 partnerships) and </w:t>
      </w:r>
      <w:r>
        <w:rPr>
          <w:rFonts w:eastAsia="Times New Roman"/>
          <w:i/>
          <w:color w:val="auto"/>
        </w:rPr>
        <w:t>S4IG</w:t>
      </w:r>
      <w:r w:rsidR="001F4121">
        <w:rPr>
          <w:rFonts w:eastAsia="Times New Roman"/>
          <w:color w:val="auto"/>
        </w:rPr>
        <w:t xml:space="preserve"> (13 partnerships)</w:t>
      </w:r>
      <w:r>
        <w:rPr>
          <w:rFonts w:eastAsia="Times New Roman"/>
          <w:color w:val="auto"/>
        </w:rPr>
        <w:t xml:space="preserve"> are delivering i</w:t>
      </w:r>
      <w:r w:rsidR="00C946A1">
        <w:rPr>
          <w:rFonts w:eastAsia="Times New Roman"/>
          <w:color w:val="auto"/>
        </w:rPr>
        <w:t>ncome and employment benefits</w:t>
      </w:r>
      <w:r>
        <w:rPr>
          <w:rFonts w:eastAsia="Times New Roman"/>
          <w:color w:val="auto"/>
        </w:rPr>
        <w:t xml:space="preserve">, collectively supporting LKR 1.15 billon (approximately </w:t>
      </w:r>
      <w:r w:rsidR="005E6445">
        <w:rPr>
          <w:rFonts w:eastAsia="Times New Roman"/>
          <w:color w:val="auto"/>
        </w:rPr>
        <w:t>$</w:t>
      </w:r>
      <w:r>
        <w:rPr>
          <w:rFonts w:eastAsia="Times New Roman"/>
          <w:color w:val="auto"/>
        </w:rPr>
        <w:t>10 million) worth of net additional income within the reporting period</w:t>
      </w:r>
      <w:r w:rsidR="00682C36">
        <w:rPr>
          <w:rFonts w:eastAsia="Times New Roman"/>
          <w:color w:val="auto"/>
        </w:rPr>
        <w:t xml:space="preserve"> for</w:t>
      </w:r>
      <w:r w:rsidR="006565B7">
        <w:rPr>
          <w:rFonts w:eastAsia="Times New Roman"/>
          <w:color w:val="auto"/>
        </w:rPr>
        <w:t xml:space="preserve"> approximately 30,000</w:t>
      </w:r>
      <w:r w:rsidR="00682C36">
        <w:rPr>
          <w:rFonts w:eastAsia="Times New Roman"/>
          <w:color w:val="auto"/>
        </w:rPr>
        <w:t xml:space="preserve"> </w:t>
      </w:r>
      <w:r w:rsidR="006565B7">
        <w:rPr>
          <w:rFonts w:eastAsia="Times New Roman"/>
          <w:color w:val="auto"/>
        </w:rPr>
        <w:t>people</w:t>
      </w:r>
      <w:r w:rsidR="00682C36">
        <w:rPr>
          <w:rFonts w:eastAsia="Times New Roman"/>
          <w:color w:val="auto"/>
        </w:rPr>
        <w:t xml:space="preserve">, with </w:t>
      </w:r>
      <w:r w:rsidR="006565B7">
        <w:rPr>
          <w:rFonts w:eastAsia="Times New Roman"/>
          <w:color w:val="auto"/>
        </w:rPr>
        <w:t>13</w:t>
      </w:r>
      <w:r w:rsidR="00682C36">
        <w:rPr>
          <w:rFonts w:eastAsia="Times New Roman"/>
          <w:color w:val="auto"/>
        </w:rPr>
        <w:t xml:space="preserve"> per cent of these beneficiaries being women</w:t>
      </w:r>
      <w:r w:rsidR="006565B7">
        <w:rPr>
          <w:rFonts w:eastAsia="Times New Roman"/>
          <w:color w:val="auto"/>
        </w:rPr>
        <w:t>, and the vast majority being significantly economically disadvantaged</w:t>
      </w:r>
      <w:r w:rsidR="00682C36">
        <w:rPr>
          <w:rFonts w:eastAsia="Times New Roman"/>
          <w:color w:val="auto"/>
        </w:rPr>
        <w:t>.</w:t>
      </w:r>
      <w:r w:rsidR="00C946A1">
        <w:rPr>
          <w:rFonts w:eastAsia="Times New Roman"/>
          <w:color w:val="auto"/>
        </w:rPr>
        <w:t xml:space="preserve">  </w:t>
      </w:r>
      <w:r w:rsidR="006565B7" w:rsidRPr="006565B7">
        <w:rPr>
          <w:rFonts w:eastAsia="Times New Roman"/>
          <w:i/>
          <w:color w:val="auto"/>
        </w:rPr>
        <w:t>S4IG</w:t>
      </w:r>
      <w:r w:rsidR="006565B7">
        <w:rPr>
          <w:rFonts w:eastAsia="Times New Roman"/>
          <w:color w:val="auto"/>
        </w:rPr>
        <w:t xml:space="preserve"> has also been undertaking innovative approaches to altering</w:t>
      </w:r>
      <w:r w:rsidR="00032A60">
        <w:rPr>
          <w:rFonts w:eastAsia="Times New Roman"/>
          <w:color w:val="auto"/>
        </w:rPr>
        <w:t xml:space="preserve"> community attitudes toward female employment in the tourism sector – a notable activity being its co-production of a television cooking competition (‘Supreme Chef’) bringing together male and female competitors from Eastern Province.</w:t>
      </w:r>
      <w:r w:rsidR="00560AA6">
        <w:rPr>
          <w:rFonts w:eastAsia="Times New Roman"/>
          <w:color w:val="auto"/>
        </w:rPr>
        <w:t xml:space="preserve"> The show was also notable for its inclusion of people with a disability.</w:t>
      </w:r>
      <w:r w:rsidR="00A75A26">
        <w:rPr>
          <w:rFonts w:eastAsia="Times New Roman"/>
          <w:color w:val="auto"/>
        </w:rPr>
        <w:t xml:space="preserve"> </w:t>
      </w:r>
      <w:r w:rsidR="00A75A26">
        <w:rPr>
          <w:rFonts w:eastAsia="Times New Roman"/>
          <w:i/>
          <w:color w:val="auto"/>
        </w:rPr>
        <w:t xml:space="preserve">MDF </w:t>
      </w:r>
      <w:r w:rsidR="00887C48">
        <w:rPr>
          <w:rFonts w:eastAsia="Times New Roman"/>
          <w:color w:val="auto"/>
        </w:rPr>
        <w:t>w</w:t>
      </w:r>
      <w:r w:rsidR="00A75A26">
        <w:rPr>
          <w:rFonts w:eastAsia="Times New Roman"/>
          <w:color w:val="auto"/>
        </w:rPr>
        <w:t>as likew</w:t>
      </w:r>
      <w:r w:rsidR="00887C48">
        <w:rPr>
          <w:rFonts w:eastAsia="Times New Roman"/>
          <w:color w:val="auto"/>
        </w:rPr>
        <w:t>ise nimble in its response</w:t>
      </w:r>
      <w:r w:rsidR="00A75A26">
        <w:rPr>
          <w:rFonts w:eastAsia="Times New Roman"/>
          <w:color w:val="auto"/>
        </w:rPr>
        <w:t xml:space="preserve"> to the sudden impact of the Easter attacks on the tourism </w:t>
      </w:r>
      <w:r w:rsidR="00A75A26">
        <w:rPr>
          <w:rFonts w:eastAsia="Times New Roman"/>
          <w:color w:val="auto"/>
        </w:rPr>
        <w:lastRenderedPageBreak/>
        <w:t xml:space="preserve">industry, providing immediate technical assistance to the Tourism Alliance that </w:t>
      </w:r>
      <w:r w:rsidR="00887C48">
        <w:rPr>
          <w:rFonts w:eastAsia="Times New Roman"/>
          <w:color w:val="auto"/>
        </w:rPr>
        <w:t>brought together private sector and government actors</w:t>
      </w:r>
      <w:r w:rsidR="00A75A26">
        <w:rPr>
          <w:rFonts w:eastAsia="Times New Roman"/>
          <w:color w:val="auto"/>
        </w:rPr>
        <w:t xml:space="preserve"> </w:t>
      </w:r>
      <w:r w:rsidR="00887C48">
        <w:rPr>
          <w:rFonts w:eastAsia="Times New Roman"/>
          <w:color w:val="auto"/>
        </w:rPr>
        <w:t>to respond to the immediate, post-attack challenges and also put in place strategies to improve</w:t>
      </w:r>
      <w:r w:rsidR="002B1291">
        <w:rPr>
          <w:rFonts w:eastAsia="Times New Roman"/>
          <w:color w:val="auto"/>
        </w:rPr>
        <w:t xml:space="preserve"> the sector’s long-term</w:t>
      </w:r>
      <w:r w:rsidR="00887C48">
        <w:rPr>
          <w:rFonts w:eastAsia="Times New Roman"/>
          <w:color w:val="auto"/>
        </w:rPr>
        <w:t xml:space="preserve"> resilience</w:t>
      </w:r>
      <w:r w:rsidR="002B1291">
        <w:rPr>
          <w:rFonts w:eastAsia="Times New Roman"/>
          <w:color w:val="auto"/>
        </w:rPr>
        <w:t>.</w:t>
      </w:r>
      <w:r w:rsidR="00887C48">
        <w:rPr>
          <w:rFonts w:eastAsia="Times New Roman"/>
          <w:color w:val="auto"/>
        </w:rPr>
        <w:t xml:space="preserve"> </w:t>
      </w:r>
    </w:p>
    <w:p w14:paraId="039EDC79" w14:textId="77777777" w:rsidR="002B1291" w:rsidRDefault="00740F94" w:rsidP="00E01C62">
      <w:pPr>
        <w:spacing w:after="120"/>
        <w:rPr>
          <w:rFonts w:eastAsia="Times New Roman"/>
          <w:color w:val="auto"/>
        </w:rPr>
      </w:pPr>
      <w:r>
        <w:rPr>
          <w:rFonts w:eastAsia="Times New Roman"/>
          <w:color w:val="auto"/>
        </w:rPr>
        <w:t xml:space="preserve">While both </w:t>
      </w:r>
      <w:r>
        <w:rPr>
          <w:rFonts w:eastAsia="Times New Roman"/>
          <w:i/>
          <w:color w:val="auto"/>
        </w:rPr>
        <w:t xml:space="preserve">MDF </w:t>
      </w:r>
      <w:r>
        <w:rPr>
          <w:rFonts w:eastAsia="Times New Roman"/>
          <w:color w:val="auto"/>
        </w:rPr>
        <w:t xml:space="preserve">and </w:t>
      </w:r>
      <w:r>
        <w:rPr>
          <w:rFonts w:eastAsia="Times New Roman"/>
          <w:i/>
          <w:color w:val="auto"/>
        </w:rPr>
        <w:t xml:space="preserve">S4IG </w:t>
      </w:r>
      <w:r>
        <w:rPr>
          <w:rFonts w:eastAsia="Times New Roman"/>
          <w:color w:val="auto"/>
        </w:rPr>
        <w:t xml:space="preserve">have performed well at the activity/output level, progress towards the uptake of innovations and behaviour changes </w:t>
      </w:r>
      <w:r w:rsidR="004614EB">
        <w:rPr>
          <w:rFonts w:eastAsia="Times New Roman"/>
          <w:color w:val="auto"/>
        </w:rPr>
        <w:t>among</w:t>
      </w:r>
      <w:r>
        <w:rPr>
          <w:rFonts w:eastAsia="Times New Roman"/>
          <w:color w:val="auto"/>
        </w:rPr>
        <w:t xml:space="preserve"> private sector partners </w:t>
      </w:r>
      <w:r w:rsidR="004614EB">
        <w:rPr>
          <w:rFonts w:eastAsia="Times New Roman"/>
          <w:color w:val="auto"/>
        </w:rPr>
        <w:t>has been</w:t>
      </w:r>
      <w:r w:rsidR="00DF7F19">
        <w:rPr>
          <w:rFonts w:eastAsia="Times New Roman"/>
          <w:color w:val="auto"/>
        </w:rPr>
        <w:t xml:space="preserve"> slower than expected, and m</w:t>
      </w:r>
      <w:r>
        <w:rPr>
          <w:rFonts w:eastAsia="Times New Roman"/>
          <w:color w:val="auto"/>
        </w:rPr>
        <w:t xml:space="preserve">ore strategic </w:t>
      </w:r>
      <w:r w:rsidR="004614EB">
        <w:rPr>
          <w:rFonts w:eastAsia="Times New Roman"/>
          <w:color w:val="auto"/>
        </w:rPr>
        <w:t>thinking is required from the teams to demonstrate how the program inn</w:t>
      </w:r>
      <w:r w:rsidR="00DF1289">
        <w:rPr>
          <w:rFonts w:eastAsia="Times New Roman"/>
          <w:color w:val="auto"/>
        </w:rPr>
        <w:t>ovations can be taken to scale.</w:t>
      </w:r>
      <w:r w:rsidR="004614EB">
        <w:rPr>
          <w:rFonts w:eastAsia="Times New Roman"/>
          <w:color w:val="auto"/>
        </w:rPr>
        <w:t xml:space="preserve"> Similarly, </w:t>
      </w:r>
      <w:r w:rsidR="004D4180">
        <w:rPr>
          <w:rFonts w:eastAsia="Times New Roman"/>
          <w:color w:val="auto"/>
        </w:rPr>
        <w:t>it was expected that</w:t>
      </w:r>
      <w:r w:rsidR="00671F19">
        <w:rPr>
          <w:rFonts w:eastAsia="Times New Roman"/>
          <w:color w:val="auto"/>
        </w:rPr>
        <w:t xml:space="preserve"> the</w:t>
      </w:r>
      <w:r w:rsidR="00671F19" w:rsidRPr="00671F19">
        <w:rPr>
          <w:rFonts w:eastAsia="Times New Roman"/>
          <w:i/>
          <w:color w:val="auto"/>
        </w:rPr>
        <w:t xml:space="preserve"> S4IG</w:t>
      </w:r>
      <w:r w:rsidR="002B1291">
        <w:rPr>
          <w:rFonts w:eastAsia="Times New Roman"/>
          <w:color w:val="auto"/>
        </w:rPr>
        <w:t xml:space="preserve"> capacity-</w:t>
      </w:r>
      <w:r w:rsidR="004D4180">
        <w:rPr>
          <w:rFonts w:eastAsia="Times New Roman"/>
          <w:color w:val="auto"/>
        </w:rPr>
        <w:t>building s</w:t>
      </w:r>
      <w:r w:rsidR="00073360">
        <w:rPr>
          <w:rFonts w:eastAsia="Times New Roman"/>
          <w:color w:val="auto"/>
        </w:rPr>
        <w:t>trategies for service providers and</w:t>
      </w:r>
      <w:r w:rsidR="004D4180">
        <w:rPr>
          <w:rFonts w:eastAsia="Times New Roman"/>
          <w:color w:val="auto"/>
        </w:rPr>
        <w:t xml:space="preserve"> industry would </w:t>
      </w:r>
      <w:r w:rsidR="00A75A26">
        <w:rPr>
          <w:rFonts w:eastAsia="Times New Roman"/>
          <w:color w:val="auto"/>
        </w:rPr>
        <w:t>be further advanced</w:t>
      </w:r>
      <w:r w:rsidR="004D4180">
        <w:rPr>
          <w:rFonts w:eastAsia="Times New Roman"/>
          <w:color w:val="auto"/>
        </w:rPr>
        <w:t xml:space="preserve"> </w:t>
      </w:r>
      <w:r w:rsidR="00E706AC">
        <w:rPr>
          <w:rFonts w:eastAsia="Times New Roman"/>
          <w:color w:val="auto"/>
        </w:rPr>
        <w:t>by this point in time</w:t>
      </w:r>
      <w:r w:rsidR="004D4180">
        <w:rPr>
          <w:rFonts w:eastAsia="Times New Roman"/>
          <w:color w:val="auto"/>
        </w:rPr>
        <w:t>.</w:t>
      </w:r>
      <w:r w:rsidR="00DF1289">
        <w:rPr>
          <w:rFonts w:eastAsia="Times New Roman"/>
          <w:color w:val="auto"/>
        </w:rPr>
        <w:t xml:space="preserve"> </w:t>
      </w:r>
      <w:r w:rsidR="004D4180">
        <w:rPr>
          <w:rFonts w:eastAsia="Times New Roman"/>
          <w:color w:val="auto"/>
        </w:rPr>
        <w:t xml:space="preserve"> </w:t>
      </w:r>
      <w:r w:rsidR="00606C99">
        <w:rPr>
          <w:rFonts w:eastAsia="Times New Roman"/>
          <w:color w:val="auto"/>
        </w:rPr>
        <w:t xml:space="preserve">The </w:t>
      </w:r>
      <w:r w:rsidR="00606C99">
        <w:rPr>
          <w:rFonts w:eastAsia="Times New Roman"/>
          <w:i/>
          <w:color w:val="auto"/>
        </w:rPr>
        <w:t>S4IG</w:t>
      </w:r>
      <w:r w:rsidR="00606C99">
        <w:rPr>
          <w:rFonts w:eastAsia="Times New Roman"/>
          <w:color w:val="auto"/>
        </w:rPr>
        <w:t xml:space="preserve"> midterm report, due at the end of 2019, will evaluate whether the timeframe assigned (ending in </w:t>
      </w:r>
      <w:r w:rsidR="00A75A26">
        <w:rPr>
          <w:rFonts w:eastAsia="Times New Roman"/>
          <w:color w:val="auto"/>
        </w:rPr>
        <w:t xml:space="preserve">December </w:t>
      </w:r>
      <w:r w:rsidR="00606C99">
        <w:rPr>
          <w:rFonts w:eastAsia="Times New Roman"/>
          <w:color w:val="auto"/>
        </w:rPr>
        <w:t xml:space="preserve">2020) is sufficient to achieve the level of change expected in the design. </w:t>
      </w:r>
    </w:p>
    <w:p w14:paraId="15294BE1" w14:textId="3E004FCC" w:rsidR="00B10E80" w:rsidRPr="00523FFE" w:rsidRDefault="00073360" w:rsidP="00E01C62">
      <w:pPr>
        <w:spacing w:after="120"/>
        <w:rPr>
          <w:rFonts w:eastAsia="Times New Roman"/>
          <w:color w:val="auto"/>
        </w:rPr>
      </w:pPr>
      <w:r>
        <w:rPr>
          <w:rFonts w:eastAsia="Times New Roman"/>
          <w:i/>
          <w:color w:val="auto"/>
        </w:rPr>
        <w:t>MDF</w:t>
      </w:r>
      <w:r>
        <w:rPr>
          <w:rFonts w:eastAsia="Times New Roman"/>
          <w:color w:val="auto"/>
        </w:rPr>
        <w:t xml:space="preserve"> and </w:t>
      </w:r>
      <w:r>
        <w:rPr>
          <w:rFonts w:eastAsia="Times New Roman"/>
          <w:i/>
          <w:color w:val="auto"/>
        </w:rPr>
        <w:t xml:space="preserve">S4IG </w:t>
      </w:r>
      <w:r w:rsidR="002B1291">
        <w:rPr>
          <w:rFonts w:eastAsia="Times New Roman"/>
          <w:color w:val="auto"/>
        </w:rPr>
        <w:t xml:space="preserve">have gradually </w:t>
      </w:r>
      <w:r>
        <w:rPr>
          <w:rFonts w:eastAsia="Times New Roman"/>
          <w:color w:val="auto"/>
        </w:rPr>
        <w:t>improve</w:t>
      </w:r>
      <w:r w:rsidR="002B1291">
        <w:rPr>
          <w:rFonts w:eastAsia="Times New Roman"/>
          <w:color w:val="auto"/>
        </w:rPr>
        <w:t>d the quality of their</w:t>
      </w:r>
      <w:r>
        <w:rPr>
          <w:rFonts w:eastAsia="Times New Roman"/>
          <w:color w:val="auto"/>
        </w:rPr>
        <w:t xml:space="preserve"> gender equality</w:t>
      </w:r>
      <w:r w:rsidR="002B1291">
        <w:rPr>
          <w:rFonts w:eastAsia="Times New Roman"/>
          <w:color w:val="auto"/>
        </w:rPr>
        <w:t xml:space="preserve"> activities</w:t>
      </w:r>
      <w:r>
        <w:rPr>
          <w:rFonts w:eastAsia="Times New Roman"/>
          <w:color w:val="auto"/>
        </w:rPr>
        <w:t xml:space="preserve">, </w:t>
      </w:r>
      <w:r w:rsidR="002B1291">
        <w:rPr>
          <w:rFonts w:eastAsia="Times New Roman"/>
          <w:color w:val="auto"/>
        </w:rPr>
        <w:t>with overall results (women trained, employed and with improved incomes) aligning with expectations</w:t>
      </w:r>
      <w:r>
        <w:rPr>
          <w:rFonts w:eastAsia="Times New Roman"/>
          <w:color w:val="auto"/>
        </w:rPr>
        <w:t xml:space="preserve">. </w:t>
      </w:r>
      <w:r w:rsidR="002B1291">
        <w:rPr>
          <w:rFonts w:eastAsia="Times New Roman"/>
          <w:color w:val="auto"/>
        </w:rPr>
        <w:t>T</w:t>
      </w:r>
      <w:r>
        <w:rPr>
          <w:rFonts w:eastAsia="Times New Roman"/>
          <w:color w:val="auto"/>
        </w:rPr>
        <w:t xml:space="preserve">he challenge has been around the adoption of practices that benefit women in the selected tourism-related sectors, with the expected early signs of adoption not having materialised. </w:t>
      </w:r>
      <w:r w:rsidR="002B1291">
        <w:rPr>
          <w:rFonts w:eastAsia="Times New Roman"/>
          <w:color w:val="auto"/>
        </w:rPr>
        <w:t>In addition, r</w:t>
      </w:r>
      <w:r w:rsidR="00523FFE" w:rsidRPr="00592F84">
        <w:rPr>
          <w:rFonts w:eastAsia="Times New Roman"/>
          <w:color w:val="auto"/>
        </w:rPr>
        <w:t xml:space="preserve">esults on disability inclusion are mixed across the portfolio: </w:t>
      </w:r>
      <w:r w:rsidR="00523FFE" w:rsidRPr="00592F84">
        <w:rPr>
          <w:rFonts w:eastAsia="Times New Roman"/>
          <w:i/>
          <w:color w:val="auto"/>
        </w:rPr>
        <w:t>S4IG</w:t>
      </w:r>
      <w:r w:rsidR="00523FFE" w:rsidRPr="00592F84">
        <w:rPr>
          <w:rFonts w:eastAsia="Times New Roman"/>
          <w:color w:val="auto"/>
        </w:rPr>
        <w:t xml:space="preserve"> performs well, </w:t>
      </w:r>
      <w:r w:rsidR="00523FFE" w:rsidRPr="00592F84">
        <w:rPr>
          <w:rFonts w:eastAsia="Times New Roman"/>
          <w:i/>
          <w:color w:val="auto"/>
        </w:rPr>
        <w:t>LEED</w:t>
      </w:r>
      <w:r w:rsidR="00523FFE" w:rsidRPr="00592F84">
        <w:rPr>
          <w:rFonts w:eastAsia="Times New Roman"/>
          <w:color w:val="auto"/>
        </w:rPr>
        <w:t xml:space="preserve"> is still in a start-up phase with no clear disability strategy and </w:t>
      </w:r>
      <w:r w:rsidR="00523FFE" w:rsidRPr="00592F84">
        <w:rPr>
          <w:rFonts w:eastAsia="Times New Roman"/>
          <w:i/>
          <w:color w:val="auto"/>
        </w:rPr>
        <w:t>MDF</w:t>
      </w:r>
      <w:r w:rsidR="00523FFE" w:rsidRPr="00592F84">
        <w:rPr>
          <w:rFonts w:eastAsia="Times New Roman"/>
          <w:color w:val="auto"/>
        </w:rPr>
        <w:t xml:space="preserve"> lagging behind.</w:t>
      </w:r>
      <w:r w:rsidR="00A82F89" w:rsidRPr="00592F84">
        <w:rPr>
          <w:rFonts w:eastAsia="Times New Roman"/>
          <w:color w:val="auto"/>
        </w:rPr>
        <w:t xml:space="preserve"> </w:t>
      </w:r>
      <w:r w:rsidR="00E82539" w:rsidRPr="00592F84">
        <w:rPr>
          <w:rFonts w:eastAsia="Times New Roman"/>
          <w:color w:val="auto"/>
        </w:rPr>
        <w:t xml:space="preserve">As a result of </w:t>
      </w:r>
      <w:r w:rsidR="00A82F89" w:rsidRPr="00592F84">
        <w:rPr>
          <w:rFonts w:eastAsia="Times New Roman"/>
          <w:color w:val="auto"/>
        </w:rPr>
        <w:t>their focus on former conflict</w:t>
      </w:r>
      <w:r w:rsidR="00A82F89">
        <w:rPr>
          <w:rFonts w:eastAsia="Times New Roman"/>
          <w:color w:val="auto"/>
        </w:rPr>
        <w:t xml:space="preserve"> areas, all three programs successfully create opportunities for ethnic minorities.</w:t>
      </w:r>
    </w:p>
    <w:p w14:paraId="6C50C0C4" w14:textId="77777777" w:rsidR="00C738B8" w:rsidRPr="00877607" w:rsidRDefault="00C738B8" w:rsidP="00C738B8">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 xml:space="preserve">Objective </w:t>
      </w:r>
      <w:r>
        <w:rPr>
          <w:rFonts w:asciiTheme="majorHAnsi" w:eastAsiaTheme="majorEastAsia" w:hAnsiTheme="majorHAnsi" w:cstheme="majorBidi"/>
          <w:caps/>
          <w:sz w:val="32"/>
          <w:szCs w:val="32"/>
        </w:rPr>
        <w:t>2 – support the government to be more responsive to the needs of citizens and the private sector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C738B8" w:rsidRPr="00695730" w14:paraId="4DE66DAE" w14:textId="77777777" w:rsidTr="00F20EFD">
        <w:tc>
          <w:tcPr>
            <w:tcW w:w="2016" w:type="dxa"/>
          </w:tcPr>
          <w:p w14:paraId="71000AB9" w14:textId="77777777" w:rsidR="00C738B8" w:rsidRPr="00695730" w:rsidRDefault="00C738B8" w:rsidP="00F20EFD">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57BADA7" wp14:editId="74C188BA">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29A84E39" w14:textId="77777777" w:rsidR="00C738B8" w:rsidRPr="00695730" w:rsidRDefault="00C738B8" w:rsidP="00F20EFD">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FA73617" wp14:editId="0CD2E733">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38CDB3A7" w14:textId="77777777" w:rsidR="00C738B8" w:rsidRPr="00695730" w:rsidRDefault="00EC2BD5" w:rsidP="00F20EF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11FC5703" wp14:editId="18A2CC82">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4671EA6E" w14:textId="77777777" w:rsidR="00C738B8" w:rsidRPr="00695730" w:rsidRDefault="00EC2BD5" w:rsidP="00F20EF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88C5678" wp14:editId="7ADDF8C1">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1B3B52DB" w14:textId="77777777" w:rsidR="00C738B8" w:rsidRPr="00695730" w:rsidRDefault="00EC2BD5" w:rsidP="00F20EF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09D090A" wp14:editId="1370811A">
                  <wp:extent cx="608400" cy="6120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14:paraId="72F254CC" w14:textId="77777777" w:rsidR="00BF336C" w:rsidRDefault="002B1291" w:rsidP="00E01C62">
      <w:pPr>
        <w:spacing w:after="120"/>
        <w:rPr>
          <w:color w:val="auto"/>
        </w:rPr>
      </w:pPr>
      <w:r>
        <w:rPr>
          <w:color w:val="auto"/>
        </w:rPr>
        <w:t>Compared with the previous reporting period, progress toward this objective improved over the course of the year. T</w:t>
      </w:r>
      <w:r w:rsidR="00E92470">
        <w:rPr>
          <w:color w:val="auto"/>
        </w:rPr>
        <w:t>he</w:t>
      </w:r>
      <w:r w:rsidR="00805883">
        <w:rPr>
          <w:color w:val="auto"/>
        </w:rPr>
        <w:t xml:space="preserve"> key investment,</w:t>
      </w:r>
      <w:r w:rsidR="00E92470">
        <w:rPr>
          <w:color w:val="auto"/>
        </w:rPr>
        <w:t xml:space="preserve"> </w:t>
      </w:r>
      <w:r w:rsidR="00710F6C">
        <w:rPr>
          <w:i/>
          <w:color w:val="auto"/>
        </w:rPr>
        <w:t>Governance for Growth (G4G)</w:t>
      </w:r>
      <w:r w:rsidR="00805883">
        <w:rPr>
          <w:color w:val="auto"/>
        </w:rPr>
        <w:t>, oversees a suite of activities that combine mature and newly-incepted projects.</w:t>
      </w:r>
      <w:r w:rsidR="00246DA5">
        <w:rPr>
          <w:color w:val="auto"/>
        </w:rPr>
        <w:t xml:space="preserve"> </w:t>
      </w:r>
      <w:r w:rsidR="00805883">
        <w:rPr>
          <w:color w:val="auto"/>
        </w:rPr>
        <w:t>While</w:t>
      </w:r>
      <w:r w:rsidR="00246DA5">
        <w:rPr>
          <w:color w:val="auto"/>
        </w:rPr>
        <w:t xml:space="preserve"> measuring overall progress towards the </w:t>
      </w:r>
      <w:r w:rsidR="00710F6C">
        <w:rPr>
          <w:i/>
          <w:color w:val="auto"/>
        </w:rPr>
        <w:t>G4G</w:t>
      </w:r>
      <w:r w:rsidR="00246DA5" w:rsidRPr="00246DA5">
        <w:rPr>
          <w:i/>
          <w:color w:val="auto"/>
        </w:rPr>
        <w:t xml:space="preserve"> </w:t>
      </w:r>
      <w:r w:rsidR="00A440AD">
        <w:rPr>
          <w:color w:val="auto"/>
        </w:rPr>
        <w:t>end of investment (EOI)</w:t>
      </w:r>
      <w:r w:rsidR="00246DA5">
        <w:rPr>
          <w:color w:val="auto"/>
        </w:rPr>
        <w:t xml:space="preserve"> outcomes is complicated by the delay in finalising an </w:t>
      </w:r>
      <w:r w:rsidR="00710F6C">
        <w:rPr>
          <w:color w:val="auto"/>
        </w:rPr>
        <w:t>investment</w:t>
      </w:r>
      <w:r w:rsidR="00805883">
        <w:rPr>
          <w:color w:val="auto"/>
        </w:rPr>
        <w:t>-</w:t>
      </w:r>
      <w:r w:rsidR="00710F6C">
        <w:rPr>
          <w:color w:val="auto"/>
        </w:rPr>
        <w:t>level</w:t>
      </w:r>
      <w:r w:rsidR="00246DA5">
        <w:rPr>
          <w:color w:val="auto"/>
        </w:rPr>
        <w:t xml:space="preserve"> Monitoring, Evaluation and Learning (MEL) framework, the progress of </w:t>
      </w:r>
      <w:r w:rsidR="00805883">
        <w:rPr>
          <w:color w:val="auto"/>
        </w:rPr>
        <w:t>individual activities have been in line with expectations. A key difference between this reporting period compared with the last has been</w:t>
      </w:r>
      <w:r w:rsidR="00BF336C">
        <w:rPr>
          <w:color w:val="auto"/>
        </w:rPr>
        <w:t xml:space="preserve"> the establishment, after some delays, of the </w:t>
      </w:r>
      <w:r w:rsidR="00BF336C">
        <w:rPr>
          <w:i/>
          <w:color w:val="auto"/>
        </w:rPr>
        <w:t>Knowledge</w:t>
      </w:r>
      <w:r w:rsidR="00BF336C" w:rsidRPr="00BF336C">
        <w:rPr>
          <w:i/>
          <w:color w:val="auto"/>
        </w:rPr>
        <w:t xml:space="preserve"> and Linkages</w:t>
      </w:r>
      <w:r w:rsidR="00BF336C">
        <w:rPr>
          <w:i/>
          <w:color w:val="auto"/>
        </w:rPr>
        <w:t xml:space="preserve"> for an Inclusive Economy (KLIE) Grant Program</w:t>
      </w:r>
      <w:r w:rsidR="00BF336C">
        <w:rPr>
          <w:color w:val="auto"/>
        </w:rPr>
        <w:t xml:space="preserve"> and the procurement of an Advisor Team to help improve the quality and impact of DFAT’s governance (and other) programming in Sri Lanka.</w:t>
      </w:r>
    </w:p>
    <w:p w14:paraId="1C0A890D" w14:textId="651EE564" w:rsidR="00246DA5" w:rsidRDefault="00542787" w:rsidP="00E01C62">
      <w:pPr>
        <w:spacing w:after="120"/>
        <w:rPr>
          <w:color w:val="auto"/>
        </w:rPr>
      </w:pPr>
      <w:r>
        <w:rPr>
          <w:color w:val="auto"/>
        </w:rPr>
        <w:t>The current</w:t>
      </w:r>
      <w:r w:rsidR="00346E6C">
        <w:rPr>
          <w:color w:val="auto"/>
        </w:rPr>
        <w:t xml:space="preserve"> </w:t>
      </w:r>
      <w:r w:rsidR="00346E6C">
        <w:rPr>
          <w:i/>
          <w:color w:val="auto"/>
        </w:rPr>
        <w:t>G4G</w:t>
      </w:r>
      <w:r>
        <w:rPr>
          <w:color w:val="auto"/>
        </w:rPr>
        <w:t xml:space="preserve"> major </w:t>
      </w:r>
      <w:r w:rsidR="000E4BB8">
        <w:rPr>
          <w:color w:val="auto"/>
        </w:rPr>
        <w:t xml:space="preserve">portfolio </w:t>
      </w:r>
      <w:r>
        <w:rPr>
          <w:color w:val="auto"/>
        </w:rPr>
        <w:t xml:space="preserve">activities </w:t>
      </w:r>
      <w:r w:rsidR="00375B30">
        <w:rPr>
          <w:color w:val="auto"/>
        </w:rPr>
        <w:t>a</w:t>
      </w:r>
      <w:r w:rsidR="002410AF">
        <w:rPr>
          <w:color w:val="auto"/>
        </w:rPr>
        <w:t>r</w:t>
      </w:r>
      <w:r w:rsidR="00375B30">
        <w:rPr>
          <w:color w:val="auto"/>
        </w:rPr>
        <w:t>e</w:t>
      </w:r>
      <w:r>
        <w:rPr>
          <w:color w:val="auto"/>
        </w:rPr>
        <w:t xml:space="preserve"> </w:t>
      </w:r>
      <w:r>
        <w:rPr>
          <w:i/>
          <w:color w:val="auto"/>
        </w:rPr>
        <w:t>Eliminating Barriers to Inclusive and Sustainable Economic Growth in Sri Lanka</w:t>
      </w:r>
      <w:r>
        <w:rPr>
          <w:color w:val="auto"/>
        </w:rPr>
        <w:t xml:space="preserve"> </w:t>
      </w:r>
      <w:r w:rsidR="00EC2018">
        <w:rPr>
          <w:color w:val="auto"/>
        </w:rPr>
        <w:t xml:space="preserve">(2016-2020; </w:t>
      </w:r>
      <w:r w:rsidR="005E6445">
        <w:rPr>
          <w:color w:val="auto"/>
        </w:rPr>
        <w:t>$</w:t>
      </w:r>
      <w:r w:rsidR="00EC2018">
        <w:rPr>
          <w:color w:val="auto"/>
        </w:rPr>
        <w:t>10 million)</w:t>
      </w:r>
      <w:r w:rsidR="00192406">
        <w:rPr>
          <w:color w:val="auto"/>
        </w:rPr>
        <w:t xml:space="preserve"> </w:t>
      </w:r>
      <w:r>
        <w:rPr>
          <w:color w:val="auto"/>
        </w:rPr>
        <w:t xml:space="preserve">supporting the World Bank’s national-level economic reform work with the Sri Lankan government, the </w:t>
      </w:r>
      <w:r>
        <w:rPr>
          <w:i/>
          <w:color w:val="auto"/>
        </w:rPr>
        <w:t xml:space="preserve">Sub National Governance Program </w:t>
      </w:r>
      <w:r w:rsidR="00192406">
        <w:rPr>
          <w:color w:val="auto"/>
        </w:rPr>
        <w:t xml:space="preserve">(2015-2020; </w:t>
      </w:r>
      <w:r w:rsidR="005E6445">
        <w:rPr>
          <w:color w:val="auto"/>
        </w:rPr>
        <w:t>$</w:t>
      </w:r>
      <w:r w:rsidR="00192406">
        <w:rPr>
          <w:color w:val="auto"/>
        </w:rPr>
        <w:t xml:space="preserve">6.2 million) </w:t>
      </w:r>
      <w:r>
        <w:rPr>
          <w:color w:val="auto"/>
        </w:rPr>
        <w:t xml:space="preserve">supporting </w:t>
      </w:r>
      <w:r w:rsidR="002410AF">
        <w:rPr>
          <w:color w:val="auto"/>
        </w:rPr>
        <w:t>T</w:t>
      </w:r>
      <w:r>
        <w:rPr>
          <w:color w:val="auto"/>
        </w:rPr>
        <w:t>he Asia Foundation’s</w:t>
      </w:r>
      <w:r w:rsidR="00CD4FD7">
        <w:rPr>
          <w:color w:val="auto"/>
        </w:rPr>
        <w:t xml:space="preserve"> (TAF)</w:t>
      </w:r>
      <w:r>
        <w:rPr>
          <w:color w:val="auto"/>
        </w:rPr>
        <w:t xml:space="preserve"> program at nine local authority sites </w:t>
      </w:r>
      <w:r w:rsidR="00375B30">
        <w:rPr>
          <w:color w:val="auto"/>
        </w:rPr>
        <w:t>to improve</w:t>
      </w:r>
      <w:r>
        <w:rPr>
          <w:color w:val="auto"/>
        </w:rPr>
        <w:t xml:space="preserve"> economic resilience and </w:t>
      </w:r>
      <w:r w:rsidR="000E4BB8">
        <w:rPr>
          <w:color w:val="auto"/>
        </w:rPr>
        <w:t xml:space="preserve">citizen </w:t>
      </w:r>
      <w:r>
        <w:rPr>
          <w:color w:val="auto"/>
        </w:rPr>
        <w:t xml:space="preserve">representation, and the </w:t>
      </w:r>
      <w:r w:rsidR="00BF336C">
        <w:rPr>
          <w:i/>
          <w:color w:val="auto"/>
        </w:rPr>
        <w:t>KLIE</w:t>
      </w:r>
      <w:r>
        <w:rPr>
          <w:i/>
          <w:color w:val="auto"/>
        </w:rPr>
        <w:t xml:space="preserve"> Grants Program </w:t>
      </w:r>
      <w:r w:rsidR="00192406">
        <w:rPr>
          <w:color w:val="auto"/>
        </w:rPr>
        <w:t xml:space="preserve">(2018-2021; </w:t>
      </w:r>
      <w:r w:rsidR="005E6445">
        <w:rPr>
          <w:color w:val="auto"/>
        </w:rPr>
        <w:t>$</w:t>
      </w:r>
      <w:r w:rsidR="00192406">
        <w:rPr>
          <w:color w:val="auto"/>
        </w:rPr>
        <w:t xml:space="preserve">5 million) </w:t>
      </w:r>
      <w:r>
        <w:rPr>
          <w:color w:val="auto"/>
        </w:rPr>
        <w:t>which supports the establishment of long-term partnerships between Australian and Sri Lankan public agencies, research institutions and peak bodies.</w:t>
      </w:r>
      <w:r w:rsidR="000E4BB8">
        <w:rPr>
          <w:color w:val="auto"/>
        </w:rPr>
        <w:t xml:space="preserve"> Finalisation of an investment-level </w:t>
      </w:r>
      <w:r w:rsidR="00477275">
        <w:rPr>
          <w:color w:val="auto"/>
        </w:rPr>
        <w:t>MEL</w:t>
      </w:r>
      <w:r w:rsidR="000E4BB8">
        <w:rPr>
          <w:color w:val="auto"/>
        </w:rPr>
        <w:t xml:space="preserve"> framework as is due </w:t>
      </w:r>
      <w:r w:rsidR="00246DA5">
        <w:rPr>
          <w:color w:val="auto"/>
        </w:rPr>
        <w:t>soon</w:t>
      </w:r>
      <w:r w:rsidR="005D09F3">
        <w:rPr>
          <w:color w:val="auto"/>
        </w:rPr>
        <w:t xml:space="preserve">, after which the feasibility of a Phase II </w:t>
      </w:r>
      <w:r w:rsidR="005D09F3" w:rsidRPr="00EC2018">
        <w:rPr>
          <w:i/>
          <w:color w:val="auto"/>
        </w:rPr>
        <w:t xml:space="preserve">G4G </w:t>
      </w:r>
      <w:r w:rsidR="005D09F3">
        <w:rPr>
          <w:color w:val="auto"/>
        </w:rPr>
        <w:t>program will be tested</w:t>
      </w:r>
      <w:r w:rsidR="00511E0B">
        <w:rPr>
          <w:color w:val="auto"/>
        </w:rPr>
        <w:t>.</w:t>
      </w:r>
    </w:p>
    <w:p w14:paraId="225AA9C5" w14:textId="77777777" w:rsidR="00CD4FD7" w:rsidRDefault="00246DA5" w:rsidP="00246DA5">
      <w:pPr>
        <w:spacing w:after="120"/>
        <w:rPr>
          <w:color w:val="auto"/>
        </w:rPr>
      </w:pPr>
      <w:r>
        <w:rPr>
          <w:color w:val="auto"/>
        </w:rPr>
        <w:t xml:space="preserve">The four </w:t>
      </w:r>
      <w:r w:rsidR="006B0876">
        <w:rPr>
          <w:color w:val="auto"/>
        </w:rPr>
        <w:t>end of investment</w:t>
      </w:r>
      <w:r>
        <w:rPr>
          <w:color w:val="auto"/>
        </w:rPr>
        <w:t xml:space="preserve"> outcomes</w:t>
      </w:r>
      <w:r w:rsidR="006B0876">
        <w:rPr>
          <w:color w:val="auto"/>
        </w:rPr>
        <w:t xml:space="preserve"> being met by the activities </w:t>
      </w:r>
      <w:r w:rsidR="00AA6A65">
        <w:rPr>
          <w:color w:val="auto"/>
        </w:rPr>
        <w:t>are</w:t>
      </w:r>
      <w:r w:rsidR="00E82539">
        <w:rPr>
          <w:color w:val="auto"/>
        </w:rPr>
        <w:t>:</w:t>
      </w:r>
      <w:r w:rsidR="0075271D">
        <w:rPr>
          <w:color w:val="auto"/>
        </w:rPr>
        <w:t xml:space="preserve"> </w:t>
      </w:r>
      <w:r>
        <w:rPr>
          <w:color w:val="auto"/>
        </w:rPr>
        <w:t xml:space="preserve">a) target national ministries improve their ability to deliver economic policy </w:t>
      </w:r>
      <w:r w:rsidRPr="00592F84">
        <w:rPr>
          <w:color w:val="auto"/>
        </w:rPr>
        <w:t>promoting inclusive economic growth</w:t>
      </w:r>
      <w:r w:rsidR="00E82539" w:rsidRPr="00592F84">
        <w:rPr>
          <w:color w:val="auto"/>
        </w:rPr>
        <w:t>;</w:t>
      </w:r>
      <w:r w:rsidRPr="00592F84">
        <w:rPr>
          <w:color w:val="auto"/>
        </w:rPr>
        <w:t xml:space="preserve"> b) target subnational governments improve their ability to deliver effective public services that deliver inclusive economic growth</w:t>
      </w:r>
      <w:r w:rsidR="00E82539" w:rsidRPr="00592F84">
        <w:rPr>
          <w:color w:val="auto"/>
        </w:rPr>
        <w:t>;</w:t>
      </w:r>
      <w:r w:rsidRPr="00592F84">
        <w:rPr>
          <w:color w:val="auto"/>
        </w:rPr>
        <w:t xml:space="preserve"> c) national ministries and subnational governments are respon</w:t>
      </w:r>
      <w:r w:rsidR="00BF336C">
        <w:rPr>
          <w:color w:val="auto"/>
        </w:rPr>
        <w:t>d their</w:t>
      </w:r>
      <w:r w:rsidRPr="00592F84">
        <w:rPr>
          <w:color w:val="auto"/>
        </w:rPr>
        <w:t xml:space="preserve"> policymaking to </w:t>
      </w:r>
      <w:r w:rsidR="00BF336C">
        <w:rPr>
          <w:color w:val="auto"/>
        </w:rPr>
        <w:t xml:space="preserve">issues of gender </w:t>
      </w:r>
      <w:r w:rsidR="00BF336C">
        <w:rPr>
          <w:color w:val="auto"/>
        </w:rPr>
        <w:lastRenderedPageBreak/>
        <w:t>equality and social inclusion</w:t>
      </w:r>
      <w:r w:rsidR="00E82539" w:rsidRPr="00592F84">
        <w:rPr>
          <w:color w:val="auto"/>
        </w:rPr>
        <w:t>;</w:t>
      </w:r>
      <w:r w:rsidRPr="00592F84">
        <w:rPr>
          <w:color w:val="auto"/>
        </w:rPr>
        <w:t xml:space="preserve"> and d) citizens and the private</w:t>
      </w:r>
      <w:r>
        <w:rPr>
          <w:color w:val="auto"/>
        </w:rPr>
        <w:t xml:space="preserve"> sector have an improved trust in the capability and commitment of governments</w:t>
      </w:r>
      <w:r w:rsidR="00F20EFD">
        <w:rPr>
          <w:color w:val="auto"/>
        </w:rPr>
        <w:t xml:space="preserve"> to deliver services and promote inclusive growth</w:t>
      </w:r>
      <w:r>
        <w:rPr>
          <w:color w:val="auto"/>
        </w:rPr>
        <w:t>.</w:t>
      </w:r>
      <w:r w:rsidR="00152AE6">
        <w:rPr>
          <w:color w:val="auto"/>
        </w:rPr>
        <w:t xml:space="preserve"> </w:t>
      </w:r>
    </w:p>
    <w:p w14:paraId="2EB0879E" w14:textId="6D02E010" w:rsidR="00CD4FD7" w:rsidRDefault="00152AE6" w:rsidP="00246DA5">
      <w:pPr>
        <w:spacing w:after="120"/>
        <w:rPr>
          <w:color w:val="auto"/>
        </w:rPr>
      </w:pPr>
      <w:r>
        <w:rPr>
          <w:color w:val="auto"/>
        </w:rPr>
        <w:t xml:space="preserve">Progress towards objective 1 came through the </w:t>
      </w:r>
      <w:r>
        <w:rPr>
          <w:i/>
          <w:color w:val="auto"/>
        </w:rPr>
        <w:t>Eliminating Barriers</w:t>
      </w:r>
      <w:r>
        <w:rPr>
          <w:color w:val="auto"/>
        </w:rPr>
        <w:t xml:space="preserve"> program, with</w:t>
      </w:r>
      <w:r w:rsidR="004834C9">
        <w:rPr>
          <w:color w:val="auto"/>
        </w:rPr>
        <w:t xml:space="preserve"> more than 80 per cent of planned outputs for 2018 delivered,</w:t>
      </w:r>
      <w:r>
        <w:rPr>
          <w:color w:val="auto"/>
        </w:rPr>
        <w:t xml:space="preserve"> </w:t>
      </w:r>
      <w:r w:rsidR="004834C9">
        <w:rPr>
          <w:color w:val="auto"/>
        </w:rPr>
        <w:t>and the activities of the program contributing</w:t>
      </w:r>
      <w:r w:rsidR="009C41B3">
        <w:rPr>
          <w:color w:val="auto"/>
        </w:rPr>
        <w:t xml:space="preserve"> to</w:t>
      </w:r>
      <w:r>
        <w:rPr>
          <w:color w:val="auto"/>
        </w:rPr>
        <w:t xml:space="preserve"> Sri Lanka’s improvement by 11 pla</w:t>
      </w:r>
      <w:r w:rsidR="00EA01E0">
        <w:rPr>
          <w:color w:val="auto"/>
        </w:rPr>
        <w:t>ces in the World Bank’s 2018 Doing Business I</w:t>
      </w:r>
      <w:r>
        <w:rPr>
          <w:color w:val="auto"/>
        </w:rPr>
        <w:t xml:space="preserve">ndex. </w:t>
      </w:r>
    </w:p>
    <w:p w14:paraId="16C435B1" w14:textId="6DB84C63" w:rsidR="00CD4FD7" w:rsidRDefault="00672E12" w:rsidP="00246DA5">
      <w:pPr>
        <w:spacing w:after="120"/>
        <w:rPr>
          <w:color w:val="auto"/>
        </w:rPr>
      </w:pPr>
      <w:r>
        <w:rPr>
          <w:color w:val="auto"/>
        </w:rPr>
        <w:t xml:space="preserve">Against objective 2, </w:t>
      </w:r>
      <w:r w:rsidR="0075271D">
        <w:rPr>
          <w:color w:val="auto"/>
        </w:rPr>
        <w:t xml:space="preserve">the </w:t>
      </w:r>
      <w:r w:rsidR="0075271D">
        <w:rPr>
          <w:i/>
          <w:color w:val="auto"/>
        </w:rPr>
        <w:t xml:space="preserve">SNGP </w:t>
      </w:r>
      <w:r w:rsidR="0075271D">
        <w:rPr>
          <w:color w:val="auto"/>
        </w:rPr>
        <w:t>delivered strong results,</w:t>
      </w:r>
      <w:r w:rsidR="000620A2">
        <w:rPr>
          <w:color w:val="auto"/>
        </w:rPr>
        <w:t xml:space="preserve"> </w:t>
      </w:r>
      <w:r w:rsidR="004834C9">
        <w:rPr>
          <w:color w:val="auto"/>
        </w:rPr>
        <w:t xml:space="preserve">such as an average 18 percentage point improvement in revenue collection across 6 </w:t>
      </w:r>
      <w:r w:rsidR="006004DF">
        <w:rPr>
          <w:color w:val="auto"/>
        </w:rPr>
        <w:t>local a</w:t>
      </w:r>
      <w:r w:rsidR="004834C9">
        <w:rPr>
          <w:color w:val="auto"/>
        </w:rPr>
        <w:t>uthorities</w:t>
      </w:r>
      <w:r w:rsidR="0046116D">
        <w:rPr>
          <w:color w:val="auto"/>
        </w:rPr>
        <w:t xml:space="preserve"> and</w:t>
      </w:r>
      <w:r w:rsidR="0075271D">
        <w:rPr>
          <w:color w:val="auto"/>
        </w:rPr>
        <w:t xml:space="preserve"> </w:t>
      </w:r>
      <w:r w:rsidR="006004DF">
        <w:rPr>
          <w:color w:val="auto"/>
        </w:rPr>
        <w:t xml:space="preserve">the expanded role of </w:t>
      </w:r>
      <w:r w:rsidR="006004DF">
        <w:rPr>
          <w:i/>
          <w:color w:val="auto"/>
        </w:rPr>
        <w:t>SNGP-</w:t>
      </w:r>
      <w:r w:rsidR="006004DF">
        <w:rPr>
          <w:color w:val="auto"/>
        </w:rPr>
        <w:t xml:space="preserve">initiated Customer </w:t>
      </w:r>
      <w:r w:rsidR="00DF7F19">
        <w:rPr>
          <w:color w:val="auto"/>
        </w:rPr>
        <w:t>Service Centres</w:t>
      </w:r>
      <w:r w:rsidR="000620A2">
        <w:rPr>
          <w:color w:val="auto"/>
        </w:rPr>
        <w:t>.</w:t>
      </w:r>
      <w:r w:rsidR="00B60312">
        <w:rPr>
          <w:color w:val="auto"/>
        </w:rPr>
        <w:t xml:space="preserve"> </w:t>
      </w:r>
      <w:r w:rsidR="00CD4FD7">
        <w:rPr>
          <w:color w:val="auto"/>
        </w:rPr>
        <w:t>Improvements at the national level in tax services, trade facilitation and investment advice came through the World Bank program. While several of the KLIE Grants, though still in their inception phases, promise improvements in government services impacting on agricultural productivity and export-readiness.</w:t>
      </w:r>
    </w:p>
    <w:p w14:paraId="7B572052" w14:textId="0E9CE18F" w:rsidR="00CD4FD7" w:rsidRDefault="00B60312" w:rsidP="00246DA5">
      <w:pPr>
        <w:spacing w:after="120"/>
        <w:rPr>
          <w:color w:val="auto"/>
        </w:rPr>
      </w:pPr>
      <w:r w:rsidRPr="0085772A">
        <w:rPr>
          <w:color w:val="auto"/>
        </w:rPr>
        <w:t xml:space="preserve">In support of objective 3, </w:t>
      </w:r>
      <w:r w:rsidR="001C11D1" w:rsidRPr="0085772A">
        <w:rPr>
          <w:color w:val="auto"/>
        </w:rPr>
        <w:t>the World Bank began implementing its cross-cutting Gender and Poverty pillar of work</w:t>
      </w:r>
      <w:r w:rsidR="007F46F1" w:rsidRPr="0085772A">
        <w:rPr>
          <w:color w:val="auto"/>
        </w:rPr>
        <w:t>,</w:t>
      </w:r>
      <w:r w:rsidR="006004DF" w:rsidRPr="0085772A">
        <w:rPr>
          <w:color w:val="auto"/>
        </w:rPr>
        <w:t xml:space="preserve"> </w:t>
      </w:r>
      <w:r w:rsidR="00EA01E0">
        <w:rPr>
          <w:color w:val="auto"/>
        </w:rPr>
        <w:t>finalising its</w:t>
      </w:r>
      <w:r w:rsidR="007F46F1" w:rsidRPr="0085772A">
        <w:rPr>
          <w:color w:val="auto"/>
        </w:rPr>
        <w:t xml:space="preserve"> analysis of gender gaps in the key elements of the economic reform process</w:t>
      </w:r>
      <w:r w:rsidR="001C11D1">
        <w:rPr>
          <w:color w:val="auto"/>
        </w:rPr>
        <w:t xml:space="preserve">, </w:t>
      </w:r>
      <w:r w:rsidR="000E2C9F">
        <w:rPr>
          <w:color w:val="auto"/>
        </w:rPr>
        <w:t xml:space="preserve">while </w:t>
      </w:r>
      <w:r w:rsidR="001C11D1">
        <w:rPr>
          <w:i/>
          <w:color w:val="auto"/>
        </w:rPr>
        <w:t xml:space="preserve">SNGP </w:t>
      </w:r>
      <w:r w:rsidR="001C11D1">
        <w:rPr>
          <w:color w:val="auto"/>
        </w:rPr>
        <w:t xml:space="preserve">monitoring </w:t>
      </w:r>
      <w:r w:rsidR="006004DF">
        <w:rPr>
          <w:color w:val="auto"/>
        </w:rPr>
        <w:t>found</w:t>
      </w:r>
      <w:r w:rsidR="001C11D1">
        <w:rPr>
          <w:color w:val="auto"/>
        </w:rPr>
        <w:t xml:space="preserve"> that</w:t>
      </w:r>
      <w:r w:rsidR="0057546E">
        <w:rPr>
          <w:color w:val="auto"/>
        </w:rPr>
        <w:t xml:space="preserve"> the</w:t>
      </w:r>
      <w:r w:rsidR="001C11D1">
        <w:rPr>
          <w:color w:val="auto"/>
        </w:rPr>
        <w:t xml:space="preserve"> 9 local</w:t>
      </w:r>
      <w:r w:rsidR="009C41B3">
        <w:rPr>
          <w:color w:val="auto"/>
        </w:rPr>
        <w:t xml:space="preserve"> authorities had </w:t>
      </w:r>
      <w:r w:rsidR="00CD4FD7">
        <w:rPr>
          <w:color w:val="auto"/>
        </w:rPr>
        <w:t>improved the integration of</w:t>
      </w:r>
      <w:r w:rsidR="001C11D1">
        <w:rPr>
          <w:color w:val="auto"/>
        </w:rPr>
        <w:t xml:space="preserve"> </w:t>
      </w:r>
      <w:r w:rsidR="00AB79DB" w:rsidRPr="0085772A">
        <w:rPr>
          <w:color w:val="auto"/>
        </w:rPr>
        <w:t xml:space="preserve">Gender Equality </w:t>
      </w:r>
      <w:r w:rsidR="00E82539" w:rsidRPr="0085772A">
        <w:rPr>
          <w:color w:val="auto"/>
        </w:rPr>
        <w:t xml:space="preserve">and </w:t>
      </w:r>
      <w:r w:rsidR="00AB79DB" w:rsidRPr="0085772A">
        <w:rPr>
          <w:color w:val="auto"/>
        </w:rPr>
        <w:t>Social Inclusion (GESI)</w:t>
      </w:r>
      <w:r w:rsidR="001C11D1" w:rsidRPr="0085772A">
        <w:rPr>
          <w:color w:val="auto"/>
        </w:rPr>
        <w:t xml:space="preserve"> principles</w:t>
      </w:r>
      <w:r w:rsidR="00AB79DB">
        <w:rPr>
          <w:color w:val="auto"/>
        </w:rPr>
        <w:t xml:space="preserve"> into </w:t>
      </w:r>
      <w:r w:rsidR="000E2C9F">
        <w:rPr>
          <w:color w:val="auto"/>
        </w:rPr>
        <w:t>their activities</w:t>
      </w:r>
      <w:r w:rsidR="00EA01E0">
        <w:rPr>
          <w:color w:val="auto"/>
        </w:rPr>
        <w:t xml:space="preserve"> (</w:t>
      </w:r>
      <w:r w:rsidR="00CD4FD7">
        <w:rPr>
          <w:color w:val="auto"/>
        </w:rPr>
        <w:t>most notably in their use of participatory budgeting</w:t>
      </w:r>
      <w:r w:rsidR="00EA01E0">
        <w:rPr>
          <w:color w:val="auto"/>
        </w:rPr>
        <w:t>)</w:t>
      </w:r>
      <w:r w:rsidR="000E2C9F">
        <w:rPr>
          <w:color w:val="auto"/>
        </w:rPr>
        <w:t>.</w:t>
      </w:r>
      <w:r w:rsidR="00EA01E0">
        <w:rPr>
          <w:color w:val="auto"/>
        </w:rPr>
        <w:t xml:space="preserve"> More could still be done by the World Bank to apply its Disability Inclusion and Accountability Framework (2018) to the </w:t>
      </w:r>
      <w:r w:rsidR="00EA01E0">
        <w:rPr>
          <w:i/>
          <w:color w:val="auto"/>
        </w:rPr>
        <w:t>Eliminating Barriers</w:t>
      </w:r>
      <w:r w:rsidR="00EA01E0">
        <w:rPr>
          <w:color w:val="auto"/>
        </w:rPr>
        <w:t xml:space="preserve"> program of work. </w:t>
      </w:r>
      <w:r w:rsidR="007E075D">
        <w:rPr>
          <w:color w:val="auto"/>
        </w:rPr>
        <w:t>And w</w:t>
      </w:r>
      <w:r w:rsidR="007E075D" w:rsidRPr="007E075D">
        <w:rPr>
          <w:color w:val="auto"/>
        </w:rPr>
        <w:t xml:space="preserve">hile there have been clear improvements in the quality of activity-level M&amp;E </w:t>
      </w:r>
      <w:r w:rsidR="00CD4FD7">
        <w:rPr>
          <w:color w:val="auto"/>
        </w:rPr>
        <w:t xml:space="preserve">of the two major activities </w:t>
      </w:r>
      <w:r w:rsidR="007E075D">
        <w:rPr>
          <w:color w:val="auto"/>
        </w:rPr>
        <w:t>over</w:t>
      </w:r>
      <w:r w:rsidR="007E075D" w:rsidRPr="007E075D">
        <w:rPr>
          <w:color w:val="auto"/>
        </w:rPr>
        <w:t xml:space="preserve"> the reporting period, more </w:t>
      </w:r>
      <w:r w:rsidR="007E075D">
        <w:rPr>
          <w:color w:val="auto"/>
        </w:rPr>
        <w:t xml:space="preserve">still </w:t>
      </w:r>
      <w:r w:rsidR="007E075D" w:rsidRPr="007E075D">
        <w:rPr>
          <w:color w:val="auto"/>
        </w:rPr>
        <w:t xml:space="preserve">needs to be done to </w:t>
      </w:r>
      <w:r w:rsidR="007E075D">
        <w:rPr>
          <w:color w:val="auto"/>
        </w:rPr>
        <w:t xml:space="preserve">ensure all activities </w:t>
      </w:r>
      <w:r w:rsidR="007E075D" w:rsidRPr="007E075D">
        <w:rPr>
          <w:color w:val="auto"/>
        </w:rPr>
        <w:t xml:space="preserve">disaggregate data by </w:t>
      </w:r>
      <w:r w:rsidR="007E075D">
        <w:rPr>
          <w:color w:val="auto"/>
        </w:rPr>
        <w:t>gender</w:t>
      </w:r>
      <w:r w:rsidR="007E075D" w:rsidRPr="007E075D">
        <w:rPr>
          <w:color w:val="auto"/>
        </w:rPr>
        <w:t xml:space="preserve"> and social inclusion categories</w:t>
      </w:r>
      <w:r w:rsidR="007E075D">
        <w:rPr>
          <w:color w:val="auto"/>
        </w:rPr>
        <w:t xml:space="preserve">. </w:t>
      </w:r>
    </w:p>
    <w:p w14:paraId="5B386D38" w14:textId="4517EA10" w:rsidR="00442A60" w:rsidRDefault="007E075D" w:rsidP="00246DA5">
      <w:pPr>
        <w:spacing w:after="120"/>
        <w:rPr>
          <w:color w:val="auto"/>
        </w:rPr>
      </w:pPr>
      <w:r>
        <w:rPr>
          <w:color w:val="auto"/>
        </w:rPr>
        <w:t xml:space="preserve">Finally, </w:t>
      </w:r>
      <w:r w:rsidR="00CD4FD7">
        <w:rPr>
          <w:color w:val="auto"/>
        </w:rPr>
        <w:t xml:space="preserve">while </w:t>
      </w:r>
      <w:r>
        <w:rPr>
          <w:color w:val="auto"/>
        </w:rPr>
        <w:t>p</w:t>
      </w:r>
      <w:r w:rsidR="00664AE9">
        <w:rPr>
          <w:color w:val="auto"/>
        </w:rPr>
        <w:t xml:space="preserve">rogress against objective 4 is </w:t>
      </w:r>
      <w:r w:rsidR="00CD4FD7">
        <w:rPr>
          <w:color w:val="auto"/>
        </w:rPr>
        <w:t xml:space="preserve">currently </w:t>
      </w:r>
      <w:r w:rsidR="00664AE9">
        <w:rPr>
          <w:color w:val="auto"/>
        </w:rPr>
        <w:t xml:space="preserve">only partly measured under </w:t>
      </w:r>
      <w:r w:rsidR="00664AE9">
        <w:rPr>
          <w:i/>
          <w:color w:val="auto"/>
        </w:rPr>
        <w:t>G4G</w:t>
      </w:r>
      <w:r w:rsidR="00664AE9">
        <w:rPr>
          <w:color w:val="auto"/>
        </w:rPr>
        <w:t>’s activity-level MEL framework</w:t>
      </w:r>
      <w:r w:rsidR="00EA01E0">
        <w:rPr>
          <w:color w:val="auto"/>
        </w:rPr>
        <w:t>s</w:t>
      </w:r>
      <w:r w:rsidR="009C41B3">
        <w:rPr>
          <w:color w:val="auto"/>
        </w:rPr>
        <w:t>,</w:t>
      </w:r>
      <w:r w:rsidR="009B0EBD">
        <w:rPr>
          <w:color w:val="auto"/>
        </w:rPr>
        <w:t xml:space="preserve"> data on citizen attitudes towards local authorities </w:t>
      </w:r>
      <w:r w:rsidR="006B0876">
        <w:rPr>
          <w:color w:val="auto"/>
        </w:rPr>
        <w:t>emerging</w:t>
      </w:r>
      <w:r w:rsidR="0057546E">
        <w:rPr>
          <w:color w:val="auto"/>
        </w:rPr>
        <w:t xml:space="preserve"> </w:t>
      </w:r>
      <w:r w:rsidR="006004DF">
        <w:rPr>
          <w:color w:val="auto"/>
        </w:rPr>
        <w:t>from</w:t>
      </w:r>
      <w:r w:rsidR="009B0EBD">
        <w:rPr>
          <w:color w:val="auto"/>
        </w:rPr>
        <w:t xml:space="preserve"> </w:t>
      </w:r>
      <w:r w:rsidR="009B0EBD">
        <w:rPr>
          <w:i/>
          <w:color w:val="auto"/>
        </w:rPr>
        <w:t>SNGP</w:t>
      </w:r>
      <w:r w:rsidR="007F46F1">
        <w:rPr>
          <w:color w:val="auto"/>
        </w:rPr>
        <w:t xml:space="preserve"> </w:t>
      </w:r>
      <w:r w:rsidR="00E82539">
        <w:rPr>
          <w:color w:val="auto"/>
        </w:rPr>
        <w:t xml:space="preserve">revealed </w:t>
      </w:r>
      <w:r w:rsidR="00876908">
        <w:rPr>
          <w:color w:val="auto"/>
        </w:rPr>
        <w:t xml:space="preserve">minor improvements </w:t>
      </w:r>
      <w:r>
        <w:rPr>
          <w:color w:val="auto"/>
        </w:rPr>
        <w:t xml:space="preserve">(coming off a low base) </w:t>
      </w:r>
      <w:r w:rsidR="00876908">
        <w:rPr>
          <w:color w:val="auto"/>
        </w:rPr>
        <w:t>in</w:t>
      </w:r>
      <w:r w:rsidR="009B0EBD">
        <w:rPr>
          <w:color w:val="auto"/>
        </w:rPr>
        <w:t xml:space="preserve"> citizen</w:t>
      </w:r>
      <w:r w:rsidR="00876908">
        <w:rPr>
          <w:color w:val="auto"/>
        </w:rPr>
        <w:t>s’</w:t>
      </w:r>
      <w:r w:rsidR="009B0EBD">
        <w:rPr>
          <w:color w:val="auto"/>
        </w:rPr>
        <w:t xml:space="preserve"> regard for local</w:t>
      </w:r>
      <w:r w:rsidR="009C41B3">
        <w:rPr>
          <w:color w:val="auto"/>
        </w:rPr>
        <w:t xml:space="preserve"> government service delivery</w:t>
      </w:r>
      <w:r w:rsidR="007F46F1">
        <w:rPr>
          <w:color w:val="auto"/>
        </w:rPr>
        <w:t>.</w:t>
      </w:r>
      <w:r w:rsidR="00CD4FD7">
        <w:rPr>
          <w:color w:val="auto"/>
        </w:rPr>
        <w:t xml:space="preserve"> Following the Easter attacks, </w:t>
      </w:r>
      <w:r w:rsidR="00807776">
        <w:rPr>
          <w:color w:val="auto"/>
        </w:rPr>
        <w:t xml:space="preserve">a benefit of TAF’s long-running engagement </w:t>
      </w:r>
      <w:r w:rsidR="00CD4FD7">
        <w:rPr>
          <w:color w:val="auto"/>
        </w:rPr>
        <w:t>with local governments and communities, and the trust it has developed over that time, could be seen in the success of its conflict mitigation</w:t>
      </w:r>
      <w:r w:rsidR="00B423FA">
        <w:rPr>
          <w:color w:val="auto"/>
        </w:rPr>
        <w:t xml:space="preserve"> efforts</w:t>
      </w:r>
      <w:r w:rsidR="00CD4FD7">
        <w:rPr>
          <w:color w:val="auto"/>
        </w:rPr>
        <w:t xml:space="preserve">, especially in response to initial local government moves to reduce the trading rights and opportunities of Muslim businesses in Eastern Province. </w:t>
      </w:r>
      <w:r w:rsidR="00B423FA">
        <w:rPr>
          <w:color w:val="auto"/>
        </w:rPr>
        <w:t>This promises to open up further opportunities for improving social cohesion through astute local management of governance programming.</w:t>
      </w:r>
      <w:r w:rsidR="00807776">
        <w:rPr>
          <w:color w:val="auto"/>
        </w:rPr>
        <w:t xml:space="preserve"> </w:t>
      </w:r>
    </w:p>
    <w:p w14:paraId="5FE6234E" w14:textId="77777777" w:rsidR="00807776" w:rsidRPr="007F46F1" w:rsidRDefault="00807776" w:rsidP="00246DA5">
      <w:pPr>
        <w:spacing w:after="120"/>
        <w:rPr>
          <w:color w:val="auto"/>
        </w:rPr>
      </w:pPr>
    </w:p>
    <w:p w14:paraId="1EC2F1B6" w14:textId="77777777" w:rsidR="00FD3609" w:rsidRPr="00877607" w:rsidRDefault="00FD3609" w:rsidP="00442A60">
      <w:pPr>
        <w:spacing w:after="12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 xml:space="preserve">Objective </w:t>
      </w:r>
      <w:r>
        <w:rPr>
          <w:rFonts w:asciiTheme="majorHAnsi" w:eastAsiaTheme="majorEastAsia" w:hAnsiTheme="majorHAnsi" w:cstheme="majorBidi"/>
          <w:caps/>
          <w:sz w:val="32"/>
          <w:szCs w:val="32"/>
        </w:rPr>
        <w:t>3 – increase gender equality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FD3609" w:rsidRPr="00695730" w14:paraId="6DCCF283" w14:textId="77777777" w:rsidTr="00F37FF7">
        <w:tc>
          <w:tcPr>
            <w:tcW w:w="2016" w:type="dxa"/>
          </w:tcPr>
          <w:p w14:paraId="37BF89F7" w14:textId="77777777" w:rsidR="00FD3609" w:rsidRPr="00695730" w:rsidRDefault="00FD3609" w:rsidP="00F37FF7">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5E158C53" wp14:editId="7BB529BC">
                  <wp:extent cx="1137600" cy="720000"/>
                  <wp:effectExtent l="0" t="0" r="571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4A1CA112" w14:textId="77777777" w:rsidR="00FD3609" w:rsidRPr="00695730" w:rsidRDefault="00FD3609" w:rsidP="00F37FF7">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700F0C7A" wp14:editId="0C5E95D7">
                  <wp:extent cx="609600" cy="609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475C0F4C" w14:textId="77777777" w:rsidR="00FD3609" w:rsidRPr="00695730" w:rsidRDefault="00CE018F" w:rsidP="00F37FF7">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3A713C7" wp14:editId="5BAE7562">
                  <wp:extent cx="612000" cy="612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31C3B5B2" w14:textId="77777777" w:rsidR="00FD3609" w:rsidRPr="00695730" w:rsidRDefault="00CE018F" w:rsidP="00F37FF7">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4EDA245D" wp14:editId="21B1F5FA">
                  <wp:extent cx="609600" cy="609600"/>
                  <wp:effectExtent l="0" t="0" r="0" b="0"/>
                  <wp:docPr id="63" name="Picture 6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3C1E3466" w14:textId="77777777" w:rsidR="00FD3609" w:rsidRPr="00695730" w:rsidRDefault="00CE018F" w:rsidP="00F37FF7">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43364AC4" wp14:editId="14DF1DF8">
                  <wp:extent cx="612000" cy="6120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02435675" w14:textId="096F3357" w:rsidR="00A150AD" w:rsidRDefault="00552E68" w:rsidP="00FD3609">
      <w:pPr>
        <w:spacing w:after="120"/>
        <w:rPr>
          <w:color w:val="auto"/>
        </w:rPr>
      </w:pPr>
      <w:r>
        <w:rPr>
          <w:color w:val="auto"/>
        </w:rPr>
        <w:t xml:space="preserve">Progress toward </w:t>
      </w:r>
      <w:r w:rsidR="00910A92">
        <w:rPr>
          <w:color w:val="auto"/>
        </w:rPr>
        <w:t xml:space="preserve">Objective 3 is </w:t>
      </w:r>
      <w:r>
        <w:rPr>
          <w:color w:val="auto"/>
        </w:rPr>
        <w:t xml:space="preserve">driven </w:t>
      </w:r>
      <w:r w:rsidR="00910A92">
        <w:rPr>
          <w:color w:val="auto"/>
        </w:rPr>
        <w:t xml:space="preserve">primarily through </w:t>
      </w:r>
      <w:r>
        <w:rPr>
          <w:color w:val="auto"/>
        </w:rPr>
        <w:t>the</w:t>
      </w:r>
      <w:r w:rsidR="00910A92">
        <w:rPr>
          <w:color w:val="auto"/>
        </w:rPr>
        <w:t xml:space="preserve"> </w:t>
      </w:r>
      <w:r w:rsidR="00910A92" w:rsidRPr="00552E68">
        <w:rPr>
          <w:i/>
          <w:color w:val="auto"/>
        </w:rPr>
        <w:t>Women in Work (</w:t>
      </w:r>
      <w:proofErr w:type="spellStart"/>
      <w:r w:rsidR="00910A92" w:rsidRPr="00552E68">
        <w:rPr>
          <w:i/>
          <w:color w:val="auto"/>
        </w:rPr>
        <w:t>WiW</w:t>
      </w:r>
      <w:proofErr w:type="spellEnd"/>
      <w:r w:rsidR="00910A92" w:rsidRPr="00552E68">
        <w:rPr>
          <w:i/>
          <w:color w:val="auto"/>
        </w:rPr>
        <w:t>)</w:t>
      </w:r>
      <w:r w:rsidR="00910A92">
        <w:rPr>
          <w:color w:val="auto"/>
        </w:rPr>
        <w:t xml:space="preserve"> partnership with the International Finance Corporation (IFC). </w:t>
      </w:r>
      <w:r>
        <w:rPr>
          <w:color w:val="auto"/>
        </w:rPr>
        <w:t xml:space="preserve">Overall progress is </w:t>
      </w:r>
      <w:r w:rsidR="00FD3609">
        <w:rPr>
          <w:color w:val="auto"/>
        </w:rPr>
        <w:t>rated amber</w:t>
      </w:r>
      <w:r>
        <w:rPr>
          <w:color w:val="auto"/>
        </w:rPr>
        <w:t xml:space="preserve"> largely because, even though there are s</w:t>
      </w:r>
      <w:r w:rsidR="00082786">
        <w:rPr>
          <w:color w:val="auto"/>
        </w:rPr>
        <w:t>ome encouraging improvements in gender equality results across other investments</w:t>
      </w:r>
      <w:r w:rsidR="00C43B43">
        <w:rPr>
          <w:color w:val="auto"/>
        </w:rPr>
        <w:t xml:space="preserve"> in the bilateral program</w:t>
      </w:r>
      <w:r w:rsidR="00A150AD">
        <w:rPr>
          <w:color w:val="auto"/>
        </w:rPr>
        <w:t xml:space="preserve"> (discussed above)</w:t>
      </w:r>
      <w:r w:rsidR="00082786">
        <w:rPr>
          <w:color w:val="auto"/>
        </w:rPr>
        <w:t>,</w:t>
      </w:r>
      <w:r w:rsidR="00A150AD">
        <w:rPr>
          <w:color w:val="auto"/>
        </w:rPr>
        <w:t xml:space="preserve"> progress toward</w:t>
      </w:r>
      <w:r w:rsidR="00073869">
        <w:rPr>
          <w:color w:val="auto"/>
        </w:rPr>
        <w:t xml:space="preserve"> two</w:t>
      </w:r>
      <w:r w:rsidR="00FD3609">
        <w:rPr>
          <w:color w:val="auto"/>
        </w:rPr>
        <w:t xml:space="preserve"> out of</w:t>
      </w:r>
      <w:r>
        <w:rPr>
          <w:color w:val="auto"/>
        </w:rPr>
        <w:t xml:space="preserve"> the</w:t>
      </w:r>
      <w:r w:rsidR="00FD3609">
        <w:rPr>
          <w:color w:val="auto"/>
        </w:rPr>
        <w:t xml:space="preserve"> three</w:t>
      </w:r>
      <w:r>
        <w:rPr>
          <w:color w:val="auto"/>
        </w:rPr>
        <w:t xml:space="preserve"> </w:t>
      </w:r>
      <w:proofErr w:type="spellStart"/>
      <w:r>
        <w:rPr>
          <w:i/>
          <w:color w:val="auto"/>
        </w:rPr>
        <w:t>WiW</w:t>
      </w:r>
      <w:proofErr w:type="spellEnd"/>
      <w:r w:rsidR="00FD3609">
        <w:rPr>
          <w:color w:val="auto"/>
        </w:rPr>
        <w:t xml:space="preserve"> end of investment outcomes </w:t>
      </w:r>
      <w:r>
        <w:rPr>
          <w:color w:val="auto"/>
        </w:rPr>
        <w:t xml:space="preserve">have been </w:t>
      </w:r>
      <w:r w:rsidR="00FD3609">
        <w:rPr>
          <w:color w:val="auto"/>
        </w:rPr>
        <w:t>delayed.</w:t>
      </w:r>
      <w:r w:rsidR="00E80B61">
        <w:rPr>
          <w:color w:val="auto"/>
        </w:rPr>
        <w:t xml:space="preserve"> </w:t>
      </w:r>
    </w:p>
    <w:p w14:paraId="6A80740A" w14:textId="265DA1C0" w:rsidR="000E4BB8" w:rsidRDefault="00082786" w:rsidP="00FD3609">
      <w:pPr>
        <w:spacing w:after="120"/>
        <w:rPr>
          <w:color w:val="auto"/>
        </w:rPr>
      </w:pPr>
      <w:proofErr w:type="spellStart"/>
      <w:r>
        <w:rPr>
          <w:i/>
          <w:color w:val="auto"/>
        </w:rPr>
        <w:t>WiW</w:t>
      </w:r>
      <w:proofErr w:type="spellEnd"/>
      <w:r w:rsidR="00E80B61">
        <w:rPr>
          <w:color w:val="auto"/>
        </w:rPr>
        <w:t xml:space="preserve"> is a five year, </w:t>
      </w:r>
      <w:r w:rsidR="005E6445">
        <w:rPr>
          <w:color w:val="auto"/>
        </w:rPr>
        <w:t>$</w:t>
      </w:r>
      <w:r w:rsidR="00E80B61">
        <w:rPr>
          <w:color w:val="auto"/>
        </w:rPr>
        <w:t xml:space="preserve">15 million investment implemented through a grant agreement with </w:t>
      </w:r>
      <w:r w:rsidR="00DA56A7">
        <w:rPr>
          <w:color w:val="auto"/>
        </w:rPr>
        <w:t xml:space="preserve">the </w:t>
      </w:r>
      <w:r w:rsidR="00E82539">
        <w:rPr>
          <w:color w:val="auto"/>
        </w:rPr>
        <w:t>IFC</w:t>
      </w:r>
      <w:r w:rsidR="00E80B61">
        <w:rPr>
          <w:color w:val="auto"/>
        </w:rPr>
        <w:t xml:space="preserve">. The program aims to increase the number of private sector partners who adopt gender smart business solutions, </w:t>
      </w:r>
      <w:r w:rsidR="002354A2">
        <w:rPr>
          <w:color w:val="auto"/>
        </w:rPr>
        <w:t>based on</w:t>
      </w:r>
      <w:r w:rsidR="00E80B61">
        <w:rPr>
          <w:color w:val="auto"/>
        </w:rPr>
        <w:t xml:space="preserve"> the</w:t>
      </w:r>
      <w:r w:rsidR="002354A2">
        <w:rPr>
          <w:color w:val="auto"/>
        </w:rPr>
        <w:t xml:space="preserve"> strong business case</w:t>
      </w:r>
      <w:r w:rsidR="00E80B61">
        <w:rPr>
          <w:color w:val="auto"/>
        </w:rPr>
        <w:t xml:space="preserve"> for increasin</w:t>
      </w:r>
      <w:r w:rsidR="00DF7F19">
        <w:rPr>
          <w:color w:val="auto"/>
        </w:rPr>
        <w:t>g women’s economic empowerment</w:t>
      </w:r>
      <w:r w:rsidR="004A6946">
        <w:rPr>
          <w:color w:val="auto"/>
        </w:rPr>
        <w:t xml:space="preserve">. </w:t>
      </w:r>
      <w:r w:rsidR="00D77E1A">
        <w:rPr>
          <w:color w:val="auto"/>
        </w:rPr>
        <w:t xml:space="preserve">The three end of </w:t>
      </w:r>
      <w:r w:rsidR="002354A2">
        <w:rPr>
          <w:color w:val="auto"/>
        </w:rPr>
        <w:t xml:space="preserve">investment outcomes </w:t>
      </w:r>
      <w:r w:rsidR="00D77E1A">
        <w:rPr>
          <w:color w:val="auto"/>
        </w:rPr>
        <w:t>are</w:t>
      </w:r>
      <w:r w:rsidR="00552E68">
        <w:rPr>
          <w:color w:val="auto"/>
        </w:rPr>
        <w:t xml:space="preserve">: </w:t>
      </w:r>
      <w:r w:rsidR="00D77E1A">
        <w:rPr>
          <w:color w:val="auto"/>
        </w:rPr>
        <w:t>a) enhanced women’s participation in the private sector labour force</w:t>
      </w:r>
      <w:r w:rsidR="00E82539">
        <w:rPr>
          <w:color w:val="auto"/>
        </w:rPr>
        <w:t>;</w:t>
      </w:r>
      <w:r w:rsidR="00D77E1A">
        <w:rPr>
          <w:color w:val="auto"/>
        </w:rPr>
        <w:t xml:space="preserve"> b) increased access to financial services for women and women</w:t>
      </w:r>
      <w:r w:rsidR="00A150AD">
        <w:rPr>
          <w:color w:val="auto"/>
        </w:rPr>
        <w:t>-</w:t>
      </w:r>
      <w:r w:rsidR="00D77E1A">
        <w:rPr>
          <w:color w:val="auto"/>
        </w:rPr>
        <w:t>owned MSMEs</w:t>
      </w:r>
      <w:r w:rsidR="00E82539">
        <w:rPr>
          <w:color w:val="auto"/>
        </w:rPr>
        <w:t>;</w:t>
      </w:r>
      <w:r w:rsidR="00D77E1A">
        <w:rPr>
          <w:color w:val="auto"/>
        </w:rPr>
        <w:t xml:space="preserve"> and c) strengthened linkages with women in selected private sector supply chains</w:t>
      </w:r>
      <w:r w:rsidR="00C43B43">
        <w:rPr>
          <w:color w:val="auto"/>
        </w:rPr>
        <w:t>, with a focus on the tourism sector</w:t>
      </w:r>
      <w:r w:rsidR="00D77E1A">
        <w:rPr>
          <w:color w:val="auto"/>
        </w:rPr>
        <w:t xml:space="preserve">. </w:t>
      </w:r>
      <w:r w:rsidR="002354A2">
        <w:rPr>
          <w:color w:val="auto"/>
        </w:rPr>
        <w:t>While the</w:t>
      </w:r>
      <w:r w:rsidR="007C7BAE">
        <w:rPr>
          <w:color w:val="auto"/>
        </w:rPr>
        <w:t>re have been some issues in the nature</w:t>
      </w:r>
      <w:r w:rsidR="00C43B43">
        <w:rPr>
          <w:color w:val="auto"/>
        </w:rPr>
        <w:t xml:space="preserve"> and timeliness</w:t>
      </w:r>
      <w:r w:rsidR="007C7BAE">
        <w:rPr>
          <w:color w:val="auto"/>
        </w:rPr>
        <w:t xml:space="preserve"> of </w:t>
      </w:r>
      <w:r w:rsidR="00C43B43">
        <w:rPr>
          <w:color w:val="auto"/>
        </w:rPr>
        <w:t>the performance reporting</w:t>
      </w:r>
      <w:r w:rsidR="00B423FA">
        <w:rPr>
          <w:color w:val="auto"/>
        </w:rPr>
        <w:t xml:space="preserve"> (as well as a lack of analysis of the </w:t>
      </w:r>
      <w:r w:rsidR="00B423FA">
        <w:rPr>
          <w:color w:val="auto"/>
        </w:rPr>
        <w:lastRenderedPageBreak/>
        <w:t>impact of disability in target groups)</w:t>
      </w:r>
      <w:r w:rsidR="00C43B43">
        <w:rPr>
          <w:color w:val="auto"/>
        </w:rPr>
        <w:t>, it is clear that end of investment</w:t>
      </w:r>
      <w:r w:rsidR="0097733A">
        <w:rPr>
          <w:color w:val="auto"/>
        </w:rPr>
        <w:t xml:space="preserve"> outcome 1 is on track, </w:t>
      </w:r>
      <w:r w:rsidR="00C43B43">
        <w:rPr>
          <w:color w:val="auto"/>
        </w:rPr>
        <w:t xml:space="preserve">while progress toward </w:t>
      </w:r>
      <w:r w:rsidR="0097733A">
        <w:rPr>
          <w:color w:val="auto"/>
        </w:rPr>
        <w:t xml:space="preserve">outcome 2 is delayed and </w:t>
      </w:r>
      <w:r w:rsidR="00A150AD">
        <w:rPr>
          <w:color w:val="auto"/>
        </w:rPr>
        <w:t xml:space="preserve">progress </w:t>
      </w:r>
      <w:r w:rsidR="00C43B43">
        <w:rPr>
          <w:color w:val="auto"/>
        </w:rPr>
        <w:t xml:space="preserve">toward </w:t>
      </w:r>
      <w:r w:rsidR="0097733A">
        <w:rPr>
          <w:color w:val="auto"/>
        </w:rPr>
        <w:t xml:space="preserve">outcome 3 is significantly delayed. </w:t>
      </w:r>
      <w:r w:rsidR="00176607">
        <w:rPr>
          <w:color w:val="auto"/>
        </w:rPr>
        <w:t xml:space="preserve">A </w:t>
      </w:r>
      <w:r w:rsidR="00C43B43">
        <w:rPr>
          <w:color w:val="auto"/>
        </w:rPr>
        <w:t xml:space="preserve">joint (IFC and DFAT) </w:t>
      </w:r>
      <w:r w:rsidR="00176607">
        <w:rPr>
          <w:color w:val="auto"/>
        </w:rPr>
        <w:t>mid</w:t>
      </w:r>
      <w:r w:rsidR="00A150AD">
        <w:rPr>
          <w:color w:val="auto"/>
        </w:rPr>
        <w:t>-</w:t>
      </w:r>
      <w:r w:rsidR="00176607">
        <w:rPr>
          <w:color w:val="auto"/>
        </w:rPr>
        <w:t xml:space="preserve">term review due to take place in August will </w:t>
      </w:r>
      <w:r w:rsidR="00C43B43">
        <w:rPr>
          <w:color w:val="auto"/>
        </w:rPr>
        <w:t>consider the causes of these delays and provide recommendations to both partners on how best to respond</w:t>
      </w:r>
      <w:r w:rsidR="009A234D">
        <w:rPr>
          <w:color w:val="auto"/>
        </w:rPr>
        <w:t>.</w:t>
      </w:r>
    </w:p>
    <w:p w14:paraId="5CF08590" w14:textId="69E023CC" w:rsidR="0097733A" w:rsidRDefault="00C43B43" w:rsidP="00FD3609">
      <w:pPr>
        <w:spacing w:after="120"/>
        <w:rPr>
          <w:color w:val="auto"/>
        </w:rPr>
      </w:pPr>
      <w:r>
        <w:rPr>
          <w:color w:val="auto"/>
        </w:rPr>
        <w:t>The assessment that p</w:t>
      </w:r>
      <w:r w:rsidR="004A6946">
        <w:rPr>
          <w:color w:val="auto"/>
        </w:rPr>
        <w:t xml:space="preserve">rogress towards </w:t>
      </w:r>
      <w:proofErr w:type="spellStart"/>
      <w:r>
        <w:rPr>
          <w:i/>
          <w:color w:val="auto"/>
        </w:rPr>
        <w:t>WiW</w:t>
      </w:r>
      <w:proofErr w:type="spellEnd"/>
      <w:r>
        <w:rPr>
          <w:i/>
          <w:color w:val="auto"/>
        </w:rPr>
        <w:t xml:space="preserve"> </w:t>
      </w:r>
      <w:r w:rsidR="004A6946">
        <w:rPr>
          <w:color w:val="auto"/>
        </w:rPr>
        <w:t>objective 1 is on track</w:t>
      </w:r>
      <w:r>
        <w:rPr>
          <w:color w:val="auto"/>
        </w:rPr>
        <w:t xml:space="preserve"> is based on the fact most </w:t>
      </w:r>
      <w:r w:rsidR="004A6946">
        <w:rPr>
          <w:color w:val="auto"/>
        </w:rPr>
        <w:t>resu</w:t>
      </w:r>
      <w:r w:rsidR="00B256AA">
        <w:rPr>
          <w:color w:val="auto"/>
        </w:rPr>
        <w:t xml:space="preserve">lts </w:t>
      </w:r>
      <w:r>
        <w:rPr>
          <w:color w:val="auto"/>
        </w:rPr>
        <w:t xml:space="preserve">are </w:t>
      </w:r>
      <w:r w:rsidR="00B256AA">
        <w:rPr>
          <w:color w:val="auto"/>
        </w:rPr>
        <w:t>in line with expectations. For example, t</w:t>
      </w:r>
      <w:r w:rsidR="004A6946">
        <w:rPr>
          <w:color w:val="auto"/>
        </w:rPr>
        <w:t xml:space="preserve">he </w:t>
      </w:r>
      <w:proofErr w:type="spellStart"/>
      <w:r w:rsidR="004A6946">
        <w:rPr>
          <w:color w:val="auto"/>
        </w:rPr>
        <w:t>SheWorks</w:t>
      </w:r>
      <w:proofErr w:type="spellEnd"/>
      <w:r w:rsidR="004A6946">
        <w:rPr>
          <w:color w:val="auto"/>
        </w:rPr>
        <w:t xml:space="preserve"> partnership was launched</w:t>
      </w:r>
      <w:r w:rsidR="00A150AD">
        <w:rPr>
          <w:color w:val="auto"/>
        </w:rPr>
        <w:t xml:space="preserve"> in a timely manner</w:t>
      </w:r>
      <w:r w:rsidR="004A6946">
        <w:rPr>
          <w:color w:val="auto"/>
        </w:rPr>
        <w:t xml:space="preserve"> with 18 private sector companies</w:t>
      </w:r>
      <w:r w:rsidR="00A150AD">
        <w:rPr>
          <w:color w:val="auto"/>
        </w:rPr>
        <w:t xml:space="preserve"> –</w:t>
      </w:r>
      <w:r w:rsidR="007E006F">
        <w:rPr>
          <w:color w:val="auto"/>
        </w:rPr>
        <w:t xml:space="preserve"> encompassing approximately 1</w:t>
      </w:r>
      <w:r w:rsidR="00A150AD">
        <w:rPr>
          <w:color w:val="auto"/>
        </w:rPr>
        <w:t>00,000 employees –</w:t>
      </w:r>
      <w:r w:rsidR="004A6946">
        <w:rPr>
          <w:color w:val="auto"/>
        </w:rPr>
        <w:t xml:space="preserve"> signing up to 99 commitments to advance gender equality within their organisations</w:t>
      </w:r>
      <w:r w:rsidR="00A150AD">
        <w:rPr>
          <w:color w:val="auto"/>
        </w:rPr>
        <w:t>.</w:t>
      </w:r>
      <w:r w:rsidR="00B256AA">
        <w:rPr>
          <w:color w:val="auto"/>
        </w:rPr>
        <w:t xml:space="preserve"> </w:t>
      </w:r>
      <w:r w:rsidR="00A150AD">
        <w:rPr>
          <w:color w:val="auto"/>
        </w:rPr>
        <w:t>T</w:t>
      </w:r>
      <w:r w:rsidR="00B256AA">
        <w:rPr>
          <w:color w:val="auto"/>
        </w:rPr>
        <w:t xml:space="preserve">he IFC </w:t>
      </w:r>
      <w:r w:rsidR="00A150AD">
        <w:rPr>
          <w:color w:val="auto"/>
        </w:rPr>
        <w:t xml:space="preserve">also completed and </w:t>
      </w:r>
      <w:r w:rsidR="00B256AA">
        <w:rPr>
          <w:color w:val="auto"/>
        </w:rPr>
        <w:t xml:space="preserve">launched the report “The Business Case for Employer-supported Childcare in Sri Lanka”, </w:t>
      </w:r>
      <w:r w:rsidR="00A150AD">
        <w:rPr>
          <w:color w:val="auto"/>
        </w:rPr>
        <w:t>and has been supporting the highly covered ‘Women in Management Awards’</w:t>
      </w:r>
      <w:r w:rsidR="00B256AA">
        <w:rPr>
          <w:color w:val="auto"/>
        </w:rPr>
        <w:t>.</w:t>
      </w:r>
      <w:r w:rsidR="00F37FF7">
        <w:rPr>
          <w:color w:val="auto"/>
        </w:rPr>
        <w:t xml:space="preserve"> </w:t>
      </w:r>
      <w:r w:rsidR="00DF7F19">
        <w:rPr>
          <w:color w:val="auto"/>
        </w:rPr>
        <w:t>Against</w:t>
      </w:r>
      <w:r w:rsidR="00F37FF7">
        <w:rPr>
          <w:color w:val="auto"/>
        </w:rPr>
        <w:t xml:space="preserve"> outcome 2,</w:t>
      </w:r>
      <w:r w:rsidR="00A150AD">
        <w:rPr>
          <w:color w:val="auto"/>
        </w:rPr>
        <w:t xml:space="preserve"> however,</w:t>
      </w:r>
      <w:r w:rsidR="00F37FF7">
        <w:rPr>
          <w:color w:val="auto"/>
        </w:rPr>
        <w:t xml:space="preserve"> while activities are on track with the government, at the firm level only one </w:t>
      </w:r>
      <w:r>
        <w:rPr>
          <w:color w:val="auto"/>
        </w:rPr>
        <w:t xml:space="preserve">partnership </w:t>
      </w:r>
      <w:r w:rsidR="00073869">
        <w:rPr>
          <w:color w:val="auto"/>
        </w:rPr>
        <w:t>has</w:t>
      </w:r>
      <w:r w:rsidR="00F37FF7">
        <w:rPr>
          <w:color w:val="auto"/>
        </w:rPr>
        <w:t xml:space="preserve"> been successful</w:t>
      </w:r>
      <w:r>
        <w:rPr>
          <w:color w:val="auto"/>
        </w:rPr>
        <w:t xml:space="preserve"> established</w:t>
      </w:r>
      <w:r w:rsidR="00F37FF7">
        <w:rPr>
          <w:color w:val="auto"/>
        </w:rPr>
        <w:t xml:space="preserve">, and partnerships with </w:t>
      </w:r>
      <w:r w:rsidR="00910A92">
        <w:rPr>
          <w:color w:val="auto"/>
        </w:rPr>
        <w:t>financial institutions</w:t>
      </w:r>
      <w:r w:rsidR="00F37FF7">
        <w:rPr>
          <w:color w:val="auto"/>
        </w:rPr>
        <w:t xml:space="preserve"> still need to be formed.</w:t>
      </w:r>
      <w:r w:rsidR="00B64500">
        <w:rPr>
          <w:color w:val="auto"/>
        </w:rPr>
        <w:t xml:space="preserve"> </w:t>
      </w:r>
      <w:r w:rsidR="002410AF">
        <w:rPr>
          <w:color w:val="auto"/>
        </w:rPr>
        <w:t>D</w:t>
      </w:r>
      <w:r w:rsidR="00B64500">
        <w:rPr>
          <w:color w:val="auto"/>
        </w:rPr>
        <w:t xml:space="preserve">iscussions on women’s insurance options continue, </w:t>
      </w:r>
      <w:r w:rsidR="002410AF">
        <w:rPr>
          <w:color w:val="auto"/>
        </w:rPr>
        <w:t xml:space="preserve">but </w:t>
      </w:r>
      <w:r w:rsidR="00B64500">
        <w:rPr>
          <w:color w:val="auto"/>
        </w:rPr>
        <w:t xml:space="preserve">none have been formalised. Financial education with the central bank </w:t>
      </w:r>
      <w:r w:rsidR="002410AF">
        <w:rPr>
          <w:color w:val="auto"/>
        </w:rPr>
        <w:t>was</w:t>
      </w:r>
      <w:r w:rsidR="00B64500">
        <w:rPr>
          <w:color w:val="auto"/>
        </w:rPr>
        <w:t xml:space="preserve"> delayed </w:t>
      </w:r>
      <w:r w:rsidR="002410AF">
        <w:rPr>
          <w:color w:val="auto"/>
        </w:rPr>
        <w:t>because of</w:t>
      </w:r>
      <w:r w:rsidR="00B64500">
        <w:rPr>
          <w:color w:val="auto"/>
        </w:rPr>
        <w:t xml:space="preserve"> the 2018 political crisis. </w:t>
      </w:r>
      <w:r w:rsidR="002410AF">
        <w:rPr>
          <w:color w:val="auto"/>
        </w:rPr>
        <w:t>O</w:t>
      </w:r>
      <w:r w:rsidR="00B64500">
        <w:rPr>
          <w:color w:val="auto"/>
        </w:rPr>
        <w:t>utcome 3, is significant</w:t>
      </w:r>
      <w:r w:rsidR="002410AF">
        <w:rPr>
          <w:color w:val="auto"/>
        </w:rPr>
        <w:t>ly</w:t>
      </w:r>
      <w:r w:rsidR="00B64500">
        <w:rPr>
          <w:color w:val="auto"/>
        </w:rPr>
        <w:t xml:space="preserve"> delay</w:t>
      </w:r>
      <w:r w:rsidR="002410AF">
        <w:rPr>
          <w:color w:val="auto"/>
        </w:rPr>
        <w:t>ed.</w:t>
      </w:r>
      <w:r w:rsidR="00B64500">
        <w:rPr>
          <w:color w:val="auto"/>
        </w:rPr>
        <w:t xml:space="preserve"> </w:t>
      </w:r>
      <w:r w:rsidR="002410AF">
        <w:rPr>
          <w:color w:val="auto"/>
        </w:rPr>
        <w:t>O</w:t>
      </w:r>
      <w:r w:rsidR="00B64500">
        <w:rPr>
          <w:color w:val="auto"/>
        </w:rPr>
        <w:t xml:space="preserve">nly one activity </w:t>
      </w:r>
      <w:r w:rsidR="002410AF">
        <w:rPr>
          <w:color w:val="auto"/>
        </w:rPr>
        <w:t xml:space="preserve">is </w:t>
      </w:r>
      <w:r w:rsidR="00B64500">
        <w:rPr>
          <w:color w:val="auto"/>
        </w:rPr>
        <w:t xml:space="preserve">in early stages </w:t>
      </w:r>
      <w:r w:rsidR="002410AF">
        <w:rPr>
          <w:color w:val="auto"/>
        </w:rPr>
        <w:t xml:space="preserve">of implementation </w:t>
      </w:r>
      <w:r w:rsidR="00B64500">
        <w:rPr>
          <w:color w:val="auto"/>
        </w:rPr>
        <w:t>and no formal partnership</w:t>
      </w:r>
      <w:r w:rsidR="002410AF">
        <w:rPr>
          <w:color w:val="auto"/>
        </w:rPr>
        <w:t xml:space="preserve"> is yet</w:t>
      </w:r>
      <w:r w:rsidR="00B64500">
        <w:rPr>
          <w:color w:val="auto"/>
        </w:rPr>
        <w:t xml:space="preserve"> </w:t>
      </w:r>
      <w:r w:rsidR="00654B07">
        <w:rPr>
          <w:color w:val="auto"/>
        </w:rPr>
        <w:t>agreed.</w:t>
      </w:r>
      <w:r w:rsidR="009A234D">
        <w:rPr>
          <w:color w:val="auto"/>
        </w:rPr>
        <w:t xml:space="preserve"> The IFC </w:t>
      </w:r>
      <w:r w:rsidR="00910A92">
        <w:rPr>
          <w:color w:val="auto"/>
        </w:rPr>
        <w:t xml:space="preserve">has had limited traction </w:t>
      </w:r>
      <w:r w:rsidR="009A234D">
        <w:rPr>
          <w:color w:val="auto"/>
        </w:rPr>
        <w:t>in the tourism sector and has not proposed alternative sectors to work in.</w:t>
      </w:r>
      <w:r w:rsidR="001C2975">
        <w:rPr>
          <w:color w:val="auto"/>
        </w:rPr>
        <w:t xml:space="preserve"> Given the delays in outcomes 2 and 3, overall program expenditure is </w:t>
      </w:r>
      <w:r>
        <w:rPr>
          <w:color w:val="auto"/>
        </w:rPr>
        <w:t xml:space="preserve">also </w:t>
      </w:r>
      <w:r w:rsidR="001C2975">
        <w:rPr>
          <w:color w:val="auto"/>
        </w:rPr>
        <w:t>far lower than expected</w:t>
      </w:r>
      <w:r w:rsidR="00A150AD">
        <w:rPr>
          <w:color w:val="auto"/>
        </w:rPr>
        <w:t>, and, on the back of the mid-term review, will require some significant reprogramming</w:t>
      </w:r>
      <w:r w:rsidR="00910A92">
        <w:rPr>
          <w:color w:val="auto"/>
        </w:rPr>
        <w:t>.</w:t>
      </w:r>
      <w:r w:rsidR="00A150AD">
        <w:rPr>
          <w:color w:val="auto"/>
        </w:rPr>
        <w:t xml:space="preserve"> </w:t>
      </w:r>
      <w:r w:rsidR="001C2975" w:rsidRPr="005A1A2E">
        <w:rPr>
          <w:color w:val="auto"/>
        </w:rPr>
        <w:t>Managing</w:t>
      </w:r>
      <w:r w:rsidR="001C2975">
        <w:rPr>
          <w:color w:val="auto"/>
        </w:rPr>
        <w:t xml:space="preserve"> the partnership has been more resource intensive for DFAT than expected.</w:t>
      </w:r>
    </w:p>
    <w:p w14:paraId="1240CEAA" w14:textId="77777777"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14:paraId="5B451211" w14:textId="66B8E8FA" w:rsidR="00DF5CB9" w:rsidRPr="00DF5CB9" w:rsidRDefault="00DF5CB9" w:rsidP="00DF5CB9">
      <w:pPr>
        <w:spacing w:after="120"/>
        <w:rPr>
          <w:b/>
        </w:rPr>
      </w:pPr>
      <w:r w:rsidRPr="00DF5CB9">
        <w:t>The Sri Lankan Government continues to face challenges in implementing its political and economic reform agenda and internationally-endorsed transitional justice process. Overall, the country context has not shifted markedly since the prev</w:t>
      </w:r>
      <w:r>
        <w:t>ious reporting period, although</w:t>
      </w:r>
      <w:r w:rsidR="005E6445">
        <w:t>,</w:t>
      </w:r>
      <w:r w:rsidRPr="00DF5CB9">
        <w:t xml:space="preserve"> as </w:t>
      </w:r>
      <w:r w:rsidR="005E6445">
        <w:t xml:space="preserve">the November Presidential </w:t>
      </w:r>
      <w:r w:rsidRPr="00DF5CB9">
        <w:t xml:space="preserve">elections </w:t>
      </w:r>
      <w:r w:rsidR="005E6445">
        <w:t xml:space="preserve">approach, </w:t>
      </w:r>
      <w:r w:rsidRPr="00DF5CB9">
        <w:t xml:space="preserve">the focus of government is naturally turning toward electoral concerns. Overall, the AIP’s development logic and our existing government-to-government agreements remain </w:t>
      </w:r>
      <w:r w:rsidRPr="00E05C18">
        <w:t xml:space="preserve">valid. </w:t>
      </w:r>
    </w:p>
    <w:p w14:paraId="03D30CDE" w14:textId="77777777" w:rsidR="00DF5CB9" w:rsidRPr="00DF5CB9" w:rsidRDefault="00DF5CB9" w:rsidP="00DF5CB9">
      <w:pPr>
        <w:spacing w:after="120"/>
      </w:pPr>
      <w:r w:rsidRPr="00DF5CB9">
        <w:t xml:space="preserve">The 2017 Sri Lanka-Australia Development Cooperation Memorandum of Understanding continues to guide our development relationship. It commits the Sri Lankan Government to work with the Australian Government to promote the achievement of the Sustainable Development Goals, regularly review projects, ensure transparent sharing of data and assist in facilitating Australian projects (including applying the Australia-Sri Lanka Double Taxation Avoidance Agreement). More specific sets of mutual obligations are then established at the investment or activity level. For example, subsidiary arrangements are in place with the Sri Lankan Ministry of Tourism for the MDF and the Ministry of Skills Development for S4IG. These require the relevant ministries to contribute to project oversight, facilitate project implementation and engage in project reporting. </w:t>
      </w:r>
      <w:r w:rsidRPr="00E05C18">
        <w:t>The Sri Lankan Government met its commitments under these subsidiary arrangements over the reporting period</w:t>
      </w:r>
    </w:p>
    <w:p w14:paraId="52A14955" w14:textId="77777777"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108733EC" w14:textId="00ED5776" w:rsidR="00DF5CB9" w:rsidRPr="00EE4DAA" w:rsidRDefault="00A150AD" w:rsidP="00EE4DAA">
      <w:pPr>
        <w:spacing w:before="240" w:after="120"/>
      </w:pPr>
      <w:r>
        <w:t xml:space="preserve">The most noteworthy difference </w:t>
      </w:r>
      <w:r w:rsidR="007E006F">
        <w:t>in</w:t>
      </w:r>
      <w:r w:rsidR="00DF5CB9" w:rsidRPr="00DF5CB9">
        <w:t xml:space="preserve"> internal Aid Quality Check (AQC) ratings for the Sri Lanka program </w:t>
      </w:r>
      <w:r w:rsidR="007E006F">
        <w:t>between this reporting period and the last</w:t>
      </w:r>
      <w:r w:rsidR="007E006F" w:rsidRPr="00DF5CB9">
        <w:t xml:space="preserve"> </w:t>
      </w:r>
      <w:r w:rsidR="007E006F">
        <w:t>was t</w:t>
      </w:r>
      <w:r w:rsidR="00EE4DAA">
        <w:t>he less than satisfactory rating</w:t>
      </w:r>
      <w:r w:rsidR="007E006F">
        <w:t>s given to t</w:t>
      </w:r>
      <w:r w:rsidR="00EE4DAA">
        <w:t xml:space="preserve">he </w:t>
      </w:r>
      <w:r w:rsidR="00EE4DAA">
        <w:rPr>
          <w:i/>
        </w:rPr>
        <w:t xml:space="preserve">Women in Work </w:t>
      </w:r>
      <w:r w:rsidR="00EE4DAA">
        <w:t>investment</w:t>
      </w:r>
      <w:r w:rsidR="007E006F">
        <w:t xml:space="preserve"> against the Effectiveness, Efficiency and Gender Equality criteria</w:t>
      </w:r>
      <w:r w:rsidR="00EE4DAA">
        <w:t>. This is due to significant delays in meeting two out of three investment objectives, low expenditure and poor reporting mechanisms</w:t>
      </w:r>
      <w:r w:rsidR="007E006F">
        <w:t xml:space="preserve"> and has flagged it as an Investment Requiring Improvement, which will trigger increased management attention</w:t>
      </w:r>
      <w:r w:rsidR="00EE4DAA">
        <w:t xml:space="preserve">. The midterm review in August will provide an opportunity to review the investment and </w:t>
      </w:r>
      <w:r w:rsidR="00185B0D">
        <w:t xml:space="preserve">scope what is required to get it back on track. </w:t>
      </w:r>
    </w:p>
    <w:p w14:paraId="2DDFA9BF" w14:textId="77777777"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lastRenderedPageBreak/>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787FC306" w14:textId="3AE52D7A" w:rsidR="00E706AC" w:rsidRPr="005E6445" w:rsidRDefault="005E6445" w:rsidP="00E01C62">
      <w:pPr>
        <w:spacing w:after="120"/>
        <w:rPr>
          <w:b/>
        </w:rPr>
      </w:pPr>
      <w:r w:rsidRPr="005E6445">
        <w:rPr>
          <w:b/>
        </w:rPr>
        <w:t>EOP</w:t>
      </w:r>
    </w:p>
    <w:p w14:paraId="6AB8B42D" w14:textId="1A1A4EF2" w:rsidR="00E706AC" w:rsidRDefault="00E706AC" w:rsidP="00E01C62">
      <w:pPr>
        <w:spacing w:after="120"/>
      </w:pPr>
      <w:r w:rsidRPr="00E706AC">
        <w:t>Post</w:t>
      </w:r>
      <w:r>
        <w:t xml:space="preserve"> to </w:t>
      </w:r>
      <w:r w:rsidR="007E006F" w:rsidRPr="007E006F">
        <w:t>lead on an independent mid</w:t>
      </w:r>
      <w:r w:rsidR="00807776">
        <w:t>-</w:t>
      </w:r>
      <w:r w:rsidR="007E006F" w:rsidRPr="007E006F">
        <w:t xml:space="preserve">term report for </w:t>
      </w:r>
      <w:r w:rsidR="007E006F" w:rsidRPr="007E006F">
        <w:rPr>
          <w:i/>
        </w:rPr>
        <w:t>S4IG</w:t>
      </w:r>
      <w:r w:rsidR="007E006F" w:rsidRPr="007E006F">
        <w:t xml:space="preserve"> in December 2019/January 2020</w:t>
      </w:r>
      <w:r w:rsidR="007E006F">
        <w:t xml:space="preserve"> in order to complete the </w:t>
      </w:r>
      <w:r w:rsidRPr="00E706AC">
        <w:t xml:space="preserve">strategic re-orientation of </w:t>
      </w:r>
      <w:r w:rsidR="007E006F">
        <w:t>the investm</w:t>
      </w:r>
      <w:r w:rsidR="00807776">
        <w:t xml:space="preserve">ent, with a focus on expanding the impact of the innovative activities delivered. Both the mid-term review and the strategy re-orientation will clarify </w:t>
      </w:r>
      <w:r w:rsidR="00807776">
        <w:rPr>
          <w:i/>
        </w:rPr>
        <w:t>S4IG’s</w:t>
      </w:r>
      <w:r w:rsidR="00807776">
        <w:t xml:space="preserve"> engagement with social inclusion issues, including disability.  </w:t>
      </w:r>
    </w:p>
    <w:p w14:paraId="4AE50900" w14:textId="77777777" w:rsidR="00E706AC" w:rsidRDefault="00E706AC" w:rsidP="00E01C62">
      <w:pPr>
        <w:spacing w:after="120"/>
      </w:pPr>
      <w:r>
        <w:t xml:space="preserve">Post to continue working with partners to identify potential risks in lack of uptake of innovations and models demonstrated by the partners. </w:t>
      </w:r>
      <w:r w:rsidR="00B83BE3">
        <w:t xml:space="preserve"> </w:t>
      </w:r>
      <w:r>
        <w:t>Where required, Post will explore the possibility of bringing to bear influence through other mechanisms e.g. policy influence through other programs, direct engagement wi</w:t>
      </w:r>
      <w:r w:rsidR="0002135D">
        <w:t>th industry and Government etc.</w:t>
      </w:r>
    </w:p>
    <w:p w14:paraId="4F9718FE" w14:textId="77777777" w:rsidR="00B83BE3" w:rsidRDefault="00B83BE3" w:rsidP="00E01C62">
      <w:pPr>
        <w:spacing w:after="120"/>
      </w:pPr>
      <w:r>
        <w:t>Post to continue to look for opportunities to encourage better synergies and harmonisation between the 3 investments within the EOP portfolio.  This will be supported by annual EOP learning events and broader DFAT partner forums.</w:t>
      </w:r>
    </w:p>
    <w:p w14:paraId="72A6B9DD" w14:textId="14788986" w:rsidR="00185B0D" w:rsidRDefault="005E6445" w:rsidP="00E01C62">
      <w:pPr>
        <w:spacing w:after="120"/>
        <w:rPr>
          <w:b/>
        </w:rPr>
      </w:pPr>
      <w:r>
        <w:rPr>
          <w:b/>
        </w:rPr>
        <w:t>G4G</w:t>
      </w:r>
    </w:p>
    <w:p w14:paraId="01353B37" w14:textId="74CE2367" w:rsidR="00185B0D" w:rsidRDefault="00185B0D" w:rsidP="00E01C62">
      <w:pPr>
        <w:spacing w:after="120"/>
      </w:pPr>
      <w:r>
        <w:t xml:space="preserve">Finalise the procurement of the </w:t>
      </w:r>
      <w:r w:rsidR="00B423FA">
        <w:t>Advisor Team</w:t>
      </w:r>
      <w:r w:rsidR="00981FC9">
        <w:t>.</w:t>
      </w:r>
    </w:p>
    <w:p w14:paraId="517E3E51" w14:textId="3901F54B" w:rsidR="00185B0D" w:rsidRDefault="00185B0D" w:rsidP="00E01C62">
      <w:pPr>
        <w:spacing w:after="120"/>
      </w:pPr>
      <w:r>
        <w:t xml:space="preserve">Finalise the G4G investment-level MEL framework, ensuring the framework enables the collection of data disaggregated by sex </w:t>
      </w:r>
      <w:r w:rsidRPr="0099085D">
        <w:t xml:space="preserve">and social inclusion </w:t>
      </w:r>
      <w:r w:rsidR="00914386">
        <w:t>categories</w:t>
      </w:r>
      <w:r w:rsidR="00981FC9">
        <w:t>.</w:t>
      </w:r>
      <w:r w:rsidR="00914386">
        <w:t xml:space="preserve"> As part of this process, w</w:t>
      </w:r>
      <w:r>
        <w:t>ork with the World Bank</w:t>
      </w:r>
      <w:r w:rsidR="00914386">
        <w:t xml:space="preserve"> and TAF</w:t>
      </w:r>
      <w:r>
        <w:t xml:space="preserve"> to </w:t>
      </w:r>
      <w:r w:rsidR="00914386">
        <w:t>maximise the abilities of their</w:t>
      </w:r>
      <w:r>
        <w:t xml:space="preserve"> M&amp;E system</w:t>
      </w:r>
      <w:r w:rsidR="00914386">
        <w:t>s</w:t>
      </w:r>
      <w:r>
        <w:t xml:space="preserve"> to </w:t>
      </w:r>
      <w:r w:rsidR="00914386">
        <w:t>provide similarly disaggregated data</w:t>
      </w:r>
      <w:r w:rsidR="00981FC9">
        <w:t>.</w:t>
      </w:r>
    </w:p>
    <w:p w14:paraId="1B2C06B4" w14:textId="43F48DD1" w:rsidR="00914386" w:rsidRDefault="00914386" w:rsidP="00E01C62">
      <w:pPr>
        <w:spacing w:after="120"/>
      </w:pPr>
      <w:r>
        <w:t>Work with the Advisor Team and the DFAT Political Team at Post to monitor political and election-related risks and ensure Australia’s development prog</w:t>
      </w:r>
      <w:r w:rsidR="008D0FC6">
        <w:t>ramming responds appropriately</w:t>
      </w:r>
    </w:p>
    <w:p w14:paraId="732978C6" w14:textId="77777777" w:rsidR="00185B0D" w:rsidRDefault="00185B0D" w:rsidP="00E01C62">
      <w:pPr>
        <w:spacing w:after="120"/>
      </w:pPr>
      <w:r>
        <w:t>Ensure DFAT’s human resourcing matches the management demands of an evolving investment</w:t>
      </w:r>
      <w:r w:rsidR="00981FC9">
        <w:t>.</w:t>
      </w:r>
    </w:p>
    <w:p w14:paraId="190B2B7C" w14:textId="2E0D2DB7" w:rsidR="00981FC9" w:rsidRDefault="005E6445" w:rsidP="00E01C62">
      <w:pPr>
        <w:spacing w:after="120"/>
        <w:rPr>
          <w:b/>
        </w:rPr>
      </w:pPr>
      <w:proofErr w:type="spellStart"/>
      <w:r>
        <w:rPr>
          <w:b/>
        </w:rPr>
        <w:t>WiW</w:t>
      </w:r>
      <w:proofErr w:type="spellEnd"/>
    </w:p>
    <w:p w14:paraId="5C8FE8B8" w14:textId="3588C6F5" w:rsidR="00E72265" w:rsidRPr="00442A60" w:rsidRDefault="008D0FC6" w:rsidP="00E01C62">
      <w:pPr>
        <w:spacing w:after="120"/>
      </w:pPr>
      <w:r>
        <w:t xml:space="preserve">Ensure recommendations from the </w:t>
      </w:r>
      <w:proofErr w:type="spellStart"/>
      <w:r w:rsidR="00910A92" w:rsidRPr="00442A60">
        <w:t>WiW</w:t>
      </w:r>
      <w:proofErr w:type="spellEnd"/>
      <w:r w:rsidR="00910A92" w:rsidRPr="00442A60">
        <w:t xml:space="preserve"> m</w:t>
      </w:r>
      <w:r w:rsidR="00E72265" w:rsidRPr="00442A60">
        <w:t>id</w:t>
      </w:r>
      <w:r>
        <w:t>-</w:t>
      </w:r>
      <w:r w:rsidR="00E72265" w:rsidRPr="00442A60">
        <w:t xml:space="preserve">term </w:t>
      </w:r>
      <w:r>
        <w:t>are</w:t>
      </w:r>
      <w:r w:rsidR="00E72265" w:rsidRPr="00442A60">
        <w:t xml:space="preserve"> actioned to </w:t>
      </w:r>
      <w:r>
        <w:t>improve progress toward the end of investment objectives</w:t>
      </w:r>
      <w:r w:rsidR="00E72265" w:rsidRPr="00442A60">
        <w:t>.</w:t>
      </w:r>
      <w:r w:rsidR="00910A92" w:rsidRPr="00442A60">
        <w:t xml:space="preserve"> A Management Action Plan is also in place and agreed by the IFC to address management issues and barriers to implementation.</w:t>
      </w:r>
    </w:p>
    <w:p w14:paraId="17DFCF49" w14:textId="77777777" w:rsidR="00E72265" w:rsidRPr="00442A60" w:rsidRDefault="00E72265" w:rsidP="00E72265">
      <w:pPr>
        <w:spacing w:after="120"/>
      </w:pPr>
      <w:r w:rsidRPr="00815470">
        <w:t>Continue to request reporting on disability and indigenous people</w:t>
      </w:r>
      <w:r w:rsidR="003B5B68" w:rsidRPr="00815470">
        <w:t xml:space="preserve">s/ethnic minorities to ensure </w:t>
      </w:r>
      <w:proofErr w:type="spellStart"/>
      <w:r w:rsidR="003B5B68" w:rsidRPr="00815470">
        <w:t>Wi</w:t>
      </w:r>
      <w:r w:rsidRPr="00815470">
        <w:t>W</w:t>
      </w:r>
      <w:proofErr w:type="spellEnd"/>
      <w:r w:rsidRPr="00815470">
        <w:t xml:space="preserve"> is inclusive and aligns with DFAT’s policies.</w:t>
      </w:r>
    </w:p>
    <w:p w14:paraId="001FE157" w14:textId="77777777" w:rsidR="009F5488" w:rsidRDefault="00910A92" w:rsidP="00442A60">
      <w:pPr>
        <w:spacing w:after="120"/>
      </w:pPr>
      <w:r w:rsidRPr="00981FC9" w:rsidDel="00910A92">
        <w:t xml:space="preserve"> </w:t>
      </w:r>
    </w:p>
    <w:p w14:paraId="62147476" w14:textId="77777777" w:rsidR="009F5488" w:rsidRDefault="009F5488" w:rsidP="005B5769">
      <w:pPr>
        <w:pStyle w:val="ListBullet"/>
        <w:tabs>
          <w:tab w:val="clear" w:pos="284"/>
        </w:tabs>
      </w:pPr>
    </w:p>
    <w:p w14:paraId="45C4B300" w14:textId="77777777" w:rsidR="009F5488" w:rsidRDefault="009F5488" w:rsidP="005B5769">
      <w:pPr>
        <w:pStyle w:val="ListBullet"/>
        <w:tabs>
          <w:tab w:val="clear" w:pos="284"/>
        </w:tabs>
      </w:pPr>
    </w:p>
    <w:p w14:paraId="2613F0F3" w14:textId="77777777" w:rsidR="009F5488" w:rsidRDefault="009F5488" w:rsidP="005B5769">
      <w:pPr>
        <w:pStyle w:val="ListBullet"/>
        <w:tabs>
          <w:tab w:val="clear" w:pos="284"/>
        </w:tabs>
      </w:pPr>
    </w:p>
    <w:p w14:paraId="660F6DF8" w14:textId="77777777" w:rsidR="005B5769" w:rsidRDefault="005B5769" w:rsidP="005B5769">
      <w:pPr>
        <w:pStyle w:val="ListBullet"/>
        <w:tabs>
          <w:tab w:val="clear" w:pos="284"/>
        </w:tabs>
      </w:pPr>
    </w:p>
    <w:p w14:paraId="78FABF2C" w14:textId="77777777" w:rsidR="00015316" w:rsidRDefault="00015316" w:rsidP="005B5769">
      <w:pPr>
        <w:pStyle w:val="ListBullet"/>
        <w:tabs>
          <w:tab w:val="clear" w:pos="284"/>
        </w:tabs>
      </w:pPr>
    </w:p>
    <w:p w14:paraId="4684F365" w14:textId="77777777" w:rsidR="00015316" w:rsidRDefault="00015316" w:rsidP="005B5769">
      <w:pPr>
        <w:pStyle w:val="ListBullet"/>
        <w:tabs>
          <w:tab w:val="clear" w:pos="284"/>
        </w:tabs>
      </w:pPr>
    </w:p>
    <w:p w14:paraId="757A3FA2" w14:textId="77777777" w:rsidR="00015316" w:rsidRDefault="00015316" w:rsidP="005B5769">
      <w:pPr>
        <w:pStyle w:val="ListBullet"/>
        <w:tabs>
          <w:tab w:val="clear" w:pos="284"/>
        </w:tabs>
      </w:pPr>
    </w:p>
    <w:p w14:paraId="6DE810CD" w14:textId="77777777" w:rsidR="00015316" w:rsidRDefault="00015316" w:rsidP="005B5769">
      <w:pPr>
        <w:pStyle w:val="ListBullet"/>
        <w:tabs>
          <w:tab w:val="clear" w:pos="284"/>
        </w:tabs>
      </w:pPr>
    </w:p>
    <w:p w14:paraId="7AD9787D" w14:textId="77777777" w:rsidR="00D00802" w:rsidRDefault="00D00802" w:rsidP="005B5769">
      <w:pPr>
        <w:pStyle w:val="ListBullet"/>
        <w:tabs>
          <w:tab w:val="clear" w:pos="284"/>
        </w:tabs>
        <w:sectPr w:rsidR="00D00802" w:rsidSect="00D2653F">
          <w:headerReference w:type="default" r:id="rId23"/>
          <w:footerReference w:type="default" r:id="rId24"/>
          <w:pgSz w:w="11906" w:h="16838" w:code="9"/>
          <w:pgMar w:top="1811" w:right="1134" w:bottom="851" w:left="1134" w:header="1565" w:footer="342" w:gutter="0"/>
          <w:cols w:space="397"/>
          <w:docGrid w:linePitch="360"/>
        </w:sectPr>
      </w:pPr>
    </w:p>
    <w:p w14:paraId="03F04288" w14:textId="77777777" w:rsidR="00AF1B85" w:rsidRPr="00EF26B5" w:rsidRDefault="00AF1B85"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A - Progress in Addressing Management Responses</w:t>
      </w:r>
    </w:p>
    <w:tbl>
      <w:tblPr>
        <w:tblStyle w:val="TableGrid1"/>
        <w:tblpPr w:leftFromText="180" w:rightFromText="180" w:vertAnchor="text" w:tblpY="1"/>
        <w:tblW w:w="5074" w:type="pct"/>
        <w:tblLayout w:type="fixed"/>
        <w:tblLook w:val="0000" w:firstRow="0" w:lastRow="0" w:firstColumn="0" w:lastColumn="0" w:noHBand="0" w:noVBand="0"/>
      </w:tblPr>
      <w:tblGrid>
        <w:gridCol w:w="6330"/>
        <w:gridCol w:w="1158"/>
        <w:gridCol w:w="6745"/>
      </w:tblGrid>
      <w:tr w:rsidR="00AF1B85" w:rsidRPr="00DC35C1" w14:paraId="1F593CF3" w14:textId="77777777" w:rsidTr="008629EF">
        <w:tc>
          <w:tcPr>
            <w:tcW w:w="6330" w:type="dxa"/>
          </w:tcPr>
          <w:p w14:paraId="33351D45" w14:textId="77777777" w:rsidR="00AF1B85" w:rsidRPr="00DC35C1" w:rsidRDefault="00AF1B85" w:rsidP="005D5723">
            <w:pPr>
              <w:keepLines/>
              <w:spacing w:before="80" w:after="80" w:line="200" w:lineRule="atLeast"/>
              <w:rPr>
                <w:rFonts w:eastAsia="Times New Roman" w:cstheme="minorHAnsi"/>
                <w:b/>
                <w:iCs/>
                <w:sz w:val="17"/>
                <w:szCs w:val="17"/>
              </w:rPr>
            </w:pPr>
            <w:r w:rsidRPr="00DC35C1">
              <w:rPr>
                <w:rFonts w:eastAsia="Times New Roman" w:cstheme="minorHAnsi"/>
                <w:b/>
                <w:iCs/>
                <w:sz w:val="17"/>
                <w:szCs w:val="17"/>
              </w:rPr>
              <w:t>Management responses identified in 20</w:t>
            </w:r>
            <w:r w:rsidR="005D5723" w:rsidRPr="00DC35C1">
              <w:rPr>
                <w:rFonts w:eastAsia="Times New Roman" w:cstheme="minorHAnsi"/>
                <w:b/>
                <w:iCs/>
                <w:sz w:val="17"/>
                <w:szCs w:val="17"/>
              </w:rPr>
              <w:t>17-18</w:t>
            </w:r>
            <w:r w:rsidRPr="00DC35C1">
              <w:rPr>
                <w:rFonts w:eastAsia="Times New Roman" w:cstheme="minorHAnsi"/>
                <w:b/>
                <w:iCs/>
                <w:sz w:val="17"/>
                <w:szCs w:val="17"/>
              </w:rPr>
              <w:t xml:space="preserve"> APPR</w:t>
            </w:r>
            <w:r w:rsidRPr="00DC35C1">
              <w:rPr>
                <w:rFonts w:eastAsia="Times New Roman" w:cstheme="minorHAnsi"/>
                <w:b/>
                <w:iCs/>
                <w:sz w:val="17"/>
                <w:szCs w:val="17"/>
              </w:rPr>
              <w:tab/>
            </w:r>
          </w:p>
        </w:tc>
        <w:tc>
          <w:tcPr>
            <w:tcW w:w="1158" w:type="dxa"/>
          </w:tcPr>
          <w:p w14:paraId="17B0ACF2" w14:textId="77777777" w:rsidR="00AF1B85" w:rsidRPr="00DC35C1" w:rsidRDefault="00AF1B85" w:rsidP="00812509">
            <w:pPr>
              <w:keepLines/>
              <w:spacing w:before="80" w:after="80" w:line="200" w:lineRule="atLeast"/>
              <w:jc w:val="center"/>
              <w:rPr>
                <w:rFonts w:eastAsia="Times New Roman" w:cstheme="minorHAnsi"/>
                <w:b/>
                <w:iCs/>
                <w:sz w:val="17"/>
                <w:szCs w:val="17"/>
              </w:rPr>
            </w:pPr>
            <w:r w:rsidRPr="00DC35C1">
              <w:rPr>
                <w:rFonts w:eastAsia="Times New Roman" w:cstheme="minorHAnsi"/>
                <w:b/>
                <w:iCs/>
                <w:sz w:val="17"/>
                <w:szCs w:val="17"/>
              </w:rPr>
              <w:t>Rating</w:t>
            </w:r>
          </w:p>
        </w:tc>
        <w:tc>
          <w:tcPr>
            <w:tcW w:w="6745" w:type="dxa"/>
          </w:tcPr>
          <w:p w14:paraId="6FE78153" w14:textId="77777777" w:rsidR="00AF1B85" w:rsidRPr="00DC35C1" w:rsidRDefault="00AF1B85" w:rsidP="005D5723">
            <w:pPr>
              <w:keepLines/>
              <w:spacing w:before="80" w:after="80" w:line="200" w:lineRule="atLeast"/>
              <w:jc w:val="center"/>
              <w:rPr>
                <w:rFonts w:eastAsia="Times New Roman" w:cstheme="minorHAnsi"/>
                <w:b/>
                <w:iCs/>
                <w:sz w:val="17"/>
                <w:szCs w:val="17"/>
              </w:rPr>
            </w:pPr>
            <w:r w:rsidRPr="00DC35C1">
              <w:rPr>
                <w:rFonts w:eastAsia="Times New Roman" w:cstheme="minorHAnsi"/>
                <w:b/>
                <w:iCs/>
                <w:sz w:val="17"/>
                <w:szCs w:val="17"/>
              </w:rPr>
              <w:t>Progress made  in 201</w:t>
            </w:r>
            <w:r w:rsidR="005D5723" w:rsidRPr="00DC35C1">
              <w:rPr>
                <w:rFonts w:eastAsia="Times New Roman" w:cstheme="minorHAnsi"/>
                <w:b/>
                <w:iCs/>
                <w:sz w:val="17"/>
                <w:szCs w:val="17"/>
              </w:rPr>
              <w:t>8-19</w:t>
            </w:r>
          </w:p>
        </w:tc>
      </w:tr>
      <w:tr w:rsidR="00AF1B85" w:rsidRPr="00DC35C1" w14:paraId="5BA3D52E" w14:textId="77777777" w:rsidTr="008629EF">
        <w:tc>
          <w:tcPr>
            <w:tcW w:w="6330" w:type="dxa"/>
          </w:tcPr>
          <w:p w14:paraId="3D83EA0E" w14:textId="77777777" w:rsidR="00AF1B85" w:rsidRPr="00DC35C1" w:rsidRDefault="00DC35C1" w:rsidP="00D15A00">
            <w:pPr>
              <w:keepLines/>
              <w:spacing w:before="40" w:after="40" w:line="200" w:lineRule="atLeast"/>
              <w:rPr>
                <w:rFonts w:eastAsia="Times New Roman" w:cstheme="minorHAnsi"/>
                <w:iCs/>
                <w:sz w:val="17"/>
                <w:szCs w:val="17"/>
              </w:rPr>
            </w:pPr>
            <w:proofErr w:type="spellStart"/>
            <w:r w:rsidRPr="00DC35C1">
              <w:rPr>
                <w:rFonts w:cstheme="minorHAnsi"/>
                <w:sz w:val="17"/>
                <w:szCs w:val="17"/>
                <w:lang w:val="en-AU"/>
              </w:rPr>
              <w:t>EoP</w:t>
            </w:r>
            <w:proofErr w:type="spellEnd"/>
            <w:r w:rsidRPr="00DC35C1">
              <w:rPr>
                <w:rFonts w:cstheme="minorHAnsi"/>
                <w:sz w:val="17"/>
                <w:szCs w:val="17"/>
                <w:lang w:val="en-AU"/>
              </w:rPr>
              <w:t xml:space="preserve">- </w:t>
            </w:r>
            <w:r w:rsidR="00894019" w:rsidRPr="00DC35C1">
              <w:rPr>
                <w:rFonts w:cstheme="minorHAnsi"/>
                <w:sz w:val="17"/>
                <w:szCs w:val="17"/>
                <w:lang w:val="en-AU"/>
              </w:rPr>
              <w:t>Having in place an updated, functional EOP management and M&amp;E framework for the EOP portfolio</w:t>
            </w:r>
          </w:p>
        </w:tc>
        <w:tc>
          <w:tcPr>
            <w:tcW w:w="1158" w:type="dxa"/>
            <w:shd w:val="clear" w:color="auto" w:fill="72AF2F"/>
          </w:tcPr>
          <w:p w14:paraId="08B6E246" w14:textId="77777777" w:rsidR="00AF1B85" w:rsidRPr="00DC35C1" w:rsidRDefault="00AF1B85"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Achieved</w:t>
            </w:r>
          </w:p>
        </w:tc>
        <w:tc>
          <w:tcPr>
            <w:tcW w:w="6745" w:type="dxa"/>
          </w:tcPr>
          <w:p w14:paraId="6B1339F8" w14:textId="4A9F8817" w:rsidR="00AF1B85" w:rsidRPr="00DC35C1" w:rsidRDefault="00894019"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This was completed in mid-2018 with intensive engagement from all partners</w:t>
            </w:r>
            <w:r w:rsidR="005E6445">
              <w:rPr>
                <w:rFonts w:eastAsia="Times New Roman" w:cstheme="minorHAnsi"/>
                <w:iCs/>
                <w:sz w:val="17"/>
                <w:szCs w:val="17"/>
              </w:rPr>
              <w:t>.</w:t>
            </w:r>
          </w:p>
        </w:tc>
      </w:tr>
      <w:tr w:rsidR="00AF1B85" w:rsidRPr="00DC35C1" w14:paraId="10A39CEF" w14:textId="77777777" w:rsidTr="008629EF">
        <w:tc>
          <w:tcPr>
            <w:tcW w:w="6330" w:type="dxa"/>
          </w:tcPr>
          <w:p w14:paraId="373629BE" w14:textId="77777777" w:rsidR="00AF1B85" w:rsidRPr="00DC35C1" w:rsidRDefault="00DC35C1" w:rsidP="00D15A00">
            <w:pPr>
              <w:keepLines/>
              <w:spacing w:before="40" w:after="40" w:line="200" w:lineRule="atLeast"/>
              <w:rPr>
                <w:rFonts w:eastAsia="Times New Roman" w:cstheme="minorHAnsi"/>
                <w:iCs/>
                <w:sz w:val="17"/>
                <w:szCs w:val="17"/>
              </w:rPr>
            </w:pPr>
            <w:proofErr w:type="spellStart"/>
            <w:r w:rsidRPr="00DC35C1">
              <w:rPr>
                <w:rFonts w:eastAsia="Times New Roman" w:cstheme="minorHAnsi"/>
                <w:iCs/>
                <w:sz w:val="17"/>
                <w:szCs w:val="17"/>
              </w:rPr>
              <w:t>EoP</w:t>
            </w:r>
            <w:proofErr w:type="spellEnd"/>
            <w:r w:rsidRPr="00DC35C1">
              <w:rPr>
                <w:rFonts w:eastAsia="Times New Roman" w:cstheme="minorHAnsi"/>
                <w:iCs/>
                <w:sz w:val="17"/>
                <w:szCs w:val="17"/>
              </w:rPr>
              <w:t xml:space="preserve">- </w:t>
            </w:r>
            <w:r w:rsidR="00894019" w:rsidRPr="00DC35C1">
              <w:rPr>
                <w:rFonts w:eastAsia="Times New Roman" w:cstheme="minorHAnsi"/>
                <w:iCs/>
                <w:sz w:val="17"/>
                <w:szCs w:val="17"/>
              </w:rPr>
              <w:t>Re-orientation of the MDF strategy</w:t>
            </w:r>
          </w:p>
        </w:tc>
        <w:tc>
          <w:tcPr>
            <w:tcW w:w="1158" w:type="dxa"/>
            <w:shd w:val="clear" w:color="auto" w:fill="72AF2F"/>
          </w:tcPr>
          <w:p w14:paraId="33EC244F" w14:textId="77777777" w:rsidR="00AF1B85" w:rsidRPr="00DC35C1" w:rsidRDefault="00AF1B85"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Achieved</w:t>
            </w:r>
            <w:r w:rsidRPr="00DC35C1">
              <w:rPr>
                <w:rFonts w:eastAsia="Times New Roman" w:cstheme="minorHAnsi"/>
                <w:iCs/>
                <w:color w:val="FFFFFF" w:themeColor="background1"/>
                <w:sz w:val="17"/>
                <w:szCs w:val="17"/>
              </w:rPr>
              <w:fldChar w:fldCharType="begin"/>
            </w:r>
            <w:r w:rsidRPr="00DC35C1">
              <w:rPr>
                <w:rFonts w:eastAsia="Times New Roman" w:cstheme="minorHAnsi"/>
                <w:iCs/>
                <w:color w:val="FFFFFF" w:themeColor="background1"/>
                <w:sz w:val="17"/>
                <w:szCs w:val="17"/>
              </w:rPr>
              <w:instrText xml:space="preserve"> AUTOTEXTLIST  \s "Rating bullet"\t "Right click to choose a rating" \* MERGEFORMAT </w:instrText>
            </w:r>
            <w:r w:rsidRPr="00DC35C1">
              <w:rPr>
                <w:rFonts w:eastAsia="Times New Roman" w:cstheme="minorHAnsi"/>
                <w:iCs/>
                <w:color w:val="FFFFFF" w:themeColor="background1"/>
                <w:sz w:val="17"/>
                <w:szCs w:val="17"/>
              </w:rPr>
              <w:fldChar w:fldCharType="end"/>
            </w:r>
          </w:p>
        </w:tc>
        <w:tc>
          <w:tcPr>
            <w:tcW w:w="6745" w:type="dxa"/>
          </w:tcPr>
          <w:p w14:paraId="0539ACB7" w14:textId="6534C68D" w:rsidR="00AF1B85" w:rsidRPr="00DC35C1" w:rsidRDefault="00894019"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Completed satisfactorily</w:t>
            </w:r>
            <w:r w:rsidR="005E6445">
              <w:rPr>
                <w:rFonts w:eastAsia="Times New Roman" w:cstheme="minorHAnsi"/>
                <w:iCs/>
                <w:sz w:val="17"/>
                <w:szCs w:val="17"/>
              </w:rPr>
              <w:t>.</w:t>
            </w:r>
          </w:p>
        </w:tc>
      </w:tr>
      <w:tr w:rsidR="00AF1B85" w:rsidRPr="00DC35C1" w14:paraId="50F6E454" w14:textId="77777777" w:rsidTr="008629EF">
        <w:tc>
          <w:tcPr>
            <w:tcW w:w="6330" w:type="dxa"/>
          </w:tcPr>
          <w:p w14:paraId="6FC835FE" w14:textId="77777777" w:rsidR="00AF1B85" w:rsidRPr="00DC35C1" w:rsidRDefault="00DC35C1" w:rsidP="00D15A00">
            <w:pPr>
              <w:keepLines/>
              <w:spacing w:before="40" w:after="40" w:line="200" w:lineRule="atLeast"/>
              <w:rPr>
                <w:rFonts w:eastAsia="Times New Roman" w:cstheme="minorHAnsi"/>
                <w:iCs/>
                <w:sz w:val="17"/>
                <w:szCs w:val="17"/>
              </w:rPr>
            </w:pPr>
            <w:proofErr w:type="spellStart"/>
            <w:r w:rsidRPr="00DC35C1">
              <w:rPr>
                <w:rFonts w:eastAsia="Times New Roman" w:cstheme="minorHAnsi"/>
                <w:iCs/>
                <w:sz w:val="17"/>
                <w:szCs w:val="17"/>
              </w:rPr>
              <w:t>EoP</w:t>
            </w:r>
            <w:proofErr w:type="spellEnd"/>
            <w:r w:rsidRPr="00DC35C1">
              <w:rPr>
                <w:rFonts w:eastAsia="Times New Roman" w:cstheme="minorHAnsi"/>
                <w:iCs/>
                <w:sz w:val="17"/>
                <w:szCs w:val="17"/>
              </w:rPr>
              <w:t xml:space="preserve">- </w:t>
            </w:r>
            <w:r w:rsidR="00894019" w:rsidRPr="00DC35C1">
              <w:rPr>
                <w:rFonts w:eastAsia="Times New Roman" w:cstheme="minorHAnsi"/>
                <w:iCs/>
                <w:sz w:val="17"/>
                <w:szCs w:val="17"/>
              </w:rPr>
              <w:t>Cross learning between MDF and S4IG</w:t>
            </w:r>
          </w:p>
        </w:tc>
        <w:tc>
          <w:tcPr>
            <w:tcW w:w="1158" w:type="dxa"/>
            <w:shd w:val="clear" w:color="auto" w:fill="72AF2F"/>
          </w:tcPr>
          <w:p w14:paraId="6ECC41D0" w14:textId="77777777" w:rsidR="00AF1B85" w:rsidRPr="00DC35C1" w:rsidRDefault="00AF1B85" w:rsidP="00D15A00">
            <w:pPr>
              <w:keepLines/>
              <w:spacing w:before="40" w:after="40" w:line="200" w:lineRule="atLeast"/>
              <w:jc w:val="center"/>
              <w:rPr>
                <w:rFonts w:eastAsia="Times New Roman" w:cstheme="minorHAnsi"/>
                <w:iCs/>
                <w:color w:val="FFFFFF"/>
                <w:sz w:val="17"/>
                <w:szCs w:val="17"/>
              </w:rPr>
            </w:pPr>
            <w:r w:rsidRPr="00DC35C1">
              <w:rPr>
                <w:rFonts w:eastAsia="Times New Roman" w:cstheme="minorHAnsi"/>
                <w:iCs/>
                <w:color w:val="FFFFFF" w:themeColor="background1"/>
                <w:sz w:val="17"/>
                <w:szCs w:val="17"/>
              </w:rPr>
              <w:t>Achieved</w:t>
            </w:r>
          </w:p>
        </w:tc>
        <w:tc>
          <w:tcPr>
            <w:tcW w:w="6745" w:type="dxa"/>
          </w:tcPr>
          <w:p w14:paraId="2D05C22C" w14:textId="34B1F427" w:rsidR="00AF1B85" w:rsidRPr="00DC35C1" w:rsidRDefault="00894019"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Cross learning between MDF and S4IG was initiated by having each program team leader sitting in on the quarterly steering committee meeting of the other program. Additional partnership and collaboration opportunities were also explored through a partnership brokering discussion facilitated by Post in mid-2018 with regular interaction and information sharing now tak</w:t>
            </w:r>
            <w:r w:rsidR="00DD46BE" w:rsidRPr="00DC35C1">
              <w:rPr>
                <w:rFonts w:eastAsia="Times New Roman" w:cstheme="minorHAnsi"/>
                <w:iCs/>
                <w:sz w:val="17"/>
                <w:szCs w:val="17"/>
              </w:rPr>
              <w:t>ing place between both programs</w:t>
            </w:r>
            <w:r w:rsidR="005E6445">
              <w:rPr>
                <w:rFonts w:eastAsia="Times New Roman" w:cstheme="minorHAnsi"/>
                <w:iCs/>
                <w:sz w:val="17"/>
                <w:szCs w:val="17"/>
              </w:rPr>
              <w:t>.</w:t>
            </w:r>
          </w:p>
        </w:tc>
      </w:tr>
      <w:tr w:rsidR="00AF1B85" w:rsidRPr="00DC35C1" w14:paraId="27D89A10" w14:textId="77777777" w:rsidTr="008629EF">
        <w:tc>
          <w:tcPr>
            <w:tcW w:w="6330" w:type="dxa"/>
          </w:tcPr>
          <w:p w14:paraId="2AA25C42" w14:textId="77777777" w:rsidR="00AF1B85" w:rsidRPr="00DC35C1" w:rsidRDefault="00DC35C1" w:rsidP="00D15A00">
            <w:pPr>
              <w:keepLines/>
              <w:spacing w:before="40" w:after="40" w:line="200" w:lineRule="atLeast"/>
              <w:rPr>
                <w:rFonts w:eastAsia="Times New Roman" w:cstheme="minorHAnsi"/>
                <w:iCs/>
                <w:sz w:val="17"/>
                <w:szCs w:val="17"/>
              </w:rPr>
            </w:pPr>
            <w:proofErr w:type="spellStart"/>
            <w:r w:rsidRPr="00DC35C1">
              <w:rPr>
                <w:rFonts w:eastAsia="Times New Roman" w:cstheme="minorHAnsi"/>
                <w:iCs/>
                <w:sz w:val="17"/>
                <w:szCs w:val="17"/>
              </w:rPr>
              <w:t>EoP</w:t>
            </w:r>
            <w:proofErr w:type="spellEnd"/>
            <w:r w:rsidRPr="00DC35C1">
              <w:rPr>
                <w:rFonts w:eastAsia="Times New Roman" w:cstheme="minorHAnsi"/>
                <w:iCs/>
                <w:sz w:val="17"/>
                <w:szCs w:val="17"/>
              </w:rPr>
              <w:t xml:space="preserve">- </w:t>
            </w:r>
            <w:r w:rsidR="00894019" w:rsidRPr="00DC35C1">
              <w:rPr>
                <w:rFonts w:eastAsia="Times New Roman" w:cstheme="minorHAnsi"/>
                <w:iCs/>
                <w:sz w:val="17"/>
                <w:szCs w:val="17"/>
              </w:rPr>
              <w:t>Financial management of EOP portfolio</w:t>
            </w:r>
          </w:p>
        </w:tc>
        <w:tc>
          <w:tcPr>
            <w:tcW w:w="1158" w:type="dxa"/>
            <w:shd w:val="clear" w:color="auto" w:fill="72AF2F"/>
          </w:tcPr>
          <w:p w14:paraId="31BA1F7A" w14:textId="77777777" w:rsidR="00AF1B85" w:rsidRPr="00DC35C1" w:rsidRDefault="00DD46BE"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Achieved</w:t>
            </w:r>
          </w:p>
        </w:tc>
        <w:tc>
          <w:tcPr>
            <w:tcW w:w="6745" w:type="dxa"/>
          </w:tcPr>
          <w:p w14:paraId="4C565A72" w14:textId="29F04959" w:rsidR="00AF1B85" w:rsidRPr="00DC35C1" w:rsidRDefault="00DD46BE"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Now on track and</w:t>
            </w:r>
            <w:r w:rsidR="00894019" w:rsidRPr="00DC35C1">
              <w:rPr>
                <w:rFonts w:eastAsia="Times New Roman" w:cstheme="minorHAnsi"/>
                <w:iCs/>
                <w:sz w:val="17"/>
                <w:szCs w:val="17"/>
              </w:rPr>
              <w:t xml:space="preserve"> EOFY expenditure is on target</w:t>
            </w:r>
            <w:r w:rsidR="005E6445">
              <w:rPr>
                <w:rFonts w:eastAsia="Times New Roman" w:cstheme="minorHAnsi"/>
                <w:iCs/>
                <w:sz w:val="17"/>
                <w:szCs w:val="17"/>
              </w:rPr>
              <w:t>.</w:t>
            </w:r>
          </w:p>
        </w:tc>
      </w:tr>
      <w:tr w:rsidR="00AF1B85" w:rsidRPr="00DC35C1" w14:paraId="35605857" w14:textId="77777777" w:rsidTr="008629EF">
        <w:tc>
          <w:tcPr>
            <w:tcW w:w="6330" w:type="dxa"/>
          </w:tcPr>
          <w:p w14:paraId="3B9B18B3" w14:textId="77777777" w:rsidR="00AF1B85" w:rsidRPr="00DC35C1" w:rsidRDefault="00DC35C1"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 xml:space="preserve">G4G- </w:t>
            </w:r>
            <w:r w:rsidR="000A59F7" w:rsidRPr="00DC35C1">
              <w:rPr>
                <w:rFonts w:eastAsia="Times New Roman" w:cstheme="minorHAnsi"/>
                <w:iCs/>
                <w:sz w:val="17"/>
                <w:szCs w:val="17"/>
              </w:rPr>
              <w:t>Establish a G4G linkages activity</w:t>
            </w:r>
          </w:p>
        </w:tc>
        <w:tc>
          <w:tcPr>
            <w:tcW w:w="1158" w:type="dxa"/>
            <w:shd w:val="clear" w:color="auto" w:fill="72AF2F"/>
          </w:tcPr>
          <w:p w14:paraId="480F7068" w14:textId="77777777" w:rsidR="00AF1B85" w:rsidRPr="00DC35C1" w:rsidRDefault="000A59F7"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A</w:t>
            </w:r>
            <w:r w:rsidR="00AF1B85" w:rsidRPr="00DC35C1">
              <w:rPr>
                <w:rFonts w:eastAsia="Times New Roman" w:cstheme="minorHAnsi"/>
                <w:iCs/>
                <w:color w:val="FFFFFF" w:themeColor="background1"/>
                <w:sz w:val="17"/>
                <w:szCs w:val="17"/>
              </w:rPr>
              <w:t>chieved</w:t>
            </w:r>
          </w:p>
        </w:tc>
        <w:tc>
          <w:tcPr>
            <w:tcW w:w="6745" w:type="dxa"/>
          </w:tcPr>
          <w:p w14:paraId="13581668" w14:textId="023A9242" w:rsidR="00AF1B85" w:rsidRPr="00DC35C1" w:rsidRDefault="000A59F7"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The KLIE Grants Program was established, with the pilot call for proposals going out in November 2018, and 4 grants being approved and committed by March 2019</w:t>
            </w:r>
            <w:r w:rsidR="005E6445">
              <w:rPr>
                <w:rFonts w:eastAsia="Times New Roman" w:cstheme="minorHAnsi"/>
                <w:iCs/>
                <w:sz w:val="17"/>
                <w:szCs w:val="17"/>
              </w:rPr>
              <w:t>.</w:t>
            </w:r>
          </w:p>
        </w:tc>
      </w:tr>
      <w:tr w:rsidR="000A59F7" w:rsidRPr="00DC35C1" w14:paraId="1119D9B7" w14:textId="77777777" w:rsidTr="008629EF">
        <w:tc>
          <w:tcPr>
            <w:tcW w:w="6330" w:type="dxa"/>
          </w:tcPr>
          <w:p w14:paraId="4C29E329" w14:textId="624536EC" w:rsidR="000A59F7" w:rsidRPr="00DC35C1" w:rsidRDefault="00DC35C1" w:rsidP="00EE40EC">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 xml:space="preserve">G4G- </w:t>
            </w:r>
            <w:r w:rsidR="000A59F7" w:rsidRPr="00DC35C1">
              <w:rPr>
                <w:rFonts w:eastAsia="Times New Roman" w:cstheme="minorHAnsi"/>
                <w:iCs/>
                <w:sz w:val="17"/>
                <w:szCs w:val="17"/>
              </w:rPr>
              <w:t xml:space="preserve">Establish a G4G </w:t>
            </w:r>
            <w:r w:rsidR="00EE40EC">
              <w:rPr>
                <w:rFonts w:eastAsia="Times New Roman" w:cstheme="minorHAnsi"/>
                <w:iCs/>
                <w:sz w:val="17"/>
                <w:szCs w:val="17"/>
              </w:rPr>
              <w:t>Advisor Team</w:t>
            </w:r>
          </w:p>
        </w:tc>
        <w:tc>
          <w:tcPr>
            <w:tcW w:w="1158" w:type="dxa"/>
            <w:shd w:val="clear" w:color="auto" w:fill="E36C0A"/>
          </w:tcPr>
          <w:p w14:paraId="7DFC88C3" w14:textId="77777777" w:rsidR="000A59F7" w:rsidRPr="00DC35C1" w:rsidRDefault="000A59F7"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Partly achieved</w:t>
            </w:r>
          </w:p>
        </w:tc>
        <w:tc>
          <w:tcPr>
            <w:tcW w:w="6745" w:type="dxa"/>
          </w:tcPr>
          <w:p w14:paraId="5C179E1E" w14:textId="48B610CA" w:rsidR="000A59F7" w:rsidRPr="00DC35C1" w:rsidRDefault="000A59F7"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A Strategic Review team containing Governance, GESI and Political-Economy specialists was individua</w:t>
            </w:r>
            <w:r w:rsidR="00EE40EC">
              <w:rPr>
                <w:rFonts w:eastAsia="Times New Roman" w:cstheme="minorHAnsi"/>
                <w:iCs/>
                <w:sz w:val="17"/>
                <w:szCs w:val="17"/>
              </w:rPr>
              <w:t>lly contracted in September 2018</w:t>
            </w:r>
            <w:r w:rsidRPr="00DC35C1">
              <w:rPr>
                <w:rFonts w:eastAsia="Times New Roman" w:cstheme="minorHAnsi"/>
                <w:iCs/>
                <w:sz w:val="17"/>
                <w:szCs w:val="17"/>
              </w:rPr>
              <w:t xml:space="preserve"> to undertake the Review and develop a bilateral program Governance Strategy</w:t>
            </w:r>
            <w:r w:rsidR="00EE40EC">
              <w:rPr>
                <w:rFonts w:eastAsia="Times New Roman" w:cstheme="minorHAnsi"/>
                <w:iCs/>
                <w:sz w:val="17"/>
                <w:szCs w:val="17"/>
              </w:rPr>
              <w:t xml:space="preserve">. </w:t>
            </w:r>
            <w:r w:rsidR="00EE40EC" w:rsidRPr="00EE40EC">
              <w:rPr>
                <w:rFonts w:eastAsia="Times New Roman" w:cstheme="minorHAnsi"/>
                <w:iCs/>
                <w:sz w:val="17"/>
                <w:szCs w:val="17"/>
              </w:rPr>
              <w:t>Advisor Team procurement conducted. Contract to be signed Sept/Oct 2019.</w:t>
            </w:r>
          </w:p>
        </w:tc>
      </w:tr>
      <w:tr w:rsidR="000A59F7" w:rsidRPr="00DC35C1" w14:paraId="3265EED7" w14:textId="77777777" w:rsidTr="008629EF">
        <w:tc>
          <w:tcPr>
            <w:tcW w:w="6330" w:type="dxa"/>
          </w:tcPr>
          <w:p w14:paraId="27C1FBC7" w14:textId="77777777" w:rsidR="000A59F7" w:rsidRPr="00DC35C1" w:rsidRDefault="00DC35C1"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 xml:space="preserve">G4G- </w:t>
            </w:r>
            <w:r w:rsidR="000A59F7" w:rsidRPr="00DC35C1">
              <w:rPr>
                <w:rFonts w:eastAsia="Times New Roman" w:cstheme="minorHAnsi"/>
                <w:iCs/>
                <w:sz w:val="17"/>
                <w:szCs w:val="17"/>
              </w:rPr>
              <w:t>Sustainability and exit strategy for SNGP</w:t>
            </w:r>
          </w:p>
        </w:tc>
        <w:tc>
          <w:tcPr>
            <w:tcW w:w="1158" w:type="dxa"/>
            <w:shd w:val="clear" w:color="auto" w:fill="72AF2F"/>
          </w:tcPr>
          <w:p w14:paraId="57E4C0E8" w14:textId="77777777" w:rsidR="000A59F7" w:rsidRPr="00DC35C1" w:rsidRDefault="000A59F7"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Achieved</w:t>
            </w:r>
          </w:p>
        </w:tc>
        <w:tc>
          <w:tcPr>
            <w:tcW w:w="6745" w:type="dxa"/>
          </w:tcPr>
          <w:p w14:paraId="7DC96649" w14:textId="1C09A6ED" w:rsidR="000A59F7" w:rsidRPr="00DC35C1" w:rsidRDefault="000A59F7"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A 12-month costed extension for the SNGP program was signed off in March 2019 following discussions with TAF based on the reviews noted below</w:t>
            </w:r>
            <w:r w:rsidR="005E6445">
              <w:rPr>
                <w:rFonts w:eastAsia="Times New Roman" w:cstheme="minorHAnsi"/>
                <w:iCs/>
                <w:sz w:val="17"/>
                <w:szCs w:val="17"/>
              </w:rPr>
              <w:t>.</w:t>
            </w:r>
          </w:p>
        </w:tc>
      </w:tr>
      <w:tr w:rsidR="000A59F7" w:rsidRPr="00DC35C1" w14:paraId="60CFA8B5" w14:textId="77777777" w:rsidTr="008629EF">
        <w:tc>
          <w:tcPr>
            <w:tcW w:w="6330" w:type="dxa"/>
          </w:tcPr>
          <w:p w14:paraId="0B886C60" w14:textId="77777777" w:rsidR="000A59F7" w:rsidRPr="00DC35C1" w:rsidRDefault="00DC35C1"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 xml:space="preserve">G4G- </w:t>
            </w:r>
            <w:r w:rsidR="000A59F7" w:rsidRPr="00DC35C1">
              <w:rPr>
                <w:rFonts w:eastAsia="Times New Roman" w:cstheme="minorHAnsi"/>
                <w:iCs/>
                <w:sz w:val="17"/>
                <w:szCs w:val="17"/>
              </w:rPr>
              <w:t>Review SNGP</w:t>
            </w:r>
          </w:p>
        </w:tc>
        <w:tc>
          <w:tcPr>
            <w:tcW w:w="1158" w:type="dxa"/>
            <w:shd w:val="clear" w:color="auto" w:fill="72AF2F"/>
          </w:tcPr>
          <w:p w14:paraId="0BB2502E" w14:textId="77777777" w:rsidR="000A59F7" w:rsidRPr="00DC35C1" w:rsidRDefault="000A59F7"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Achieved</w:t>
            </w:r>
          </w:p>
        </w:tc>
        <w:tc>
          <w:tcPr>
            <w:tcW w:w="6745" w:type="dxa"/>
          </w:tcPr>
          <w:p w14:paraId="52BABC1E" w14:textId="39558760" w:rsidR="000A59F7" w:rsidRPr="00DC35C1" w:rsidRDefault="000A59F7"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SNGP was reviewed in two ways. It was a subject of the Strategic Review, and also had its results and program logic verified by DFAT's contracted independent advisor. Both reports were delivered in January 2019</w:t>
            </w:r>
            <w:r w:rsidR="005E6445">
              <w:rPr>
                <w:rFonts w:eastAsia="Times New Roman" w:cstheme="minorHAnsi"/>
                <w:iCs/>
                <w:sz w:val="17"/>
                <w:szCs w:val="17"/>
              </w:rPr>
              <w:t>.</w:t>
            </w:r>
          </w:p>
        </w:tc>
      </w:tr>
      <w:tr w:rsidR="000A59F7" w:rsidRPr="00DC35C1" w14:paraId="428E6E8E" w14:textId="77777777" w:rsidTr="008629EF">
        <w:tc>
          <w:tcPr>
            <w:tcW w:w="6330" w:type="dxa"/>
          </w:tcPr>
          <w:p w14:paraId="1988117B" w14:textId="77777777" w:rsidR="000A59F7" w:rsidRPr="00DC35C1" w:rsidRDefault="00DC35C1"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 xml:space="preserve">G4G- </w:t>
            </w:r>
            <w:r w:rsidR="000A59F7" w:rsidRPr="00DC35C1">
              <w:rPr>
                <w:rFonts w:eastAsia="Times New Roman" w:cstheme="minorHAnsi"/>
                <w:iCs/>
                <w:sz w:val="17"/>
                <w:szCs w:val="17"/>
              </w:rPr>
              <w:t>Greater focus on Gender in G4G</w:t>
            </w:r>
          </w:p>
        </w:tc>
        <w:tc>
          <w:tcPr>
            <w:tcW w:w="1158" w:type="dxa"/>
            <w:shd w:val="clear" w:color="auto" w:fill="72AF2F"/>
          </w:tcPr>
          <w:p w14:paraId="14135A7A" w14:textId="77777777" w:rsidR="000A59F7" w:rsidRPr="00DC35C1" w:rsidRDefault="00DC35C1"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Achieved</w:t>
            </w:r>
          </w:p>
        </w:tc>
        <w:tc>
          <w:tcPr>
            <w:tcW w:w="6745" w:type="dxa"/>
          </w:tcPr>
          <w:p w14:paraId="4582B60A" w14:textId="2D3A2285" w:rsidR="000A59F7" w:rsidRPr="00DC35C1" w:rsidRDefault="002E1010" w:rsidP="00EE40EC">
            <w:pPr>
              <w:keepLines/>
              <w:spacing w:before="40" w:after="40" w:line="200" w:lineRule="atLeast"/>
              <w:rPr>
                <w:rFonts w:eastAsia="Times New Roman" w:cstheme="minorHAnsi"/>
                <w:iCs/>
                <w:sz w:val="17"/>
                <w:szCs w:val="17"/>
              </w:rPr>
            </w:pPr>
            <w:r w:rsidRPr="00C43922">
              <w:rPr>
                <w:rFonts w:eastAsia="Times New Roman" w:cs="Calibri Light"/>
                <w:iCs/>
                <w:sz w:val="17"/>
                <w:szCs w:val="17"/>
              </w:rPr>
              <w:t xml:space="preserve">Post has made gender equality a standing item in its regular meetings with delivery partners. </w:t>
            </w:r>
            <w:r w:rsidRPr="002E1010">
              <w:rPr>
                <w:rFonts w:eastAsia="Times New Roman" w:cs="Calibri Light"/>
                <w:iCs/>
                <w:sz w:val="17"/>
                <w:szCs w:val="17"/>
              </w:rPr>
              <w:t xml:space="preserve">G4G implementing partner TAF led learning forum held a dedicated session on gender equality and </w:t>
            </w:r>
            <w:r w:rsidRPr="00815470">
              <w:rPr>
                <w:rFonts w:eastAsia="Times New Roman" w:cs="Calibri Light"/>
                <w:iCs/>
                <w:sz w:val="17"/>
                <w:szCs w:val="17"/>
              </w:rPr>
              <w:t>social inclusion to</w:t>
            </w:r>
            <w:r w:rsidRPr="002E1010">
              <w:rPr>
                <w:rFonts w:eastAsia="Times New Roman" w:cs="Calibri Light"/>
                <w:iCs/>
                <w:sz w:val="17"/>
                <w:szCs w:val="17"/>
              </w:rPr>
              <w:t xml:space="preserve"> influence a wider community of practice on gendering development and service delivery outcomes. The World </w:t>
            </w:r>
            <w:r w:rsidR="00EE40EC">
              <w:rPr>
                <w:rFonts w:eastAsia="Times New Roman" w:cs="Calibri Light"/>
                <w:iCs/>
                <w:sz w:val="17"/>
                <w:szCs w:val="17"/>
              </w:rPr>
              <w:t>Bank finalised its gender gap analysis and is updating projects and implementation plans accordingly</w:t>
            </w:r>
            <w:r w:rsidRPr="002E1010">
              <w:rPr>
                <w:rFonts w:eastAsia="Times New Roman" w:cs="Calibri Light"/>
                <w:iCs/>
                <w:sz w:val="17"/>
                <w:szCs w:val="17"/>
              </w:rPr>
              <w:t>.</w:t>
            </w:r>
            <w:r>
              <w:rPr>
                <w:rFonts w:eastAsia="Times New Roman" w:cs="Calibri Light"/>
                <w:iCs/>
                <w:sz w:val="17"/>
                <w:szCs w:val="17"/>
              </w:rPr>
              <w:t xml:space="preserve"> Gender </w:t>
            </w:r>
            <w:r w:rsidRPr="00C43922">
              <w:rPr>
                <w:rFonts w:eastAsia="Times New Roman" w:cs="Calibri Light"/>
                <w:iCs/>
                <w:sz w:val="17"/>
                <w:szCs w:val="17"/>
              </w:rPr>
              <w:t>was also a selection criterion in the call for KLIE Grant proposals.</w:t>
            </w:r>
          </w:p>
        </w:tc>
      </w:tr>
      <w:tr w:rsidR="00DC35C1" w:rsidRPr="00DC35C1" w14:paraId="37972A51" w14:textId="77777777" w:rsidTr="008629EF">
        <w:tc>
          <w:tcPr>
            <w:tcW w:w="6330" w:type="dxa"/>
          </w:tcPr>
          <w:p w14:paraId="6D341E04" w14:textId="77777777" w:rsidR="00DC35C1" w:rsidRPr="00DC35C1" w:rsidRDefault="00DC35C1"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G4G- Establish quarterly meetings with the World Bank</w:t>
            </w:r>
          </w:p>
        </w:tc>
        <w:tc>
          <w:tcPr>
            <w:tcW w:w="1158" w:type="dxa"/>
            <w:shd w:val="clear" w:color="auto" w:fill="72AF2F"/>
          </w:tcPr>
          <w:p w14:paraId="037076E5" w14:textId="77777777" w:rsidR="00DC35C1" w:rsidRPr="00DC35C1" w:rsidRDefault="00DC35C1"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Achieved</w:t>
            </w:r>
          </w:p>
        </w:tc>
        <w:tc>
          <w:tcPr>
            <w:tcW w:w="6745" w:type="dxa"/>
          </w:tcPr>
          <w:p w14:paraId="0C8DD0FD" w14:textId="3C65B18F" w:rsidR="00DC35C1" w:rsidRPr="00DC35C1" w:rsidRDefault="00DC35C1"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Established by June 2018, with a revised activity tracker in place by September 2018</w:t>
            </w:r>
            <w:r w:rsidR="00EE40EC">
              <w:rPr>
                <w:rFonts w:eastAsia="Times New Roman" w:cstheme="minorHAnsi"/>
                <w:iCs/>
                <w:sz w:val="17"/>
                <w:szCs w:val="17"/>
              </w:rPr>
              <w:t xml:space="preserve">. </w:t>
            </w:r>
          </w:p>
        </w:tc>
      </w:tr>
      <w:tr w:rsidR="00DC35C1" w:rsidRPr="00DC35C1" w14:paraId="6C20B364" w14:textId="77777777" w:rsidTr="008629EF">
        <w:tc>
          <w:tcPr>
            <w:tcW w:w="6330" w:type="dxa"/>
          </w:tcPr>
          <w:p w14:paraId="3D3F25F1" w14:textId="77777777" w:rsidR="00DC35C1" w:rsidRPr="00DC35C1" w:rsidRDefault="00DC35C1"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G4G- Develop G4G performance assessment &amp; MEL framework</w:t>
            </w:r>
          </w:p>
        </w:tc>
        <w:tc>
          <w:tcPr>
            <w:tcW w:w="1158" w:type="dxa"/>
            <w:shd w:val="clear" w:color="auto" w:fill="E36C0A"/>
          </w:tcPr>
          <w:p w14:paraId="3A9F5116" w14:textId="77777777" w:rsidR="00DC35C1" w:rsidRPr="00DC35C1" w:rsidRDefault="00DC35C1" w:rsidP="00D15A00">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Partly achieved</w:t>
            </w:r>
          </w:p>
        </w:tc>
        <w:tc>
          <w:tcPr>
            <w:tcW w:w="6745" w:type="dxa"/>
          </w:tcPr>
          <w:p w14:paraId="0CF69E39" w14:textId="21373DFA" w:rsidR="00DC35C1" w:rsidRPr="00DC35C1" w:rsidRDefault="00DC35C1" w:rsidP="00D15A00">
            <w:pPr>
              <w:keepLines/>
              <w:spacing w:before="40" w:after="40" w:line="200" w:lineRule="atLeast"/>
              <w:rPr>
                <w:rFonts w:eastAsia="Times New Roman" w:cstheme="minorHAnsi"/>
                <w:iCs/>
                <w:sz w:val="17"/>
                <w:szCs w:val="17"/>
              </w:rPr>
            </w:pPr>
            <w:r w:rsidRPr="00DC35C1">
              <w:rPr>
                <w:rFonts w:eastAsia="Times New Roman" w:cstheme="minorHAnsi"/>
                <w:iCs/>
                <w:sz w:val="17"/>
                <w:szCs w:val="17"/>
              </w:rPr>
              <w:t xml:space="preserve">Finalisation of a comprehensive MEL framework has been held over until delivery of the bilateral program </w:t>
            </w:r>
            <w:r w:rsidR="00EE40EC">
              <w:rPr>
                <w:rFonts w:eastAsia="Times New Roman" w:cstheme="minorHAnsi"/>
                <w:iCs/>
                <w:sz w:val="17"/>
                <w:szCs w:val="17"/>
              </w:rPr>
              <w:t>Governance Strategy in Oct 2019</w:t>
            </w:r>
            <w:r w:rsidRPr="00DC35C1">
              <w:rPr>
                <w:rFonts w:eastAsia="Times New Roman" w:cstheme="minorHAnsi"/>
                <w:iCs/>
                <w:sz w:val="17"/>
                <w:szCs w:val="17"/>
              </w:rPr>
              <w:t xml:space="preserve">. The Strategic Review provided an interim assessment of progress against </w:t>
            </w:r>
            <w:proofErr w:type="spellStart"/>
            <w:r w:rsidRPr="00DC35C1">
              <w:rPr>
                <w:rFonts w:eastAsia="Times New Roman" w:cstheme="minorHAnsi"/>
                <w:iCs/>
                <w:sz w:val="17"/>
                <w:szCs w:val="17"/>
              </w:rPr>
              <w:t>EoI</w:t>
            </w:r>
            <w:proofErr w:type="spellEnd"/>
            <w:r w:rsidRPr="00DC35C1">
              <w:rPr>
                <w:rFonts w:eastAsia="Times New Roman" w:cstheme="minorHAnsi"/>
                <w:iCs/>
                <w:sz w:val="17"/>
                <w:szCs w:val="17"/>
              </w:rPr>
              <w:t xml:space="preserve"> Objectives</w:t>
            </w:r>
            <w:r w:rsidR="005E6445">
              <w:rPr>
                <w:rFonts w:eastAsia="Times New Roman" w:cstheme="minorHAnsi"/>
                <w:iCs/>
                <w:sz w:val="17"/>
                <w:szCs w:val="17"/>
              </w:rPr>
              <w:t>.</w:t>
            </w:r>
          </w:p>
        </w:tc>
      </w:tr>
      <w:tr w:rsidR="00EE40EC" w:rsidRPr="00DC35C1" w14:paraId="0B2FA71A" w14:textId="77777777" w:rsidTr="00DE78AD">
        <w:tc>
          <w:tcPr>
            <w:tcW w:w="6330" w:type="dxa"/>
          </w:tcPr>
          <w:p w14:paraId="637BD6BA" w14:textId="77777777" w:rsidR="00EE40EC" w:rsidRPr="00DC35C1" w:rsidRDefault="00EE40EC" w:rsidP="00EE40EC">
            <w:pPr>
              <w:keepLines/>
              <w:spacing w:before="40" w:after="40" w:line="200" w:lineRule="atLeast"/>
              <w:rPr>
                <w:rFonts w:eastAsia="Times New Roman" w:cstheme="minorHAnsi"/>
                <w:iCs/>
                <w:sz w:val="17"/>
                <w:szCs w:val="17"/>
              </w:rPr>
            </w:pPr>
            <w:r w:rsidRPr="003B5B68">
              <w:rPr>
                <w:rFonts w:eastAsia="Times New Roman" w:cstheme="minorHAnsi"/>
                <w:iCs/>
                <w:sz w:val="17"/>
                <w:szCs w:val="17"/>
              </w:rPr>
              <w:t>DFAT to recruit an external advisor to assist with monitoring the program and providing expert advice across the bilateral program.</w:t>
            </w:r>
          </w:p>
        </w:tc>
        <w:tc>
          <w:tcPr>
            <w:tcW w:w="1158" w:type="dxa"/>
            <w:shd w:val="clear" w:color="auto" w:fill="E36C0A"/>
          </w:tcPr>
          <w:p w14:paraId="20E97790" w14:textId="22F96272" w:rsidR="00EE40EC" w:rsidRPr="00DC35C1" w:rsidRDefault="00EE40EC" w:rsidP="00EE40EC">
            <w:pPr>
              <w:keepLines/>
              <w:spacing w:before="40" w:after="40" w:line="200" w:lineRule="atLeast"/>
              <w:jc w:val="center"/>
              <w:rPr>
                <w:rFonts w:eastAsia="Times New Roman" w:cstheme="minorHAnsi"/>
                <w:iCs/>
                <w:color w:val="FFFFFF" w:themeColor="background1"/>
                <w:sz w:val="17"/>
                <w:szCs w:val="17"/>
              </w:rPr>
            </w:pPr>
            <w:r w:rsidRPr="00DC35C1">
              <w:rPr>
                <w:rFonts w:eastAsia="Times New Roman" w:cstheme="minorHAnsi"/>
                <w:iCs/>
                <w:color w:val="FFFFFF" w:themeColor="background1"/>
                <w:sz w:val="17"/>
                <w:szCs w:val="17"/>
              </w:rPr>
              <w:t>Partly achieved</w:t>
            </w:r>
          </w:p>
        </w:tc>
        <w:tc>
          <w:tcPr>
            <w:tcW w:w="6745" w:type="dxa"/>
          </w:tcPr>
          <w:p w14:paraId="379C888F" w14:textId="446A0C41" w:rsidR="00EE40EC" w:rsidRPr="00DC35C1" w:rsidRDefault="00EE40EC" w:rsidP="00EE40EC">
            <w:pPr>
              <w:keepLines/>
              <w:spacing w:before="40" w:after="40" w:line="200" w:lineRule="atLeast"/>
              <w:rPr>
                <w:rFonts w:eastAsia="Times New Roman" w:cstheme="minorHAnsi"/>
                <w:iCs/>
                <w:sz w:val="17"/>
                <w:szCs w:val="17"/>
              </w:rPr>
            </w:pPr>
            <w:r>
              <w:rPr>
                <w:rFonts w:eastAsia="Times New Roman" w:cstheme="minorHAnsi"/>
                <w:iCs/>
                <w:sz w:val="17"/>
                <w:szCs w:val="17"/>
              </w:rPr>
              <w:t xml:space="preserve">Advisor Team procurement conducted. Contract to be signed Sept/Oct 2019. </w:t>
            </w:r>
          </w:p>
        </w:tc>
      </w:tr>
    </w:tbl>
    <w:p w14:paraId="2459964A" w14:textId="1BE75878" w:rsidR="00EE40EC" w:rsidRDefault="00EE40EC"/>
    <w:p w14:paraId="1539C74B" w14:textId="77777777" w:rsidR="00EE40EC" w:rsidRDefault="00EE40EC"/>
    <w:tbl>
      <w:tblPr>
        <w:tblStyle w:val="TableGrid1"/>
        <w:tblpPr w:leftFromText="180" w:rightFromText="180" w:vertAnchor="text" w:tblpY="1"/>
        <w:tblW w:w="5074" w:type="pct"/>
        <w:tblLayout w:type="fixed"/>
        <w:tblLook w:val="0000" w:firstRow="0" w:lastRow="0" w:firstColumn="0" w:lastColumn="0" w:noHBand="0" w:noVBand="0"/>
      </w:tblPr>
      <w:tblGrid>
        <w:gridCol w:w="6330"/>
        <w:gridCol w:w="1158"/>
        <w:gridCol w:w="6745"/>
      </w:tblGrid>
      <w:tr w:rsidR="003B5B68" w:rsidRPr="00DC35C1" w14:paraId="3F5B81CF" w14:textId="77777777" w:rsidTr="008629EF">
        <w:tc>
          <w:tcPr>
            <w:tcW w:w="6330" w:type="dxa"/>
          </w:tcPr>
          <w:p w14:paraId="3E2A390F" w14:textId="77777777" w:rsidR="003B5B68" w:rsidRPr="00DC35C1" w:rsidRDefault="003B5B68" w:rsidP="003B5B68">
            <w:pPr>
              <w:keepLines/>
              <w:spacing w:before="40" w:after="40" w:line="200" w:lineRule="atLeast"/>
              <w:rPr>
                <w:rFonts w:eastAsia="Times New Roman" w:cstheme="minorHAnsi"/>
                <w:iCs/>
                <w:sz w:val="17"/>
                <w:szCs w:val="17"/>
              </w:rPr>
            </w:pPr>
            <w:r w:rsidRPr="003B5B68">
              <w:rPr>
                <w:rFonts w:eastAsia="Times New Roman" w:cstheme="minorHAnsi"/>
                <w:iCs/>
                <w:sz w:val="17"/>
                <w:szCs w:val="17"/>
              </w:rPr>
              <w:t>DFAT to work with IFC to improve qualitative monitoring of the Women in Work program, including greater visibility of the activity pipeline, clearer explanation of progress towards program targets and budget forecasts.</w:t>
            </w:r>
          </w:p>
        </w:tc>
        <w:tc>
          <w:tcPr>
            <w:tcW w:w="1158" w:type="dxa"/>
            <w:shd w:val="clear" w:color="auto" w:fill="F6860A"/>
          </w:tcPr>
          <w:p w14:paraId="74DBB928" w14:textId="77777777" w:rsidR="003B5B68" w:rsidRPr="003B5B68" w:rsidRDefault="003B5B68" w:rsidP="00D15A00">
            <w:pPr>
              <w:keepLines/>
              <w:spacing w:before="40" w:after="40" w:line="200" w:lineRule="atLeast"/>
              <w:jc w:val="center"/>
              <w:rPr>
                <w:rFonts w:eastAsia="Times New Roman" w:cstheme="minorHAnsi"/>
                <w:iCs/>
                <w:color w:val="FFFFFF" w:themeColor="background1"/>
                <w:sz w:val="17"/>
                <w:szCs w:val="17"/>
              </w:rPr>
            </w:pPr>
            <w:r w:rsidRPr="003B5B68">
              <w:rPr>
                <w:rFonts w:eastAsia="Times New Roman" w:cstheme="minorHAnsi"/>
                <w:iCs/>
                <w:color w:val="FFFFFF" w:themeColor="background1"/>
                <w:sz w:val="17"/>
                <w:szCs w:val="17"/>
              </w:rPr>
              <w:t>Partly achieved</w:t>
            </w:r>
          </w:p>
        </w:tc>
        <w:tc>
          <w:tcPr>
            <w:tcW w:w="6745" w:type="dxa"/>
          </w:tcPr>
          <w:p w14:paraId="2C5B2307" w14:textId="77777777" w:rsidR="003B5B68" w:rsidRPr="003B5B68" w:rsidRDefault="003B5B68" w:rsidP="003B5B68">
            <w:pPr>
              <w:keepLines/>
              <w:spacing w:before="40" w:after="40" w:line="200" w:lineRule="atLeast"/>
              <w:rPr>
                <w:rFonts w:eastAsia="Times New Roman" w:cstheme="minorHAnsi"/>
                <w:iCs/>
                <w:sz w:val="17"/>
                <w:szCs w:val="17"/>
              </w:rPr>
            </w:pPr>
            <w:r>
              <w:rPr>
                <w:rFonts w:eastAsia="Times New Roman" w:cstheme="minorHAnsi"/>
                <w:iCs/>
                <w:sz w:val="17"/>
                <w:szCs w:val="17"/>
              </w:rPr>
              <w:t xml:space="preserve">Verbal updates are provided during quarterly meetings in addition to the bi-annual progress report. A </w:t>
            </w:r>
            <w:r w:rsidRPr="003B5B68">
              <w:rPr>
                <w:rFonts w:eastAsia="Times New Roman" w:cstheme="minorHAnsi"/>
                <w:iCs/>
                <w:sz w:val="17"/>
                <w:szCs w:val="17"/>
              </w:rPr>
              <w:t xml:space="preserve">work plan </w:t>
            </w:r>
            <w:r>
              <w:rPr>
                <w:rFonts w:eastAsia="Times New Roman" w:cstheme="minorHAnsi"/>
                <w:iCs/>
                <w:sz w:val="17"/>
                <w:szCs w:val="17"/>
              </w:rPr>
              <w:t>was implemented with annual forecaster activities and is updated after each quarterly meeting. Continuously pushing for budgeted forecasted activity list.</w:t>
            </w:r>
          </w:p>
        </w:tc>
      </w:tr>
    </w:tbl>
    <w:p w14:paraId="348FB9DE" w14:textId="77777777" w:rsidR="000A59F7" w:rsidRDefault="000A59F7" w:rsidP="00AF1B85">
      <w:pPr>
        <w:spacing w:before="20" w:after="20" w:line="180" w:lineRule="atLeast"/>
        <w:jc w:val="both"/>
        <w:rPr>
          <w:rFonts w:eastAsia="Times New Roman"/>
          <w:b/>
          <w:sz w:val="16"/>
          <w:szCs w:val="14"/>
        </w:rPr>
      </w:pPr>
    </w:p>
    <w:p w14:paraId="08DA410F" w14:textId="77777777" w:rsidR="000A59F7" w:rsidRDefault="000A59F7" w:rsidP="00AF1B85">
      <w:pPr>
        <w:spacing w:before="20" w:after="20" w:line="180" w:lineRule="atLeast"/>
        <w:jc w:val="both"/>
        <w:rPr>
          <w:rFonts w:eastAsia="Times New Roman"/>
          <w:b/>
          <w:sz w:val="16"/>
          <w:szCs w:val="14"/>
        </w:rPr>
      </w:pPr>
    </w:p>
    <w:p w14:paraId="37FE93E6"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3C7CA1E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145C732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39BACDF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4E7CC0BE" w14:textId="77777777" w:rsidR="00D00802" w:rsidRDefault="00D00802" w:rsidP="005B5769">
      <w:pPr>
        <w:pStyle w:val="ListBullet"/>
        <w:tabs>
          <w:tab w:val="clear" w:pos="284"/>
        </w:tabs>
        <w:sectPr w:rsidR="00D00802" w:rsidSect="00D00802">
          <w:headerReference w:type="first" r:id="rId25"/>
          <w:pgSz w:w="16838" w:h="11906" w:orient="landscape" w:code="9"/>
          <w:pgMar w:top="1134" w:right="1952" w:bottom="1134" w:left="851" w:header="1107" w:footer="567" w:gutter="0"/>
          <w:cols w:space="397"/>
          <w:titlePg/>
          <w:docGrid w:linePitch="360"/>
        </w:sectPr>
      </w:pPr>
    </w:p>
    <w:p w14:paraId="22FB1975" w14:textId="77777777" w:rsidR="00184F1E" w:rsidRPr="00EF26B5" w:rsidRDefault="00184F1E"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B – PERFORMANCE BENCHMARKS</w:t>
      </w:r>
    </w:p>
    <w:p w14:paraId="160C6E94" w14:textId="77777777" w:rsidR="00184F1E" w:rsidRPr="00F8189A" w:rsidRDefault="00F8189A" w:rsidP="00184F1E">
      <w:pPr>
        <w:rPr>
          <w:rFonts w:eastAsia="Times New Roman" w:cstheme="minorHAnsi"/>
          <w:sz w:val="32"/>
          <w:szCs w:val="32"/>
        </w:rPr>
      </w:pPr>
      <w:r>
        <w:rPr>
          <w:rFonts w:eastAsia="Times New Roman" w:cstheme="minorHAnsi"/>
          <w:sz w:val="32"/>
          <w:szCs w:val="32"/>
        </w:rPr>
        <w:t xml:space="preserve">1 </w:t>
      </w:r>
      <w:r w:rsidR="00184F1E" w:rsidRPr="00F8189A">
        <w:rPr>
          <w:rFonts w:eastAsia="Times New Roman" w:cstheme="minorHAnsi"/>
          <w:sz w:val="32"/>
          <w:szCs w:val="32"/>
        </w:rPr>
        <w:t>Progress towards Performance Benchmarks in 201</w:t>
      </w:r>
      <w:r w:rsidRPr="00F8189A">
        <w:rPr>
          <w:rFonts w:eastAsia="Times New Roman" w:cstheme="minorHAnsi"/>
          <w:sz w:val="32"/>
          <w:szCs w:val="32"/>
        </w:rPr>
        <w:t>8-19</w:t>
      </w:r>
    </w:p>
    <w:p w14:paraId="75FAEBC5" w14:textId="77777777" w:rsidR="00184F1E" w:rsidRPr="00F8189A" w:rsidRDefault="00184F1E" w:rsidP="00C73C66">
      <w:pPr>
        <w:spacing w:after="120"/>
        <w:rPr>
          <w:color w:val="FF0000"/>
        </w:rPr>
      </w:pP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188"/>
        <w:gridCol w:w="1318"/>
        <w:gridCol w:w="8331"/>
      </w:tblGrid>
      <w:tr w:rsidR="00184F1E" w:rsidRPr="00C61187" w14:paraId="54441D95" w14:textId="77777777" w:rsidTr="00E01E95">
        <w:trPr>
          <w:tblHeader/>
        </w:trPr>
        <w:tc>
          <w:tcPr>
            <w:tcW w:w="780" w:type="pct"/>
            <w:tcMar>
              <w:top w:w="57" w:type="dxa"/>
              <w:bottom w:w="57" w:type="dxa"/>
            </w:tcMar>
          </w:tcPr>
          <w:p w14:paraId="3633D3C3" w14:textId="77777777" w:rsidR="00184F1E" w:rsidRPr="00880004" w:rsidRDefault="00184F1E" w:rsidP="00F20EF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7D4FA898" w14:textId="77777777" w:rsidR="00184F1E" w:rsidRPr="00880004" w:rsidRDefault="00184F1E" w:rsidP="00F20EFD">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7403B75E" w14:textId="77777777" w:rsidR="00184F1E" w:rsidRPr="00880004" w:rsidRDefault="00184F1E" w:rsidP="00F20EFD">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4D9E7D92" w14:textId="77777777" w:rsidR="00184F1E" w:rsidRPr="00880004" w:rsidRDefault="00184F1E" w:rsidP="000847AD">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0847AD">
              <w:rPr>
                <w:rFonts w:asciiTheme="minorHAnsi" w:eastAsia="Times New Roman" w:hAnsiTheme="minorHAnsi"/>
                <w:b/>
                <w:iCs/>
                <w:szCs w:val="17"/>
                <w:lang w:eastAsia="en-US"/>
              </w:rPr>
              <w:t>8-19</w:t>
            </w:r>
          </w:p>
        </w:tc>
      </w:tr>
      <w:tr w:rsidR="00F8189A" w:rsidRPr="00C61187" w14:paraId="2D2A742A" w14:textId="77777777" w:rsidTr="00FF4728">
        <w:tc>
          <w:tcPr>
            <w:tcW w:w="780" w:type="pct"/>
            <w:tcMar>
              <w:top w:w="57" w:type="dxa"/>
              <w:bottom w:w="57" w:type="dxa"/>
            </w:tcMar>
          </w:tcPr>
          <w:p w14:paraId="542FCB46" w14:textId="77777777" w:rsidR="00F8189A" w:rsidRPr="00FF4728" w:rsidRDefault="00FF4728" w:rsidP="00F8189A">
            <w:pPr>
              <w:keepLines/>
              <w:spacing w:before="40" w:after="40" w:line="200" w:lineRule="atLeast"/>
              <w:rPr>
                <w:rFonts w:asciiTheme="minorHAnsi" w:eastAsia="Times New Roman" w:hAnsiTheme="minorHAnsi"/>
                <w:iCs/>
                <w:szCs w:val="17"/>
                <w:lang w:eastAsia="en-US"/>
              </w:rPr>
            </w:pPr>
            <w:r w:rsidRPr="00FF4728">
              <w:rPr>
                <w:rFonts w:asciiTheme="minorHAnsi" w:eastAsia="Times New Roman" w:hAnsiTheme="minorHAnsi"/>
                <w:iCs/>
                <w:szCs w:val="17"/>
                <w:lang w:eastAsia="en-US"/>
              </w:rPr>
              <w:t>Expand economic opportunities for the poor</w:t>
            </w:r>
          </w:p>
        </w:tc>
        <w:tc>
          <w:tcPr>
            <w:tcW w:w="780" w:type="pct"/>
          </w:tcPr>
          <w:p w14:paraId="489616B8" w14:textId="5F5159F7" w:rsidR="00F8189A" w:rsidRPr="00FF4728" w:rsidRDefault="00FF4728" w:rsidP="00F8189A">
            <w:pPr>
              <w:keepLines/>
              <w:spacing w:before="40" w:after="40" w:line="200" w:lineRule="atLeast"/>
              <w:rPr>
                <w:rFonts w:asciiTheme="minorHAnsi" w:eastAsia="Times New Roman" w:hAnsiTheme="minorHAnsi"/>
                <w:iCs/>
                <w:szCs w:val="17"/>
                <w:lang w:eastAsia="en-US"/>
              </w:rPr>
            </w:pPr>
            <w:r w:rsidRPr="00815470">
              <w:rPr>
                <w:rFonts w:asciiTheme="minorHAnsi" w:eastAsia="Times New Roman" w:hAnsiTheme="minorHAnsi"/>
                <w:iCs/>
                <w:szCs w:val="17"/>
                <w:lang w:eastAsia="en-US"/>
              </w:rPr>
              <w:t>Increase the targeted populations, including women and people with a disability, who have an increase in net</w:t>
            </w:r>
            <w:r w:rsidRPr="00FF4728">
              <w:rPr>
                <w:rFonts w:asciiTheme="minorHAnsi" w:eastAsia="Times New Roman" w:hAnsiTheme="minorHAnsi"/>
                <w:iCs/>
                <w:szCs w:val="17"/>
                <w:lang w:eastAsia="en-US"/>
              </w:rPr>
              <w:t xml:space="preserve"> additional income</w:t>
            </w:r>
            <w:r w:rsidR="005E6445">
              <w:rPr>
                <w:rFonts w:asciiTheme="minorHAnsi" w:eastAsia="Times New Roman" w:hAnsiTheme="minorHAnsi"/>
                <w:iCs/>
                <w:szCs w:val="17"/>
                <w:lang w:eastAsia="en-US"/>
              </w:rPr>
              <w:t>.</w:t>
            </w:r>
          </w:p>
        </w:tc>
        <w:tc>
          <w:tcPr>
            <w:tcW w:w="470" w:type="pct"/>
            <w:shd w:val="clear" w:color="auto" w:fill="72AF2F"/>
          </w:tcPr>
          <w:p w14:paraId="40F265F6" w14:textId="77777777" w:rsidR="00F8189A" w:rsidRPr="00880004" w:rsidRDefault="00F8189A" w:rsidP="00F8189A">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970" w:type="pct"/>
          </w:tcPr>
          <w:p w14:paraId="2E3E7565" w14:textId="02C43AFC" w:rsidR="00F8189A" w:rsidRPr="00FF4728" w:rsidRDefault="00FF4728" w:rsidP="009B7450">
            <w:pPr>
              <w:keepLines/>
              <w:spacing w:before="40" w:after="40" w:line="200" w:lineRule="atLeast"/>
              <w:rPr>
                <w:rFonts w:asciiTheme="minorHAnsi" w:eastAsia="Times New Roman" w:hAnsiTheme="minorHAnsi"/>
                <w:iCs/>
                <w:szCs w:val="17"/>
                <w:lang w:eastAsia="en-US"/>
              </w:rPr>
            </w:pPr>
            <w:r w:rsidRPr="00815470">
              <w:rPr>
                <w:rFonts w:asciiTheme="minorHAnsi" w:eastAsia="Times New Roman" w:hAnsiTheme="minorHAnsi"/>
                <w:iCs/>
                <w:szCs w:val="17"/>
                <w:lang w:eastAsia="en-US"/>
              </w:rPr>
              <w:t>The combined impact of</w:t>
            </w:r>
            <w:r w:rsidR="009B7450">
              <w:rPr>
                <w:rFonts w:asciiTheme="minorHAnsi" w:eastAsia="Times New Roman" w:hAnsiTheme="minorHAnsi"/>
                <w:iCs/>
                <w:szCs w:val="17"/>
                <w:lang w:eastAsia="en-US"/>
              </w:rPr>
              <w:t xml:space="preserve"> the EOP program of activities (</w:t>
            </w:r>
            <w:r w:rsidRPr="00815470">
              <w:rPr>
                <w:rFonts w:asciiTheme="minorHAnsi" w:eastAsia="Times New Roman" w:hAnsiTheme="minorHAnsi"/>
                <w:iCs/>
                <w:szCs w:val="17"/>
                <w:lang w:eastAsia="en-US"/>
              </w:rPr>
              <w:t xml:space="preserve"> MDF, S4IG and LEED</w:t>
            </w:r>
            <w:r w:rsidR="009B7450">
              <w:rPr>
                <w:rFonts w:asciiTheme="minorHAnsi" w:eastAsia="Times New Roman" w:hAnsiTheme="minorHAnsi"/>
                <w:iCs/>
                <w:szCs w:val="17"/>
                <w:lang w:eastAsia="en-US"/>
              </w:rPr>
              <w:t>)</w:t>
            </w:r>
            <w:r w:rsidRPr="00815470">
              <w:rPr>
                <w:rFonts w:asciiTheme="minorHAnsi" w:eastAsia="Times New Roman" w:hAnsiTheme="minorHAnsi"/>
                <w:iCs/>
                <w:szCs w:val="17"/>
                <w:lang w:eastAsia="en-US"/>
              </w:rPr>
              <w:t xml:space="preserve"> has led to an in</w:t>
            </w:r>
            <w:r w:rsidR="00EE40EC">
              <w:rPr>
                <w:rFonts w:asciiTheme="minorHAnsi" w:eastAsia="Times New Roman" w:hAnsiTheme="minorHAnsi"/>
                <w:iCs/>
                <w:szCs w:val="17"/>
                <w:lang w:eastAsia="en-US"/>
              </w:rPr>
              <w:t xml:space="preserve">crease of around </w:t>
            </w:r>
            <w:r w:rsidR="00EE40EC" w:rsidRPr="00EE40EC">
              <w:rPr>
                <w:rFonts w:asciiTheme="minorHAnsi" w:eastAsia="Times New Roman" w:hAnsiTheme="minorHAnsi"/>
                <w:iCs/>
                <w:szCs w:val="17"/>
                <w:lang w:eastAsia="en-US"/>
              </w:rPr>
              <w:t xml:space="preserve">LKR 1.15 billon (approximately </w:t>
            </w:r>
            <w:r w:rsidR="005E6445">
              <w:rPr>
                <w:rFonts w:asciiTheme="minorHAnsi" w:eastAsia="Times New Roman" w:hAnsiTheme="minorHAnsi"/>
                <w:iCs/>
                <w:szCs w:val="17"/>
                <w:lang w:eastAsia="en-US"/>
              </w:rPr>
              <w:t>$</w:t>
            </w:r>
            <w:r w:rsidR="00EE40EC" w:rsidRPr="00EE40EC">
              <w:rPr>
                <w:rFonts w:asciiTheme="minorHAnsi" w:eastAsia="Times New Roman" w:hAnsiTheme="minorHAnsi"/>
                <w:iCs/>
                <w:szCs w:val="17"/>
                <w:lang w:eastAsia="en-US"/>
              </w:rPr>
              <w:t>10 million) worth of net additional income within the reporting period for approximately 30,000 people, with 13 per cent of these beneficiaries being women</w:t>
            </w:r>
            <w:r w:rsidR="00EE40EC">
              <w:rPr>
                <w:rFonts w:asciiTheme="minorHAnsi" w:eastAsia="Times New Roman" w:hAnsiTheme="minorHAnsi"/>
                <w:iCs/>
                <w:szCs w:val="17"/>
                <w:lang w:eastAsia="en-US"/>
              </w:rPr>
              <w:t>.</w:t>
            </w:r>
          </w:p>
        </w:tc>
      </w:tr>
      <w:tr w:rsidR="00F8189A" w:rsidRPr="00C61187" w14:paraId="6263609B" w14:textId="77777777" w:rsidTr="00FF4728">
        <w:tc>
          <w:tcPr>
            <w:tcW w:w="780" w:type="pct"/>
            <w:tcMar>
              <w:top w:w="57" w:type="dxa"/>
              <w:bottom w:w="57" w:type="dxa"/>
            </w:tcMar>
          </w:tcPr>
          <w:p w14:paraId="50B74C3E" w14:textId="77777777" w:rsidR="00F8189A" w:rsidRPr="00FF4728" w:rsidRDefault="00FF4728" w:rsidP="00F8189A">
            <w:pPr>
              <w:keepLines/>
              <w:spacing w:before="40" w:after="40" w:line="200" w:lineRule="atLeast"/>
              <w:rPr>
                <w:rFonts w:asciiTheme="minorHAnsi" w:eastAsia="Times New Roman" w:hAnsiTheme="minorHAnsi"/>
                <w:iCs/>
                <w:szCs w:val="17"/>
                <w:lang w:eastAsia="en-US"/>
              </w:rPr>
            </w:pPr>
            <w:r w:rsidRPr="00FF4728">
              <w:rPr>
                <w:rFonts w:asciiTheme="minorHAnsi" w:eastAsia="Times New Roman" w:hAnsiTheme="minorHAnsi"/>
                <w:iCs/>
                <w:szCs w:val="17"/>
                <w:lang w:eastAsia="en-US"/>
              </w:rPr>
              <w:t>Support government to be more responsive to the needs of citizens and the private sector</w:t>
            </w:r>
          </w:p>
        </w:tc>
        <w:tc>
          <w:tcPr>
            <w:tcW w:w="780" w:type="pct"/>
          </w:tcPr>
          <w:p w14:paraId="22F4D053" w14:textId="4EF530C5" w:rsidR="00F8189A" w:rsidRPr="00FF4728" w:rsidRDefault="00FF4728" w:rsidP="00F8189A">
            <w:pPr>
              <w:keepLines/>
              <w:spacing w:before="40" w:after="40" w:line="200" w:lineRule="atLeast"/>
              <w:rPr>
                <w:rFonts w:asciiTheme="minorHAnsi" w:eastAsia="Times New Roman" w:hAnsiTheme="minorHAnsi"/>
                <w:iCs/>
                <w:szCs w:val="17"/>
                <w:lang w:eastAsia="en-US"/>
              </w:rPr>
            </w:pPr>
            <w:r w:rsidRPr="00FF4728">
              <w:rPr>
                <w:rFonts w:asciiTheme="minorHAnsi" w:eastAsia="Times New Roman" w:hAnsiTheme="minorHAnsi"/>
                <w:iCs/>
                <w:szCs w:val="17"/>
                <w:lang w:eastAsia="en-US"/>
              </w:rPr>
              <w:t>Increased satisfaction of citizens and the private sector with national and subnational government performance in delivering key services</w:t>
            </w:r>
            <w:r w:rsidR="005E6445">
              <w:rPr>
                <w:rFonts w:asciiTheme="minorHAnsi" w:eastAsia="Times New Roman" w:hAnsiTheme="minorHAnsi"/>
                <w:iCs/>
                <w:szCs w:val="17"/>
                <w:lang w:eastAsia="en-US"/>
              </w:rPr>
              <w:t>.</w:t>
            </w:r>
          </w:p>
        </w:tc>
        <w:tc>
          <w:tcPr>
            <w:tcW w:w="470" w:type="pct"/>
            <w:shd w:val="clear" w:color="auto" w:fill="72AF2F"/>
          </w:tcPr>
          <w:p w14:paraId="24E8C5EA" w14:textId="77777777" w:rsidR="00F8189A" w:rsidRPr="00880004" w:rsidRDefault="00FF4728" w:rsidP="00F818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Achieved</w:t>
            </w:r>
          </w:p>
        </w:tc>
        <w:tc>
          <w:tcPr>
            <w:tcW w:w="2970" w:type="pct"/>
          </w:tcPr>
          <w:p w14:paraId="10FD599C" w14:textId="1AA72936" w:rsidR="00F8189A" w:rsidRPr="00FF4728" w:rsidRDefault="009B7450" w:rsidP="009B745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TAF’s electronic citizen report cards (which have been undertaken for several years, providing longitudinal date) reveal gradual, though</w:t>
            </w:r>
            <w:r w:rsidRPr="009B7450">
              <w:rPr>
                <w:rFonts w:asciiTheme="minorHAnsi" w:eastAsia="Times New Roman" w:hAnsiTheme="minorHAnsi"/>
                <w:iCs/>
                <w:szCs w:val="17"/>
                <w:lang w:eastAsia="en-US"/>
              </w:rPr>
              <w:t xml:space="preserve"> minor</w:t>
            </w:r>
            <w:r>
              <w:rPr>
                <w:rFonts w:asciiTheme="minorHAnsi" w:eastAsia="Times New Roman" w:hAnsiTheme="minorHAnsi"/>
                <w:iCs/>
                <w:szCs w:val="17"/>
                <w:lang w:eastAsia="en-US"/>
              </w:rPr>
              <w:t>,</w:t>
            </w:r>
            <w:r w:rsidRPr="009B7450">
              <w:rPr>
                <w:rFonts w:asciiTheme="minorHAnsi" w:eastAsia="Times New Roman" w:hAnsiTheme="minorHAnsi"/>
                <w:iCs/>
                <w:szCs w:val="17"/>
                <w:lang w:eastAsia="en-US"/>
              </w:rPr>
              <w:t xml:space="preserve"> improvements in citizens’ regard for local government service delivery.</w:t>
            </w:r>
            <w:r>
              <w:rPr>
                <w:rFonts w:asciiTheme="minorHAnsi" w:eastAsia="Times New Roman" w:hAnsiTheme="minorHAnsi"/>
                <w:iCs/>
                <w:szCs w:val="17"/>
                <w:lang w:eastAsia="en-US"/>
              </w:rPr>
              <w:t xml:space="preserve"> This improvement comes off a low baseline. </w:t>
            </w:r>
            <w:r w:rsidR="00FF4728" w:rsidRPr="00FF4728">
              <w:rPr>
                <w:rFonts w:asciiTheme="minorHAnsi" w:eastAsia="Times New Roman" w:hAnsiTheme="minorHAnsi"/>
                <w:iCs/>
                <w:szCs w:val="17"/>
                <w:lang w:eastAsia="en-US"/>
              </w:rPr>
              <w:t>While our programs have supported governments, with tangible and positive results, satisfaction levels are also affected by perceptions about the performance more broadly of the Sri Lankan Government</w:t>
            </w:r>
          </w:p>
        </w:tc>
      </w:tr>
      <w:tr w:rsidR="00F8189A" w:rsidRPr="00C61187" w14:paraId="26779B5A" w14:textId="77777777" w:rsidTr="00FF4728">
        <w:tc>
          <w:tcPr>
            <w:tcW w:w="780" w:type="pct"/>
            <w:tcMar>
              <w:top w:w="57" w:type="dxa"/>
              <w:bottom w:w="57" w:type="dxa"/>
            </w:tcMar>
          </w:tcPr>
          <w:p w14:paraId="197DF739" w14:textId="77777777" w:rsidR="00F8189A" w:rsidRPr="00FF4728" w:rsidRDefault="00FF4728" w:rsidP="00F8189A">
            <w:pPr>
              <w:keepLines/>
              <w:spacing w:before="40" w:after="40" w:line="200" w:lineRule="atLeast"/>
              <w:rPr>
                <w:rFonts w:asciiTheme="minorHAnsi" w:eastAsia="Times New Roman" w:hAnsiTheme="minorHAnsi"/>
                <w:iCs/>
                <w:szCs w:val="17"/>
                <w:lang w:eastAsia="en-US"/>
              </w:rPr>
            </w:pPr>
            <w:r w:rsidRPr="00FF4728">
              <w:rPr>
                <w:rFonts w:asciiTheme="minorHAnsi" w:eastAsia="Times New Roman" w:hAnsiTheme="minorHAnsi"/>
                <w:iCs/>
                <w:szCs w:val="17"/>
                <w:lang w:eastAsia="en-US"/>
              </w:rPr>
              <w:t>Increase gender equality</w:t>
            </w:r>
          </w:p>
        </w:tc>
        <w:tc>
          <w:tcPr>
            <w:tcW w:w="780" w:type="pct"/>
          </w:tcPr>
          <w:p w14:paraId="1082022D" w14:textId="2F5CDFD1" w:rsidR="00F8189A" w:rsidRPr="00FF4728" w:rsidRDefault="00FF4728" w:rsidP="00F8189A">
            <w:pPr>
              <w:keepLines/>
              <w:spacing w:before="40" w:after="40" w:line="200" w:lineRule="atLeast"/>
              <w:rPr>
                <w:rFonts w:asciiTheme="minorHAnsi" w:eastAsia="Times New Roman" w:hAnsiTheme="minorHAnsi"/>
                <w:iCs/>
                <w:szCs w:val="17"/>
                <w:lang w:eastAsia="en-US"/>
              </w:rPr>
            </w:pPr>
            <w:r w:rsidRPr="00FF4728">
              <w:rPr>
                <w:rFonts w:asciiTheme="minorHAnsi" w:eastAsia="Times New Roman" w:hAnsiTheme="minorHAnsi"/>
                <w:iCs/>
                <w:szCs w:val="17"/>
                <w:lang w:eastAsia="en-US"/>
              </w:rPr>
              <w:t>Increase the number of women in targeted populations in formal and informal employment</w:t>
            </w:r>
            <w:r w:rsidR="005E6445">
              <w:rPr>
                <w:rFonts w:asciiTheme="minorHAnsi" w:eastAsia="Times New Roman" w:hAnsiTheme="minorHAnsi"/>
                <w:iCs/>
                <w:szCs w:val="17"/>
                <w:lang w:eastAsia="en-US"/>
              </w:rPr>
              <w:t>.</w:t>
            </w:r>
          </w:p>
        </w:tc>
        <w:tc>
          <w:tcPr>
            <w:tcW w:w="470" w:type="pct"/>
            <w:shd w:val="clear" w:color="auto" w:fill="E36C0A"/>
          </w:tcPr>
          <w:p w14:paraId="669A423A" w14:textId="77777777" w:rsidR="00F8189A" w:rsidRPr="00880004" w:rsidRDefault="00FF4728" w:rsidP="00F8189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Partly achieved</w:t>
            </w:r>
            <w:r w:rsidR="00F8189A" w:rsidRPr="00880004">
              <w:rPr>
                <w:rFonts w:asciiTheme="minorHAnsi" w:eastAsia="Times New Roman" w:hAnsiTheme="minorHAnsi"/>
                <w:iCs/>
                <w:color w:val="FFFFFF" w:themeColor="background1"/>
                <w:szCs w:val="17"/>
                <w:lang w:eastAsia="en-US"/>
              </w:rPr>
              <w:t xml:space="preserve"> </w:t>
            </w:r>
          </w:p>
        </w:tc>
        <w:tc>
          <w:tcPr>
            <w:tcW w:w="2970" w:type="pct"/>
          </w:tcPr>
          <w:p w14:paraId="54E669D9" w14:textId="2BA16C4E" w:rsidR="00F8189A" w:rsidRPr="009B7450" w:rsidRDefault="009B7450" w:rsidP="009B7450">
            <w:pPr>
              <w:pStyle w:val="TableTextEntries"/>
              <w:keepNext/>
              <w:rPr>
                <w:rFonts w:asciiTheme="minorHAnsi" w:hAnsiTheme="minorHAnsi" w:cstheme="minorBidi"/>
                <w:color w:val="495965" w:themeColor="text2"/>
                <w:lang w:val="en-GB" w:eastAsia="en-US"/>
              </w:rPr>
            </w:pPr>
            <w:r>
              <w:rPr>
                <w:rFonts w:asciiTheme="minorHAnsi" w:hAnsiTheme="minorHAnsi" w:cstheme="minorBidi"/>
                <w:color w:val="495965" w:themeColor="text2"/>
                <w:lang w:val="en-GB" w:eastAsia="en-US"/>
              </w:rPr>
              <w:t>While the EOP program has improved the number of women engaged in employment, the Women in Work investment, for which women’s economic empowerment is a core goal, is been less successful over the reporting period. While</w:t>
            </w:r>
            <w:r w:rsidR="0027601E">
              <w:rPr>
                <w:rFonts w:asciiTheme="minorHAnsi" w:hAnsiTheme="minorHAnsi" w:cstheme="minorBidi"/>
                <w:color w:val="495965" w:themeColor="text2"/>
                <w:lang w:val="en-GB" w:eastAsia="en-US"/>
              </w:rPr>
              <w:t xml:space="preserve"> the business case for supporting childcare and investing in women employees has been demonstrated (</w:t>
            </w:r>
            <w:r>
              <w:rPr>
                <w:rFonts w:asciiTheme="minorHAnsi" w:hAnsiTheme="minorHAnsi" w:cstheme="minorBidi"/>
                <w:color w:val="495965" w:themeColor="text2"/>
                <w:lang w:val="en-GB" w:eastAsia="en-US"/>
              </w:rPr>
              <w:t xml:space="preserve">including by improving </w:t>
            </w:r>
            <w:r w:rsidR="0027601E">
              <w:rPr>
                <w:rFonts w:asciiTheme="minorHAnsi" w:hAnsiTheme="minorHAnsi" w:cstheme="minorBidi"/>
                <w:color w:val="495965" w:themeColor="text2"/>
                <w:lang w:val="en-GB" w:eastAsia="en-US"/>
              </w:rPr>
              <w:t>gender d</w:t>
            </w:r>
            <w:r>
              <w:rPr>
                <w:rFonts w:asciiTheme="minorHAnsi" w:hAnsiTheme="minorHAnsi" w:cstheme="minorBidi"/>
                <w:color w:val="495965" w:themeColor="text2"/>
                <w:lang w:val="en-GB" w:eastAsia="en-US"/>
              </w:rPr>
              <w:t xml:space="preserve">iversity on boards), the investment </w:t>
            </w:r>
            <w:r w:rsidR="0027601E" w:rsidRPr="00FF4728">
              <w:rPr>
                <w:rFonts w:asciiTheme="minorHAnsi" w:hAnsiTheme="minorHAnsi" w:cstheme="minorBidi"/>
                <w:color w:val="495965" w:themeColor="text2"/>
                <w:lang w:val="en-GB" w:eastAsia="en-US"/>
              </w:rPr>
              <w:t xml:space="preserve">has had limited impact in </w:t>
            </w:r>
            <w:r w:rsidR="00FF4728" w:rsidRPr="00FF4728">
              <w:rPr>
                <w:rFonts w:asciiTheme="minorHAnsi" w:hAnsiTheme="minorHAnsi" w:cstheme="minorBidi"/>
                <w:color w:val="495965" w:themeColor="text2"/>
                <w:lang w:val="en-GB" w:eastAsia="en-US"/>
              </w:rPr>
              <w:t xml:space="preserve">creating sustainable jobs for women in target areas. </w:t>
            </w:r>
          </w:p>
        </w:tc>
      </w:tr>
    </w:tbl>
    <w:p w14:paraId="558F864A"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7E1FA05E"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1E582E09"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37EADAB9"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47D5C1AD" w14:textId="77777777" w:rsidR="00BE1BEB" w:rsidRDefault="00BE1BEB" w:rsidP="00184F1E">
      <w:pPr>
        <w:rPr>
          <w:rFonts w:ascii="Franklin Gothic Book" w:eastAsia="Times New Roman" w:hAnsi="Franklin Gothic Book"/>
          <w:b/>
          <w:sz w:val="24"/>
          <w:szCs w:val="24"/>
        </w:rPr>
      </w:pPr>
    </w:p>
    <w:p w14:paraId="6E73D4D9" w14:textId="77777777" w:rsidR="00627524" w:rsidRDefault="00627524">
      <w:pPr>
        <w:suppressAutoHyphens w:val="0"/>
        <w:spacing w:before="0" w:after="120" w:line="440" w:lineRule="atLeast"/>
        <w:rPr>
          <w:rFonts w:eastAsia="Times New Roman" w:cstheme="minorHAnsi"/>
          <w:sz w:val="32"/>
          <w:szCs w:val="32"/>
        </w:rPr>
      </w:pPr>
      <w:r>
        <w:rPr>
          <w:rFonts w:eastAsia="Times New Roman" w:cstheme="minorHAnsi"/>
          <w:sz w:val="32"/>
          <w:szCs w:val="32"/>
        </w:rPr>
        <w:br w:type="page"/>
      </w:r>
    </w:p>
    <w:p w14:paraId="6CB98237" w14:textId="77777777" w:rsidR="00184F1E" w:rsidRPr="00F8189A" w:rsidRDefault="00F8189A" w:rsidP="00184F1E">
      <w:pPr>
        <w:rPr>
          <w:rFonts w:eastAsia="Times New Roman" w:cstheme="minorHAnsi"/>
          <w:sz w:val="32"/>
          <w:szCs w:val="32"/>
        </w:rPr>
      </w:pPr>
      <w:r w:rsidRPr="00F8189A">
        <w:rPr>
          <w:rFonts w:eastAsia="Times New Roman" w:cstheme="minorHAnsi"/>
          <w:sz w:val="32"/>
          <w:szCs w:val="32"/>
        </w:rPr>
        <w:lastRenderedPageBreak/>
        <w:t xml:space="preserve">2 </w:t>
      </w:r>
      <w:r w:rsidR="00184F1E" w:rsidRPr="00F8189A">
        <w:rPr>
          <w:rFonts w:eastAsia="Times New Roman" w:cstheme="minorHAnsi"/>
          <w:sz w:val="32"/>
          <w:szCs w:val="32"/>
        </w:rPr>
        <w:t xml:space="preserve">Performance Benchmarks for </w:t>
      </w:r>
      <w:r>
        <w:rPr>
          <w:rFonts w:eastAsia="Times New Roman" w:cstheme="minorHAnsi"/>
          <w:sz w:val="32"/>
          <w:szCs w:val="32"/>
        </w:rPr>
        <w:t>2019-20</w:t>
      </w:r>
    </w:p>
    <w:tbl>
      <w:tblPr>
        <w:tblStyle w:val="DFATTable"/>
        <w:tblW w:w="4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4222"/>
        <w:gridCol w:w="5323"/>
      </w:tblGrid>
      <w:tr w:rsidR="009B7450" w14:paraId="79D2F60D" w14:textId="77777777" w:rsidTr="009B7450">
        <w:trPr>
          <w:trHeight w:val="245"/>
        </w:trPr>
        <w:tc>
          <w:tcPr>
            <w:tcW w:w="951" w:type="pct"/>
          </w:tcPr>
          <w:p w14:paraId="23C55BB6" w14:textId="77777777" w:rsidR="009B7450" w:rsidRPr="00BE6C6D" w:rsidRDefault="009B7450" w:rsidP="00F20EFD">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791" w:type="pct"/>
          </w:tcPr>
          <w:p w14:paraId="655C25F6" w14:textId="77777777" w:rsidR="009B7450" w:rsidRPr="00BE6C6D" w:rsidRDefault="009B7450" w:rsidP="00F20EFD">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2258" w:type="pct"/>
            <w:hideMark/>
          </w:tcPr>
          <w:p w14:paraId="1AA9A95C" w14:textId="77777777" w:rsidR="009B7450" w:rsidRPr="00BE6C6D" w:rsidRDefault="009B7450" w:rsidP="00F20EFD">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w:t>
            </w:r>
          </w:p>
        </w:tc>
      </w:tr>
      <w:tr w:rsidR="009B7450" w14:paraId="0A909CF9" w14:textId="77777777" w:rsidTr="009B7450">
        <w:trPr>
          <w:trHeight w:val="730"/>
        </w:trPr>
        <w:tc>
          <w:tcPr>
            <w:tcW w:w="951" w:type="pct"/>
          </w:tcPr>
          <w:p w14:paraId="2D364370" w14:textId="6C87405D" w:rsidR="009B7450" w:rsidRPr="00085E5F" w:rsidRDefault="009B7450" w:rsidP="0010104F">
            <w:pPr>
              <w:pStyle w:val="NormalIndented"/>
              <w:ind w:left="22"/>
              <w:rPr>
                <w:rFonts w:asciiTheme="minorHAnsi" w:hAnsiTheme="minorHAnsi"/>
                <w:i/>
                <w:color w:val="FF0000"/>
                <w:sz w:val="18"/>
              </w:rPr>
            </w:pPr>
            <w:r w:rsidRPr="00FF4728">
              <w:rPr>
                <w:rFonts w:asciiTheme="minorHAnsi" w:eastAsia="Times New Roman" w:hAnsiTheme="minorHAnsi"/>
                <w:iCs/>
                <w:szCs w:val="17"/>
                <w:lang w:eastAsia="en-US"/>
              </w:rPr>
              <w:t>Expand economic opportunities for the poor</w:t>
            </w:r>
          </w:p>
        </w:tc>
        <w:tc>
          <w:tcPr>
            <w:tcW w:w="1791" w:type="pct"/>
          </w:tcPr>
          <w:p w14:paraId="15C5FD20" w14:textId="2F24B86A" w:rsidR="009B7450" w:rsidRPr="00085E5F" w:rsidRDefault="009B7450" w:rsidP="00F20EFD">
            <w:pPr>
              <w:pStyle w:val="NormalIndented"/>
              <w:rPr>
                <w:rFonts w:asciiTheme="minorHAnsi" w:hAnsiTheme="minorHAnsi"/>
                <w:i/>
                <w:color w:val="FF0000"/>
                <w:szCs w:val="20"/>
                <w:lang w:eastAsia="en-US"/>
              </w:rPr>
            </w:pPr>
            <w:r w:rsidRPr="00815470">
              <w:rPr>
                <w:rFonts w:asciiTheme="minorHAnsi" w:eastAsia="Times New Roman" w:hAnsiTheme="minorHAnsi"/>
                <w:iCs/>
                <w:szCs w:val="17"/>
                <w:lang w:eastAsia="en-US"/>
              </w:rPr>
              <w:t>Increase the targeted populations, including women and people with a disability, who have an increase in net additional income</w:t>
            </w:r>
            <w:r w:rsidR="005E6445">
              <w:rPr>
                <w:rFonts w:asciiTheme="minorHAnsi" w:eastAsia="Times New Roman" w:hAnsiTheme="minorHAnsi"/>
                <w:iCs/>
                <w:szCs w:val="17"/>
                <w:lang w:eastAsia="en-US"/>
              </w:rPr>
              <w:t>.</w:t>
            </w:r>
          </w:p>
        </w:tc>
        <w:tc>
          <w:tcPr>
            <w:tcW w:w="2258" w:type="pct"/>
            <w:hideMark/>
          </w:tcPr>
          <w:p w14:paraId="136AFDA0" w14:textId="19031E22" w:rsidR="009B7450" w:rsidRPr="00085E5F" w:rsidRDefault="009B7450" w:rsidP="00F20EFD">
            <w:pPr>
              <w:pStyle w:val="NormalIndented"/>
              <w:jc w:val="center"/>
              <w:rPr>
                <w:rFonts w:asciiTheme="minorHAnsi" w:hAnsiTheme="minorHAnsi"/>
                <w:i/>
                <w:color w:val="FF0000"/>
                <w:szCs w:val="20"/>
                <w:lang w:eastAsia="en-US"/>
              </w:rPr>
            </w:pPr>
            <w:r w:rsidRPr="009B7450">
              <w:rPr>
                <w:rFonts w:asciiTheme="minorHAnsi" w:hAnsiTheme="minorHAnsi"/>
                <w:i/>
                <w:color w:val="auto"/>
                <w:szCs w:val="20"/>
                <w:lang w:eastAsia="en-US"/>
              </w:rPr>
              <w:t>To be revised following the release of the new AIP</w:t>
            </w:r>
            <w:r w:rsidR="005E6445">
              <w:rPr>
                <w:rFonts w:asciiTheme="minorHAnsi" w:hAnsiTheme="minorHAnsi"/>
                <w:i/>
                <w:color w:val="auto"/>
                <w:szCs w:val="20"/>
                <w:lang w:eastAsia="en-US"/>
              </w:rPr>
              <w:t>.</w:t>
            </w:r>
          </w:p>
        </w:tc>
      </w:tr>
      <w:tr w:rsidR="0010104F" w14:paraId="320308AA" w14:textId="77777777" w:rsidTr="009B7450">
        <w:trPr>
          <w:trHeight w:val="730"/>
        </w:trPr>
        <w:tc>
          <w:tcPr>
            <w:tcW w:w="951" w:type="pct"/>
          </w:tcPr>
          <w:p w14:paraId="20501AA2" w14:textId="637626A5" w:rsidR="0010104F" w:rsidRPr="0010104F" w:rsidRDefault="0010104F" w:rsidP="0010104F">
            <w:pPr>
              <w:pStyle w:val="NormalIndented"/>
              <w:ind w:left="22"/>
              <w:rPr>
                <w:rFonts w:asciiTheme="minorHAnsi" w:eastAsia="Times New Roman" w:hAnsiTheme="minorHAnsi" w:cstheme="minorHAnsi"/>
                <w:iCs/>
                <w:szCs w:val="17"/>
              </w:rPr>
            </w:pPr>
            <w:r w:rsidRPr="0010104F">
              <w:rPr>
                <w:rFonts w:asciiTheme="minorHAnsi" w:eastAsia="Times New Roman" w:hAnsiTheme="minorHAnsi" w:cstheme="minorHAnsi"/>
                <w:iCs/>
                <w:szCs w:val="17"/>
              </w:rPr>
              <w:t>Support government to be more responsive to the needs of citizens and the private sector</w:t>
            </w:r>
          </w:p>
        </w:tc>
        <w:tc>
          <w:tcPr>
            <w:tcW w:w="1791" w:type="pct"/>
          </w:tcPr>
          <w:p w14:paraId="3C1A7CE3" w14:textId="2EC394CC" w:rsidR="0010104F" w:rsidRPr="0010104F" w:rsidRDefault="0010104F" w:rsidP="0010104F">
            <w:pPr>
              <w:pStyle w:val="NormalIndented"/>
              <w:rPr>
                <w:rFonts w:asciiTheme="minorHAnsi" w:eastAsia="Times New Roman" w:hAnsiTheme="minorHAnsi" w:cstheme="minorHAnsi"/>
                <w:iCs/>
                <w:szCs w:val="17"/>
              </w:rPr>
            </w:pPr>
            <w:r w:rsidRPr="0010104F">
              <w:rPr>
                <w:rFonts w:asciiTheme="minorHAnsi" w:eastAsia="Times New Roman" w:hAnsiTheme="minorHAnsi" w:cstheme="minorHAnsi"/>
                <w:iCs/>
                <w:szCs w:val="17"/>
              </w:rPr>
              <w:t>Increased satisfaction of citizens and the private sector with national and subnational government performance in delivering key services</w:t>
            </w:r>
            <w:r w:rsidR="005E6445">
              <w:rPr>
                <w:rFonts w:asciiTheme="minorHAnsi" w:eastAsia="Times New Roman" w:hAnsiTheme="minorHAnsi" w:cstheme="minorHAnsi"/>
                <w:iCs/>
                <w:szCs w:val="17"/>
              </w:rPr>
              <w:t>.</w:t>
            </w:r>
          </w:p>
        </w:tc>
        <w:tc>
          <w:tcPr>
            <w:tcW w:w="2258" w:type="pct"/>
          </w:tcPr>
          <w:p w14:paraId="5F35E79B" w14:textId="27A7C396" w:rsidR="0010104F" w:rsidRPr="0010104F" w:rsidRDefault="0010104F" w:rsidP="0010104F">
            <w:pPr>
              <w:pStyle w:val="NormalIndented"/>
              <w:jc w:val="center"/>
              <w:rPr>
                <w:rFonts w:asciiTheme="minorHAnsi" w:hAnsiTheme="minorHAnsi" w:cstheme="minorHAnsi"/>
                <w:i/>
                <w:color w:val="auto"/>
                <w:szCs w:val="20"/>
              </w:rPr>
            </w:pPr>
            <w:r w:rsidRPr="009B7450">
              <w:rPr>
                <w:rFonts w:asciiTheme="minorHAnsi" w:hAnsiTheme="minorHAnsi"/>
                <w:i/>
                <w:color w:val="auto"/>
                <w:szCs w:val="20"/>
                <w:lang w:eastAsia="en-US"/>
              </w:rPr>
              <w:t>To be revised following the release of the new AIP</w:t>
            </w:r>
            <w:r w:rsidR="005E6445">
              <w:rPr>
                <w:rFonts w:asciiTheme="minorHAnsi" w:hAnsiTheme="minorHAnsi"/>
                <w:i/>
                <w:color w:val="auto"/>
                <w:szCs w:val="20"/>
                <w:lang w:eastAsia="en-US"/>
              </w:rPr>
              <w:t>.</w:t>
            </w:r>
          </w:p>
        </w:tc>
      </w:tr>
      <w:tr w:rsidR="0010104F" w14:paraId="5470B09F" w14:textId="77777777" w:rsidTr="009B7450">
        <w:trPr>
          <w:trHeight w:val="455"/>
        </w:trPr>
        <w:tc>
          <w:tcPr>
            <w:tcW w:w="951" w:type="pct"/>
          </w:tcPr>
          <w:p w14:paraId="68E2B89F" w14:textId="3FFE7BAA" w:rsidR="0010104F" w:rsidRPr="00085E5F" w:rsidRDefault="0010104F" w:rsidP="0010104F">
            <w:pPr>
              <w:pStyle w:val="NormalIndented"/>
              <w:ind w:left="22"/>
              <w:rPr>
                <w:rFonts w:asciiTheme="minorHAnsi" w:hAnsiTheme="minorHAnsi"/>
                <w:i/>
                <w:color w:val="FF0000"/>
                <w:sz w:val="18"/>
              </w:rPr>
            </w:pPr>
            <w:r w:rsidRPr="00FF4728">
              <w:rPr>
                <w:rFonts w:asciiTheme="minorHAnsi" w:eastAsia="Times New Roman" w:hAnsiTheme="minorHAnsi"/>
                <w:iCs/>
                <w:szCs w:val="17"/>
                <w:lang w:eastAsia="en-US"/>
              </w:rPr>
              <w:t>Increase gender equality</w:t>
            </w:r>
          </w:p>
        </w:tc>
        <w:tc>
          <w:tcPr>
            <w:tcW w:w="1791" w:type="pct"/>
          </w:tcPr>
          <w:p w14:paraId="5CD1A67E" w14:textId="20302B3B" w:rsidR="0010104F" w:rsidRPr="00085E5F" w:rsidRDefault="0010104F" w:rsidP="0010104F">
            <w:pPr>
              <w:pStyle w:val="NormalIndented"/>
              <w:rPr>
                <w:rFonts w:asciiTheme="minorHAnsi" w:hAnsiTheme="minorHAnsi"/>
                <w:i/>
                <w:color w:val="FF0000"/>
                <w:szCs w:val="20"/>
                <w:lang w:eastAsia="en-US"/>
              </w:rPr>
            </w:pPr>
            <w:r w:rsidRPr="00FF4728">
              <w:rPr>
                <w:rFonts w:asciiTheme="minorHAnsi" w:eastAsia="Times New Roman" w:hAnsiTheme="minorHAnsi"/>
                <w:iCs/>
                <w:szCs w:val="17"/>
                <w:lang w:eastAsia="en-US"/>
              </w:rPr>
              <w:t>Increase the number of women in targeted populations in formal and informal employment</w:t>
            </w:r>
            <w:r w:rsidR="005E6445">
              <w:rPr>
                <w:rFonts w:asciiTheme="minorHAnsi" w:eastAsia="Times New Roman" w:hAnsiTheme="minorHAnsi"/>
                <w:iCs/>
                <w:szCs w:val="17"/>
                <w:lang w:eastAsia="en-US"/>
              </w:rPr>
              <w:t>.</w:t>
            </w:r>
          </w:p>
        </w:tc>
        <w:tc>
          <w:tcPr>
            <w:tcW w:w="2258" w:type="pct"/>
          </w:tcPr>
          <w:p w14:paraId="309EBACA" w14:textId="6A072509" w:rsidR="0010104F" w:rsidRPr="00085E5F" w:rsidRDefault="0010104F" w:rsidP="0010104F">
            <w:pPr>
              <w:pStyle w:val="NormalIndented"/>
              <w:ind w:left="33"/>
              <w:jc w:val="center"/>
              <w:rPr>
                <w:rFonts w:asciiTheme="minorHAnsi" w:hAnsiTheme="minorHAnsi"/>
                <w:i/>
                <w:color w:val="FF0000"/>
                <w:szCs w:val="20"/>
                <w:lang w:eastAsia="en-US"/>
              </w:rPr>
            </w:pPr>
            <w:r w:rsidRPr="009B7450">
              <w:rPr>
                <w:rFonts w:asciiTheme="minorHAnsi" w:hAnsiTheme="minorHAnsi"/>
                <w:i/>
                <w:color w:val="auto"/>
                <w:szCs w:val="20"/>
                <w:lang w:eastAsia="en-US"/>
              </w:rPr>
              <w:t>To be revised following the release of the new AIP</w:t>
            </w:r>
            <w:r w:rsidR="005E6445">
              <w:rPr>
                <w:rFonts w:asciiTheme="minorHAnsi" w:hAnsiTheme="minorHAnsi"/>
                <w:i/>
                <w:color w:val="auto"/>
                <w:szCs w:val="20"/>
                <w:lang w:eastAsia="en-US"/>
              </w:rPr>
              <w:t>.</w:t>
            </w:r>
          </w:p>
        </w:tc>
      </w:tr>
    </w:tbl>
    <w:p w14:paraId="397A7881" w14:textId="77777777" w:rsidR="00AF1B85" w:rsidRPr="00EF26B5" w:rsidRDefault="00184F1E" w:rsidP="00BB648A">
      <w:pPr>
        <w:pStyle w:val="Subtitle"/>
        <w:spacing w:before="360" w:after="120" w:line="300" w:lineRule="exact"/>
        <w:rPr>
          <w:rFonts w:asciiTheme="majorHAnsi" w:hAnsiTheme="majorHAnsi" w:cstheme="majorHAnsi"/>
        </w:rPr>
      </w:pPr>
      <w:r>
        <w:br w:type="page"/>
      </w:r>
      <w:r w:rsidR="00AF1B85" w:rsidRPr="00EF26B5">
        <w:rPr>
          <w:rFonts w:asciiTheme="majorHAnsi" w:hAnsiTheme="majorHAnsi" w:cstheme="majorHAnsi"/>
        </w:rPr>
        <w:lastRenderedPageBreak/>
        <w:t xml:space="preserve">Annex </w:t>
      </w:r>
      <w:r w:rsidRPr="00EF26B5">
        <w:rPr>
          <w:rFonts w:asciiTheme="majorHAnsi" w:hAnsiTheme="majorHAnsi" w:cstheme="majorHAnsi"/>
        </w:rPr>
        <w:t>C</w:t>
      </w:r>
      <w:r w:rsidR="00AF1B85" w:rsidRPr="00EF26B5">
        <w:rPr>
          <w:rFonts w:asciiTheme="majorHAnsi" w:hAnsiTheme="majorHAnsi" w:cstheme="majorHAnsi"/>
        </w:rPr>
        <w:t xml:space="preserve"> - Evaluation Planning</w:t>
      </w:r>
    </w:p>
    <w:p w14:paraId="2A6DB818" w14:textId="77777777"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1 </w:t>
      </w:r>
      <w:r w:rsidR="00AF1B85" w:rsidRPr="00EF26B5">
        <w:rPr>
          <w:rFonts w:eastAsiaTheme="majorEastAsia" w:cstheme="minorHAnsi"/>
          <w:caps/>
          <w:sz w:val="36"/>
          <w:szCs w:val="36"/>
        </w:rPr>
        <w:t xml:space="preserve">List of evaluations completed in the reporting period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693"/>
        <w:gridCol w:w="1425"/>
        <w:gridCol w:w="1981"/>
        <w:gridCol w:w="1699"/>
        <w:gridCol w:w="2407"/>
      </w:tblGrid>
      <w:tr w:rsidR="00AF1B85" w:rsidRPr="00C61187" w14:paraId="1259F072" w14:textId="77777777" w:rsidTr="00E01E95">
        <w:trPr>
          <w:cnfStyle w:val="100000000000" w:firstRow="1" w:lastRow="0" w:firstColumn="0" w:lastColumn="0" w:oddVBand="0" w:evenVBand="0" w:oddHBand="0" w:evenHBand="0" w:firstRowFirstColumn="0" w:firstRowLastColumn="0" w:lastRowFirstColumn="0" w:lastRowLastColumn="0"/>
        </w:trPr>
        <w:tc>
          <w:tcPr>
            <w:tcW w:w="3064" w:type="dxa"/>
            <w:tcBorders>
              <w:top w:val="none" w:sz="0" w:space="0" w:color="auto"/>
              <w:bottom w:val="none" w:sz="0" w:space="0" w:color="auto"/>
            </w:tcBorders>
          </w:tcPr>
          <w:p w14:paraId="4E3C4949"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79D443D1" w14:textId="77777777"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Borders>
              <w:top w:val="none" w:sz="0" w:space="0" w:color="auto"/>
              <w:bottom w:val="none" w:sz="0" w:space="0" w:color="auto"/>
            </w:tcBorders>
          </w:tcPr>
          <w:p w14:paraId="5F3AA202"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tcPr>
          <w:p w14:paraId="676614F2"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14:paraId="523E692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Borders>
              <w:top w:val="none" w:sz="0" w:space="0" w:color="auto"/>
              <w:bottom w:val="none" w:sz="0" w:space="0" w:color="auto"/>
            </w:tcBorders>
          </w:tcPr>
          <w:p w14:paraId="3F558DFB"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Borders>
              <w:top w:val="none" w:sz="0" w:space="0" w:color="auto"/>
              <w:bottom w:val="none" w:sz="0" w:space="0" w:color="auto"/>
            </w:tcBorders>
          </w:tcPr>
          <w:p w14:paraId="5034BD95"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7977019A" w14:textId="77777777" w:rsidTr="00E01E95">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14:paraId="1F6A0DCC" w14:textId="77777777" w:rsidR="00AF1B85" w:rsidRPr="008629EF" w:rsidRDefault="008629EF" w:rsidP="00D15A00">
            <w:pPr>
              <w:keepLines/>
              <w:spacing w:before="40" w:after="40" w:line="200" w:lineRule="atLeast"/>
              <w:rPr>
                <w:rFonts w:asciiTheme="minorHAnsi" w:eastAsia="Times New Roman" w:hAnsiTheme="minorHAnsi"/>
                <w:b w:val="0"/>
                <w:iCs/>
                <w:color w:val="auto"/>
                <w:szCs w:val="17"/>
                <w:lang w:eastAsia="en-US"/>
              </w:rPr>
            </w:pPr>
            <w:r w:rsidRPr="008629EF">
              <w:rPr>
                <w:rFonts w:asciiTheme="minorHAnsi" w:eastAsia="Times New Roman" w:hAnsiTheme="minorHAnsi"/>
                <w:b w:val="0"/>
                <w:iCs/>
                <w:color w:val="auto"/>
                <w:szCs w:val="17"/>
                <w:lang w:eastAsia="en-US"/>
              </w:rPr>
              <w:t>Nil</w:t>
            </w:r>
          </w:p>
        </w:tc>
        <w:tc>
          <w:tcPr>
            <w:tcW w:w="3665" w:type="dxa"/>
            <w:tcBorders>
              <w:bottom w:val="none" w:sz="0" w:space="0" w:color="auto"/>
            </w:tcBorders>
          </w:tcPr>
          <w:p w14:paraId="42A0106B" w14:textId="77777777" w:rsidR="00AF1B85" w:rsidRPr="008629EF" w:rsidRDefault="00AF1B85" w:rsidP="00D15A00">
            <w:pPr>
              <w:keepLines/>
              <w:spacing w:before="40" w:after="40" w:line="200" w:lineRule="atLeast"/>
              <w:rPr>
                <w:rFonts w:asciiTheme="minorHAnsi" w:eastAsia="Times New Roman" w:hAnsiTheme="minorHAnsi"/>
                <w:b w:val="0"/>
                <w:iCs/>
                <w:color w:val="auto"/>
                <w:szCs w:val="17"/>
                <w:lang w:eastAsia="en-US"/>
              </w:rPr>
            </w:pPr>
          </w:p>
        </w:tc>
        <w:tc>
          <w:tcPr>
            <w:tcW w:w="1397" w:type="dxa"/>
            <w:tcBorders>
              <w:bottom w:val="none" w:sz="0" w:space="0" w:color="auto"/>
            </w:tcBorders>
          </w:tcPr>
          <w:p w14:paraId="11A2B363" w14:textId="77777777" w:rsidR="00AF1B85" w:rsidRPr="008629EF" w:rsidRDefault="00AF1B85" w:rsidP="00D15A00">
            <w:pPr>
              <w:keepLines/>
              <w:spacing w:before="40" w:after="40" w:line="200" w:lineRule="atLeast"/>
              <w:rPr>
                <w:rFonts w:asciiTheme="minorHAnsi" w:eastAsia="Times New Roman" w:hAnsiTheme="minorHAnsi"/>
                <w:b w:val="0"/>
                <w:iCs/>
                <w:color w:val="auto"/>
                <w:szCs w:val="17"/>
                <w:lang w:eastAsia="en-US"/>
              </w:rPr>
            </w:pPr>
          </w:p>
        </w:tc>
        <w:tc>
          <w:tcPr>
            <w:tcW w:w="1953" w:type="dxa"/>
            <w:tcBorders>
              <w:bottom w:val="none" w:sz="0" w:space="0" w:color="auto"/>
            </w:tcBorders>
          </w:tcPr>
          <w:p w14:paraId="29C8A0A0" w14:textId="77777777" w:rsidR="00AF1B85" w:rsidRPr="008629EF" w:rsidRDefault="00AF1B85" w:rsidP="00D15A00">
            <w:pPr>
              <w:keepLines/>
              <w:spacing w:before="40" w:after="40" w:line="200" w:lineRule="atLeast"/>
              <w:rPr>
                <w:rFonts w:asciiTheme="minorHAnsi" w:eastAsia="Times New Roman" w:hAnsiTheme="minorHAnsi"/>
                <w:b w:val="0"/>
                <w:iCs/>
                <w:color w:val="auto"/>
                <w:szCs w:val="17"/>
                <w:lang w:eastAsia="en-US"/>
              </w:rPr>
            </w:pPr>
          </w:p>
        </w:tc>
        <w:tc>
          <w:tcPr>
            <w:tcW w:w="1671" w:type="dxa"/>
            <w:tcBorders>
              <w:bottom w:val="none" w:sz="0" w:space="0" w:color="auto"/>
            </w:tcBorders>
          </w:tcPr>
          <w:p w14:paraId="10C6F4CB" w14:textId="77777777" w:rsidR="00AF1B85" w:rsidRPr="008629EF" w:rsidRDefault="00AF1B85" w:rsidP="00D15A00">
            <w:pPr>
              <w:keepLines/>
              <w:spacing w:before="40" w:after="40" w:line="200" w:lineRule="atLeast"/>
              <w:rPr>
                <w:rFonts w:asciiTheme="minorHAnsi" w:eastAsia="Times New Roman" w:hAnsiTheme="minorHAnsi"/>
                <w:b w:val="0"/>
                <w:iCs/>
                <w:color w:val="auto"/>
                <w:szCs w:val="17"/>
                <w:lang w:eastAsia="en-US"/>
              </w:rPr>
            </w:pPr>
          </w:p>
        </w:tc>
        <w:tc>
          <w:tcPr>
            <w:tcW w:w="2365" w:type="dxa"/>
            <w:tcBorders>
              <w:bottom w:val="none" w:sz="0" w:space="0" w:color="auto"/>
            </w:tcBorders>
          </w:tcPr>
          <w:p w14:paraId="3BA9BAFB" w14:textId="77777777" w:rsidR="00AF1B85" w:rsidRPr="008629EF" w:rsidRDefault="00AF1B85" w:rsidP="003E305C">
            <w:pPr>
              <w:keepLines/>
              <w:spacing w:before="40" w:after="40" w:line="200" w:lineRule="atLeast"/>
              <w:rPr>
                <w:rFonts w:asciiTheme="minorHAnsi" w:eastAsia="Times New Roman" w:hAnsiTheme="minorHAnsi"/>
                <w:b w:val="0"/>
                <w:iCs/>
                <w:color w:val="auto"/>
                <w:szCs w:val="17"/>
                <w:lang w:eastAsia="en-US"/>
              </w:rPr>
            </w:pPr>
          </w:p>
        </w:tc>
      </w:tr>
    </w:tbl>
    <w:p w14:paraId="658569A7" w14:textId="77777777"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2 </w:t>
      </w:r>
      <w:r w:rsidR="00AF1B85" w:rsidRPr="00EF26B5">
        <w:rPr>
          <w:rFonts w:eastAsiaTheme="majorEastAsia" w:cstheme="minorHAnsi"/>
          <w:caps/>
          <w:sz w:val="36"/>
          <w:szCs w:val="36"/>
        </w:rPr>
        <w:t xml:space="preserve">List of program prioritised evaluations planned for the next 12 months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86"/>
        <w:gridCol w:w="2384"/>
        <w:gridCol w:w="2070"/>
        <w:gridCol w:w="2236"/>
        <w:gridCol w:w="2353"/>
        <w:gridCol w:w="2782"/>
      </w:tblGrid>
      <w:tr w:rsidR="00AF1B85" w:rsidRPr="00C61187" w14:paraId="2DC2635E" w14:textId="77777777" w:rsidTr="00E01E95">
        <w:tc>
          <w:tcPr>
            <w:tcW w:w="2444" w:type="dxa"/>
          </w:tcPr>
          <w:p w14:paraId="4A331D7C"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25FEF484"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40F736F5"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67042806"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258051E9"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46D3286B"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14:paraId="5ED0E5DF" w14:textId="77777777" w:rsidTr="00E01E95">
        <w:tc>
          <w:tcPr>
            <w:tcW w:w="2444" w:type="dxa"/>
          </w:tcPr>
          <w:p w14:paraId="156AE677" w14:textId="77777777" w:rsidR="00AF1B85" w:rsidRPr="00627524" w:rsidRDefault="00627524" w:rsidP="00D15A00">
            <w:pPr>
              <w:keepLines/>
              <w:spacing w:before="40" w:after="40" w:line="200" w:lineRule="atLeast"/>
              <w:rPr>
                <w:rFonts w:asciiTheme="minorHAnsi" w:eastAsia="Times New Roman" w:hAnsiTheme="minorHAnsi"/>
                <w:iCs/>
                <w:color w:val="auto"/>
                <w:szCs w:val="17"/>
                <w:lang w:eastAsia="en-US"/>
              </w:rPr>
            </w:pPr>
            <w:r w:rsidRPr="00627524">
              <w:rPr>
                <w:rFonts w:asciiTheme="minorHAnsi" w:eastAsia="Times New Roman" w:hAnsiTheme="minorHAnsi"/>
                <w:iCs/>
                <w:color w:val="auto"/>
                <w:szCs w:val="17"/>
                <w:lang w:eastAsia="en-US"/>
              </w:rPr>
              <w:t>Nil</w:t>
            </w:r>
            <w:r w:rsidR="00AF1B85" w:rsidRPr="00627524">
              <w:rPr>
                <w:rFonts w:asciiTheme="minorHAnsi" w:eastAsia="Times New Roman" w:hAnsiTheme="minorHAnsi"/>
                <w:iCs/>
                <w:color w:val="auto"/>
                <w:szCs w:val="17"/>
                <w:lang w:eastAsia="en-US"/>
              </w:rPr>
              <w:t xml:space="preserve"> </w:t>
            </w:r>
          </w:p>
        </w:tc>
        <w:tc>
          <w:tcPr>
            <w:tcW w:w="2356" w:type="dxa"/>
          </w:tcPr>
          <w:p w14:paraId="41182A7D" w14:textId="77777777" w:rsidR="00AF1B85" w:rsidRPr="00627524" w:rsidRDefault="00AF1B85" w:rsidP="00D15A00">
            <w:pPr>
              <w:keepLines/>
              <w:spacing w:before="40" w:after="40" w:line="200" w:lineRule="atLeast"/>
              <w:rPr>
                <w:rFonts w:asciiTheme="minorHAnsi" w:eastAsia="Times New Roman" w:hAnsiTheme="minorHAnsi"/>
                <w:iCs/>
                <w:color w:val="auto"/>
                <w:szCs w:val="17"/>
                <w:lang w:eastAsia="en-US"/>
              </w:rPr>
            </w:pPr>
          </w:p>
        </w:tc>
        <w:tc>
          <w:tcPr>
            <w:tcW w:w="2042" w:type="dxa"/>
          </w:tcPr>
          <w:p w14:paraId="5722CD48" w14:textId="77777777" w:rsidR="00AF1B85" w:rsidRPr="00627524" w:rsidRDefault="00AF1B85" w:rsidP="00D15A00">
            <w:pPr>
              <w:keepLines/>
              <w:spacing w:before="40" w:after="40" w:line="200" w:lineRule="atLeast"/>
              <w:rPr>
                <w:rFonts w:asciiTheme="minorHAnsi" w:eastAsia="Times New Roman" w:hAnsiTheme="minorHAnsi"/>
                <w:iCs/>
                <w:color w:val="auto"/>
                <w:szCs w:val="17"/>
                <w:lang w:eastAsia="en-US"/>
              </w:rPr>
            </w:pPr>
          </w:p>
        </w:tc>
        <w:tc>
          <w:tcPr>
            <w:tcW w:w="2208" w:type="dxa"/>
          </w:tcPr>
          <w:p w14:paraId="6D2A351F" w14:textId="77777777" w:rsidR="00AF1B85" w:rsidRPr="00627524" w:rsidRDefault="00AF1B85" w:rsidP="00D15A00">
            <w:pPr>
              <w:keepLines/>
              <w:spacing w:before="40" w:after="40" w:line="200" w:lineRule="atLeast"/>
              <w:rPr>
                <w:rFonts w:asciiTheme="minorHAnsi" w:eastAsia="Times New Roman" w:hAnsiTheme="minorHAnsi"/>
                <w:iCs/>
                <w:color w:val="auto"/>
                <w:szCs w:val="17"/>
                <w:lang w:eastAsia="en-US"/>
              </w:rPr>
            </w:pPr>
          </w:p>
        </w:tc>
        <w:tc>
          <w:tcPr>
            <w:tcW w:w="2325" w:type="dxa"/>
          </w:tcPr>
          <w:p w14:paraId="0744CAAB" w14:textId="77777777" w:rsidR="00AF1B85" w:rsidRPr="00627524" w:rsidRDefault="00AF1B85" w:rsidP="00D15A00">
            <w:pPr>
              <w:keepLines/>
              <w:spacing w:before="40" w:after="40" w:line="200" w:lineRule="atLeast"/>
              <w:rPr>
                <w:rFonts w:asciiTheme="minorHAnsi" w:eastAsia="Times New Roman" w:hAnsiTheme="minorHAnsi"/>
                <w:iCs/>
                <w:color w:val="auto"/>
                <w:szCs w:val="17"/>
                <w:lang w:eastAsia="en-US"/>
              </w:rPr>
            </w:pPr>
          </w:p>
        </w:tc>
        <w:tc>
          <w:tcPr>
            <w:tcW w:w="2740" w:type="dxa"/>
          </w:tcPr>
          <w:p w14:paraId="751FC4E1" w14:textId="77777777" w:rsidR="00AF1B85" w:rsidRPr="00627524" w:rsidRDefault="00AF1B85" w:rsidP="00D15A00">
            <w:pPr>
              <w:keepLines/>
              <w:spacing w:before="40" w:after="40" w:line="200" w:lineRule="atLeast"/>
              <w:rPr>
                <w:rFonts w:asciiTheme="minorHAnsi" w:eastAsia="Times New Roman" w:hAnsiTheme="minorHAnsi"/>
                <w:iCs/>
                <w:color w:val="auto"/>
                <w:szCs w:val="17"/>
                <w:lang w:eastAsia="en-US"/>
              </w:rPr>
            </w:pPr>
          </w:p>
        </w:tc>
      </w:tr>
    </w:tbl>
    <w:p w14:paraId="0F0F78DA" w14:textId="77777777" w:rsidR="0059146A" w:rsidRPr="0059146A" w:rsidRDefault="0059146A" w:rsidP="005B5769">
      <w:pPr>
        <w:pStyle w:val="ListBullet"/>
        <w:tabs>
          <w:tab w:val="clear" w:pos="284"/>
        </w:tabs>
      </w:pPr>
    </w:p>
    <w:p w14:paraId="5F9BF8B1" w14:textId="77777777" w:rsidR="0059146A" w:rsidRDefault="0059146A" w:rsidP="005B5769">
      <w:pPr>
        <w:pStyle w:val="ListBullet"/>
        <w:tabs>
          <w:tab w:val="clear" w:pos="284"/>
        </w:tabs>
      </w:pPr>
    </w:p>
    <w:p w14:paraId="7DA092A9" w14:textId="77777777" w:rsidR="005E606B" w:rsidRDefault="005E606B" w:rsidP="005B5769">
      <w:pPr>
        <w:pStyle w:val="ListBullet"/>
        <w:tabs>
          <w:tab w:val="clear" w:pos="284"/>
        </w:tabs>
        <w:sectPr w:rsidR="005E606B" w:rsidSect="00D2653F">
          <w:headerReference w:type="default" r:id="rId26"/>
          <w:headerReference w:type="first" r:id="rId27"/>
          <w:pgSz w:w="16838" w:h="11906" w:orient="landscape" w:code="9"/>
          <w:pgMar w:top="1134" w:right="1952" w:bottom="1134" w:left="851" w:header="1107" w:footer="567" w:gutter="0"/>
          <w:cols w:space="397"/>
          <w:docGrid w:linePitch="360"/>
        </w:sectPr>
      </w:pPr>
    </w:p>
    <w:p w14:paraId="142760F9" w14:textId="77777777" w:rsidR="005E606B" w:rsidRPr="00EF26B5" w:rsidRDefault="005E606B"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 xml:space="preserve">Annex </w:t>
      </w:r>
      <w:r w:rsidR="00184F1E" w:rsidRPr="00EF26B5">
        <w:rPr>
          <w:rFonts w:asciiTheme="majorHAnsi" w:hAnsiTheme="majorHAnsi" w:cstheme="majorHAnsi"/>
        </w:rPr>
        <w:t>D</w:t>
      </w:r>
      <w:r w:rsidRPr="00EF26B5">
        <w:rPr>
          <w:rFonts w:asciiTheme="majorHAnsi" w:hAnsiTheme="majorHAnsi" w:cstheme="majorHAnsi"/>
        </w:rPr>
        <w:t xml:space="preserve"> - Aid Quality Check ratings</w:t>
      </w:r>
    </w:p>
    <w:p w14:paraId="45BFE26F" w14:textId="77777777" w:rsidR="005E606B" w:rsidRPr="00EF26B5" w:rsidRDefault="00212FB7" w:rsidP="00A8197B">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 xml:space="preserve">1 </w:t>
      </w:r>
      <w:r w:rsidR="005E606B" w:rsidRPr="00EF26B5">
        <w:rPr>
          <w:rFonts w:asciiTheme="minorHAnsi" w:eastAsiaTheme="majorEastAsia" w:hAnsiTheme="minorHAnsi" w:cstheme="minorHAnsi"/>
          <w:caps/>
          <w:color w:val="495965" w:themeColor="text2"/>
          <w:sz w:val="36"/>
          <w:szCs w:val="36"/>
          <w:lang w:val="en-GB" w:eastAsia="en-US"/>
        </w:rPr>
        <w:t>AQC ratings</w:t>
      </w:r>
    </w:p>
    <w:tbl>
      <w:tblPr>
        <w:tblStyle w:val="AP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69"/>
        <w:gridCol w:w="800"/>
        <w:gridCol w:w="618"/>
        <w:gridCol w:w="618"/>
        <w:gridCol w:w="640"/>
        <w:gridCol w:w="695"/>
        <w:gridCol w:w="618"/>
        <w:gridCol w:w="664"/>
        <w:gridCol w:w="632"/>
      </w:tblGrid>
      <w:tr w:rsidR="00D061BB" w:rsidRPr="00C61187" w14:paraId="611E1D58" w14:textId="77777777" w:rsidTr="00E01E95">
        <w:trPr>
          <w:cnfStyle w:val="000000010000" w:firstRow="0" w:lastRow="0" w:firstColumn="0" w:lastColumn="0" w:oddVBand="0" w:evenVBand="0" w:oddHBand="0" w:evenHBand="1" w:firstRowFirstColumn="0" w:firstRowLastColumn="0" w:lastRowFirstColumn="0" w:lastRowLastColumn="0"/>
          <w:trHeight w:val="1413"/>
        </w:trPr>
        <w:tc>
          <w:tcPr>
            <w:tcW w:w="1641" w:type="pct"/>
          </w:tcPr>
          <w:p w14:paraId="6D5E9C15"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4E8D61A0" wp14:editId="20E70940">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03" w:type="pct"/>
            <w:textDirection w:val="btLr"/>
          </w:tcPr>
          <w:p w14:paraId="6196B0B6"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14:paraId="6D062349"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15" w:type="pct"/>
            <w:textDirection w:val="btLr"/>
          </w:tcPr>
          <w:p w14:paraId="1F849A50"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5" w:type="pct"/>
            <w:textDirection w:val="btLr"/>
          </w:tcPr>
          <w:p w14:paraId="3D20AD07"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27" w:type="pct"/>
            <w:textDirection w:val="btLr"/>
          </w:tcPr>
          <w:p w14:paraId="299AC7B3"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56" w:type="pct"/>
            <w:textDirection w:val="btLr"/>
          </w:tcPr>
          <w:p w14:paraId="31EBF5EB"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15" w:type="pct"/>
            <w:textDirection w:val="btLr"/>
          </w:tcPr>
          <w:p w14:paraId="444614AF"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40" w:type="pct"/>
            <w:textDirection w:val="btLr"/>
          </w:tcPr>
          <w:p w14:paraId="4F944F05"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15" w:type="pct"/>
            <w:textDirection w:val="btLr"/>
          </w:tcPr>
          <w:p w14:paraId="07A85DAB"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D061BB" w:rsidRPr="00C61187" w14:paraId="08B7E678" w14:textId="77777777" w:rsidTr="00073869">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14:paraId="5B58A9F6" w14:textId="77777777" w:rsidR="005E606B" w:rsidRPr="00812509" w:rsidRDefault="0064425C"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Economic Opportunities for the Poor</w:t>
            </w:r>
          </w:p>
        </w:tc>
        <w:tc>
          <w:tcPr>
            <w:tcW w:w="503" w:type="pct"/>
            <w:vMerge w:val="restart"/>
          </w:tcPr>
          <w:p w14:paraId="737D18E8" w14:textId="77777777" w:rsidR="0064425C" w:rsidRPr="0064425C" w:rsidRDefault="0064425C" w:rsidP="0064425C">
            <w:pPr>
              <w:autoSpaceDE w:val="0"/>
              <w:autoSpaceDN w:val="0"/>
              <w:adjustRightInd w:val="0"/>
              <w:rPr>
                <w:rFonts w:asciiTheme="minorHAnsi" w:hAnsiTheme="minorHAnsi" w:cs="Franklin Gothic Book"/>
                <w:color w:val="000000"/>
                <w:szCs w:val="17"/>
              </w:rPr>
            </w:pPr>
            <w:r w:rsidRPr="0064425C">
              <w:rPr>
                <w:rFonts w:asciiTheme="minorHAnsi" w:hAnsiTheme="minorHAnsi" w:cs="Franklin Gothic Book"/>
                <w:color w:val="000000"/>
                <w:szCs w:val="17"/>
              </w:rPr>
              <w:t>$33m</w:t>
            </w:r>
          </w:p>
          <w:p w14:paraId="2131749E" w14:textId="77777777" w:rsidR="005E606B" w:rsidRPr="00812509" w:rsidRDefault="0064425C" w:rsidP="0064425C">
            <w:pPr>
              <w:keepLines/>
              <w:spacing w:before="40" w:after="40" w:line="200" w:lineRule="atLeast"/>
              <w:rPr>
                <w:rFonts w:asciiTheme="minorHAnsi" w:eastAsia="Times New Roman" w:hAnsiTheme="minorHAnsi"/>
                <w:iCs/>
                <w:szCs w:val="17"/>
                <w:lang w:eastAsia="en-US"/>
              </w:rPr>
            </w:pPr>
            <w:r w:rsidRPr="0064425C">
              <w:rPr>
                <w:rFonts w:asciiTheme="minorHAnsi" w:hAnsiTheme="minorHAnsi" w:cs="Franklin Gothic Book"/>
                <w:color w:val="000000"/>
                <w:szCs w:val="17"/>
              </w:rPr>
              <w:t>2014-2022</w:t>
            </w:r>
          </w:p>
        </w:tc>
        <w:tc>
          <w:tcPr>
            <w:tcW w:w="412" w:type="pct"/>
          </w:tcPr>
          <w:p w14:paraId="0153A074"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auto"/>
            <w:noWrap/>
          </w:tcPr>
          <w:p w14:paraId="003F2776"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FFFF00"/>
            <w:noWrap/>
          </w:tcPr>
          <w:p w14:paraId="11D97884"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7" w:type="pct"/>
            <w:shd w:val="clear" w:color="auto" w:fill="FFFF00"/>
            <w:noWrap/>
          </w:tcPr>
          <w:p w14:paraId="5EF12A17"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auto"/>
            <w:noWrap/>
          </w:tcPr>
          <w:p w14:paraId="64E8A964"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p>
        </w:tc>
        <w:tc>
          <w:tcPr>
            <w:tcW w:w="315" w:type="pct"/>
            <w:shd w:val="clear" w:color="auto" w:fill="auto"/>
            <w:noWrap/>
          </w:tcPr>
          <w:p w14:paraId="4CB756E4"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40" w:type="pct"/>
            <w:shd w:val="clear" w:color="auto" w:fill="FFC000"/>
            <w:noWrap/>
          </w:tcPr>
          <w:p w14:paraId="308D4272"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15" w:type="pct"/>
            <w:shd w:val="clear" w:color="auto" w:fill="auto"/>
          </w:tcPr>
          <w:p w14:paraId="363ACC2F"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D061BB" w:rsidRPr="00C61187" w14:paraId="316DD27C" w14:textId="77777777" w:rsidTr="001B33C1">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14:paraId="12113056"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3" w:type="pct"/>
            <w:vMerge/>
          </w:tcPr>
          <w:p w14:paraId="38780332"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14:paraId="6F1F7897"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tcPr>
          <w:p w14:paraId="25623A7C"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FFFF00"/>
            <w:noWrap/>
          </w:tcPr>
          <w:p w14:paraId="446A63D0" w14:textId="298C62F3"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14:paraId="40840851"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FFFF00"/>
            <w:noWrap/>
          </w:tcPr>
          <w:p w14:paraId="243FD887" w14:textId="16D4F06D"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14:paraId="4062895C" w14:textId="7A297357"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0" w:type="pct"/>
            <w:shd w:val="clear" w:color="auto" w:fill="FFFF00"/>
            <w:noWrap/>
          </w:tcPr>
          <w:p w14:paraId="1F3C71DB"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1</w:t>
            </w:r>
          </w:p>
        </w:tc>
        <w:tc>
          <w:tcPr>
            <w:tcW w:w="315" w:type="pct"/>
            <w:shd w:val="clear" w:color="auto" w:fill="FFFF00"/>
          </w:tcPr>
          <w:p w14:paraId="6CE89375"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D061BB" w:rsidRPr="00C61187" w14:paraId="65AF8EC8" w14:textId="77777777" w:rsidTr="00073869">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14:paraId="5D30B6F0" w14:textId="77777777" w:rsidR="005E606B" w:rsidRPr="00812509" w:rsidRDefault="0064425C"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Governance for Growth</w:t>
            </w:r>
          </w:p>
        </w:tc>
        <w:tc>
          <w:tcPr>
            <w:tcW w:w="503" w:type="pct"/>
            <w:vMerge w:val="restart"/>
          </w:tcPr>
          <w:p w14:paraId="30E6F180" w14:textId="77777777" w:rsidR="005E606B" w:rsidRPr="00812509" w:rsidRDefault="0064425C" w:rsidP="003E305C">
            <w:pPr>
              <w:keepLines/>
              <w:spacing w:before="40" w:after="40" w:line="200" w:lineRule="atLeast"/>
              <w:rPr>
                <w:rFonts w:asciiTheme="minorHAnsi" w:eastAsia="Times New Roman" w:hAnsiTheme="minorHAnsi"/>
                <w:iCs/>
                <w:szCs w:val="17"/>
                <w:lang w:eastAsia="en-US"/>
              </w:rPr>
            </w:pPr>
            <w:r w:rsidRPr="0064425C">
              <w:rPr>
                <w:rFonts w:asciiTheme="minorHAnsi" w:hAnsiTheme="minorHAnsi" w:cs="Franklin Gothic Book"/>
                <w:color w:val="000000"/>
                <w:szCs w:val="17"/>
              </w:rPr>
              <w:t>$14m</w:t>
            </w:r>
            <w:r>
              <w:rPr>
                <w:rFonts w:asciiTheme="minorHAnsi" w:hAnsiTheme="minorHAnsi" w:cs="Franklin Gothic Book"/>
                <w:color w:val="000000"/>
                <w:szCs w:val="17"/>
              </w:rPr>
              <w:t xml:space="preserve"> 2016-2021</w:t>
            </w:r>
          </w:p>
        </w:tc>
        <w:tc>
          <w:tcPr>
            <w:tcW w:w="412" w:type="pct"/>
          </w:tcPr>
          <w:p w14:paraId="26CB8CF3"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auto"/>
            <w:noWrap/>
          </w:tcPr>
          <w:p w14:paraId="69EB0AC2"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92D050"/>
            <w:noWrap/>
          </w:tcPr>
          <w:p w14:paraId="7908B56D"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7" w:type="pct"/>
            <w:shd w:val="clear" w:color="auto" w:fill="FFFF00"/>
            <w:noWrap/>
          </w:tcPr>
          <w:p w14:paraId="5E250797"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auto"/>
            <w:noWrap/>
          </w:tcPr>
          <w:p w14:paraId="4DA10266"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auto"/>
            <w:noWrap/>
          </w:tcPr>
          <w:p w14:paraId="34E5D507"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40" w:type="pct"/>
            <w:shd w:val="clear" w:color="auto" w:fill="92D050"/>
            <w:noWrap/>
          </w:tcPr>
          <w:p w14:paraId="702A3C71"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auto"/>
          </w:tcPr>
          <w:p w14:paraId="1F5D9F28"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D061BB" w:rsidRPr="00C61187" w14:paraId="48BFEDD1" w14:textId="77777777" w:rsidTr="001B33C1">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14:paraId="1B0572EA"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3" w:type="pct"/>
            <w:vMerge/>
          </w:tcPr>
          <w:p w14:paraId="3B162FD5"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14:paraId="5D35DA64"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FFFF00"/>
            <w:noWrap/>
          </w:tcPr>
          <w:p w14:paraId="76080A43" w14:textId="23D96D53"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14:paraId="2D7EA7AC" w14:textId="2CAB1E08"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14:paraId="6EF34AB9" w14:textId="4DDD02F2"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shd w:val="clear" w:color="auto" w:fill="FFFF00"/>
            <w:noWrap/>
          </w:tcPr>
          <w:p w14:paraId="068681DD" w14:textId="146C14F7"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14:paraId="7130A910" w14:textId="1E44028A"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0" w:type="pct"/>
            <w:shd w:val="clear" w:color="auto" w:fill="FFFF00"/>
            <w:noWrap/>
          </w:tcPr>
          <w:p w14:paraId="72D2CA56" w14:textId="62B7D3C3"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tcPr>
          <w:p w14:paraId="1BA94B71" w14:textId="624A8AF0" w:rsidR="005E606B" w:rsidRPr="00812509" w:rsidRDefault="001B33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061BB" w:rsidRPr="00C61187" w14:paraId="03DFF8A6" w14:textId="77777777" w:rsidTr="00073869">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14:paraId="06133482" w14:textId="77777777" w:rsidR="005E606B" w:rsidRPr="00812509" w:rsidRDefault="0064425C"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Women in Work</w:t>
            </w:r>
          </w:p>
        </w:tc>
        <w:tc>
          <w:tcPr>
            <w:tcW w:w="503" w:type="pct"/>
            <w:vMerge w:val="restart"/>
          </w:tcPr>
          <w:p w14:paraId="29D220F1" w14:textId="77777777" w:rsidR="0064425C" w:rsidRPr="0064425C" w:rsidRDefault="0064425C" w:rsidP="0064425C">
            <w:pPr>
              <w:keepLines/>
              <w:spacing w:before="40" w:after="40" w:line="200" w:lineRule="atLeast"/>
              <w:rPr>
                <w:rFonts w:asciiTheme="minorHAnsi" w:eastAsia="Times New Roman" w:hAnsiTheme="minorHAnsi"/>
                <w:iCs/>
                <w:szCs w:val="17"/>
                <w:lang w:eastAsia="en-US"/>
              </w:rPr>
            </w:pPr>
            <w:r w:rsidRPr="0064425C">
              <w:rPr>
                <w:rFonts w:asciiTheme="minorHAnsi" w:eastAsia="Times New Roman" w:hAnsiTheme="minorHAnsi"/>
                <w:iCs/>
                <w:szCs w:val="17"/>
                <w:lang w:eastAsia="en-US"/>
              </w:rPr>
              <w:t>$15</w:t>
            </w:r>
            <w:r>
              <w:rPr>
                <w:rFonts w:asciiTheme="minorHAnsi" w:eastAsia="Times New Roman" w:hAnsiTheme="minorHAnsi"/>
                <w:iCs/>
                <w:szCs w:val="17"/>
                <w:lang w:eastAsia="en-US"/>
              </w:rPr>
              <w:t>m</w:t>
            </w:r>
          </w:p>
          <w:p w14:paraId="7D467C7D" w14:textId="77777777" w:rsidR="005E606B" w:rsidRPr="00812509" w:rsidRDefault="0064425C" w:rsidP="0064425C">
            <w:pPr>
              <w:keepLines/>
              <w:spacing w:before="40" w:after="40" w:line="200" w:lineRule="atLeast"/>
              <w:rPr>
                <w:rFonts w:asciiTheme="minorHAnsi" w:eastAsia="Times New Roman" w:hAnsiTheme="minorHAnsi"/>
                <w:iCs/>
                <w:szCs w:val="17"/>
                <w:lang w:eastAsia="en-US"/>
              </w:rPr>
            </w:pPr>
            <w:r w:rsidRPr="0064425C">
              <w:rPr>
                <w:rFonts w:asciiTheme="minorHAnsi" w:eastAsia="Times New Roman" w:hAnsiTheme="minorHAnsi"/>
                <w:iCs/>
                <w:szCs w:val="17"/>
                <w:lang w:eastAsia="en-US"/>
              </w:rPr>
              <w:t>2015-2021</w:t>
            </w:r>
          </w:p>
        </w:tc>
        <w:tc>
          <w:tcPr>
            <w:tcW w:w="412" w:type="pct"/>
          </w:tcPr>
          <w:p w14:paraId="1422B76E"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noWrap/>
          </w:tcPr>
          <w:p w14:paraId="12E3BFB8"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FFC000"/>
            <w:noWrap/>
          </w:tcPr>
          <w:p w14:paraId="463EB7A1"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27" w:type="pct"/>
            <w:shd w:val="clear" w:color="auto" w:fill="FFC000"/>
            <w:noWrap/>
          </w:tcPr>
          <w:p w14:paraId="6F1787C2"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56" w:type="pct"/>
            <w:noWrap/>
          </w:tcPr>
          <w:p w14:paraId="74C0095F"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noWrap/>
          </w:tcPr>
          <w:p w14:paraId="063470EF"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40" w:type="pct"/>
            <w:shd w:val="clear" w:color="auto" w:fill="FFC000"/>
            <w:noWrap/>
          </w:tcPr>
          <w:p w14:paraId="24DD3833"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15" w:type="pct"/>
          </w:tcPr>
          <w:p w14:paraId="55C1B8EB"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D061BB" w:rsidRPr="00C61187" w14:paraId="18CFDD41" w14:textId="77777777" w:rsidTr="00073869">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14:paraId="4252B3A6"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3" w:type="pct"/>
            <w:vMerge/>
          </w:tcPr>
          <w:p w14:paraId="79C2BBBF"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14:paraId="3EA9836D"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tcPr>
          <w:p w14:paraId="0823BBF3"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shd w:val="clear" w:color="auto" w:fill="FFFF00"/>
            <w:noWrap/>
          </w:tcPr>
          <w:p w14:paraId="5DEE1A77"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14:paraId="127A221F"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shd w:val="clear" w:color="auto" w:fill="FFC000"/>
            <w:noWrap/>
          </w:tcPr>
          <w:p w14:paraId="727BBF66"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15" w:type="pct"/>
            <w:shd w:val="clear" w:color="auto" w:fill="92D050"/>
            <w:noWrap/>
          </w:tcPr>
          <w:p w14:paraId="106A987B"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40" w:type="pct"/>
            <w:shd w:val="clear" w:color="auto" w:fill="FFFF00"/>
            <w:noWrap/>
          </w:tcPr>
          <w:p w14:paraId="646853DD"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Pr>
          <w:p w14:paraId="1166336F" w14:textId="77777777" w:rsidR="005E606B" w:rsidRPr="00812509" w:rsidRDefault="0007386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14:paraId="7967B55E" w14:textId="77777777" w:rsidR="005E606B" w:rsidRPr="00C61187" w:rsidRDefault="005E606B" w:rsidP="005E606B">
      <w:pPr>
        <w:rPr>
          <w:iCs/>
        </w:rPr>
      </w:pPr>
    </w:p>
    <w:p w14:paraId="1AA5BE2D" w14:textId="77777777" w:rsidR="00A8197B" w:rsidRPr="00A8197B" w:rsidRDefault="00A8197B" w:rsidP="00A8197B"/>
    <w:p w14:paraId="637D94E5" w14:textId="77777777"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r>
        <w:br w:type="page"/>
      </w:r>
    </w:p>
    <w:p w14:paraId="63C5F925" w14:textId="77777777" w:rsidR="00184F1E" w:rsidRPr="00EF26B5" w:rsidRDefault="00184F1E" w:rsidP="00BB648A">
      <w:pPr>
        <w:pStyle w:val="Subtitle"/>
        <w:spacing w:before="360" w:after="120" w:line="300" w:lineRule="exact"/>
        <w:rPr>
          <w:rFonts w:asciiTheme="majorHAnsi" w:hAnsiTheme="majorHAnsi" w:cstheme="majorHAnsi"/>
          <w:bCs w:val="0"/>
          <w:iCs w:val="0"/>
          <w:caps w:val="0"/>
        </w:rPr>
      </w:pPr>
      <w:r w:rsidRPr="00EF26B5">
        <w:rPr>
          <w:rFonts w:asciiTheme="majorHAnsi" w:hAnsiTheme="majorHAnsi" w:cstheme="majorHAnsi"/>
        </w:rPr>
        <w:lastRenderedPageBreak/>
        <w:t>Annex E – Performance Assessment Framework</w:t>
      </w:r>
    </w:p>
    <w:p w14:paraId="73CFF964" w14:textId="77777777" w:rsidR="00006C64" w:rsidRPr="00006C64" w:rsidRDefault="00006C64" w:rsidP="00C73C66">
      <w:pPr>
        <w:spacing w:after="120"/>
      </w:pPr>
      <w:r>
        <w:t xml:space="preserve">The Sri Lanka program is in the process of developing a new AIP </w:t>
      </w:r>
      <w:r w:rsidRPr="00006C64">
        <w:rPr>
          <w:i/>
        </w:rPr>
        <w:t>Australia-Sri Lanka Aid Investment Plan 2020-2024</w:t>
      </w:r>
      <w:r>
        <w:t xml:space="preserve"> which is expected </w:t>
      </w:r>
      <w:r w:rsidR="00CD5F1C">
        <w:t>to</w:t>
      </w:r>
      <w:r>
        <w:t xml:space="preserve"> be released in early 2020. A new Performance Assessment Framework will be developed as part of this process and will be included in subsequent APPRs.</w:t>
      </w:r>
    </w:p>
    <w:p w14:paraId="0C9F7222" w14:textId="77777777" w:rsidR="0059146A" w:rsidRDefault="0059146A" w:rsidP="005B5769">
      <w:pPr>
        <w:pStyle w:val="ListBullet"/>
        <w:tabs>
          <w:tab w:val="clear" w:pos="284"/>
        </w:tabs>
      </w:pPr>
    </w:p>
    <w:p w14:paraId="5BEA3F1E" w14:textId="77777777" w:rsidR="00015316" w:rsidRDefault="00015316" w:rsidP="005B5769">
      <w:pPr>
        <w:pStyle w:val="ListBullet"/>
        <w:tabs>
          <w:tab w:val="clear" w:pos="284"/>
        </w:tabs>
      </w:pPr>
    </w:p>
    <w:p w14:paraId="448447A7" w14:textId="77777777" w:rsidR="00015316" w:rsidRDefault="00015316" w:rsidP="005B5769">
      <w:pPr>
        <w:pStyle w:val="ListBullet"/>
        <w:tabs>
          <w:tab w:val="clear" w:pos="284"/>
        </w:tabs>
      </w:pPr>
    </w:p>
    <w:p w14:paraId="21BD9EC5" w14:textId="77777777" w:rsidR="00015316" w:rsidRDefault="00015316" w:rsidP="005B5769">
      <w:pPr>
        <w:pStyle w:val="ListBullet"/>
        <w:tabs>
          <w:tab w:val="clear" w:pos="284"/>
        </w:tabs>
      </w:pPr>
    </w:p>
    <w:p w14:paraId="0280C1E3" w14:textId="77777777" w:rsidR="00015316" w:rsidRDefault="00015316" w:rsidP="005B5769">
      <w:pPr>
        <w:pStyle w:val="ListBullet"/>
        <w:tabs>
          <w:tab w:val="clear" w:pos="284"/>
        </w:tabs>
      </w:pPr>
    </w:p>
    <w:p w14:paraId="209ADE89" w14:textId="77777777" w:rsidR="00015316" w:rsidRDefault="00015316" w:rsidP="005B5769">
      <w:pPr>
        <w:pStyle w:val="ListBullet"/>
        <w:tabs>
          <w:tab w:val="clear" w:pos="284"/>
        </w:tabs>
      </w:pPr>
    </w:p>
    <w:p w14:paraId="7057E2AB" w14:textId="77777777" w:rsidR="00015316" w:rsidRDefault="00015316" w:rsidP="005B5769">
      <w:pPr>
        <w:pStyle w:val="ListBullet"/>
        <w:tabs>
          <w:tab w:val="clear" w:pos="284"/>
        </w:tabs>
      </w:pPr>
    </w:p>
    <w:p w14:paraId="769FB41A" w14:textId="77777777" w:rsidR="00015316" w:rsidRDefault="00015316" w:rsidP="005B5769">
      <w:pPr>
        <w:pStyle w:val="ListBullet"/>
        <w:tabs>
          <w:tab w:val="clear" w:pos="284"/>
        </w:tabs>
      </w:pPr>
    </w:p>
    <w:p w14:paraId="67CD3E8E" w14:textId="77777777" w:rsidR="00015316" w:rsidRDefault="00015316" w:rsidP="005B5769">
      <w:pPr>
        <w:pStyle w:val="ListBullet"/>
        <w:tabs>
          <w:tab w:val="clear" w:pos="284"/>
        </w:tabs>
      </w:pPr>
    </w:p>
    <w:p w14:paraId="47E5CA31" w14:textId="77777777" w:rsidR="00015316" w:rsidRDefault="00015316" w:rsidP="005B5769">
      <w:pPr>
        <w:pStyle w:val="ListBullet"/>
        <w:tabs>
          <w:tab w:val="clear" w:pos="284"/>
        </w:tabs>
      </w:pPr>
    </w:p>
    <w:p w14:paraId="558A9643" w14:textId="77777777" w:rsidR="00015316" w:rsidRDefault="00015316" w:rsidP="005B5769">
      <w:pPr>
        <w:pStyle w:val="ListBullet"/>
        <w:tabs>
          <w:tab w:val="clear" w:pos="284"/>
        </w:tabs>
      </w:pPr>
    </w:p>
    <w:p w14:paraId="40B367B9" w14:textId="77777777" w:rsidR="00015316" w:rsidRDefault="00015316" w:rsidP="005B5769">
      <w:pPr>
        <w:pStyle w:val="ListBullet"/>
        <w:tabs>
          <w:tab w:val="clear" w:pos="284"/>
        </w:tabs>
      </w:pPr>
    </w:p>
    <w:p w14:paraId="3D9F06D0" w14:textId="77777777" w:rsidR="00015316" w:rsidRDefault="00015316" w:rsidP="005B5769">
      <w:pPr>
        <w:pStyle w:val="ListBullet"/>
        <w:tabs>
          <w:tab w:val="clear" w:pos="284"/>
        </w:tabs>
      </w:pPr>
    </w:p>
    <w:p w14:paraId="18D534E7" w14:textId="77777777" w:rsidR="00015316" w:rsidRDefault="00015316" w:rsidP="005B5769">
      <w:pPr>
        <w:pStyle w:val="ListBullet"/>
        <w:tabs>
          <w:tab w:val="clear" w:pos="284"/>
        </w:tabs>
      </w:pPr>
    </w:p>
    <w:p w14:paraId="465B4581" w14:textId="77777777" w:rsidR="00015316" w:rsidRDefault="00015316" w:rsidP="005B5769">
      <w:pPr>
        <w:pStyle w:val="ListBullet"/>
        <w:tabs>
          <w:tab w:val="clear" w:pos="284"/>
        </w:tabs>
      </w:pPr>
    </w:p>
    <w:p w14:paraId="3686398F" w14:textId="77777777" w:rsidR="00015316" w:rsidRDefault="00015316" w:rsidP="005B5769">
      <w:pPr>
        <w:pStyle w:val="ListBullet"/>
        <w:tabs>
          <w:tab w:val="clear" w:pos="284"/>
        </w:tabs>
      </w:pPr>
    </w:p>
    <w:p w14:paraId="565AF8AB" w14:textId="77777777" w:rsidR="00015316" w:rsidRDefault="00015316" w:rsidP="005B5769">
      <w:pPr>
        <w:pStyle w:val="ListBullet"/>
        <w:tabs>
          <w:tab w:val="clear" w:pos="284"/>
        </w:tabs>
      </w:pPr>
    </w:p>
    <w:p w14:paraId="7B028A2A" w14:textId="77777777" w:rsidR="00015316" w:rsidRDefault="00015316" w:rsidP="005B5769">
      <w:pPr>
        <w:pStyle w:val="ListBullet"/>
        <w:tabs>
          <w:tab w:val="clear" w:pos="284"/>
        </w:tabs>
      </w:pPr>
    </w:p>
    <w:p w14:paraId="2B7B697E" w14:textId="77777777" w:rsidR="00A92CF2" w:rsidRDefault="00A92CF2" w:rsidP="005B5769">
      <w:pPr>
        <w:pStyle w:val="ListBullet"/>
        <w:tabs>
          <w:tab w:val="clear" w:pos="284"/>
        </w:tabs>
      </w:pPr>
    </w:p>
    <w:p w14:paraId="388AC08B" w14:textId="77777777" w:rsidR="00A92CF2" w:rsidRDefault="00A92CF2" w:rsidP="005B5769">
      <w:pPr>
        <w:pStyle w:val="ListBullet"/>
        <w:tabs>
          <w:tab w:val="clear" w:pos="284"/>
        </w:tabs>
      </w:pPr>
    </w:p>
    <w:p w14:paraId="3E09700F" w14:textId="77777777" w:rsidR="00A92CF2" w:rsidRDefault="00A92CF2" w:rsidP="005B5769">
      <w:pPr>
        <w:pStyle w:val="ListBullet"/>
        <w:tabs>
          <w:tab w:val="clear" w:pos="284"/>
        </w:tabs>
      </w:pPr>
    </w:p>
    <w:p w14:paraId="0B1CC7F1" w14:textId="77777777" w:rsidR="00A92CF2" w:rsidRDefault="00A92CF2" w:rsidP="005B5769">
      <w:pPr>
        <w:pStyle w:val="ListBullet"/>
        <w:tabs>
          <w:tab w:val="clear" w:pos="284"/>
        </w:tabs>
      </w:pPr>
    </w:p>
    <w:p w14:paraId="6A2F2FE1" w14:textId="77777777" w:rsidR="00A92CF2" w:rsidRDefault="00A92CF2" w:rsidP="005B5769">
      <w:pPr>
        <w:pStyle w:val="ListBullet"/>
        <w:tabs>
          <w:tab w:val="clear" w:pos="284"/>
        </w:tabs>
      </w:pPr>
    </w:p>
    <w:p w14:paraId="2F4CC7F2" w14:textId="77777777" w:rsidR="00A92CF2" w:rsidRDefault="00A92CF2" w:rsidP="005B5769">
      <w:pPr>
        <w:pStyle w:val="ListBullet"/>
        <w:tabs>
          <w:tab w:val="clear" w:pos="284"/>
        </w:tabs>
      </w:pPr>
    </w:p>
    <w:p w14:paraId="2F9F5666" w14:textId="77777777" w:rsidR="00A92CF2" w:rsidRDefault="00A92CF2" w:rsidP="005B5769">
      <w:pPr>
        <w:pStyle w:val="ListBullet"/>
        <w:tabs>
          <w:tab w:val="clear" w:pos="284"/>
        </w:tabs>
      </w:pPr>
    </w:p>
    <w:p w14:paraId="0EC24579" w14:textId="77777777" w:rsidR="00A92CF2" w:rsidRDefault="00A92CF2" w:rsidP="005B5769">
      <w:pPr>
        <w:pStyle w:val="ListBullet"/>
        <w:tabs>
          <w:tab w:val="clear" w:pos="284"/>
        </w:tabs>
      </w:pPr>
    </w:p>
    <w:p w14:paraId="4DEFF232" w14:textId="77777777" w:rsidR="00A92CF2" w:rsidRDefault="00A92CF2" w:rsidP="005B5769">
      <w:pPr>
        <w:pStyle w:val="ListBullet"/>
        <w:tabs>
          <w:tab w:val="clear" w:pos="284"/>
        </w:tabs>
      </w:pPr>
    </w:p>
    <w:p w14:paraId="092B4DB2" w14:textId="77777777" w:rsidR="00A92CF2" w:rsidRDefault="00A92CF2" w:rsidP="005B5769">
      <w:pPr>
        <w:pStyle w:val="ListBullet"/>
        <w:tabs>
          <w:tab w:val="clear" w:pos="284"/>
        </w:tabs>
      </w:pPr>
    </w:p>
    <w:p w14:paraId="5D505DDC" w14:textId="77777777" w:rsidR="00A92CF2" w:rsidRDefault="00A92CF2" w:rsidP="005B5769">
      <w:pPr>
        <w:pStyle w:val="ListBullet"/>
        <w:tabs>
          <w:tab w:val="clear" w:pos="284"/>
        </w:tabs>
      </w:pPr>
    </w:p>
    <w:p w14:paraId="6F2DA39A" w14:textId="77777777" w:rsidR="00A92CF2" w:rsidRDefault="00A92CF2" w:rsidP="005B5769">
      <w:pPr>
        <w:pStyle w:val="ListBullet"/>
        <w:tabs>
          <w:tab w:val="clear" w:pos="284"/>
        </w:tabs>
      </w:pPr>
    </w:p>
    <w:p w14:paraId="44EA2D40" w14:textId="77777777" w:rsidR="00A92CF2" w:rsidRDefault="00A92CF2" w:rsidP="005B5769">
      <w:pPr>
        <w:pStyle w:val="ListBullet"/>
        <w:tabs>
          <w:tab w:val="clear" w:pos="284"/>
        </w:tabs>
      </w:pPr>
    </w:p>
    <w:p w14:paraId="66D6D613" w14:textId="77777777" w:rsidR="00A92CF2" w:rsidRDefault="00A92CF2" w:rsidP="005B5769">
      <w:pPr>
        <w:pStyle w:val="ListBullet"/>
        <w:tabs>
          <w:tab w:val="clear" w:pos="284"/>
        </w:tabs>
      </w:pPr>
    </w:p>
    <w:p w14:paraId="5ADF9155" w14:textId="77777777" w:rsidR="00A92CF2" w:rsidRPr="00EF26B5" w:rsidRDefault="00A92CF2" w:rsidP="00A92CF2">
      <w:pPr>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A92CF2" w14:paraId="3637EDFD" w14:textId="77777777" w:rsidTr="00F20EFD">
        <w:trPr>
          <w:trHeight w:val="1156"/>
        </w:trPr>
        <w:tc>
          <w:tcPr>
            <w:tcW w:w="1271" w:type="dxa"/>
            <w:shd w:val="clear" w:color="auto" w:fill="D7DEE2" w:themeFill="text2" w:themeFillTint="33"/>
          </w:tcPr>
          <w:p w14:paraId="4DD76270" w14:textId="77777777" w:rsidR="00A92CF2" w:rsidRDefault="00A92CF2" w:rsidP="00F20EFD">
            <w:pPr>
              <w:spacing w:before="80" w:after="80"/>
            </w:pPr>
            <w:r w:rsidRPr="00F75380">
              <w:rPr>
                <w:noProof/>
                <w:lang w:val="en-AU" w:eastAsia="en-AU"/>
              </w:rPr>
              <w:drawing>
                <wp:inline distT="0" distB="0" distL="0" distR="0" wp14:anchorId="5A5A92B9" wp14:editId="5FBB9F11">
                  <wp:extent cx="612000" cy="612000"/>
                  <wp:effectExtent l="0" t="0" r="0" b="0"/>
                  <wp:docPr id="11" name="Picture 11"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5AE8467E" w14:textId="77777777" w:rsidR="00A92CF2" w:rsidRPr="00AB289B" w:rsidRDefault="00A92CF2" w:rsidP="00F20EFD">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1BE52784" w14:textId="77777777" w:rsidR="00A92CF2" w:rsidRDefault="00A92CF2" w:rsidP="00F20EFD"/>
        </w:tc>
        <w:tc>
          <w:tcPr>
            <w:tcW w:w="1276" w:type="dxa"/>
            <w:shd w:val="clear" w:color="auto" w:fill="D7DEE2" w:themeFill="text2" w:themeFillTint="33"/>
          </w:tcPr>
          <w:p w14:paraId="4129C154" w14:textId="77777777" w:rsidR="00A92CF2" w:rsidRDefault="00A92CF2" w:rsidP="00F20EFD">
            <w:pPr>
              <w:spacing w:before="80" w:after="80"/>
            </w:pPr>
            <w:r>
              <w:rPr>
                <w:noProof/>
                <w:lang w:val="en-AU" w:eastAsia="en-AU"/>
              </w:rPr>
              <w:drawing>
                <wp:inline distT="0" distB="0" distL="0" distR="0" wp14:anchorId="3BD2438A" wp14:editId="0C75E259">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9EA8D34" w14:textId="77777777" w:rsidR="00A92CF2" w:rsidRPr="00AB289B" w:rsidRDefault="00A92CF2" w:rsidP="00F20EFD">
            <w:pPr>
              <w:spacing w:before="80" w:after="80"/>
              <w:rPr>
                <w:sz w:val="16"/>
              </w:rPr>
            </w:pPr>
            <w:r w:rsidRPr="00AB289B">
              <w:rPr>
                <w:sz w:val="16"/>
              </w:rPr>
              <w:t>Reduce inequality within</w:t>
            </w:r>
            <w:r>
              <w:rPr>
                <w:sz w:val="16"/>
              </w:rPr>
              <w:t xml:space="preserve"> </w:t>
            </w:r>
            <w:r w:rsidRPr="00AB289B">
              <w:rPr>
                <w:sz w:val="16"/>
              </w:rPr>
              <w:t>and among countries</w:t>
            </w:r>
          </w:p>
        </w:tc>
      </w:tr>
      <w:tr w:rsidR="00A92CF2" w14:paraId="662D8106" w14:textId="77777777" w:rsidTr="00F20EFD">
        <w:tc>
          <w:tcPr>
            <w:tcW w:w="1271" w:type="dxa"/>
            <w:shd w:val="clear" w:color="auto" w:fill="D7DEE2" w:themeFill="text2" w:themeFillTint="33"/>
          </w:tcPr>
          <w:p w14:paraId="1AB1E48B" w14:textId="77777777" w:rsidR="00A92CF2" w:rsidRDefault="00A92CF2" w:rsidP="00F20EFD">
            <w:pPr>
              <w:spacing w:before="80" w:after="80"/>
            </w:pPr>
            <w:r>
              <w:rPr>
                <w:noProof/>
                <w:lang w:val="en-AU" w:eastAsia="en-AU"/>
              </w:rPr>
              <w:drawing>
                <wp:inline distT="0" distB="0" distL="0" distR="0" wp14:anchorId="21792250" wp14:editId="3F261075">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59975F9" w14:textId="77777777" w:rsidR="00A92CF2" w:rsidRPr="00AB289B" w:rsidRDefault="00A92CF2" w:rsidP="00F20EFD">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5B4FA440" w14:textId="77777777" w:rsidR="00A92CF2" w:rsidRDefault="00A92CF2" w:rsidP="00F20EFD"/>
        </w:tc>
        <w:tc>
          <w:tcPr>
            <w:tcW w:w="1276" w:type="dxa"/>
            <w:shd w:val="clear" w:color="auto" w:fill="D7DEE2" w:themeFill="text2" w:themeFillTint="33"/>
          </w:tcPr>
          <w:p w14:paraId="195D2071" w14:textId="77777777" w:rsidR="00A92CF2" w:rsidRDefault="00A92CF2" w:rsidP="00F20EFD">
            <w:pPr>
              <w:spacing w:before="80" w:after="80"/>
            </w:pPr>
            <w:r>
              <w:rPr>
                <w:noProof/>
                <w:lang w:val="en-AU" w:eastAsia="en-AU"/>
              </w:rPr>
              <w:drawing>
                <wp:inline distT="0" distB="0" distL="0" distR="0" wp14:anchorId="32523797" wp14:editId="172B6297">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4B245D3" w14:textId="77777777" w:rsidR="00A92CF2" w:rsidRPr="00AB289B" w:rsidRDefault="00A92CF2" w:rsidP="00F20EFD">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A92CF2" w14:paraId="28490419" w14:textId="77777777" w:rsidTr="00F20EFD">
        <w:tc>
          <w:tcPr>
            <w:tcW w:w="1271" w:type="dxa"/>
            <w:shd w:val="clear" w:color="auto" w:fill="D7DEE2" w:themeFill="text2" w:themeFillTint="33"/>
          </w:tcPr>
          <w:p w14:paraId="7ABBA70E" w14:textId="77777777" w:rsidR="00A92CF2" w:rsidRDefault="00A92CF2" w:rsidP="00F20EFD">
            <w:pPr>
              <w:spacing w:before="80" w:after="80"/>
            </w:pPr>
            <w:r>
              <w:rPr>
                <w:noProof/>
                <w:lang w:val="en-AU" w:eastAsia="en-AU"/>
              </w:rPr>
              <w:drawing>
                <wp:inline distT="0" distB="0" distL="0" distR="0" wp14:anchorId="76720050" wp14:editId="0E82E584">
                  <wp:extent cx="612000" cy="61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C04C929" w14:textId="77777777" w:rsidR="00A92CF2" w:rsidRPr="00AB289B" w:rsidRDefault="00A92CF2" w:rsidP="00F20EFD">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2EA5F426" w14:textId="77777777" w:rsidR="00A92CF2" w:rsidRDefault="00A92CF2" w:rsidP="00F20EFD"/>
        </w:tc>
        <w:tc>
          <w:tcPr>
            <w:tcW w:w="1276" w:type="dxa"/>
            <w:shd w:val="clear" w:color="auto" w:fill="D7DEE2" w:themeFill="text2" w:themeFillTint="33"/>
          </w:tcPr>
          <w:p w14:paraId="2F942FDF" w14:textId="77777777" w:rsidR="00A92CF2" w:rsidRDefault="00A92CF2" w:rsidP="00F20EFD">
            <w:pPr>
              <w:spacing w:before="80" w:after="80"/>
            </w:pPr>
            <w:r>
              <w:rPr>
                <w:noProof/>
                <w:lang w:val="en-AU" w:eastAsia="en-AU"/>
              </w:rPr>
              <w:drawing>
                <wp:inline distT="0" distB="0" distL="0" distR="0" wp14:anchorId="4EABB485" wp14:editId="2C393BAB">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62FD3E39" w14:textId="77777777" w:rsidR="00A92CF2" w:rsidRPr="00AB289B" w:rsidRDefault="00A92CF2" w:rsidP="00F20EFD">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A92CF2" w14:paraId="36E3A497" w14:textId="77777777" w:rsidTr="00F20EFD">
        <w:tc>
          <w:tcPr>
            <w:tcW w:w="1271" w:type="dxa"/>
            <w:shd w:val="clear" w:color="auto" w:fill="D7DEE2" w:themeFill="text2" w:themeFillTint="33"/>
          </w:tcPr>
          <w:p w14:paraId="142F026F" w14:textId="77777777" w:rsidR="00A92CF2" w:rsidRDefault="00A92CF2" w:rsidP="00F20EFD">
            <w:pPr>
              <w:spacing w:before="80" w:after="80"/>
            </w:pPr>
            <w:r>
              <w:rPr>
                <w:noProof/>
                <w:lang w:val="en-AU" w:eastAsia="en-AU"/>
              </w:rPr>
              <w:drawing>
                <wp:inline distT="0" distB="0" distL="0" distR="0" wp14:anchorId="2AB2D16F" wp14:editId="29195FA6">
                  <wp:extent cx="612000" cy="61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6A7D1D82" w14:textId="77777777" w:rsidR="00A92CF2" w:rsidRPr="00AB289B" w:rsidRDefault="00A92CF2" w:rsidP="00F20EFD">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5CE2057A" w14:textId="77777777" w:rsidR="00A92CF2" w:rsidRDefault="00A92CF2" w:rsidP="00F20EFD"/>
        </w:tc>
        <w:tc>
          <w:tcPr>
            <w:tcW w:w="1276" w:type="dxa"/>
            <w:shd w:val="clear" w:color="auto" w:fill="D7DEE2" w:themeFill="text2" w:themeFillTint="33"/>
          </w:tcPr>
          <w:p w14:paraId="65F8FFD2" w14:textId="77777777" w:rsidR="00A92CF2" w:rsidRDefault="00A92CF2" w:rsidP="00F20EFD">
            <w:pPr>
              <w:spacing w:before="80" w:after="80"/>
            </w:pPr>
            <w:r>
              <w:rPr>
                <w:noProof/>
                <w:lang w:val="en-AU" w:eastAsia="en-AU"/>
              </w:rPr>
              <w:drawing>
                <wp:inline distT="0" distB="0" distL="0" distR="0" wp14:anchorId="4D77325B" wp14:editId="70D398BC">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1C7B07B6" w14:textId="77777777" w:rsidR="00A92CF2" w:rsidRPr="00AB289B" w:rsidRDefault="00A92CF2" w:rsidP="00F20EFD">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A92CF2" w14:paraId="325AFD0B" w14:textId="77777777" w:rsidTr="00F20EFD">
        <w:tc>
          <w:tcPr>
            <w:tcW w:w="1271" w:type="dxa"/>
            <w:shd w:val="clear" w:color="auto" w:fill="D7DEE2" w:themeFill="text2" w:themeFillTint="33"/>
          </w:tcPr>
          <w:p w14:paraId="562DF5AB" w14:textId="77777777" w:rsidR="00A92CF2" w:rsidRDefault="00A92CF2" w:rsidP="00F20EFD">
            <w:pPr>
              <w:spacing w:before="80" w:after="80"/>
            </w:pPr>
            <w:r>
              <w:rPr>
                <w:noProof/>
                <w:lang w:val="en-AU" w:eastAsia="en-AU"/>
              </w:rPr>
              <w:drawing>
                <wp:inline distT="0" distB="0" distL="0" distR="0" wp14:anchorId="00974FAC" wp14:editId="47D83833">
                  <wp:extent cx="612000" cy="61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C367F88" w14:textId="77777777" w:rsidR="00A92CF2" w:rsidRPr="00AB289B" w:rsidRDefault="00A92CF2" w:rsidP="00F20EFD">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11C75927" w14:textId="77777777" w:rsidR="00A92CF2" w:rsidRDefault="00A92CF2" w:rsidP="00F20EFD"/>
        </w:tc>
        <w:tc>
          <w:tcPr>
            <w:tcW w:w="1276" w:type="dxa"/>
            <w:shd w:val="clear" w:color="auto" w:fill="D7DEE2" w:themeFill="text2" w:themeFillTint="33"/>
          </w:tcPr>
          <w:p w14:paraId="27B3F15B" w14:textId="77777777" w:rsidR="00A92CF2" w:rsidRDefault="00A92CF2" w:rsidP="00F20EFD">
            <w:pPr>
              <w:spacing w:before="80" w:after="80"/>
            </w:pPr>
            <w:r>
              <w:rPr>
                <w:noProof/>
                <w:lang w:val="en-AU" w:eastAsia="en-AU"/>
              </w:rPr>
              <w:drawing>
                <wp:inline distT="0" distB="0" distL="0" distR="0" wp14:anchorId="4CF0D7A4" wp14:editId="4E8D8F16">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3D3EEEC6" w14:textId="77777777" w:rsidR="00A92CF2" w:rsidRPr="00AB289B" w:rsidRDefault="00A92CF2" w:rsidP="00F20EFD">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A92CF2" w14:paraId="78FF711B" w14:textId="77777777" w:rsidTr="00F20EFD">
        <w:tc>
          <w:tcPr>
            <w:tcW w:w="1271" w:type="dxa"/>
            <w:shd w:val="clear" w:color="auto" w:fill="D7DEE2" w:themeFill="text2" w:themeFillTint="33"/>
          </w:tcPr>
          <w:p w14:paraId="67AA640A" w14:textId="77777777" w:rsidR="00A92CF2" w:rsidRDefault="00A92CF2" w:rsidP="00F20EFD">
            <w:pPr>
              <w:spacing w:before="80" w:after="80"/>
            </w:pPr>
            <w:r>
              <w:rPr>
                <w:noProof/>
                <w:lang w:val="en-AU" w:eastAsia="en-AU"/>
              </w:rPr>
              <w:drawing>
                <wp:inline distT="0" distB="0" distL="0" distR="0" wp14:anchorId="27B71709" wp14:editId="35FB7828">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ECCB3B2" w14:textId="77777777" w:rsidR="00A92CF2" w:rsidRPr="00AB289B" w:rsidRDefault="00A92CF2" w:rsidP="00F20EFD">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5E1661E5" w14:textId="77777777" w:rsidR="00A92CF2" w:rsidRDefault="00A92CF2" w:rsidP="00F20EFD"/>
        </w:tc>
        <w:tc>
          <w:tcPr>
            <w:tcW w:w="1276" w:type="dxa"/>
            <w:shd w:val="clear" w:color="auto" w:fill="D7DEE2" w:themeFill="text2" w:themeFillTint="33"/>
          </w:tcPr>
          <w:p w14:paraId="1BB66ACE" w14:textId="77777777" w:rsidR="00A92CF2" w:rsidRDefault="00A92CF2" w:rsidP="00F20EFD">
            <w:pPr>
              <w:spacing w:before="80" w:after="80"/>
            </w:pPr>
            <w:r>
              <w:rPr>
                <w:noProof/>
                <w:lang w:val="en-AU" w:eastAsia="en-AU"/>
              </w:rPr>
              <w:drawing>
                <wp:inline distT="0" distB="0" distL="0" distR="0" wp14:anchorId="0B3D5FBD" wp14:editId="4C8E9AE5">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402C27CB" w14:textId="77777777" w:rsidR="00A92CF2" w:rsidRPr="00AB289B" w:rsidRDefault="00A92CF2" w:rsidP="00F20EFD">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A92CF2" w14:paraId="75AB4F8B" w14:textId="77777777" w:rsidTr="00F20EFD">
        <w:tc>
          <w:tcPr>
            <w:tcW w:w="1271" w:type="dxa"/>
            <w:shd w:val="clear" w:color="auto" w:fill="D7DEE2" w:themeFill="text2" w:themeFillTint="33"/>
          </w:tcPr>
          <w:p w14:paraId="7AA31B41" w14:textId="77777777" w:rsidR="00A92CF2" w:rsidRDefault="00A92CF2" w:rsidP="00F20EFD">
            <w:pPr>
              <w:spacing w:before="80" w:after="80"/>
            </w:pPr>
            <w:r>
              <w:rPr>
                <w:noProof/>
                <w:lang w:val="en-AU" w:eastAsia="en-AU"/>
              </w:rPr>
              <w:drawing>
                <wp:inline distT="0" distB="0" distL="0" distR="0" wp14:anchorId="15D916BD" wp14:editId="444A1871">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E5995F5" w14:textId="77777777" w:rsidR="00A92CF2" w:rsidRPr="00AB289B" w:rsidRDefault="00A92CF2" w:rsidP="00F20EFD">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2DDAAFE5" w14:textId="77777777" w:rsidR="00A92CF2" w:rsidRDefault="00A92CF2" w:rsidP="00F20EFD"/>
        </w:tc>
        <w:tc>
          <w:tcPr>
            <w:tcW w:w="1276" w:type="dxa"/>
            <w:shd w:val="clear" w:color="auto" w:fill="D7DEE2" w:themeFill="text2" w:themeFillTint="33"/>
          </w:tcPr>
          <w:p w14:paraId="399AC081" w14:textId="77777777" w:rsidR="00A92CF2" w:rsidRDefault="00A92CF2" w:rsidP="00F20EFD">
            <w:pPr>
              <w:spacing w:before="80" w:after="80"/>
            </w:pPr>
            <w:r>
              <w:rPr>
                <w:noProof/>
                <w:lang w:val="en-AU" w:eastAsia="en-AU"/>
              </w:rPr>
              <w:drawing>
                <wp:inline distT="0" distB="0" distL="0" distR="0" wp14:anchorId="69988156" wp14:editId="1AA6BBBA">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00D7E651" w14:textId="77777777" w:rsidR="00A92CF2" w:rsidRPr="00AB289B" w:rsidRDefault="00A92CF2" w:rsidP="00F20EFD">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A92CF2" w14:paraId="68D70CFA" w14:textId="77777777" w:rsidTr="00F20EFD">
        <w:tc>
          <w:tcPr>
            <w:tcW w:w="1271" w:type="dxa"/>
            <w:shd w:val="clear" w:color="auto" w:fill="D7DEE2" w:themeFill="text2" w:themeFillTint="33"/>
          </w:tcPr>
          <w:p w14:paraId="48178873" w14:textId="77777777" w:rsidR="00A92CF2" w:rsidRDefault="00A92CF2" w:rsidP="00F20EFD">
            <w:pPr>
              <w:spacing w:before="80" w:after="80"/>
            </w:pPr>
            <w:r>
              <w:rPr>
                <w:noProof/>
                <w:lang w:val="en-AU" w:eastAsia="en-AU"/>
              </w:rPr>
              <w:drawing>
                <wp:inline distT="0" distB="0" distL="0" distR="0" wp14:anchorId="097C8F3D" wp14:editId="0A8FC146">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49DA7A05" w14:textId="77777777" w:rsidR="00A92CF2" w:rsidRPr="00AB289B" w:rsidRDefault="00A92CF2" w:rsidP="00F20EFD">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5D87EE47" w14:textId="77777777" w:rsidR="00A92CF2" w:rsidRDefault="00A92CF2" w:rsidP="00F20EFD"/>
        </w:tc>
        <w:tc>
          <w:tcPr>
            <w:tcW w:w="1276" w:type="dxa"/>
            <w:shd w:val="clear" w:color="auto" w:fill="D7DEE2" w:themeFill="text2" w:themeFillTint="33"/>
          </w:tcPr>
          <w:p w14:paraId="42CCF92D" w14:textId="77777777" w:rsidR="00A92CF2" w:rsidRDefault="00A92CF2" w:rsidP="00F20EFD">
            <w:pPr>
              <w:spacing w:before="80" w:after="80"/>
            </w:pPr>
            <w:r>
              <w:rPr>
                <w:noProof/>
                <w:lang w:val="en-AU" w:eastAsia="en-AU"/>
              </w:rPr>
              <w:drawing>
                <wp:inline distT="0" distB="0" distL="0" distR="0" wp14:anchorId="47F6510D" wp14:editId="4F904985">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4C8015F4" w14:textId="77777777" w:rsidR="00A92CF2" w:rsidRPr="00AB289B" w:rsidRDefault="00A92CF2" w:rsidP="00F20EFD">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A92CF2" w14:paraId="3AAD1A7F" w14:textId="77777777" w:rsidTr="00F20EFD">
        <w:tc>
          <w:tcPr>
            <w:tcW w:w="1271" w:type="dxa"/>
            <w:shd w:val="clear" w:color="auto" w:fill="D7DEE2" w:themeFill="text2" w:themeFillTint="33"/>
          </w:tcPr>
          <w:p w14:paraId="1D19BCC5" w14:textId="77777777" w:rsidR="00A92CF2" w:rsidRDefault="00A92CF2" w:rsidP="00F20EFD">
            <w:pPr>
              <w:spacing w:before="80" w:after="80"/>
            </w:pPr>
            <w:r>
              <w:rPr>
                <w:noProof/>
                <w:lang w:val="en-AU" w:eastAsia="en-AU"/>
              </w:rPr>
              <w:drawing>
                <wp:inline distT="0" distB="0" distL="0" distR="0" wp14:anchorId="6D615F6F" wp14:editId="4B9729A6">
                  <wp:extent cx="612000" cy="61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7F6BA542" w14:textId="77777777" w:rsidR="00A92CF2" w:rsidRPr="00AB289B" w:rsidRDefault="00A92CF2" w:rsidP="00F20EFD">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5FAFD10E" w14:textId="77777777" w:rsidR="00A92CF2" w:rsidRDefault="00A92CF2" w:rsidP="00F20EFD"/>
        </w:tc>
        <w:tc>
          <w:tcPr>
            <w:tcW w:w="1276" w:type="dxa"/>
            <w:shd w:val="clear" w:color="auto" w:fill="D7DEE2" w:themeFill="text2" w:themeFillTint="33"/>
          </w:tcPr>
          <w:p w14:paraId="76F3FE7E" w14:textId="77777777" w:rsidR="00A92CF2" w:rsidRPr="00AB289B" w:rsidRDefault="00A92CF2" w:rsidP="00F20EFD">
            <w:pPr>
              <w:spacing w:before="80" w:after="80"/>
              <w:rPr>
                <w:sz w:val="16"/>
              </w:rPr>
            </w:pPr>
          </w:p>
        </w:tc>
        <w:tc>
          <w:tcPr>
            <w:tcW w:w="3544" w:type="dxa"/>
            <w:shd w:val="clear" w:color="auto" w:fill="D7DEE2" w:themeFill="text2" w:themeFillTint="33"/>
          </w:tcPr>
          <w:p w14:paraId="09772402" w14:textId="77777777" w:rsidR="00A92CF2" w:rsidRPr="00AB289B" w:rsidRDefault="00A92CF2" w:rsidP="00F20EFD">
            <w:pPr>
              <w:spacing w:before="80" w:after="80"/>
              <w:rPr>
                <w:sz w:val="16"/>
              </w:rPr>
            </w:pPr>
          </w:p>
        </w:tc>
      </w:tr>
    </w:tbl>
    <w:p w14:paraId="758A8C84" w14:textId="10E9BC09" w:rsidR="00A92CF2" w:rsidRPr="00EF26B5" w:rsidRDefault="00A92CF2" w:rsidP="00006C64">
      <w:pPr>
        <w:spacing w:after="120"/>
        <w:rPr>
          <w:color w:val="FF0000"/>
        </w:rPr>
      </w:pPr>
    </w:p>
    <w:sectPr w:rsidR="00A92CF2" w:rsidRPr="00EF26B5" w:rsidSect="004839E3">
      <w:headerReference w:type="default" r:id="rId41"/>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B721F" w14:textId="77777777" w:rsidR="00A150AD" w:rsidRDefault="00A150AD" w:rsidP="00EF4574">
      <w:pPr>
        <w:spacing w:before="0" w:after="0" w:line="240" w:lineRule="auto"/>
      </w:pPr>
      <w:r>
        <w:separator/>
      </w:r>
    </w:p>
  </w:endnote>
  <w:endnote w:type="continuationSeparator" w:id="0">
    <w:p w14:paraId="392BCAEF" w14:textId="77777777" w:rsidR="00A150AD" w:rsidRDefault="00A150AD"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3CA2" w14:textId="77777777" w:rsidR="00D3156F" w:rsidRDefault="00D31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3DF2" w14:textId="77777777" w:rsidR="00A150AD" w:rsidRDefault="00A150AD" w:rsidP="004839E3">
    <w:pPr>
      <w:pStyle w:val="Footer"/>
      <w:rPr>
        <w:lang w:val="en-AU"/>
      </w:rPr>
    </w:pPr>
  </w:p>
  <w:p w14:paraId="3BA633DF" w14:textId="77777777" w:rsidR="00A150AD" w:rsidRDefault="00A150AD" w:rsidP="004839E3">
    <w:pPr>
      <w:pStyle w:val="Footer"/>
    </w:pPr>
  </w:p>
  <w:p w14:paraId="7220CC5F" w14:textId="77777777" w:rsidR="00A150AD" w:rsidRPr="00CD0E4B" w:rsidRDefault="00A150AD" w:rsidP="004839E3">
    <w:pPr>
      <w:pStyle w:val="Footer"/>
    </w:pPr>
    <w:r w:rsidRPr="00CD0E4B">
      <w:rPr>
        <w:noProof/>
        <w:lang w:val="en-AU" w:eastAsia="en-AU"/>
      </w:rPr>
      <w:drawing>
        <wp:inline distT="0" distB="0" distL="0" distR="0" wp14:anchorId="536A3D8E" wp14:editId="2DC851EB">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6F4D5AF6" w14:textId="77777777" w:rsidR="00A150AD" w:rsidRPr="00CD0E4B" w:rsidRDefault="00A150AD" w:rsidP="004839E3">
    <w:pPr>
      <w:pStyle w:val="Footer"/>
      <w:rPr>
        <w:color w:val="ACD08C" w:themeColor="accent3"/>
      </w:rPr>
    </w:pPr>
    <w:r w:rsidRPr="00CD0E4B">
      <w:rPr>
        <w:color w:val="ACD08C" w:themeColor="accent3"/>
      </w:rPr>
      <w:t>DFAT.GOV.AU</w:t>
    </w:r>
  </w:p>
  <w:p w14:paraId="05A7725A" w14:textId="77777777" w:rsidR="00A150AD" w:rsidRPr="004839E3" w:rsidRDefault="00A150AD"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7942" w14:textId="77777777" w:rsidR="00A150AD" w:rsidRPr="004839E3" w:rsidRDefault="00A150AD"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72E22C14" wp14:editId="69C1ED74">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0900E0FA" w14:textId="77777777" w:rsidR="00A150AD" w:rsidRDefault="00A150AD"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04D6" w14:textId="77777777" w:rsidR="00A150AD" w:rsidRDefault="00A150AD" w:rsidP="004839E3">
    <w:pPr>
      <w:pStyle w:val="Footer"/>
      <w:rPr>
        <w:lang w:val="en-AU"/>
      </w:rPr>
    </w:pPr>
  </w:p>
  <w:p w14:paraId="11854A88" w14:textId="77777777" w:rsidR="00A150AD" w:rsidRDefault="00A150AD" w:rsidP="004839E3">
    <w:pPr>
      <w:pStyle w:val="Footer"/>
    </w:pPr>
  </w:p>
  <w:p w14:paraId="4188ED24" w14:textId="77777777" w:rsidR="00A150AD" w:rsidRPr="00CD0E4B" w:rsidRDefault="00A150AD" w:rsidP="004839E3">
    <w:pPr>
      <w:pStyle w:val="Footer"/>
    </w:pPr>
    <w:r w:rsidRPr="00CD0E4B">
      <w:rPr>
        <w:noProof/>
        <w:lang w:val="en-AU" w:eastAsia="en-AU"/>
      </w:rPr>
      <w:drawing>
        <wp:inline distT="0" distB="0" distL="0" distR="0" wp14:anchorId="6E964F06" wp14:editId="176291BE">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3CFE5E96" w14:textId="77777777" w:rsidR="00A150AD" w:rsidRPr="00CD0E4B" w:rsidRDefault="00A150AD" w:rsidP="004839E3">
    <w:pPr>
      <w:pStyle w:val="Footer"/>
      <w:rPr>
        <w:color w:val="ACD08C" w:themeColor="accent3"/>
      </w:rPr>
    </w:pPr>
    <w:r w:rsidRPr="00CD0E4B">
      <w:rPr>
        <w:color w:val="ACD08C" w:themeColor="accent3"/>
      </w:rPr>
      <w:t>DFAT.GOV.AU</w:t>
    </w:r>
  </w:p>
  <w:p w14:paraId="057F7889" w14:textId="77777777" w:rsidR="00A150AD" w:rsidRPr="004839E3" w:rsidRDefault="00A150AD"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D4E1B" w14:textId="77777777" w:rsidR="00A150AD" w:rsidRPr="008C5A0E" w:rsidRDefault="00A150AD" w:rsidP="001D663E">
      <w:pPr>
        <w:pStyle w:val="Footer"/>
        <w:pBdr>
          <w:top w:val="single" w:sz="4" w:space="1" w:color="495965" w:themeColor="text2"/>
        </w:pBdr>
      </w:pPr>
    </w:p>
  </w:footnote>
  <w:footnote w:type="continuationSeparator" w:id="0">
    <w:p w14:paraId="68FF0C2B" w14:textId="77777777" w:rsidR="00A150AD" w:rsidRDefault="00A150AD"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1B80" w14:textId="77777777" w:rsidR="00D3156F" w:rsidRDefault="00D31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AFB5" w14:textId="77777777" w:rsidR="00A150AD" w:rsidRPr="00333501" w:rsidRDefault="00A150AD" w:rsidP="008F56A8">
    <w:pPr>
      <w:pStyle w:val="Header"/>
      <w:jc w:val="left"/>
    </w:pPr>
    <w:r>
      <w:rPr>
        <w:noProof/>
        <w:lang w:val="en-AU" w:eastAsia="en-AU"/>
      </w:rPr>
      <w:drawing>
        <wp:anchor distT="0" distB="0" distL="114300" distR="114300" simplePos="0" relativeHeight="251671552" behindDoc="1" locked="1" layoutInCell="1" allowOverlap="1" wp14:anchorId="01B0A0C4" wp14:editId="70143CB7">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9F04" w14:textId="77777777" w:rsidR="00A150AD" w:rsidRPr="003D352D" w:rsidRDefault="00A150AD" w:rsidP="003D352D">
    <w:pPr>
      <w:pStyle w:val="Header"/>
      <w:jc w:val="left"/>
    </w:pPr>
    <w:r>
      <w:rPr>
        <w:noProof/>
        <w:lang w:val="en-AU" w:eastAsia="en-AU"/>
      </w:rPr>
      <w:drawing>
        <wp:anchor distT="0" distB="0" distL="114300" distR="114300" simplePos="0" relativeHeight="251669504" behindDoc="1" locked="1" layoutInCell="1" allowOverlap="1" wp14:anchorId="78FB7C55" wp14:editId="62DDD285">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EC7E" w14:textId="77777777" w:rsidR="00A150AD" w:rsidRPr="00333501" w:rsidRDefault="00A150AD" w:rsidP="008F56A8">
    <w:pPr>
      <w:pStyle w:val="Header"/>
      <w:jc w:val="left"/>
    </w:pPr>
    <w:r>
      <w:rPr>
        <w:noProof/>
        <w:lang w:val="en-AU" w:eastAsia="en-AU"/>
      </w:rPr>
      <w:drawing>
        <wp:anchor distT="0" distB="0" distL="114300" distR="114300" simplePos="0" relativeHeight="251685888" behindDoc="1" locked="1" layoutInCell="1" allowOverlap="1" wp14:anchorId="4FBF7473" wp14:editId="7EE33C89">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D6D3C" w14:textId="77777777" w:rsidR="00A150AD" w:rsidRPr="003D352D" w:rsidRDefault="00A150AD" w:rsidP="003D352D">
    <w:pPr>
      <w:pStyle w:val="Header"/>
      <w:jc w:val="left"/>
    </w:pPr>
    <w:r>
      <w:rPr>
        <w:noProof/>
        <w:lang w:val="en-AU" w:eastAsia="en-AU"/>
      </w:rPr>
      <w:drawing>
        <wp:anchor distT="0" distB="0" distL="114300" distR="114300" simplePos="0" relativeHeight="251673600" behindDoc="1" locked="1" layoutInCell="1" allowOverlap="1" wp14:anchorId="3B7DE38A" wp14:editId="678F03D7">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B303D" w14:textId="77777777" w:rsidR="00A150AD" w:rsidRPr="00333501" w:rsidRDefault="00A150AD" w:rsidP="008F56A8">
    <w:pPr>
      <w:pStyle w:val="Header"/>
      <w:jc w:val="left"/>
    </w:pPr>
    <w:r>
      <w:rPr>
        <w:noProof/>
        <w:lang w:val="en-AU" w:eastAsia="en-AU"/>
      </w:rPr>
      <w:drawing>
        <wp:anchor distT="0" distB="0" distL="114300" distR="114300" simplePos="0" relativeHeight="251687936" behindDoc="1" locked="1" layoutInCell="1" allowOverlap="1" wp14:anchorId="74933FB8" wp14:editId="50007645">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06D8" w14:textId="77777777" w:rsidR="00A150AD" w:rsidRPr="003D352D" w:rsidRDefault="00A150AD" w:rsidP="003D352D">
    <w:pPr>
      <w:pStyle w:val="Header"/>
      <w:jc w:val="left"/>
    </w:pPr>
    <w:r>
      <w:rPr>
        <w:noProof/>
        <w:lang w:val="en-AU" w:eastAsia="en-AU"/>
      </w:rPr>
      <w:drawing>
        <wp:anchor distT="0" distB="0" distL="114300" distR="114300" simplePos="0" relativeHeight="251675648" behindDoc="1" locked="1" layoutInCell="1" allowOverlap="1" wp14:anchorId="3CC61BCB" wp14:editId="172515B6">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E0BB" w14:textId="77777777" w:rsidR="00A150AD" w:rsidRPr="00333501" w:rsidRDefault="00A150AD" w:rsidP="008F56A8">
    <w:pPr>
      <w:pStyle w:val="Header"/>
      <w:jc w:val="left"/>
    </w:pPr>
    <w:r>
      <w:rPr>
        <w:noProof/>
        <w:lang w:val="en-AU" w:eastAsia="en-AU"/>
      </w:rPr>
      <w:drawing>
        <wp:anchor distT="0" distB="0" distL="114300" distR="114300" simplePos="0" relativeHeight="251683840" behindDoc="1" locked="1" layoutInCell="1" allowOverlap="1" wp14:anchorId="04BEAE3A" wp14:editId="222EA902">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43428892"/>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3"/>
  </w:num>
  <w:num w:numId="23">
    <w:abstractNumId w:val="13"/>
  </w:num>
  <w:num w:numId="24">
    <w:abstractNumId w:val="19"/>
  </w:num>
  <w:num w:numId="25">
    <w:abstractNumId w:val="19"/>
  </w:num>
  <w:num w:numId="26">
    <w:abstractNumId w:val="19"/>
  </w:num>
  <w:num w:numId="27">
    <w:abstractNumId w:val="18"/>
  </w:num>
  <w:num w:numId="28">
    <w:abstractNumId w:val="10"/>
  </w:num>
  <w:num w:numId="29">
    <w:abstractNumId w:val="10"/>
  </w:num>
  <w:num w:numId="30">
    <w:abstractNumId w:val="10"/>
  </w:num>
  <w:num w:numId="31">
    <w:abstractNumId w:val="14"/>
  </w:num>
  <w:num w:numId="32">
    <w:abstractNumId w:val="17"/>
  </w:num>
  <w:num w:numId="33">
    <w:abstractNumId w:val="22"/>
  </w:num>
  <w:num w:numId="34">
    <w:abstractNumId w:val="16"/>
  </w:num>
  <w:num w:numId="35">
    <w:abstractNumId w:val="1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63E1"/>
    <w:rsid w:val="00006C64"/>
    <w:rsid w:val="00006DE5"/>
    <w:rsid w:val="00015316"/>
    <w:rsid w:val="0002080A"/>
    <w:rsid w:val="0002135D"/>
    <w:rsid w:val="000223C0"/>
    <w:rsid w:val="0002782F"/>
    <w:rsid w:val="00031512"/>
    <w:rsid w:val="00032A60"/>
    <w:rsid w:val="00035D0C"/>
    <w:rsid w:val="000429A6"/>
    <w:rsid w:val="00054E4D"/>
    <w:rsid w:val="00057C66"/>
    <w:rsid w:val="00060073"/>
    <w:rsid w:val="00060268"/>
    <w:rsid w:val="000620A2"/>
    <w:rsid w:val="00073360"/>
    <w:rsid w:val="00073869"/>
    <w:rsid w:val="00076806"/>
    <w:rsid w:val="00082786"/>
    <w:rsid w:val="00084483"/>
    <w:rsid w:val="000847AD"/>
    <w:rsid w:val="00085E5F"/>
    <w:rsid w:val="0009201C"/>
    <w:rsid w:val="000A0D6E"/>
    <w:rsid w:val="000A59F7"/>
    <w:rsid w:val="000D66D6"/>
    <w:rsid w:val="000E1E2C"/>
    <w:rsid w:val="000E2C9F"/>
    <w:rsid w:val="000E314A"/>
    <w:rsid w:val="000E4BB8"/>
    <w:rsid w:val="0010104F"/>
    <w:rsid w:val="00141AA1"/>
    <w:rsid w:val="001446E7"/>
    <w:rsid w:val="00152AE6"/>
    <w:rsid w:val="001541EA"/>
    <w:rsid w:val="00162DE2"/>
    <w:rsid w:val="00166DDA"/>
    <w:rsid w:val="00176607"/>
    <w:rsid w:val="001827E8"/>
    <w:rsid w:val="00184F1E"/>
    <w:rsid w:val="00185B0D"/>
    <w:rsid w:val="00192406"/>
    <w:rsid w:val="001B33C1"/>
    <w:rsid w:val="001C11D1"/>
    <w:rsid w:val="001C2975"/>
    <w:rsid w:val="001C45FF"/>
    <w:rsid w:val="001D663E"/>
    <w:rsid w:val="001E1DC0"/>
    <w:rsid w:val="001E35D1"/>
    <w:rsid w:val="001F4121"/>
    <w:rsid w:val="001F5C34"/>
    <w:rsid w:val="00200210"/>
    <w:rsid w:val="002112D0"/>
    <w:rsid w:val="00211CE3"/>
    <w:rsid w:val="00212FB7"/>
    <w:rsid w:val="002354A2"/>
    <w:rsid w:val="00235DD4"/>
    <w:rsid w:val="00235EE8"/>
    <w:rsid w:val="00236A53"/>
    <w:rsid w:val="002410AF"/>
    <w:rsid w:val="00246DA5"/>
    <w:rsid w:val="00272B5F"/>
    <w:rsid w:val="00275DB7"/>
    <w:rsid w:val="0027601E"/>
    <w:rsid w:val="00284957"/>
    <w:rsid w:val="0028602A"/>
    <w:rsid w:val="002A4A0E"/>
    <w:rsid w:val="002A51CA"/>
    <w:rsid w:val="002A62C8"/>
    <w:rsid w:val="002B1291"/>
    <w:rsid w:val="002B3E95"/>
    <w:rsid w:val="002B5E10"/>
    <w:rsid w:val="002E1010"/>
    <w:rsid w:val="002E4BB4"/>
    <w:rsid w:val="003002C0"/>
    <w:rsid w:val="00301144"/>
    <w:rsid w:val="003148B7"/>
    <w:rsid w:val="003158C3"/>
    <w:rsid w:val="00323E53"/>
    <w:rsid w:val="003274CD"/>
    <w:rsid w:val="00333501"/>
    <w:rsid w:val="003457C4"/>
    <w:rsid w:val="00346E6C"/>
    <w:rsid w:val="00347EC3"/>
    <w:rsid w:val="003505D5"/>
    <w:rsid w:val="0035119D"/>
    <w:rsid w:val="00353365"/>
    <w:rsid w:val="00355299"/>
    <w:rsid w:val="003668E3"/>
    <w:rsid w:val="00375B30"/>
    <w:rsid w:val="00375EB5"/>
    <w:rsid w:val="00376219"/>
    <w:rsid w:val="00380104"/>
    <w:rsid w:val="00382ECD"/>
    <w:rsid w:val="003B4F12"/>
    <w:rsid w:val="003B5B68"/>
    <w:rsid w:val="003C14B0"/>
    <w:rsid w:val="003C280E"/>
    <w:rsid w:val="003D310A"/>
    <w:rsid w:val="003D352D"/>
    <w:rsid w:val="003E305C"/>
    <w:rsid w:val="00400B0F"/>
    <w:rsid w:val="00402ACC"/>
    <w:rsid w:val="004120EC"/>
    <w:rsid w:val="0042041F"/>
    <w:rsid w:val="00423F31"/>
    <w:rsid w:val="00431899"/>
    <w:rsid w:val="0043220B"/>
    <w:rsid w:val="00433A3D"/>
    <w:rsid w:val="00436526"/>
    <w:rsid w:val="00442A60"/>
    <w:rsid w:val="004527D9"/>
    <w:rsid w:val="0046116D"/>
    <w:rsid w:val="004614EB"/>
    <w:rsid w:val="00477275"/>
    <w:rsid w:val="00480422"/>
    <w:rsid w:val="00480CF2"/>
    <w:rsid w:val="004834C9"/>
    <w:rsid w:val="004839E3"/>
    <w:rsid w:val="00486804"/>
    <w:rsid w:val="004977A1"/>
    <w:rsid w:val="004A6946"/>
    <w:rsid w:val="004B3775"/>
    <w:rsid w:val="004D0BA0"/>
    <w:rsid w:val="004D4180"/>
    <w:rsid w:val="004E0264"/>
    <w:rsid w:val="004E058F"/>
    <w:rsid w:val="004E3B87"/>
    <w:rsid w:val="004E6AE4"/>
    <w:rsid w:val="004F6832"/>
    <w:rsid w:val="004F6B1D"/>
    <w:rsid w:val="00510921"/>
    <w:rsid w:val="00510AD3"/>
    <w:rsid w:val="00511E0B"/>
    <w:rsid w:val="00513348"/>
    <w:rsid w:val="00523FFE"/>
    <w:rsid w:val="00533B5D"/>
    <w:rsid w:val="00542787"/>
    <w:rsid w:val="00550890"/>
    <w:rsid w:val="005511BF"/>
    <w:rsid w:val="005527F4"/>
    <w:rsid w:val="00552E68"/>
    <w:rsid w:val="00560AA6"/>
    <w:rsid w:val="0057546E"/>
    <w:rsid w:val="00580A64"/>
    <w:rsid w:val="00590103"/>
    <w:rsid w:val="0059146A"/>
    <w:rsid w:val="00592F84"/>
    <w:rsid w:val="005A06C8"/>
    <w:rsid w:val="005A1A2E"/>
    <w:rsid w:val="005B027B"/>
    <w:rsid w:val="005B1F70"/>
    <w:rsid w:val="005B4802"/>
    <w:rsid w:val="005B5769"/>
    <w:rsid w:val="005B6CF8"/>
    <w:rsid w:val="005C78DB"/>
    <w:rsid w:val="005D09F3"/>
    <w:rsid w:val="005D3655"/>
    <w:rsid w:val="005D5723"/>
    <w:rsid w:val="005D5EB3"/>
    <w:rsid w:val="005D72B3"/>
    <w:rsid w:val="005E606B"/>
    <w:rsid w:val="005E6445"/>
    <w:rsid w:val="006004DF"/>
    <w:rsid w:val="00606C99"/>
    <w:rsid w:val="00623BA1"/>
    <w:rsid w:val="00627524"/>
    <w:rsid w:val="006346BC"/>
    <w:rsid w:val="0064425C"/>
    <w:rsid w:val="006545B9"/>
    <w:rsid w:val="00654B07"/>
    <w:rsid w:val="006565B7"/>
    <w:rsid w:val="00664AE9"/>
    <w:rsid w:val="00666260"/>
    <w:rsid w:val="0066652A"/>
    <w:rsid w:val="00671F19"/>
    <w:rsid w:val="00672E12"/>
    <w:rsid w:val="00680522"/>
    <w:rsid w:val="00681F08"/>
    <w:rsid w:val="00682167"/>
    <w:rsid w:val="00682C36"/>
    <w:rsid w:val="006838F0"/>
    <w:rsid w:val="00685579"/>
    <w:rsid w:val="00695730"/>
    <w:rsid w:val="006966FC"/>
    <w:rsid w:val="006A2B5F"/>
    <w:rsid w:val="006A6D75"/>
    <w:rsid w:val="006B0876"/>
    <w:rsid w:val="006C42AF"/>
    <w:rsid w:val="006F14C1"/>
    <w:rsid w:val="006F27B1"/>
    <w:rsid w:val="006F4992"/>
    <w:rsid w:val="00710F6C"/>
    <w:rsid w:val="00711D8E"/>
    <w:rsid w:val="00712672"/>
    <w:rsid w:val="00731EF7"/>
    <w:rsid w:val="00734678"/>
    <w:rsid w:val="00734E3F"/>
    <w:rsid w:val="007367F9"/>
    <w:rsid w:val="00736985"/>
    <w:rsid w:val="00740F94"/>
    <w:rsid w:val="00745DF5"/>
    <w:rsid w:val="0075271D"/>
    <w:rsid w:val="0076250F"/>
    <w:rsid w:val="00762D05"/>
    <w:rsid w:val="00771B53"/>
    <w:rsid w:val="00776930"/>
    <w:rsid w:val="00784031"/>
    <w:rsid w:val="007942C2"/>
    <w:rsid w:val="007A13AE"/>
    <w:rsid w:val="007A6119"/>
    <w:rsid w:val="007A61AD"/>
    <w:rsid w:val="007B6200"/>
    <w:rsid w:val="007C7BAE"/>
    <w:rsid w:val="007E006F"/>
    <w:rsid w:val="007E075D"/>
    <w:rsid w:val="007E6475"/>
    <w:rsid w:val="007F3395"/>
    <w:rsid w:val="007F449B"/>
    <w:rsid w:val="007F46F1"/>
    <w:rsid w:val="00801B9F"/>
    <w:rsid w:val="008057FD"/>
    <w:rsid w:val="00805883"/>
    <w:rsid w:val="00807776"/>
    <w:rsid w:val="00812509"/>
    <w:rsid w:val="00815470"/>
    <w:rsid w:val="008433E9"/>
    <w:rsid w:val="008475F0"/>
    <w:rsid w:val="00854525"/>
    <w:rsid w:val="0085772A"/>
    <w:rsid w:val="008629EF"/>
    <w:rsid w:val="00864210"/>
    <w:rsid w:val="00876908"/>
    <w:rsid w:val="00877607"/>
    <w:rsid w:val="00887C48"/>
    <w:rsid w:val="00894019"/>
    <w:rsid w:val="008A5AFE"/>
    <w:rsid w:val="008B68D7"/>
    <w:rsid w:val="008B7981"/>
    <w:rsid w:val="008C2F58"/>
    <w:rsid w:val="008C5A0E"/>
    <w:rsid w:val="008C79BA"/>
    <w:rsid w:val="008D0FC6"/>
    <w:rsid w:val="008D4779"/>
    <w:rsid w:val="008F56A8"/>
    <w:rsid w:val="00910A92"/>
    <w:rsid w:val="009141DA"/>
    <w:rsid w:val="00914386"/>
    <w:rsid w:val="00916FB1"/>
    <w:rsid w:val="00941BF3"/>
    <w:rsid w:val="0096644F"/>
    <w:rsid w:val="0097733A"/>
    <w:rsid w:val="00981FC9"/>
    <w:rsid w:val="009903F3"/>
    <w:rsid w:val="0099085D"/>
    <w:rsid w:val="00992C76"/>
    <w:rsid w:val="009A234D"/>
    <w:rsid w:val="009B0EBD"/>
    <w:rsid w:val="009B4D3B"/>
    <w:rsid w:val="009B7450"/>
    <w:rsid w:val="009C41B3"/>
    <w:rsid w:val="009D719D"/>
    <w:rsid w:val="009D7407"/>
    <w:rsid w:val="009E0866"/>
    <w:rsid w:val="009F0D41"/>
    <w:rsid w:val="009F4CA0"/>
    <w:rsid w:val="009F5488"/>
    <w:rsid w:val="009F5AD8"/>
    <w:rsid w:val="009F6423"/>
    <w:rsid w:val="00A0010C"/>
    <w:rsid w:val="00A076AA"/>
    <w:rsid w:val="00A10971"/>
    <w:rsid w:val="00A10CE8"/>
    <w:rsid w:val="00A150AD"/>
    <w:rsid w:val="00A17294"/>
    <w:rsid w:val="00A21B4B"/>
    <w:rsid w:val="00A24A62"/>
    <w:rsid w:val="00A31C9F"/>
    <w:rsid w:val="00A40C98"/>
    <w:rsid w:val="00A4144F"/>
    <w:rsid w:val="00A440AD"/>
    <w:rsid w:val="00A56F14"/>
    <w:rsid w:val="00A56FC0"/>
    <w:rsid w:val="00A604DD"/>
    <w:rsid w:val="00A67062"/>
    <w:rsid w:val="00A70265"/>
    <w:rsid w:val="00A75A26"/>
    <w:rsid w:val="00A80F95"/>
    <w:rsid w:val="00A8197B"/>
    <w:rsid w:val="00A82F89"/>
    <w:rsid w:val="00A84162"/>
    <w:rsid w:val="00A92CF2"/>
    <w:rsid w:val="00A938DA"/>
    <w:rsid w:val="00A94E8A"/>
    <w:rsid w:val="00AA5641"/>
    <w:rsid w:val="00AA6A65"/>
    <w:rsid w:val="00AA7BE3"/>
    <w:rsid w:val="00AB012C"/>
    <w:rsid w:val="00AB5E7F"/>
    <w:rsid w:val="00AB79DB"/>
    <w:rsid w:val="00AC164A"/>
    <w:rsid w:val="00AC1C29"/>
    <w:rsid w:val="00AD27EB"/>
    <w:rsid w:val="00AE2B01"/>
    <w:rsid w:val="00AF0F3F"/>
    <w:rsid w:val="00AF1B85"/>
    <w:rsid w:val="00AF2050"/>
    <w:rsid w:val="00AF6C14"/>
    <w:rsid w:val="00B03CA8"/>
    <w:rsid w:val="00B10E80"/>
    <w:rsid w:val="00B12980"/>
    <w:rsid w:val="00B256AA"/>
    <w:rsid w:val="00B329D5"/>
    <w:rsid w:val="00B331DC"/>
    <w:rsid w:val="00B423FA"/>
    <w:rsid w:val="00B438D3"/>
    <w:rsid w:val="00B4553E"/>
    <w:rsid w:val="00B51297"/>
    <w:rsid w:val="00B539C3"/>
    <w:rsid w:val="00B55E19"/>
    <w:rsid w:val="00B60312"/>
    <w:rsid w:val="00B64500"/>
    <w:rsid w:val="00B717A8"/>
    <w:rsid w:val="00B754C8"/>
    <w:rsid w:val="00B83614"/>
    <w:rsid w:val="00B83BE3"/>
    <w:rsid w:val="00B8475C"/>
    <w:rsid w:val="00B907C7"/>
    <w:rsid w:val="00BA4B6D"/>
    <w:rsid w:val="00BB26C5"/>
    <w:rsid w:val="00BB648A"/>
    <w:rsid w:val="00BD238F"/>
    <w:rsid w:val="00BD29CD"/>
    <w:rsid w:val="00BE1BEB"/>
    <w:rsid w:val="00BF3260"/>
    <w:rsid w:val="00BF336C"/>
    <w:rsid w:val="00BF4DE6"/>
    <w:rsid w:val="00C0107E"/>
    <w:rsid w:val="00C0384F"/>
    <w:rsid w:val="00C33BA3"/>
    <w:rsid w:val="00C418CB"/>
    <w:rsid w:val="00C42CDE"/>
    <w:rsid w:val="00C43B43"/>
    <w:rsid w:val="00C5182A"/>
    <w:rsid w:val="00C523F9"/>
    <w:rsid w:val="00C56C26"/>
    <w:rsid w:val="00C56C62"/>
    <w:rsid w:val="00C6297B"/>
    <w:rsid w:val="00C63EE9"/>
    <w:rsid w:val="00C6626C"/>
    <w:rsid w:val="00C7139B"/>
    <w:rsid w:val="00C738B8"/>
    <w:rsid w:val="00C73C66"/>
    <w:rsid w:val="00C946A1"/>
    <w:rsid w:val="00CA37B1"/>
    <w:rsid w:val="00CA7371"/>
    <w:rsid w:val="00CB1959"/>
    <w:rsid w:val="00CC4767"/>
    <w:rsid w:val="00CD0E4B"/>
    <w:rsid w:val="00CD1652"/>
    <w:rsid w:val="00CD4FD7"/>
    <w:rsid w:val="00CD5F1C"/>
    <w:rsid w:val="00CE0155"/>
    <w:rsid w:val="00CE018F"/>
    <w:rsid w:val="00CE2B3E"/>
    <w:rsid w:val="00CF244A"/>
    <w:rsid w:val="00CF670F"/>
    <w:rsid w:val="00CF6FF5"/>
    <w:rsid w:val="00D00802"/>
    <w:rsid w:val="00D0296C"/>
    <w:rsid w:val="00D02F13"/>
    <w:rsid w:val="00D061BB"/>
    <w:rsid w:val="00D146A2"/>
    <w:rsid w:val="00D15A00"/>
    <w:rsid w:val="00D2653F"/>
    <w:rsid w:val="00D3156F"/>
    <w:rsid w:val="00D42452"/>
    <w:rsid w:val="00D64BD1"/>
    <w:rsid w:val="00D72760"/>
    <w:rsid w:val="00D77E1A"/>
    <w:rsid w:val="00D84A31"/>
    <w:rsid w:val="00D9590A"/>
    <w:rsid w:val="00DA56A7"/>
    <w:rsid w:val="00DC119E"/>
    <w:rsid w:val="00DC35C1"/>
    <w:rsid w:val="00DD1986"/>
    <w:rsid w:val="00DD2525"/>
    <w:rsid w:val="00DD3362"/>
    <w:rsid w:val="00DD3FAF"/>
    <w:rsid w:val="00DD46BE"/>
    <w:rsid w:val="00DE084C"/>
    <w:rsid w:val="00DE13D7"/>
    <w:rsid w:val="00DF1289"/>
    <w:rsid w:val="00DF55AA"/>
    <w:rsid w:val="00DF5CB9"/>
    <w:rsid w:val="00DF7F19"/>
    <w:rsid w:val="00E00190"/>
    <w:rsid w:val="00E01C62"/>
    <w:rsid w:val="00E01E95"/>
    <w:rsid w:val="00E02AB0"/>
    <w:rsid w:val="00E05C18"/>
    <w:rsid w:val="00E34AE6"/>
    <w:rsid w:val="00E3522B"/>
    <w:rsid w:val="00E357B7"/>
    <w:rsid w:val="00E53800"/>
    <w:rsid w:val="00E6081F"/>
    <w:rsid w:val="00E65105"/>
    <w:rsid w:val="00E706AC"/>
    <w:rsid w:val="00E72265"/>
    <w:rsid w:val="00E80B61"/>
    <w:rsid w:val="00E82539"/>
    <w:rsid w:val="00E91F4B"/>
    <w:rsid w:val="00E92470"/>
    <w:rsid w:val="00E9577E"/>
    <w:rsid w:val="00EA01E0"/>
    <w:rsid w:val="00EA04B2"/>
    <w:rsid w:val="00EA20F3"/>
    <w:rsid w:val="00EA6E81"/>
    <w:rsid w:val="00EC2018"/>
    <w:rsid w:val="00EC2BD5"/>
    <w:rsid w:val="00ED1CD6"/>
    <w:rsid w:val="00ED2831"/>
    <w:rsid w:val="00ED43D1"/>
    <w:rsid w:val="00ED5DD2"/>
    <w:rsid w:val="00EE40EC"/>
    <w:rsid w:val="00EE4DAA"/>
    <w:rsid w:val="00EE4EE1"/>
    <w:rsid w:val="00EE7298"/>
    <w:rsid w:val="00EF26B5"/>
    <w:rsid w:val="00EF4574"/>
    <w:rsid w:val="00EF4AD9"/>
    <w:rsid w:val="00F06182"/>
    <w:rsid w:val="00F150E8"/>
    <w:rsid w:val="00F20EFD"/>
    <w:rsid w:val="00F2684E"/>
    <w:rsid w:val="00F27373"/>
    <w:rsid w:val="00F27D08"/>
    <w:rsid w:val="00F30714"/>
    <w:rsid w:val="00F37FF7"/>
    <w:rsid w:val="00F4140A"/>
    <w:rsid w:val="00F51130"/>
    <w:rsid w:val="00F5404C"/>
    <w:rsid w:val="00F66879"/>
    <w:rsid w:val="00F729EF"/>
    <w:rsid w:val="00F7583B"/>
    <w:rsid w:val="00F77CAE"/>
    <w:rsid w:val="00F813BC"/>
    <w:rsid w:val="00F8189A"/>
    <w:rsid w:val="00F81B6E"/>
    <w:rsid w:val="00F82271"/>
    <w:rsid w:val="00F83428"/>
    <w:rsid w:val="00F84330"/>
    <w:rsid w:val="00F9021F"/>
    <w:rsid w:val="00F92899"/>
    <w:rsid w:val="00F96BB9"/>
    <w:rsid w:val="00FA1260"/>
    <w:rsid w:val="00FA665E"/>
    <w:rsid w:val="00FB4F75"/>
    <w:rsid w:val="00FD3609"/>
    <w:rsid w:val="00FE6D51"/>
    <w:rsid w:val="00FF09F3"/>
    <w:rsid w:val="00FF0C20"/>
    <w:rsid w:val="00FF4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8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72B3"/>
    <w:rPr>
      <w:sz w:val="16"/>
      <w:szCs w:val="16"/>
    </w:rPr>
  </w:style>
  <w:style w:type="paragraph" w:styleId="CommentText">
    <w:name w:val="annotation text"/>
    <w:basedOn w:val="Normal"/>
    <w:link w:val="CommentTextChar"/>
    <w:uiPriority w:val="99"/>
    <w:semiHidden/>
    <w:unhideWhenUsed/>
    <w:rsid w:val="005D72B3"/>
    <w:pPr>
      <w:spacing w:line="240" w:lineRule="auto"/>
    </w:pPr>
    <w:rPr>
      <w:sz w:val="20"/>
      <w:szCs w:val="20"/>
    </w:rPr>
  </w:style>
  <w:style w:type="character" w:customStyle="1" w:styleId="CommentTextChar">
    <w:name w:val="Comment Text Char"/>
    <w:basedOn w:val="DefaultParagraphFont"/>
    <w:link w:val="CommentText"/>
    <w:uiPriority w:val="99"/>
    <w:semiHidden/>
    <w:rsid w:val="005D72B3"/>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D72B3"/>
    <w:rPr>
      <w:b/>
      <w:bCs/>
    </w:rPr>
  </w:style>
  <w:style w:type="character" w:customStyle="1" w:styleId="CommentSubjectChar">
    <w:name w:val="Comment Subject Char"/>
    <w:basedOn w:val="CommentTextChar"/>
    <w:link w:val="CommentSubject"/>
    <w:uiPriority w:val="99"/>
    <w:semiHidden/>
    <w:rsid w:val="005D72B3"/>
    <w:rPr>
      <w:b/>
      <w:bCs/>
      <w:color w:val="495965" w:themeColor="text2"/>
      <w:sz w:val="20"/>
      <w:szCs w:val="20"/>
      <w:lang w:val="en-GB"/>
    </w:rPr>
  </w:style>
  <w:style w:type="paragraph" w:customStyle="1" w:styleId="Default">
    <w:name w:val="Default"/>
    <w:rsid w:val="003B5B68"/>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6.xml"/><Relationship Id="rId39" Type="http://schemas.openxmlformats.org/officeDocument/2006/relationships/image" Target="media/image23.png"/><Relationship Id="rId21" Type="http://schemas.openxmlformats.org/officeDocument/2006/relationships/image" Target="media/image10.png"/><Relationship Id="rId34" Type="http://schemas.openxmlformats.org/officeDocument/2006/relationships/image" Target="media/image18.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15.jpeg"/><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7.xml"/><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header" Target="header5.xml"/><Relationship Id="rId33" Type="http://schemas.openxmlformats.org/officeDocument/2006/relationships/image" Target="media/image17.png"/><Relationship Id="rId38" Type="http://schemas.openxmlformats.org/officeDocument/2006/relationships/image" Target="media/image22.jpeg"/><Relationship Id="rId46" Type="http://schemas.openxmlformats.org/officeDocument/2006/relationships/customXml" Target="../customXml/item4.xml"/><Relationship Id="rId20" Type="http://schemas.openxmlformats.org/officeDocument/2006/relationships/image" Target="media/image9.png"/><Relationship Id="rId41"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57C4A9-C14F-4DBD-A52C-0A988029903E}"/>
</file>

<file path=customXml/itemProps2.xml><?xml version="1.0" encoding="utf-8"?>
<ds:datastoreItem xmlns:ds="http://schemas.openxmlformats.org/officeDocument/2006/customXml" ds:itemID="{08926685-AB66-4DDA-9C63-9A41A40CFF9E}"/>
</file>

<file path=customXml/itemProps3.xml><?xml version="1.0" encoding="utf-8"?>
<ds:datastoreItem xmlns:ds="http://schemas.openxmlformats.org/officeDocument/2006/customXml" ds:itemID="{75FA9F5D-CE6C-44CD-A6B9-E6EED47CF6CF}"/>
</file>

<file path=customXml/itemProps4.xml><?xml version="1.0" encoding="utf-8"?>
<ds:datastoreItem xmlns:ds="http://schemas.openxmlformats.org/officeDocument/2006/customXml" ds:itemID="{2A040CDA-FEC4-4447-8975-77545E7E0839}"/>
</file>

<file path=docProps/app.xml><?xml version="1.0" encoding="utf-8"?>
<Properties xmlns="http://schemas.openxmlformats.org/officeDocument/2006/extended-properties" xmlns:vt="http://schemas.openxmlformats.org/officeDocument/2006/docPropsVTypes">
  <Template>Normal.dotm</Template>
  <TotalTime>0</TotalTime>
  <Pages>15</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2019-09-20T00:31:00Z</dcterms:created>
  <dcterms:modified xsi:type="dcterms:W3CDTF">2019-09-20T00:31:00Z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9ce602da-d579-419c-a68f-68e60e624e7e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1264400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