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580A64">
        <w:rPr>
          <w:spacing w:val="-20"/>
          <w:sz w:val="60"/>
        </w:rPr>
        <w:t>7</w:t>
      </w:r>
      <w:r>
        <w:rPr>
          <w:spacing w:val="-20"/>
          <w:sz w:val="60"/>
        </w:rPr>
        <w:t>-1</w:t>
      </w:r>
      <w:r w:rsidR="00580A64">
        <w:rPr>
          <w:spacing w:val="-20"/>
          <w:sz w:val="60"/>
        </w:rPr>
        <w:t>8</w:t>
      </w:r>
    </w:p>
    <w:p w:rsidR="0059146A" w:rsidRDefault="006604CD"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Sri Lanka</w:t>
      </w:r>
      <w:r w:rsidR="0059146A">
        <w:rPr>
          <w:sz w:val="40"/>
        </w:rPr>
        <w:br/>
      </w:r>
      <w:r w:rsidR="00CD161B">
        <w:rPr>
          <w:sz w:val="24"/>
        </w:rPr>
        <w:t>September 2018</w:t>
      </w:r>
    </w:p>
    <w:p w:rsidR="00373ACC" w:rsidRDefault="00373ACC" w:rsidP="00B438D3">
      <w:pPr>
        <w:pStyle w:val="Title"/>
      </w:pPr>
      <w:r>
        <w:lastRenderedPageBreak/>
        <w:t>sri lanka</w:t>
      </w:r>
      <w:r w:rsidR="005B5769" w:rsidRPr="00B438D3">
        <w:t xml:space="preserve"> Aid Program Performance Information </w:t>
      </w:r>
    </w:p>
    <w:p w:rsidR="005B5769" w:rsidRPr="00B438D3" w:rsidRDefault="005B5769" w:rsidP="00B438D3">
      <w:pPr>
        <w:pStyle w:val="Title"/>
      </w:pPr>
      <w:r w:rsidRPr="00B438D3">
        <w:t>201</w:t>
      </w:r>
      <w:r w:rsidR="00580A64">
        <w:t>7</w:t>
      </w:r>
      <w:r w:rsidRPr="00B438D3">
        <w:t>-1</w:t>
      </w:r>
      <w:r w:rsidR="00580A64">
        <w:t>8</w:t>
      </w:r>
    </w:p>
    <w:p w:rsidR="005B5769" w:rsidRPr="00C4114C" w:rsidRDefault="005B5769" w:rsidP="00B438D3">
      <w:pPr>
        <w:pStyle w:val="Subtitle"/>
      </w:pPr>
      <w:r w:rsidRPr="00C4114C">
        <w:t>Summary</w:t>
      </w:r>
    </w:p>
    <w:p w:rsidR="00707EAE" w:rsidRDefault="00707EAE" w:rsidP="00707EAE">
      <w:pPr>
        <w:rPr>
          <w:color w:val="auto"/>
        </w:rPr>
      </w:pPr>
      <w:r>
        <w:rPr>
          <w:color w:val="auto"/>
        </w:rPr>
        <w:t xml:space="preserve">This report summarises the performance of Australia’s aid program in Sri Lanka from July 2017 to June 2018 against the Sri Lanka Aid Investment Plan (AIP) 2015-19. </w:t>
      </w:r>
      <w:r w:rsidR="005B4FEB">
        <w:rPr>
          <w:color w:val="auto"/>
        </w:rPr>
        <w:t>Nine years after the end of Sri Lanka’s long-running civil conflict,</w:t>
      </w:r>
      <w:r>
        <w:rPr>
          <w:color w:val="auto"/>
        </w:rPr>
        <w:t xml:space="preserve"> the </w:t>
      </w:r>
      <w:r w:rsidR="005B4FEB">
        <w:rPr>
          <w:color w:val="auto"/>
        </w:rPr>
        <w:t>current AIP focuses on</w:t>
      </w:r>
      <w:r>
        <w:rPr>
          <w:color w:val="auto"/>
        </w:rPr>
        <w:t xml:space="preserve"> building a</w:t>
      </w:r>
      <w:r w:rsidR="00523566">
        <w:rPr>
          <w:color w:val="auto"/>
        </w:rPr>
        <w:t xml:space="preserve"> long-term</w:t>
      </w:r>
      <w:r w:rsidR="00167F25">
        <w:rPr>
          <w:color w:val="auto"/>
        </w:rPr>
        <w:t xml:space="preserve"> </w:t>
      </w:r>
      <w:r>
        <w:rPr>
          <w:color w:val="auto"/>
        </w:rPr>
        <w:t xml:space="preserve">economic partnership with Sri Lanka to assist with Sri Lanka’s </w:t>
      </w:r>
      <w:r w:rsidR="00241275">
        <w:rPr>
          <w:color w:val="auto"/>
        </w:rPr>
        <w:t xml:space="preserve">future </w:t>
      </w:r>
      <w:r>
        <w:rPr>
          <w:color w:val="auto"/>
        </w:rPr>
        <w:t>development.</w:t>
      </w:r>
    </w:p>
    <w:p w:rsidR="00707EAE" w:rsidRDefault="00707EAE" w:rsidP="00707EAE">
      <w:pPr>
        <w:rPr>
          <w:color w:val="auto"/>
        </w:rPr>
      </w:pPr>
      <w:r>
        <w:rPr>
          <w:color w:val="auto"/>
        </w:rPr>
        <w:t xml:space="preserve">The key objectives set by the AIP for achievement by 2019 </w:t>
      </w:r>
      <w:proofErr w:type="gramStart"/>
      <w:r>
        <w:rPr>
          <w:color w:val="auto"/>
        </w:rPr>
        <w:t>are:</w:t>
      </w:r>
      <w:proofErr w:type="gramEnd"/>
      <w:r>
        <w:rPr>
          <w:color w:val="auto"/>
        </w:rPr>
        <w:t xml:space="preserve"> to expand economic opportunities for the poor; support government to be more responsive to the needs of citizens and the private sector; and to increase gender equality. The guiding logic is that economies and societies perform better when markets operate efficiently, governments deliver services equitably, and women and people with disabilities are full participants in the economy and public life. </w:t>
      </w:r>
      <w:r w:rsidR="00241275">
        <w:rPr>
          <w:color w:val="auto"/>
        </w:rPr>
        <w:t>R</w:t>
      </w:r>
      <w:r>
        <w:rPr>
          <w:color w:val="auto"/>
        </w:rPr>
        <w:t xml:space="preserve">econciliation </w:t>
      </w:r>
      <w:r w:rsidR="00241275">
        <w:rPr>
          <w:color w:val="auto"/>
        </w:rPr>
        <w:t xml:space="preserve">and long-term stability </w:t>
      </w:r>
      <w:r w:rsidR="005B4FEB">
        <w:rPr>
          <w:color w:val="auto"/>
        </w:rPr>
        <w:t>are</w:t>
      </w:r>
      <w:r>
        <w:rPr>
          <w:color w:val="auto"/>
        </w:rPr>
        <w:t xml:space="preserve"> also important to Sri Lanka’s future prosperity. The AIP complements a </w:t>
      </w:r>
      <w:r w:rsidR="00071175">
        <w:rPr>
          <w:color w:val="auto"/>
        </w:rPr>
        <w:t xml:space="preserve">central </w:t>
      </w:r>
      <w:r>
        <w:rPr>
          <w:color w:val="auto"/>
        </w:rPr>
        <w:t>tenet of Australia’s 2017 F</w:t>
      </w:r>
      <w:r w:rsidR="005B4FEB">
        <w:rPr>
          <w:color w:val="auto"/>
        </w:rPr>
        <w:t>oreign Policy White Paper:</w:t>
      </w:r>
      <w:r>
        <w:rPr>
          <w:color w:val="auto"/>
        </w:rPr>
        <w:t xml:space="preserve"> Australia’s future prosperity relies on a stable and prosperous Indo-Pacific.</w:t>
      </w:r>
    </w:p>
    <w:p w:rsidR="00707EAE" w:rsidRDefault="00707EAE" w:rsidP="00707EAE">
      <w:pPr>
        <w:rPr>
          <w:color w:val="auto"/>
        </w:rPr>
      </w:pPr>
      <w:r>
        <w:rPr>
          <w:color w:val="auto"/>
        </w:rPr>
        <w:t xml:space="preserve">Over the past year, the aid program has continued to </w:t>
      </w:r>
      <w:r w:rsidR="00377EDE">
        <w:rPr>
          <w:color w:val="auto"/>
        </w:rPr>
        <w:t xml:space="preserve">build </w:t>
      </w:r>
      <w:r w:rsidR="00EB55F6">
        <w:rPr>
          <w:color w:val="auto"/>
        </w:rPr>
        <w:t xml:space="preserve">the </w:t>
      </w:r>
      <w:r>
        <w:rPr>
          <w:color w:val="auto"/>
        </w:rPr>
        <w:t>economic partnership with Sri Lanka, with investments aimed at private sector led economic growth that is inclusi</w:t>
      </w:r>
      <w:r w:rsidR="005B4FEB">
        <w:rPr>
          <w:color w:val="auto"/>
        </w:rPr>
        <w:t>ve and reduces poverty. We have</w:t>
      </w:r>
      <w:r>
        <w:rPr>
          <w:color w:val="auto"/>
        </w:rPr>
        <w:t xml:space="preserve"> support</w:t>
      </w:r>
      <w:r w:rsidR="005B4FEB">
        <w:rPr>
          <w:color w:val="auto"/>
        </w:rPr>
        <w:t>ed</w:t>
      </w:r>
      <w:r>
        <w:rPr>
          <w:color w:val="auto"/>
        </w:rPr>
        <w:t xml:space="preserve"> the Sri Lankan government’s economic reform</w:t>
      </w:r>
      <w:r w:rsidR="005B4FEB">
        <w:rPr>
          <w:color w:val="auto"/>
        </w:rPr>
        <w:t xml:space="preserve"> agenda, including through</w:t>
      </w:r>
      <w:r w:rsidR="00252C98">
        <w:rPr>
          <w:color w:val="auto"/>
        </w:rPr>
        <w:t xml:space="preserve"> </w:t>
      </w:r>
      <w:r>
        <w:rPr>
          <w:color w:val="auto"/>
        </w:rPr>
        <w:t xml:space="preserve">policy and technical advice </w:t>
      </w:r>
      <w:r w:rsidR="005B4FEB">
        <w:rPr>
          <w:color w:val="auto"/>
        </w:rPr>
        <w:t>that</w:t>
      </w:r>
      <w:r w:rsidR="00252C98">
        <w:rPr>
          <w:color w:val="auto"/>
        </w:rPr>
        <w:t xml:space="preserve"> assist</w:t>
      </w:r>
      <w:r w:rsidR="005B4FEB">
        <w:rPr>
          <w:color w:val="auto"/>
        </w:rPr>
        <w:t>ed</w:t>
      </w:r>
      <w:r w:rsidR="00252C98">
        <w:rPr>
          <w:color w:val="auto"/>
        </w:rPr>
        <w:t xml:space="preserve"> </w:t>
      </w:r>
      <w:r>
        <w:rPr>
          <w:color w:val="auto"/>
        </w:rPr>
        <w:t xml:space="preserve">the development of a new trade policy, </w:t>
      </w:r>
      <w:r w:rsidR="00341D77">
        <w:rPr>
          <w:color w:val="auto"/>
        </w:rPr>
        <w:t>a National Export Strategy, and</w:t>
      </w:r>
      <w:r w:rsidR="00341D77" w:rsidRPr="00341D77">
        <w:rPr>
          <w:b/>
          <w:color w:val="auto"/>
        </w:rPr>
        <w:t xml:space="preserve"> </w:t>
      </w:r>
      <w:r w:rsidRPr="00377EDE">
        <w:rPr>
          <w:color w:val="auto"/>
        </w:rPr>
        <w:t>a stronger investment framework</w:t>
      </w:r>
      <w:r w:rsidR="00341D77" w:rsidRPr="00377EDE">
        <w:rPr>
          <w:color w:val="auto"/>
        </w:rPr>
        <w:t>, including substantial reforms to improve the ease of doing business</w:t>
      </w:r>
      <w:r w:rsidRPr="00377EDE">
        <w:rPr>
          <w:color w:val="auto"/>
        </w:rPr>
        <w:t>.</w:t>
      </w:r>
      <w:r>
        <w:rPr>
          <w:color w:val="auto"/>
        </w:rPr>
        <w:t xml:space="preserve"> Our </w:t>
      </w:r>
      <w:r w:rsidR="005B4FEB">
        <w:rPr>
          <w:color w:val="auto"/>
        </w:rPr>
        <w:t>delivery partners have also</w:t>
      </w:r>
      <w:r>
        <w:rPr>
          <w:color w:val="auto"/>
        </w:rPr>
        <w:t xml:space="preserve"> assisted local governments to promote econo</w:t>
      </w:r>
      <w:r w:rsidR="00252C98">
        <w:rPr>
          <w:color w:val="auto"/>
        </w:rPr>
        <w:t xml:space="preserve">mic development, increase </w:t>
      </w:r>
      <w:r w:rsidR="00071175">
        <w:rPr>
          <w:color w:val="auto"/>
        </w:rPr>
        <w:t xml:space="preserve">their </w:t>
      </w:r>
      <w:r>
        <w:rPr>
          <w:color w:val="auto"/>
        </w:rPr>
        <w:t>tax base</w:t>
      </w:r>
      <w:r w:rsidR="00252C98">
        <w:rPr>
          <w:color w:val="auto"/>
        </w:rPr>
        <w:t>s</w:t>
      </w:r>
      <w:r>
        <w:rPr>
          <w:color w:val="auto"/>
        </w:rPr>
        <w:t xml:space="preserve"> and deliver services in a responsive manner.</w:t>
      </w:r>
    </w:p>
    <w:p w:rsidR="001D7F2D" w:rsidRDefault="00B1592F" w:rsidP="00707EAE">
      <w:pPr>
        <w:rPr>
          <w:color w:val="auto"/>
        </w:rPr>
      </w:pPr>
      <w:r>
        <w:rPr>
          <w:color w:val="auto"/>
        </w:rPr>
        <w:t xml:space="preserve">Australia’s aid </w:t>
      </w:r>
      <w:r w:rsidR="00252C98">
        <w:rPr>
          <w:color w:val="auto"/>
        </w:rPr>
        <w:t>investments</w:t>
      </w:r>
      <w:r>
        <w:rPr>
          <w:color w:val="auto"/>
        </w:rPr>
        <w:t xml:space="preserve"> in Sri Lanka have</w:t>
      </w:r>
      <w:r w:rsidR="00252C98">
        <w:rPr>
          <w:color w:val="auto"/>
        </w:rPr>
        <w:t xml:space="preserve"> led to new </w:t>
      </w:r>
      <w:r>
        <w:rPr>
          <w:color w:val="auto"/>
        </w:rPr>
        <w:t>jobs in the</w:t>
      </w:r>
      <w:r w:rsidR="00707EAE">
        <w:rPr>
          <w:color w:val="auto"/>
        </w:rPr>
        <w:t xml:space="preserve"> tourism industry</w:t>
      </w:r>
      <w:r>
        <w:rPr>
          <w:color w:val="auto"/>
        </w:rPr>
        <w:t xml:space="preserve">. They have </w:t>
      </w:r>
      <w:r w:rsidR="00707EAE">
        <w:rPr>
          <w:color w:val="auto"/>
        </w:rPr>
        <w:t>assisted farmers and fishers</w:t>
      </w:r>
      <w:r w:rsidR="002F3464">
        <w:rPr>
          <w:color w:val="auto"/>
        </w:rPr>
        <w:t xml:space="preserve"> (for exa</w:t>
      </w:r>
      <w:r w:rsidR="00C869CC">
        <w:rPr>
          <w:color w:val="auto"/>
        </w:rPr>
        <w:t>mple, in the conflict-affected north and e</w:t>
      </w:r>
      <w:r w:rsidR="002F3464">
        <w:rPr>
          <w:color w:val="auto"/>
        </w:rPr>
        <w:t>ast)</w:t>
      </w:r>
      <w:r w:rsidR="00707EAE">
        <w:rPr>
          <w:color w:val="auto"/>
        </w:rPr>
        <w:t xml:space="preserve"> to benefit from potentially valuable export markets</w:t>
      </w:r>
      <w:r w:rsidR="002F3464">
        <w:rPr>
          <w:color w:val="auto"/>
        </w:rPr>
        <w:t>,</w:t>
      </w:r>
      <w:r w:rsidR="001D7F2D">
        <w:rPr>
          <w:color w:val="auto"/>
        </w:rPr>
        <w:t xml:space="preserve"> and </w:t>
      </w:r>
      <w:proofErr w:type="gramStart"/>
      <w:r>
        <w:rPr>
          <w:color w:val="auto"/>
        </w:rPr>
        <w:t>have</w:t>
      </w:r>
      <w:r w:rsidR="002F3464">
        <w:rPr>
          <w:color w:val="auto"/>
        </w:rPr>
        <w:t xml:space="preserve"> also</w:t>
      </w:r>
      <w:proofErr w:type="gramEnd"/>
      <w:r w:rsidR="002F3464">
        <w:rPr>
          <w:color w:val="auto"/>
        </w:rPr>
        <w:t xml:space="preserve"> increased employment</w:t>
      </w:r>
      <w:r>
        <w:rPr>
          <w:color w:val="auto"/>
        </w:rPr>
        <w:t xml:space="preserve"> </w:t>
      </w:r>
      <w:r w:rsidR="001D7F2D">
        <w:rPr>
          <w:color w:val="auto"/>
        </w:rPr>
        <w:t>opportunities for women and people with disabilities</w:t>
      </w:r>
      <w:r w:rsidR="00707EAE">
        <w:rPr>
          <w:color w:val="auto"/>
        </w:rPr>
        <w:t>. A new investment delivered by</w:t>
      </w:r>
      <w:r w:rsidR="00252C98">
        <w:rPr>
          <w:color w:val="auto"/>
        </w:rPr>
        <w:t xml:space="preserve"> </w:t>
      </w:r>
      <w:r w:rsidR="00523566">
        <w:rPr>
          <w:color w:val="auto"/>
        </w:rPr>
        <w:t xml:space="preserve">the </w:t>
      </w:r>
      <w:r w:rsidR="00252C98">
        <w:rPr>
          <w:color w:val="auto"/>
        </w:rPr>
        <w:t xml:space="preserve">International Finance Corporation </w:t>
      </w:r>
      <w:r>
        <w:rPr>
          <w:color w:val="auto"/>
        </w:rPr>
        <w:t xml:space="preserve">(IFC) </w:t>
      </w:r>
      <w:r w:rsidR="00252C98">
        <w:rPr>
          <w:color w:val="auto"/>
        </w:rPr>
        <w:t xml:space="preserve">formed partnerships with some of Sri Lanka’s </w:t>
      </w:r>
      <w:r>
        <w:rPr>
          <w:color w:val="auto"/>
        </w:rPr>
        <w:t xml:space="preserve">largest </w:t>
      </w:r>
      <w:r w:rsidR="00252C98">
        <w:rPr>
          <w:color w:val="auto"/>
        </w:rPr>
        <w:t>companies to recruit and retain more women, promote women in</w:t>
      </w:r>
      <w:r>
        <w:rPr>
          <w:color w:val="auto"/>
        </w:rPr>
        <w:t>to</w:t>
      </w:r>
      <w:r w:rsidR="00252C98">
        <w:rPr>
          <w:color w:val="auto"/>
        </w:rPr>
        <w:t xml:space="preserve"> leadership</w:t>
      </w:r>
      <w:r>
        <w:rPr>
          <w:color w:val="auto"/>
        </w:rPr>
        <w:t xml:space="preserve"> roles</w:t>
      </w:r>
      <w:r w:rsidR="00252C98">
        <w:rPr>
          <w:color w:val="auto"/>
        </w:rPr>
        <w:t xml:space="preserve"> and ensure anti-sexual harassment mechanisms </w:t>
      </w:r>
      <w:proofErr w:type="gramStart"/>
      <w:r w:rsidR="00252C98">
        <w:rPr>
          <w:color w:val="auto"/>
        </w:rPr>
        <w:t xml:space="preserve">are </w:t>
      </w:r>
      <w:r w:rsidR="00071175">
        <w:rPr>
          <w:color w:val="auto"/>
        </w:rPr>
        <w:t>put</w:t>
      </w:r>
      <w:proofErr w:type="gramEnd"/>
      <w:r w:rsidR="00071175">
        <w:rPr>
          <w:color w:val="auto"/>
        </w:rPr>
        <w:t xml:space="preserve"> </w:t>
      </w:r>
      <w:r w:rsidR="00252C98">
        <w:rPr>
          <w:color w:val="auto"/>
        </w:rPr>
        <w:t xml:space="preserve">in place. We also assisted with </w:t>
      </w:r>
      <w:r w:rsidR="001310FE">
        <w:rPr>
          <w:color w:val="auto"/>
        </w:rPr>
        <w:t xml:space="preserve">strengthening </w:t>
      </w:r>
      <w:r w:rsidR="00252C98">
        <w:rPr>
          <w:color w:val="auto"/>
        </w:rPr>
        <w:t xml:space="preserve">the capacity of women to contest the local government elections, </w:t>
      </w:r>
      <w:r w:rsidR="001310FE">
        <w:rPr>
          <w:color w:val="auto"/>
        </w:rPr>
        <w:t xml:space="preserve">to help give effect to </w:t>
      </w:r>
      <w:r w:rsidR="001D7F2D">
        <w:rPr>
          <w:color w:val="auto"/>
        </w:rPr>
        <w:t xml:space="preserve">a new 25 per cent quota for female representatives. </w:t>
      </w:r>
    </w:p>
    <w:p w:rsidR="00707EAE" w:rsidRDefault="00707EAE" w:rsidP="00707EAE">
      <w:pPr>
        <w:rPr>
          <w:color w:val="auto"/>
        </w:rPr>
      </w:pPr>
      <w:r>
        <w:rPr>
          <w:color w:val="auto"/>
        </w:rPr>
        <w:t xml:space="preserve">The economic focus of the </w:t>
      </w:r>
      <w:r w:rsidR="001D7F2D">
        <w:rPr>
          <w:color w:val="auto"/>
        </w:rPr>
        <w:t xml:space="preserve">Sri Lanka </w:t>
      </w:r>
      <w:r>
        <w:rPr>
          <w:color w:val="auto"/>
        </w:rPr>
        <w:t xml:space="preserve">aid program remains relevant as it enters </w:t>
      </w:r>
      <w:r w:rsidR="001D7F2D">
        <w:rPr>
          <w:color w:val="auto"/>
        </w:rPr>
        <w:t xml:space="preserve">2019, </w:t>
      </w:r>
      <w:r>
        <w:rPr>
          <w:color w:val="auto"/>
        </w:rPr>
        <w:t xml:space="preserve">the final year of the </w:t>
      </w:r>
      <w:r w:rsidR="005B4FEB">
        <w:rPr>
          <w:color w:val="auto"/>
        </w:rPr>
        <w:t xml:space="preserve">current </w:t>
      </w:r>
      <w:r>
        <w:rPr>
          <w:color w:val="auto"/>
        </w:rPr>
        <w:t>AI</w:t>
      </w:r>
      <w:r w:rsidR="001D7F2D">
        <w:rPr>
          <w:color w:val="auto"/>
        </w:rPr>
        <w:t xml:space="preserve">P. The next AIP </w:t>
      </w:r>
      <w:r w:rsidR="00523566">
        <w:rPr>
          <w:color w:val="auto"/>
        </w:rPr>
        <w:t>will look</w:t>
      </w:r>
      <w:r w:rsidR="001D7F2D">
        <w:rPr>
          <w:color w:val="auto"/>
        </w:rPr>
        <w:t xml:space="preserve"> to build on this momentum.</w:t>
      </w:r>
    </w:p>
    <w:p w:rsidR="00707EAE" w:rsidRDefault="00707EAE" w:rsidP="00707EAE">
      <w:pPr>
        <w:rPr>
          <w:color w:val="auto"/>
        </w:rPr>
      </w:pPr>
      <w:r>
        <w:rPr>
          <w:color w:val="auto"/>
        </w:rPr>
        <w:t xml:space="preserve">Total Australian aid to Sri Lanka in 2017-18 amounted to $27.6 million, with the bilateral component being $19.5 million. </w:t>
      </w:r>
      <w:r w:rsidR="005B4FEB">
        <w:rPr>
          <w:color w:val="auto"/>
        </w:rPr>
        <w:t xml:space="preserve">DFAT’s interpretation of </w:t>
      </w:r>
      <w:r w:rsidR="00523566">
        <w:rPr>
          <w:color w:val="auto"/>
        </w:rPr>
        <w:t xml:space="preserve">most recent </w:t>
      </w:r>
      <w:r w:rsidR="005920D3">
        <w:rPr>
          <w:color w:val="auto"/>
        </w:rPr>
        <w:t xml:space="preserve">data from the </w:t>
      </w:r>
      <w:r>
        <w:rPr>
          <w:color w:val="auto"/>
        </w:rPr>
        <w:t xml:space="preserve">Development Assistance Committee (DAC) of the OECD </w:t>
      </w:r>
      <w:r w:rsidR="005B4FEB">
        <w:rPr>
          <w:color w:val="auto"/>
        </w:rPr>
        <w:t>places</w:t>
      </w:r>
      <w:r w:rsidR="00523566">
        <w:rPr>
          <w:color w:val="auto"/>
        </w:rPr>
        <w:t xml:space="preserve"> Australia as the </w:t>
      </w:r>
      <w:r w:rsidR="005B4FEB">
        <w:rPr>
          <w:color w:val="auto"/>
        </w:rPr>
        <w:t>third</w:t>
      </w:r>
      <w:r w:rsidR="00523566">
        <w:rPr>
          <w:color w:val="auto"/>
        </w:rPr>
        <w:t xml:space="preserve"> largest</w:t>
      </w:r>
      <w:r w:rsidR="005B4FEB">
        <w:rPr>
          <w:color w:val="auto"/>
        </w:rPr>
        <w:t xml:space="preserve"> bilateral</w:t>
      </w:r>
      <w:r w:rsidR="00523566">
        <w:rPr>
          <w:color w:val="auto"/>
        </w:rPr>
        <w:t xml:space="preserve"> </w:t>
      </w:r>
      <w:r w:rsidR="00377EDE">
        <w:rPr>
          <w:color w:val="auto"/>
        </w:rPr>
        <w:t xml:space="preserve">grant </w:t>
      </w:r>
      <w:r w:rsidR="00523566">
        <w:rPr>
          <w:color w:val="auto"/>
        </w:rPr>
        <w:t xml:space="preserve">donor of ODA to Sri Lanka.  </w:t>
      </w:r>
      <w:r w:rsidR="005B4FEB">
        <w:rPr>
          <w:color w:val="auto"/>
        </w:rPr>
        <w:t xml:space="preserve">While </w:t>
      </w:r>
      <w:r>
        <w:rPr>
          <w:color w:val="auto"/>
        </w:rPr>
        <w:t xml:space="preserve">Australia’s development assistance </w:t>
      </w:r>
      <w:r w:rsidR="005B4FEB">
        <w:rPr>
          <w:color w:val="auto"/>
        </w:rPr>
        <w:t>remains</w:t>
      </w:r>
      <w:r>
        <w:rPr>
          <w:color w:val="auto"/>
        </w:rPr>
        <w:t xml:space="preserve"> only </w:t>
      </w:r>
      <w:r w:rsidR="00012EDD">
        <w:rPr>
          <w:color w:val="auto"/>
        </w:rPr>
        <w:t>around 2</w:t>
      </w:r>
      <w:r>
        <w:rPr>
          <w:color w:val="auto"/>
        </w:rPr>
        <w:t xml:space="preserve"> per cent of</w:t>
      </w:r>
      <w:r w:rsidR="00012EDD">
        <w:rPr>
          <w:color w:val="auto"/>
        </w:rPr>
        <w:t xml:space="preserve"> </w:t>
      </w:r>
      <w:r w:rsidR="00B1592F">
        <w:rPr>
          <w:color w:val="auto"/>
        </w:rPr>
        <w:t>g</w:t>
      </w:r>
      <w:r w:rsidR="00012EDD">
        <w:rPr>
          <w:color w:val="auto"/>
        </w:rPr>
        <w:t>ross</w:t>
      </w:r>
      <w:r w:rsidR="005B4FEB">
        <w:rPr>
          <w:color w:val="auto"/>
        </w:rPr>
        <w:t xml:space="preserve"> ODA to Sri Lanka</w:t>
      </w:r>
      <w:r>
        <w:rPr>
          <w:color w:val="auto"/>
        </w:rPr>
        <w:t xml:space="preserve">, unlike most </w:t>
      </w:r>
      <w:r w:rsidR="00B1592F">
        <w:rPr>
          <w:color w:val="auto"/>
        </w:rPr>
        <w:t xml:space="preserve">other </w:t>
      </w:r>
      <w:r w:rsidR="005B4FEB">
        <w:rPr>
          <w:color w:val="auto"/>
        </w:rPr>
        <w:t>donors our</w:t>
      </w:r>
      <w:r>
        <w:rPr>
          <w:color w:val="auto"/>
        </w:rPr>
        <w:t xml:space="preserve"> contribution is through grants rather than concessional lending, giving </w:t>
      </w:r>
      <w:r w:rsidR="005B4FEB">
        <w:rPr>
          <w:color w:val="auto"/>
        </w:rPr>
        <w:t>us</w:t>
      </w:r>
      <w:r>
        <w:rPr>
          <w:color w:val="auto"/>
        </w:rPr>
        <w:t xml:space="preserve"> a positive point of differentiation. </w:t>
      </w:r>
    </w:p>
    <w:p w:rsidR="00B94544" w:rsidRPr="00626D00" w:rsidRDefault="00626D00" w:rsidP="00626D00">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Expenditure</w:t>
      </w:r>
    </w:p>
    <w:p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CC4888">
        <w:rPr>
          <w:b/>
          <w:noProof/>
          <w:sz w:val="24"/>
        </w:rPr>
        <w:t>1</w:t>
      </w:r>
      <w:r w:rsidRPr="008C2F58">
        <w:rPr>
          <w:b/>
          <w:noProof/>
          <w:sz w:val="24"/>
        </w:rPr>
        <w:fldChar w:fldCharType="end"/>
      </w:r>
      <w:r w:rsidRPr="008C2F58">
        <w:rPr>
          <w:b/>
          <w:sz w:val="24"/>
        </w:rPr>
        <w:t xml:space="preserve"> Total ODA Expenditure in FY 201</w:t>
      </w:r>
      <w:r w:rsidR="00580A64">
        <w:rPr>
          <w:b/>
          <w:sz w:val="24"/>
        </w:rPr>
        <w:t>7</w:t>
      </w:r>
      <w:r w:rsidRPr="008C2F58">
        <w:rPr>
          <w:b/>
          <w:sz w:val="24"/>
        </w:rPr>
        <w:t>-1</w:t>
      </w:r>
      <w:r w:rsidR="00580A64">
        <w:rPr>
          <w:b/>
          <w:sz w:val="24"/>
        </w:rPr>
        <w:t>8</w:t>
      </w:r>
      <w:r w:rsidR="00626D00">
        <w:rPr>
          <w:b/>
          <w:sz w:val="24"/>
        </w:rPr>
        <w:t xml:space="preserve"> (estimated)</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rsidRPr="00A6188C" w:rsidTr="00CD1652">
        <w:tc>
          <w:tcPr>
            <w:tcW w:w="6374" w:type="dxa"/>
          </w:tcPr>
          <w:p w:rsidR="00CD1652" w:rsidRPr="00A6188C" w:rsidRDefault="00CD1652" w:rsidP="00AA1ACF">
            <w:pPr>
              <w:rPr>
                <w:b/>
                <w:sz w:val="24"/>
              </w:rPr>
            </w:pPr>
            <w:r w:rsidRPr="00A6188C">
              <w:rPr>
                <w:b/>
                <w:sz w:val="20"/>
              </w:rPr>
              <w:t>Objective</w:t>
            </w:r>
          </w:p>
        </w:tc>
        <w:tc>
          <w:tcPr>
            <w:tcW w:w="1423" w:type="dxa"/>
          </w:tcPr>
          <w:p w:rsidR="00CD1652" w:rsidRPr="00A6188C" w:rsidRDefault="00CD1652" w:rsidP="00626D00">
            <w:pPr>
              <w:jc w:val="center"/>
              <w:rPr>
                <w:b/>
                <w:sz w:val="24"/>
              </w:rPr>
            </w:pPr>
            <w:r w:rsidRPr="00A6188C">
              <w:rPr>
                <w:b/>
                <w:sz w:val="20"/>
              </w:rPr>
              <w:t>A$ million</w:t>
            </w:r>
            <w:r w:rsidR="00292893">
              <w:rPr>
                <w:b/>
                <w:sz w:val="20"/>
              </w:rPr>
              <w:t xml:space="preserve"> </w:t>
            </w:r>
          </w:p>
        </w:tc>
        <w:tc>
          <w:tcPr>
            <w:tcW w:w="1417" w:type="dxa"/>
          </w:tcPr>
          <w:p w:rsidR="00CD1652" w:rsidRPr="00A6188C" w:rsidRDefault="00CD1652" w:rsidP="00AA1ACF">
            <w:pPr>
              <w:jc w:val="center"/>
              <w:rPr>
                <w:b/>
                <w:sz w:val="24"/>
              </w:rPr>
            </w:pPr>
            <w:r w:rsidRPr="00A6188C">
              <w:rPr>
                <w:b/>
                <w:sz w:val="20"/>
              </w:rPr>
              <w:t>% of total ODA</w:t>
            </w:r>
          </w:p>
        </w:tc>
      </w:tr>
      <w:tr w:rsidR="00CD1652" w:rsidTr="00CD1652">
        <w:tc>
          <w:tcPr>
            <w:tcW w:w="6374" w:type="dxa"/>
          </w:tcPr>
          <w:p w:rsidR="00CD1652" w:rsidRDefault="00CD1652" w:rsidP="00AA1ACF">
            <w:pPr>
              <w:rPr>
                <w:b/>
                <w:sz w:val="24"/>
              </w:rPr>
            </w:pPr>
            <w:r w:rsidRPr="00BE6C6D">
              <w:rPr>
                <w:sz w:val="20"/>
              </w:rPr>
              <w:t>Objective 1</w:t>
            </w:r>
            <w:r w:rsidR="00A6188C">
              <w:rPr>
                <w:sz w:val="20"/>
              </w:rPr>
              <w:t xml:space="preserve">    Expand economic opportunities for the poor </w:t>
            </w:r>
          </w:p>
        </w:tc>
        <w:tc>
          <w:tcPr>
            <w:tcW w:w="1423" w:type="dxa"/>
          </w:tcPr>
          <w:p w:rsidR="00CD1652" w:rsidRPr="00910BA7" w:rsidRDefault="005B4FEB" w:rsidP="00910BA7">
            <w:pPr>
              <w:jc w:val="center"/>
              <w:rPr>
                <w:sz w:val="20"/>
              </w:rPr>
            </w:pPr>
            <w:r>
              <w:rPr>
                <w:sz w:val="20"/>
              </w:rPr>
              <w:t xml:space="preserve">7.8 </w:t>
            </w:r>
          </w:p>
        </w:tc>
        <w:tc>
          <w:tcPr>
            <w:tcW w:w="1417" w:type="dxa"/>
          </w:tcPr>
          <w:p w:rsidR="00CD1652" w:rsidRPr="00370469" w:rsidRDefault="000579F4" w:rsidP="00370469">
            <w:pPr>
              <w:jc w:val="center"/>
              <w:rPr>
                <w:sz w:val="20"/>
              </w:rPr>
            </w:pPr>
            <w:r>
              <w:rPr>
                <w:sz w:val="20"/>
              </w:rPr>
              <w:t>28</w:t>
            </w:r>
          </w:p>
        </w:tc>
      </w:tr>
      <w:tr w:rsidR="00CD1652" w:rsidTr="00CD1652">
        <w:tc>
          <w:tcPr>
            <w:tcW w:w="6374" w:type="dxa"/>
          </w:tcPr>
          <w:p w:rsidR="00CD1652" w:rsidRDefault="00CD1652" w:rsidP="00AA1ACF">
            <w:pPr>
              <w:rPr>
                <w:b/>
                <w:sz w:val="24"/>
              </w:rPr>
            </w:pPr>
            <w:r w:rsidRPr="00BE6C6D">
              <w:rPr>
                <w:sz w:val="20"/>
              </w:rPr>
              <w:lastRenderedPageBreak/>
              <w:t>Objective 2</w:t>
            </w:r>
            <w:r w:rsidR="00A6188C">
              <w:rPr>
                <w:sz w:val="20"/>
              </w:rPr>
              <w:t xml:space="preserve">    Support government to be more responsive to the needs of      citizens and the private sector</w:t>
            </w:r>
          </w:p>
        </w:tc>
        <w:tc>
          <w:tcPr>
            <w:tcW w:w="1423" w:type="dxa"/>
          </w:tcPr>
          <w:p w:rsidR="00CD1652" w:rsidRPr="00910BA7" w:rsidRDefault="005B4FEB" w:rsidP="00910BA7">
            <w:pPr>
              <w:jc w:val="center"/>
              <w:rPr>
                <w:sz w:val="20"/>
              </w:rPr>
            </w:pPr>
            <w:r>
              <w:rPr>
                <w:sz w:val="20"/>
              </w:rPr>
              <w:t xml:space="preserve">6.3 </w:t>
            </w:r>
          </w:p>
        </w:tc>
        <w:tc>
          <w:tcPr>
            <w:tcW w:w="1417" w:type="dxa"/>
          </w:tcPr>
          <w:p w:rsidR="00CD1652" w:rsidRPr="00370469" w:rsidRDefault="000579F4" w:rsidP="00370469">
            <w:pPr>
              <w:jc w:val="center"/>
              <w:rPr>
                <w:sz w:val="20"/>
              </w:rPr>
            </w:pPr>
            <w:r>
              <w:rPr>
                <w:sz w:val="20"/>
              </w:rPr>
              <w:t>22</w:t>
            </w:r>
          </w:p>
        </w:tc>
      </w:tr>
      <w:tr w:rsidR="00CD1652" w:rsidTr="00CD1652">
        <w:tc>
          <w:tcPr>
            <w:tcW w:w="6374" w:type="dxa"/>
          </w:tcPr>
          <w:p w:rsidR="00CD1652" w:rsidRDefault="00CD1652" w:rsidP="00AA1ACF">
            <w:pPr>
              <w:rPr>
                <w:b/>
                <w:sz w:val="24"/>
              </w:rPr>
            </w:pPr>
            <w:r w:rsidRPr="00BE6C6D">
              <w:rPr>
                <w:sz w:val="20"/>
              </w:rPr>
              <w:t>Objective 3</w:t>
            </w:r>
            <w:r w:rsidR="00A6188C">
              <w:rPr>
                <w:sz w:val="20"/>
              </w:rPr>
              <w:t xml:space="preserve">    Increase gender equality</w:t>
            </w:r>
          </w:p>
        </w:tc>
        <w:tc>
          <w:tcPr>
            <w:tcW w:w="1423" w:type="dxa"/>
          </w:tcPr>
          <w:p w:rsidR="00CD1652" w:rsidRPr="00910BA7" w:rsidRDefault="005B4FEB" w:rsidP="00910BA7">
            <w:pPr>
              <w:jc w:val="center"/>
              <w:rPr>
                <w:sz w:val="20"/>
              </w:rPr>
            </w:pPr>
            <w:r>
              <w:rPr>
                <w:sz w:val="20"/>
              </w:rPr>
              <w:t>5.4</w:t>
            </w:r>
          </w:p>
        </w:tc>
        <w:tc>
          <w:tcPr>
            <w:tcW w:w="1417" w:type="dxa"/>
          </w:tcPr>
          <w:p w:rsidR="00CD1652" w:rsidRPr="00370469" w:rsidRDefault="000579F4" w:rsidP="00370469">
            <w:pPr>
              <w:jc w:val="center"/>
              <w:rPr>
                <w:sz w:val="20"/>
              </w:rPr>
            </w:pPr>
            <w:r>
              <w:rPr>
                <w:sz w:val="20"/>
              </w:rPr>
              <w:t>19</w:t>
            </w:r>
          </w:p>
        </w:tc>
      </w:tr>
      <w:tr w:rsidR="00CD1652" w:rsidTr="00CD1652">
        <w:tc>
          <w:tcPr>
            <w:tcW w:w="6374" w:type="dxa"/>
          </w:tcPr>
          <w:p w:rsidR="00CD1652" w:rsidRDefault="00CD1652" w:rsidP="00AA1ACF">
            <w:pPr>
              <w:rPr>
                <w:b/>
                <w:sz w:val="24"/>
              </w:rPr>
            </w:pPr>
            <w:r w:rsidRPr="00BE6C6D">
              <w:rPr>
                <w:sz w:val="20"/>
              </w:rPr>
              <w:t>Sub-Total Bilateral</w:t>
            </w:r>
          </w:p>
        </w:tc>
        <w:tc>
          <w:tcPr>
            <w:tcW w:w="1423" w:type="dxa"/>
          </w:tcPr>
          <w:p w:rsidR="0025778C" w:rsidRPr="0025778C" w:rsidRDefault="0025778C" w:rsidP="0025778C">
            <w:pPr>
              <w:jc w:val="center"/>
              <w:rPr>
                <w:b/>
                <w:i/>
                <w:sz w:val="24"/>
              </w:rPr>
            </w:pPr>
            <w:r w:rsidRPr="0025778C">
              <w:rPr>
                <w:i/>
                <w:sz w:val="20"/>
              </w:rPr>
              <w:t>19.5</w:t>
            </w:r>
          </w:p>
        </w:tc>
        <w:tc>
          <w:tcPr>
            <w:tcW w:w="1417" w:type="dxa"/>
          </w:tcPr>
          <w:p w:rsidR="00CD1652" w:rsidRPr="000579F4" w:rsidRDefault="000579F4" w:rsidP="00370469">
            <w:pPr>
              <w:jc w:val="center"/>
              <w:rPr>
                <w:i/>
                <w:sz w:val="20"/>
              </w:rPr>
            </w:pPr>
            <w:r w:rsidRPr="000579F4">
              <w:rPr>
                <w:i/>
                <w:sz w:val="20"/>
              </w:rPr>
              <w:t>71</w:t>
            </w:r>
          </w:p>
        </w:tc>
      </w:tr>
      <w:tr w:rsidR="00CD1652" w:rsidTr="00CD1652">
        <w:tc>
          <w:tcPr>
            <w:tcW w:w="6374" w:type="dxa"/>
          </w:tcPr>
          <w:p w:rsidR="00CD1652" w:rsidRDefault="00CD1652" w:rsidP="00AA1ACF">
            <w:pPr>
              <w:rPr>
                <w:b/>
                <w:sz w:val="24"/>
              </w:rPr>
            </w:pPr>
            <w:r w:rsidRPr="00BE6C6D">
              <w:rPr>
                <w:sz w:val="20"/>
              </w:rPr>
              <w:t>Regional and Global</w:t>
            </w:r>
          </w:p>
        </w:tc>
        <w:tc>
          <w:tcPr>
            <w:tcW w:w="1423" w:type="dxa"/>
          </w:tcPr>
          <w:p w:rsidR="00CD1652" w:rsidRDefault="0025778C" w:rsidP="0025778C">
            <w:pPr>
              <w:jc w:val="center"/>
              <w:rPr>
                <w:b/>
                <w:sz w:val="24"/>
              </w:rPr>
            </w:pPr>
            <w:r w:rsidRPr="0025778C">
              <w:rPr>
                <w:sz w:val="20"/>
              </w:rPr>
              <w:t>8.3</w:t>
            </w:r>
          </w:p>
        </w:tc>
        <w:tc>
          <w:tcPr>
            <w:tcW w:w="1417" w:type="dxa"/>
          </w:tcPr>
          <w:p w:rsidR="00CD1652" w:rsidRDefault="000579F4" w:rsidP="000579F4">
            <w:pPr>
              <w:jc w:val="center"/>
              <w:rPr>
                <w:b/>
                <w:sz w:val="24"/>
              </w:rPr>
            </w:pPr>
            <w:r w:rsidRPr="000579F4">
              <w:rPr>
                <w:sz w:val="20"/>
              </w:rPr>
              <w:t>30</w:t>
            </w:r>
          </w:p>
        </w:tc>
      </w:tr>
      <w:tr w:rsidR="00CD1652" w:rsidTr="00CD1652">
        <w:tc>
          <w:tcPr>
            <w:tcW w:w="6374" w:type="dxa"/>
          </w:tcPr>
          <w:p w:rsidR="00CD1652" w:rsidRDefault="00CD1652" w:rsidP="00AA1ACF">
            <w:pPr>
              <w:rPr>
                <w:b/>
                <w:sz w:val="24"/>
              </w:rPr>
            </w:pPr>
            <w:r w:rsidRPr="00BE6C6D">
              <w:rPr>
                <w:sz w:val="20"/>
              </w:rPr>
              <w:t>Other Government Departments</w:t>
            </w:r>
          </w:p>
        </w:tc>
        <w:tc>
          <w:tcPr>
            <w:tcW w:w="1423" w:type="dxa"/>
          </w:tcPr>
          <w:p w:rsidR="00CD1652" w:rsidRDefault="00613C01" w:rsidP="00613C01">
            <w:pPr>
              <w:jc w:val="center"/>
              <w:rPr>
                <w:b/>
                <w:sz w:val="24"/>
              </w:rPr>
            </w:pPr>
            <w:r w:rsidRPr="00613C01">
              <w:rPr>
                <w:sz w:val="20"/>
              </w:rPr>
              <w:t>-</w:t>
            </w:r>
          </w:p>
        </w:tc>
        <w:tc>
          <w:tcPr>
            <w:tcW w:w="1417" w:type="dxa"/>
          </w:tcPr>
          <w:p w:rsidR="00CD1652" w:rsidRDefault="00182A0E" w:rsidP="00182A0E">
            <w:pPr>
              <w:jc w:val="center"/>
              <w:rPr>
                <w:b/>
                <w:sz w:val="24"/>
              </w:rPr>
            </w:pPr>
            <w:r w:rsidRPr="00182A0E">
              <w:rPr>
                <w:sz w:val="20"/>
              </w:rPr>
              <w:t>-</w:t>
            </w:r>
          </w:p>
        </w:tc>
      </w:tr>
      <w:tr w:rsidR="00CD1652" w:rsidTr="00CD1652">
        <w:tc>
          <w:tcPr>
            <w:tcW w:w="6374" w:type="dxa"/>
          </w:tcPr>
          <w:p w:rsidR="00CD1652" w:rsidRDefault="00CD1652" w:rsidP="00AA1ACF">
            <w:pPr>
              <w:rPr>
                <w:b/>
                <w:sz w:val="24"/>
              </w:rPr>
            </w:pPr>
            <w:r w:rsidRPr="00BE6C6D">
              <w:rPr>
                <w:sz w:val="20"/>
              </w:rPr>
              <w:t>Total ODA Expenditure</w:t>
            </w:r>
          </w:p>
        </w:tc>
        <w:tc>
          <w:tcPr>
            <w:tcW w:w="1423" w:type="dxa"/>
          </w:tcPr>
          <w:p w:rsidR="00CD1652" w:rsidRDefault="00613C01" w:rsidP="00613C01">
            <w:pPr>
              <w:jc w:val="center"/>
              <w:rPr>
                <w:b/>
                <w:sz w:val="24"/>
              </w:rPr>
            </w:pPr>
            <w:r w:rsidRPr="00613C01">
              <w:rPr>
                <w:sz w:val="20"/>
              </w:rPr>
              <w:t>27.6</w:t>
            </w:r>
          </w:p>
        </w:tc>
        <w:tc>
          <w:tcPr>
            <w:tcW w:w="1417" w:type="dxa"/>
          </w:tcPr>
          <w:p w:rsidR="00CD1652" w:rsidRDefault="00182A0E" w:rsidP="00182A0E">
            <w:pPr>
              <w:jc w:val="center"/>
              <w:rPr>
                <w:b/>
                <w:sz w:val="24"/>
              </w:rPr>
            </w:pPr>
            <w:r w:rsidRPr="00182A0E">
              <w:rPr>
                <w:sz w:val="20"/>
              </w:rPr>
              <w:t>100</w:t>
            </w:r>
          </w:p>
        </w:tc>
      </w:tr>
    </w:tbl>
    <w:p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2A4A0E" w:rsidRPr="00812509" w:rsidTr="00370469">
        <w:trPr>
          <w:cnfStyle w:val="000000010000" w:firstRow="0" w:lastRow="0" w:firstColumn="0" w:lastColumn="0" w:oddVBand="0" w:evenVBand="0" w:oddHBand="0" w:evenHBand="1" w:firstRowFirstColumn="0" w:firstRowLastColumn="0" w:lastRowFirstColumn="0" w:lastRowLastColumn="0"/>
          <w:trHeight w:val="538"/>
        </w:trPr>
        <w:tc>
          <w:tcPr>
            <w:tcW w:w="5807" w:type="dxa"/>
          </w:tcPr>
          <w:p w:rsidR="002A4A0E" w:rsidRPr="00812509" w:rsidRDefault="002A4A0E" w:rsidP="00292F9E">
            <w:pPr>
              <w:pStyle w:val="TableTextColumnHeading"/>
              <w:ind w:left="0"/>
            </w:pPr>
            <w:r w:rsidRPr="00812509">
              <w:rPr>
                <w:noProof/>
              </w:rPr>
              <w:drawing>
                <wp:anchor distT="0" distB="0" distL="114300" distR="114300" simplePos="0" relativeHeight="251674624"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rsidR="002A4A0E" w:rsidRPr="00812509" w:rsidRDefault="002A4A0E" w:rsidP="00E65105">
            <w:pPr>
              <w:pStyle w:val="TableTextColumnHeading"/>
            </w:pPr>
            <w:r w:rsidRPr="00812509">
              <w:t>Previous Rating</w:t>
            </w:r>
          </w:p>
        </w:tc>
        <w:tc>
          <w:tcPr>
            <w:tcW w:w="402" w:type="dxa"/>
          </w:tcPr>
          <w:p w:rsidR="002A4A0E" w:rsidRPr="00812509" w:rsidRDefault="002A4A0E" w:rsidP="00E65105">
            <w:pPr>
              <w:pStyle w:val="TableTextColumnHeading"/>
            </w:pPr>
          </w:p>
        </w:tc>
        <w:tc>
          <w:tcPr>
            <w:tcW w:w="1167" w:type="dxa"/>
          </w:tcPr>
          <w:p w:rsidR="002A4A0E" w:rsidRPr="00812509" w:rsidRDefault="002A4A0E" w:rsidP="00E65105">
            <w:pPr>
              <w:pStyle w:val="TableTextColumnHeading"/>
            </w:pPr>
            <w:r w:rsidRPr="00812509">
              <w:t>Current Rating</w:t>
            </w:r>
          </w:p>
        </w:tc>
        <w:tc>
          <w:tcPr>
            <w:tcW w:w="996" w:type="dxa"/>
          </w:tcPr>
          <w:p w:rsidR="002A4A0E" w:rsidRPr="002A4A0E" w:rsidRDefault="002A4A0E" w:rsidP="00E65105">
            <w:pPr>
              <w:pStyle w:val="TableTextColumnHeading"/>
            </w:pPr>
          </w:p>
        </w:tc>
      </w:tr>
      <w:tr w:rsidR="00292F9E" w:rsidRPr="00812509" w:rsidTr="00370469">
        <w:trPr>
          <w:gridAfter w:val="1"/>
          <w:cnfStyle w:val="000000010000" w:firstRow="0" w:lastRow="0" w:firstColumn="0" w:lastColumn="0" w:oddVBand="0" w:evenVBand="0" w:oddHBand="0" w:evenHBand="1" w:firstRowFirstColumn="0" w:firstRowLastColumn="0" w:lastRowFirstColumn="0" w:lastRowLastColumn="0"/>
          <w:wAfter w:w="996" w:type="dxa"/>
          <w:trHeight w:val="365"/>
        </w:trPr>
        <w:tc>
          <w:tcPr>
            <w:tcW w:w="5807" w:type="dxa"/>
          </w:tcPr>
          <w:p w:rsidR="00A15640" w:rsidRPr="00812509" w:rsidRDefault="00292F9E" w:rsidP="00292F9E">
            <w:pPr>
              <w:pStyle w:val="TableTextEntries"/>
              <w:rPr>
                <w:rFonts w:asciiTheme="minorHAnsi" w:hAnsiTheme="minorHAnsi"/>
              </w:rPr>
            </w:pPr>
            <w:r w:rsidRPr="00812509">
              <w:rPr>
                <w:rFonts w:asciiTheme="minorHAnsi" w:hAnsiTheme="minorHAnsi"/>
              </w:rPr>
              <w:t>Objective 1</w:t>
            </w:r>
            <w:r w:rsidR="00A15640">
              <w:rPr>
                <w:rFonts w:asciiTheme="minorHAnsi" w:hAnsiTheme="minorHAnsi"/>
              </w:rPr>
              <w:t xml:space="preserve"> – Expand economic opportunities for the poor</w:t>
            </w:r>
          </w:p>
        </w:tc>
        <w:tc>
          <w:tcPr>
            <w:tcW w:w="1098" w:type="dxa"/>
            <w:shd w:val="clear" w:color="auto" w:fill="72AF2F"/>
            <w:noWrap/>
          </w:tcPr>
          <w:p w:rsidR="00292F9E" w:rsidRPr="00812509" w:rsidRDefault="00292F9E" w:rsidP="00292F9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rsidR="00292F9E" w:rsidRPr="00812509" w:rsidRDefault="00292F9E" w:rsidP="00292F9E">
            <w:pPr>
              <w:pStyle w:val="TableTextEntries"/>
              <w:rPr>
                <w:rFonts w:asciiTheme="minorHAnsi" w:hAnsiTheme="minorHAnsi"/>
                <w:color w:val="FFFFFF" w:themeColor="background1"/>
              </w:rPr>
            </w:pPr>
          </w:p>
        </w:tc>
        <w:tc>
          <w:tcPr>
            <w:tcW w:w="1167" w:type="dxa"/>
            <w:shd w:val="clear" w:color="auto" w:fill="72AF2F"/>
          </w:tcPr>
          <w:p w:rsidR="00292F9E" w:rsidRPr="002A4A0E" w:rsidRDefault="00292F9E" w:rsidP="00292F9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370469" w:rsidRPr="00812509" w:rsidTr="00370469">
        <w:trPr>
          <w:cnfStyle w:val="000000010000" w:firstRow="0" w:lastRow="0" w:firstColumn="0" w:lastColumn="0" w:oddVBand="0" w:evenVBand="0" w:oddHBand="0" w:evenHBand="1" w:firstRowFirstColumn="0" w:firstRowLastColumn="0" w:lastRowFirstColumn="0" w:lastRowLastColumn="0"/>
        </w:trPr>
        <w:tc>
          <w:tcPr>
            <w:tcW w:w="5807" w:type="dxa"/>
          </w:tcPr>
          <w:p w:rsidR="00370469" w:rsidRPr="00812509" w:rsidRDefault="00370469" w:rsidP="00292F9E">
            <w:pPr>
              <w:pStyle w:val="TableTextEntries"/>
              <w:rPr>
                <w:rFonts w:asciiTheme="minorHAnsi" w:hAnsiTheme="minorHAnsi"/>
              </w:rPr>
            </w:pPr>
            <w:r w:rsidRPr="00812509">
              <w:rPr>
                <w:rFonts w:asciiTheme="minorHAnsi" w:hAnsiTheme="minorHAnsi"/>
              </w:rPr>
              <w:t>Objective 2</w:t>
            </w:r>
            <w:r w:rsidR="00A15640">
              <w:rPr>
                <w:rFonts w:asciiTheme="minorHAnsi" w:hAnsiTheme="minorHAnsi"/>
              </w:rPr>
              <w:t xml:space="preserve"> – Support government to be more responsive to the needs of citizens and the private sector</w:t>
            </w:r>
          </w:p>
        </w:tc>
        <w:tc>
          <w:tcPr>
            <w:tcW w:w="1098" w:type="dxa"/>
            <w:shd w:val="clear" w:color="auto" w:fill="7FB64D" w:themeFill="accent3" w:themeFillShade="BF"/>
            <w:noWrap/>
          </w:tcPr>
          <w:p w:rsidR="00370469" w:rsidRPr="00812509" w:rsidRDefault="00370469" w:rsidP="00292F9E">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02" w:type="dxa"/>
          </w:tcPr>
          <w:p w:rsidR="00370469" w:rsidRPr="00812509" w:rsidRDefault="00370469" w:rsidP="00292F9E">
            <w:pPr>
              <w:pStyle w:val="TableTextEntries"/>
              <w:jc w:val="center"/>
              <w:rPr>
                <w:rFonts w:asciiTheme="minorHAnsi" w:hAnsiTheme="minorHAnsi"/>
                <w:color w:val="FFFFFF" w:themeColor="background1"/>
              </w:rPr>
            </w:pPr>
          </w:p>
        </w:tc>
        <w:tc>
          <w:tcPr>
            <w:tcW w:w="1167" w:type="dxa"/>
            <w:shd w:val="clear" w:color="auto" w:fill="FFC000"/>
            <w:noWrap/>
          </w:tcPr>
          <w:p w:rsidR="00370469" w:rsidRPr="00812509" w:rsidRDefault="00370469" w:rsidP="00292F9E">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996" w:type="dxa"/>
            <w:shd w:val="clear" w:color="auto" w:fill="auto"/>
          </w:tcPr>
          <w:p w:rsidR="00370469" w:rsidRPr="002A4A0E" w:rsidRDefault="00370469" w:rsidP="00292F9E">
            <w:pPr>
              <w:pStyle w:val="TableTextEntries"/>
              <w:jc w:val="center"/>
              <w:rPr>
                <w:rFonts w:asciiTheme="minorHAnsi" w:hAnsiTheme="minorHAnsi"/>
                <w:color w:val="FFFFFF" w:themeColor="background1"/>
              </w:rPr>
            </w:pPr>
          </w:p>
        </w:tc>
      </w:tr>
      <w:tr w:rsidR="00370469" w:rsidRPr="00812509" w:rsidTr="00370469">
        <w:trPr>
          <w:cnfStyle w:val="000000010000" w:firstRow="0" w:lastRow="0" w:firstColumn="0" w:lastColumn="0" w:oddVBand="0" w:evenVBand="0" w:oddHBand="0" w:evenHBand="1" w:firstRowFirstColumn="0" w:firstRowLastColumn="0" w:lastRowFirstColumn="0" w:lastRowLastColumn="0"/>
        </w:trPr>
        <w:tc>
          <w:tcPr>
            <w:tcW w:w="5807" w:type="dxa"/>
          </w:tcPr>
          <w:p w:rsidR="00370469" w:rsidRPr="00812509" w:rsidRDefault="00370469" w:rsidP="00292F9E">
            <w:pPr>
              <w:pStyle w:val="TableTextEntries"/>
              <w:rPr>
                <w:rFonts w:asciiTheme="minorHAnsi" w:hAnsiTheme="minorHAnsi"/>
              </w:rPr>
            </w:pPr>
            <w:r w:rsidRPr="00812509">
              <w:rPr>
                <w:rFonts w:asciiTheme="minorHAnsi" w:hAnsiTheme="minorHAnsi"/>
              </w:rPr>
              <w:t>Objective 3</w:t>
            </w:r>
            <w:r w:rsidR="00A15640">
              <w:rPr>
                <w:rFonts w:asciiTheme="minorHAnsi" w:hAnsiTheme="minorHAnsi"/>
              </w:rPr>
              <w:t xml:space="preserve"> – Increase gender equality</w:t>
            </w:r>
          </w:p>
        </w:tc>
        <w:tc>
          <w:tcPr>
            <w:tcW w:w="1098" w:type="dxa"/>
            <w:shd w:val="clear" w:color="auto" w:fill="7FB64D" w:themeFill="accent3" w:themeFillShade="BF"/>
            <w:noWrap/>
          </w:tcPr>
          <w:p w:rsidR="00370469" w:rsidRPr="00370469" w:rsidRDefault="00370469" w:rsidP="00292F9E">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02" w:type="dxa"/>
          </w:tcPr>
          <w:p w:rsidR="00370469" w:rsidRPr="00812509" w:rsidRDefault="00370469" w:rsidP="00292F9E">
            <w:pPr>
              <w:pStyle w:val="TableTextEntries"/>
              <w:jc w:val="center"/>
              <w:rPr>
                <w:rFonts w:asciiTheme="minorHAnsi" w:hAnsiTheme="minorHAnsi"/>
                <w:color w:val="FFFFFF" w:themeColor="background1"/>
              </w:rPr>
            </w:pPr>
          </w:p>
        </w:tc>
        <w:tc>
          <w:tcPr>
            <w:tcW w:w="1167" w:type="dxa"/>
            <w:shd w:val="clear" w:color="auto" w:fill="7FB64D" w:themeFill="accent3" w:themeFillShade="BF"/>
            <w:noWrap/>
          </w:tcPr>
          <w:p w:rsidR="00370469" w:rsidRPr="00812509" w:rsidRDefault="00370469" w:rsidP="00292F9E">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996" w:type="dxa"/>
            <w:shd w:val="clear" w:color="auto" w:fill="auto"/>
          </w:tcPr>
          <w:p w:rsidR="00370469" w:rsidRPr="002A4A0E" w:rsidRDefault="00370469" w:rsidP="00292F9E">
            <w:pPr>
              <w:pStyle w:val="TableTextEntries"/>
              <w:jc w:val="center"/>
              <w:rPr>
                <w:rFonts w:asciiTheme="minorHAnsi" w:hAnsiTheme="minorHAnsi"/>
                <w:color w:val="FFFFFF" w:themeColor="background1"/>
              </w:rPr>
            </w:pPr>
          </w:p>
        </w:tc>
      </w:tr>
    </w:tbl>
    <w:p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t>
      </w:r>
      <w:proofErr w:type="gramStart"/>
      <w:r w:rsidRPr="00812509">
        <w:rPr>
          <w:rFonts w:asciiTheme="minorHAnsi" w:hAnsiTheme="minorHAnsi"/>
          <w:sz w:val="16"/>
        </w:rPr>
        <w:t>will be achieved</w:t>
      </w:r>
      <w:proofErr w:type="gramEnd"/>
      <w:r w:rsidRPr="00812509">
        <w:rPr>
          <w:rFonts w:asciiTheme="minorHAnsi" w:hAnsiTheme="minorHAnsi"/>
          <w:sz w:val="16"/>
        </w:rPr>
        <w:t>. Standard program management practices are sufficient.</w:t>
      </w:r>
    </w:p>
    <w:p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w:t>
      </w:r>
      <w:proofErr w:type="gramStart"/>
      <w:r w:rsidRPr="00812509">
        <w:rPr>
          <w:rFonts w:asciiTheme="minorHAnsi" w:hAnsiTheme="minorHAnsi"/>
          <w:sz w:val="16"/>
        </w:rPr>
        <w:t>be achieved</w:t>
      </w:r>
      <w:proofErr w:type="gramEnd"/>
      <w:r w:rsidRPr="00812509">
        <w:rPr>
          <w:rFonts w:asciiTheme="minorHAnsi" w:hAnsiTheme="minorHAnsi"/>
          <w:sz w:val="16"/>
        </w:rPr>
        <w:t xml:space="preserve">. Close performance monitoring </w:t>
      </w:r>
      <w:proofErr w:type="gramStart"/>
      <w:r w:rsidRPr="00812509">
        <w:rPr>
          <w:rFonts w:asciiTheme="minorHAnsi" w:hAnsiTheme="minorHAnsi"/>
          <w:sz w:val="16"/>
        </w:rPr>
        <w:t>is recommended</w:t>
      </w:r>
      <w:proofErr w:type="gramEnd"/>
      <w:r w:rsidRPr="00812509">
        <w:rPr>
          <w:rFonts w:asciiTheme="minorHAnsi" w:hAnsiTheme="minorHAnsi"/>
          <w:sz w:val="16"/>
        </w:rPr>
        <w:t>.</w:t>
      </w:r>
    </w:p>
    <w:p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w:t>
      </w:r>
      <w:proofErr w:type="gramStart"/>
      <w:r w:rsidRPr="00812509">
        <w:rPr>
          <w:rFonts w:asciiTheme="minorHAnsi" w:hAnsiTheme="minorHAnsi"/>
          <w:sz w:val="16"/>
        </w:rPr>
        <w:t>be met</w:t>
      </w:r>
      <w:proofErr w:type="gramEnd"/>
      <w:r w:rsidRPr="00812509">
        <w:rPr>
          <w:rFonts w:asciiTheme="minorHAnsi" w:hAnsiTheme="minorHAnsi"/>
          <w:sz w:val="16"/>
        </w:rPr>
        <w:t xml:space="preserve"> given available resources and priorities. Recasting the objective may be required.</w:t>
      </w:r>
    </w:p>
    <w:p w:rsidR="005B5769" w:rsidRPr="00C4114C" w:rsidRDefault="005B5769" w:rsidP="005B5769">
      <w:pPr>
        <w:pStyle w:val="Note"/>
      </w:pPr>
      <w:r w:rsidRPr="00C4114C">
        <w:t xml:space="preserve">  </w:t>
      </w:r>
    </w:p>
    <w:p w:rsidR="00CD1652" w:rsidRDefault="00CD1652" w:rsidP="00C523F9">
      <w:pPr>
        <w:rPr>
          <w:rFonts w:asciiTheme="majorHAnsi" w:eastAsiaTheme="majorEastAsia" w:hAnsiTheme="majorHAnsi" w:cstheme="majorBidi"/>
          <w:caps/>
          <w:sz w:val="38"/>
          <w:szCs w:val="26"/>
        </w:rPr>
      </w:pPr>
    </w:p>
    <w:p w:rsidR="00695730" w:rsidRDefault="00695730" w:rsidP="00C523F9">
      <w:pPr>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Objective 1</w:t>
      </w:r>
      <w:r w:rsidR="009E24B3">
        <w:rPr>
          <w:rFonts w:asciiTheme="majorHAnsi" w:eastAsiaTheme="majorEastAsia" w:hAnsiTheme="majorHAnsi" w:cstheme="majorBidi"/>
          <w:caps/>
          <w:sz w:val="38"/>
          <w:szCs w:val="26"/>
        </w:rPr>
        <w:t xml:space="preserve"> – EXPAND ECONOMIC OPPORTUNITIES FOR THE POOR</w:t>
      </w:r>
    </w:p>
    <w:p w:rsidR="00FA1BA6" w:rsidRPr="00D62D55" w:rsidRDefault="00FA1BA6" w:rsidP="00C523F9">
      <w:r w:rsidRPr="00695730">
        <w:rPr>
          <w:rFonts w:asciiTheme="majorHAnsi" w:eastAsiaTheme="majorEastAsia" w:hAnsiTheme="majorHAnsi" w:cstheme="majorBidi"/>
          <w:caps/>
          <w:noProof/>
          <w:sz w:val="38"/>
          <w:szCs w:val="26"/>
          <w:lang w:val="en-AU" w:eastAsia="en-AU"/>
        </w:rPr>
        <w:drawing>
          <wp:inline distT="0" distB="0" distL="0" distR="0" wp14:anchorId="246106A7" wp14:editId="3A0D6CBD">
            <wp:extent cx="1136739" cy="68580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8045" cy="686588"/>
                    </a:xfrm>
                    <a:prstGeom prst="rect">
                      <a:avLst/>
                    </a:prstGeom>
                  </pic:spPr>
                </pic:pic>
              </a:graphicData>
            </a:graphic>
          </wp:inline>
        </w:drawing>
      </w:r>
      <w:r>
        <w:t xml:space="preserve">   </w:t>
      </w:r>
      <w:r>
        <w:rPr>
          <w:noProof/>
          <w:lang w:val="en-AU" w:eastAsia="en-AU"/>
        </w:rPr>
        <w:t xml:space="preserve">  </w:t>
      </w:r>
      <w:r w:rsidRPr="00F75380">
        <w:rPr>
          <w:noProof/>
          <w:lang w:val="en-AU" w:eastAsia="en-AU"/>
        </w:rPr>
        <w:drawing>
          <wp:inline distT="0" distB="0" distL="0" distR="0" wp14:anchorId="3EEFEEBE" wp14:editId="15A6B203">
            <wp:extent cx="612000" cy="612000"/>
            <wp:effectExtent l="0" t="0" r="0" b="0"/>
            <wp:docPr id="49" name="Picture 49"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Pr>
          <w:noProof/>
          <w:lang w:val="en-AU" w:eastAsia="en-AU"/>
        </w:rPr>
        <w:t xml:space="preserve">  </w:t>
      </w:r>
      <w:r>
        <w:t xml:space="preserve"> </w:t>
      </w:r>
      <w:r>
        <w:rPr>
          <w:noProof/>
          <w:lang w:val="en-AU" w:eastAsia="en-AU"/>
        </w:rPr>
        <w:t xml:space="preserve">  </w:t>
      </w:r>
      <w:r>
        <w:rPr>
          <w:noProof/>
          <w:lang w:val="en-AU" w:eastAsia="en-AU"/>
        </w:rPr>
        <w:drawing>
          <wp:inline distT="0" distB="0" distL="0" distR="0" wp14:anchorId="7CA978BD" wp14:editId="0C89F08F">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drawing>
          <wp:inline distT="0" distB="0" distL="0" distR="0" wp14:anchorId="3707DF67" wp14:editId="441242BE">
            <wp:extent cx="601980" cy="6019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2470" cy="602470"/>
                    </a:xfrm>
                    <a:prstGeom prst="rect">
                      <a:avLst/>
                    </a:prstGeom>
                  </pic:spPr>
                </pic:pic>
              </a:graphicData>
            </a:graphic>
          </wp:inline>
        </w:drawing>
      </w:r>
      <w:r>
        <w:t xml:space="preserve">   </w:t>
      </w:r>
      <w:r>
        <w:rPr>
          <w:noProof/>
          <w:lang w:val="en-AU" w:eastAsia="en-AU"/>
        </w:rPr>
        <w:t xml:space="preserve">  </w:t>
      </w:r>
      <w:r>
        <w:rPr>
          <w:noProof/>
          <w:lang w:val="en-AU" w:eastAsia="en-AU"/>
        </w:rPr>
        <w:drawing>
          <wp:inline distT="0" distB="0" distL="0" distR="0" wp14:anchorId="05225861" wp14:editId="11A52FD9">
            <wp:extent cx="609600" cy="609600"/>
            <wp:effectExtent l="0" t="0" r="0" b="0"/>
            <wp:docPr id="55" name="Picture 55"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lang w:val="en-AU" w:eastAsia="en-AU"/>
        </w:rPr>
        <w:t xml:space="preserve">     </w:t>
      </w:r>
      <w:r>
        <w:rPr>
          <w:noProof/>
          <w:lang w:val="en-AU" w:eastAsia="en-AU"/>
        </w:rPr>
        <w:drawing>
          <wp:inline distT="0" distB="0" distL="0" distR="0" wp14:anchorId="0B974214" wp14:editId="44CE9E94">
            <wp:extent cx="617220" cy="6172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7723" cy="617723"/>
                    </a:xfrm>
                    <a:prstGeom prst="rect">
                      <a:avLst/>
                    </a:prstGeom>
                  </pic:spPr>
                </pic:pic>
              </a:graphicData>
            </a:graphic>
          </wp:inline>
        </w:drawing>
      </w:r>
      <w:r>
        <w:t xml:space="preserve"> </w:t>
      </w:r>
      <w:r>
        <w:rPr>
          <w:noProof/>
          <w:lang w:val="en-AU" w:eastAsia="en-AU"/>
        </w:rPr>
        <w:t xml:space="preserve">    </w:t>
      </w:r>
      <w:r>
        <w:t xml:space="preserve"> </w:t>
      </w:r>
      <w:r>
        <w:rPr>
          <w:noProof/>
          <w:lang w:val="en-AU" w:eastAsia="en-AU"/>
        </w:rPr>
        <w:t xml:space="preserve">     </w:t>
      </w:r>
    </w:p>
    <w:p w:rsidR="00B21554" w:rsidRDefault="00B21554" w:rsidP="00015316"/>
    <w:p w:rsidR="002A229A" w:rsidRDefault="005A0666" w:rsidP="00015316">
      <w:r>
        <w:t xml:space="preserve">This objective has </w:t>
      </w:r>
      <w:r w:rsidR="00B21554">
        <w:t>received a green rating</w:t>
      </w:r>
      <w:r w:rsidR="00C56526">
        <w:t xml:space="preserve">, </w:t>
      </w:r>
      <w:r w:rsidR="00B21554">
        <w:t xml:space="preserve">as it did last year, </w:t>
      </w:r>
      <w:r w:rsidR="00C56526">
        <w:t>with progress</w:t>
      </w:r>
      <w:r w:rsidR="00B21554">
        <w:t xml:space="preserve"> remaining</w:t>
      </w:r>
      <w:r w:rsidR="00C56526">
        <w:t xml:space="preserve"> </w:t>
      </w:r>
      <w:r w:rsidR="007F55DC">
        <w:t xml:space="preserve">in line with expectations. </w:t>
      </w:r>
      <w:r w:rsidR="007F55DC" w:rsidRPr="00CC4888">
        <w:rPr>
          <w:i/>
        </w:rPr>
        <w:t>Economic Op</w:t>
      </w:r>
      <w:r w:rsidR="00F603A1" w:rsidRPr="00CC4888">
        <w:rPr>
          <w:i/>
        </w:rPr>
        <w:t xml:space="preserve">portunities for the Poor </w:t>
      </w:r>
      <w:r w:rsidR="00F603A1" w:rsidRPr="00C54745">
        <w:rPr>
          <w:i/>
        </w:rPr>
        <w:t>(EOP)</w:t>
      </w:r>
      <w:r w:rsidR="00C54745">
        <w:t xml:space="preserve"> </w:t>
      </w:r>
      <w:r w:rsidR="008802D6">
        <w:t xml:space="preserve">is the cornerstone investment aligned with this objective. </w:t>
      </w:r>
      <w:proofErr w:type="gramStart"/>
      <w:r w:rsidR="00C56526">
        <w:t>It</w:t>
      </w:r>
      <w:r>
        <w:t xml:space="preserve"> includes </w:t>
      </w:r>
      <w:r w:rsidR="008802D6">
        <w:t xml:space="preserve">three main activities: the </w:t>
      </w:r>
      <w:r w:rsidR="008802D6" w:rsidRPr="00CC4888">
        <w:rPr>
          <w:i/>
        </w:rPr>
        <w:t>Market Development Facility</w:t>
      </w:r>
      <w:r w:rsidR="008802D6">
        <w:t xml:space="preserve"> </w:t>
      </w:r>
      <w:r w:rsidR="008802D6" w:rsidRPr="00CC4888">
        <w:rPr>
          <w:i/>
        </w:rPr>
        <w:t>(MDF)</w:t>
      </w:r>
      <w:r w:rsidR="00790AFB">
        <w:t xml:space="preserve">, </w:t>
      </w:r>
      <w:r w:rsidR="00C56526">
        <w:t>which forms</w:t>
      </w:r>
      <w:r w:rsidR="00790AFB">
        <w:t xml:space="preserve"> business advisory partnerships with small to medium sized businesses in tourism and related sectors; the </w:t>
      </w:r>
      <w:r w:rsidR="00790AFB" w:rsidRPr="00CC4888">
        <w:rPr>
          <w:i/>
        </w:rPr>
        <w:t>Skills for Inclusive Growth</w:t>
      </w:r>
      <w:r w:rsidR="00790AFB">
        <w:t xml:space="preserve"> program </w:t>
      </w:r>
      <w:r w:rsidR="00790AFB" w:rsidRPr="00CC4888">
        <w:rPr>
          <w:i/>
        </w:rPr>
        <w:t>(S4IG)</w:t>
      </w:r>
      <w:r w:rsidR="003E0AE3" w:rsidRPr="00CC4888">
        <w:rPr>
          <w:i/>
        </w:rPr>
        <w:t>,</w:t>
      </w:r>
      <w:r w:rsidR="003E0AE3">
        <w:t xml:space="preserve"> building</w:t>
      </w:r>
      <w:r w:rsidR="00167E04">
        <w:t xml:space="preserve"> tourism industry skills for poor men and women in </w:t>
      </w:r>
      <w:r w:rsidR="002F3464">
        <w:t xml:space="preserve">Eastern Province and </w:t>
      </w:r>
      <w:proofErr w:type="spellStart"/>
      <w:r w:rsidR="002F3464">
        <w:t>Polonnaruwa</w:t>
      </w:r>
      <w:proofErr w:type="spellEnd"/>
      <w:r w:rsidR="002F3464">
        <w:t xml:space="preserve"> district</w:t>
      </w:r>
      <w:r w:rsidR="00167E04">
        <w:t xml:space="preserve">; and the </w:t>
      </w:r>
      <w:r w:rsidR="00167E04" w:rsidRPr="00CC4888">
        <w:rPr>
          <w:i/>
        </w:rPr>
        <w:t>Local Empowerment through Economic Development (LEED)</w:t>
      </w:r>
      <w:r w:rsidR="00167E04">
        <w:t xml:space="preserve"> project, linking fisheries and</w:t>
      </w:r>
      <w:r w:rsidR="00F603A1">
        <w:t xml:space="preserve"> agricultural cooperatives </w:t>
      </w:r>
      <w:r w:rsidR="00B21554">
        <w:t>in Sri Lanka</w:t>
      </w:r>
      <w:r w:rsidR="00FD6DDF">
        <w:t>’s Northern Province</w:t>
      </w:r>
      <w:r w:rsidR="00B21554">
        <w:t xml:space="preserve"> </w:t>
      </w:r>
      <w:r w:rsidR="00F603A1">
        <w:t xml:space="preserve">with </w:t>
      </w:r>
      <w:r w:rsidR="00167E04">
        <w:t>domestic and export supply chains.</w:t>
      </w:r>
      <w:proofErr w:type="gramEnd"/>
      <w:r w:rsidR="00167E04">
        <w:t xml:space="preserve"> </w:t>
      </w:r>
    </w:p>
    <w:p w:rsidR="00A66865" w:rsidRDefault="00FA7D10" w:rsidP="00015316">
      <w:r w:rsidRPr="00CC4888">
        <w:rPr>
          <w:i/>
        </w:rPr>
        <w:t>MDF</w:t>
      </w:r>
      <w:r>
        <w:t xml:space="preserve"> </w:t>
      </w:r>
      <w:r w:rsidR="00C56526">
        <w:t>overcame</w:t>
      </w:r>
      <w:r>
        <w:t xml:space="preserve"> </w:t>
      </w:r>
      <w:r w:rsidR="00A66865">
        <w:t xml:space="preserve">initial </w:t>
      </w:r>
      <w:r w:rsidR="00FF45B0">
        <w:t xml:space="preserve">mobilisation </w:t>
      </w:r>
      <w:r w:rsidR="00A66865">
        <w:t xml:space="preserve">challenges </w:t>
      </w:r>
      <w:r w:rsidR="00C56526">
        <w:t>to meet and in some cases exceed</w:t>
      </w:r>
      <w:r w:rsidR="00A53E5B">
        <w:t xml:space="preserve"> </w:t>
      </w:r>
      <w:r w:rsidR="00756C1E">
        <w:t>expectations</w:t>
      </w:r>
      <w:r w:rsidR="00A66865">
        <w:t xml:space="preserve">. </w:t>
      </w:r>
      <w:r w:rsidR="00282E39">
        <w:t xml:space="preserve">The number of people benefitting from </w:t>
      </w:r>
      <w:r w:rsidR="00703438">
        <w:t xml:space="preserve">new jobs and </w:t>
      </w:r>
      <w:r w:rsidR="00756C1E">
        <w:t xml:space="preserve">higher </w:t>
      </w:r>
      <w:r w:rsidR="00282E39">
        <w:t xml:space="preserve">incomes </w:t>
      </w:r>
      <w:r w:rsidR="00703438">
        <w:t xml:space="preserve">has increased </w:t>
      </w:r>
      <w:r w:rsidR="00282E39">
        <w:t xml:space="preserve">compared with last year. </w:t>
      </w:r>
      <w:r w:rsidR="00A66865">
        <w:t xml:space="preserve">Partnerships </w:t>
      </w:r>
      <w:r w:rsidR="00A66865">
        <w:lastRenderedPageBreak/>
        <w:t xml:space="preserve">are progressing well, </w:t>
      </w:r>
      <w:r w:rsidR="0096734F">
        <w:t>with 145 jobs created, and 5,500 direct and indirect beneficiaries</w:t>
      </w:r>
      <w:r w:rsidR="003769E0">
        <w:t xml:space="preserve"> (January – November 2017)</w:t>
      </w:r>
      <w:r w:rsidR="0096734F">
        <w:t xml:space="preserve">. The jobs are full time, </w:t>
      </w:r>
      <w:r w:rsidR="00FF45B0">
        <w:t>long term and better paid</w:t>
      </w:r>
      <w:r w:rsidR="00071175">
        <w:t xml:space="preserve"> than average. </w:t>
      </w:r>
      <w:proofErr w:type="gramStart"/>
      <w:r w:rsidR="00FF45B0">
        <w:t xml:space="preserve">Most have been taken up by women, particularly in former conflict-affected areas in Sri Lanka’s north and east, </w:t>
      </w:r>
      <w:r w:rsidR="0096734F">
        <w:t>where there are few opportunities fo</w:t>
      </w:r>
      <w:r w:rsidR="00A53E5B">
        <w:t>r formal employment</w:t>
      </w:r>
      <w:proofErr w:type="gramEnd"/>
      <w:r w:rsidR="00A53E5B">
        <w:t>. The partnerships have led to additional income of USD 672,000 and leveraged private investment worth USD 781,000.</w:t>
      </w:r>
      <w:r w:rsidR="00292B3B">
        <w:rPr>
          <w:rStyle w:val="FootnoteReference"/>
        </w:rPr>
        <w:footnoteReference w:id="1"/>
      </w:r>
      <w:r w:rsidR="00A53E5B">
        <w:t xml:space="preserve"> </w:t>
      </w:r>
      <w:r w:rsidR="0098134E">
        <w:t xml:space="preserve">These match or exceed </w:t>
      </w:r>
      <w:r w:rsidR="005920D3">
        <w:t>expectations</w:t>
      </w:r>
      <w:r w:rsidR="0098134E">
        <w:t xml:space="preserve">. </w:t>
      </w:r>
      <w:r w:rsidR="00CC4888" w:rsidRPr="00CC4888">
        <w:rPr>
          <w:i/>
        </w:rPr>
        <w:t>MDF</w:t>
      </w:r>
      <w:r w:rsidR="00373848">
        <w:t xml:space="preserve"> in Sri Lanka</w:t>
      </w:r>
      <w:r w:rsidR="000424CA">
        <w:t xml:space="preserve"> has </w:t>
      </w:r>
      <w:r w:rsidR="00012EDD">
        <w:t>taken steps to tighten its</w:t>
      </w:r>
      <w:r w:rsidR="00167F25">
        <w:t xml:space="preserve"> </w:t>
      </w:r>
      <w:r w:rsidR="000424CA">
        <w:t>strategic focus</w:t>
      </w:r>
      <w:r w:rsidR="00CC7902">
        <w:t xml:space="preserve">, </w:t>
      </w:r>
      <w:r w:rsidR="00373848">
        <w:t>revising its strategy</w:t>
      </w:r>
      <w:r w:rsidR="00CC7902">
        <w:t xml:space="preserve"> </w:t>
      </w:r>
      <w:r w:rsidR="00012EDD">
        <w:t>to better</w:t>
      </w:r>
      <w:r w:rsidR="00C56526">
        <w:t xml:space="preserve"> </w:t>
      </w:r>
      <w:r w:rsidR="00CC7902">
        <w:t>align</w:t>
      </w:r>
      <w:r w:rsidR="00167F25">
        <w:t xml:space="preserve"> </w:t>
      </w:r>
      <w:r w:rsidR="00CC7902">
        <w:t xml:space="preserve">with DFAT’s objectives and Sri Lanka’s national tourism plan. </w:t>
      </w:r>
    </w:p>
    <w:p w:rsidR="00AC38AB" w:rsidRDefault="0071493A" w:rsidP="00015316">
      <w:r>
        <w:t xml:space="preserve">After initial </w:t>
      </w:r>
      <w:r w:rsidR="00AC38AB">
        <w:t xml:space="preserve">delays, </w:t>
      </w:r>
      <w:r w:rsidR="00AC38AB" w:rsidRPr="00CC4888">
        <w:rPr>
          <w:i/>
        </w:rPr>
        <w:t>S4IG</w:t>
      </w:r>
      <w:r w:rsidR="00AC38AB">
        <w:t xml:space="preserve"> is on track</w:t>
      </w:r>
      <w:r w:rsidR="00012EDD">
        <w:t>. It has</w:t>
      </w:r>
      <w:r w:rsidR="00AC38AB">
        <w:t xml:space="preserve"> complet</w:t>
      </w:r>
      <w:r w:rsidR="00012EDD">
        <w:t>ed</w:t>
      </w:r>
      <w:r w:rsidR="00AC38AB">
        <w:t xml:space="preserve"> a comprehensive analysis of the tourism and hospitality sector</w:t>
      </w:r>
      <w:r w:rsidR="00790D1D">
        <w:t>s</w:t>
      </w:r>
      <w:r w:rsidR="00AC38AB">
        <w:t xml:space="preserve"> in target districts</w:t>
      </w:r>
      <w:r w:rsidR="001E58BE">
        <w:t xml:space="preserve"> in Eastern and North Central Provinces</w:t>
      </w:r>
      <w:r w:rsidR="00AC38AB">
        <w:t xml:space="preserve">, providing a sound evidence base for project </w:t>
      </w:r>
      <w:r w:rsidR="00171937">
        <w:t>activities</w:t>
      </w:r>
      <w:r w:rsidR="001E58BE">
        <w:t xml:space="preserve"> in sectors where data and analysis is sparse</w:t>
      </w:r>
      <w:r w:rsidR="00171937">
        <w:t xml:space="preserve">. </w:t>
      </w:r>
      <w:r w:rsidR="001E58BE">
        <w:t>Strong working r</w:t>
      </w:r>
      <w:r w:rsidR="00171937">
        <w:t>elationships have been established with governments and industry at na</w:t>
      </w:r>
      <w:r w:rsidR="00C869CC">
        <w:t xml:space="preserve">tional and sub-national </w:t>
      </w:r>
      <w:proofErr w:type="gramStart"/>
      <w:r w:rsidR="00C869CC">
        <w:t>levels,</w:t>
      </w:r>
      <w:proofErr w:type="gramEnd"/>
      <w:r w:rsidR="00C869CC">
        <w:t xml:space="preserve"> </w:t>
      </w:r>
      <w:r w:rsidR="00171937">
        <w:t>and the first batch of six skills partnerships is being implemented.</w:t>
      </w:r>
      <w:r w:rsidR="001E58BE">
        <w:t xml:space="preserve"> Gender and disability studies at the design phase have resulted in partnerships with a clear focus on inclusion. More than half the beneficiaries are women and one of the partnerships models disability inclusion.</w:t>
      </w:r>
      <w:r w:rsidR="00292B3B">
        <w:rPr>
          <w:rStyle w:val="FootnoteReference"/>
        </w:rPr>
        <w:footnoteReference w:id="2"/>
      </w:r>
      <w:r w:rsidR="001E58BE">
        <w:t xml:space="preserve">  </w:t>
      </w:r>
    </w:p>
    <w:p w:rsidR="003E0AE3" w:rsidRDefault="00790D1D" w:rsidP="00015316">
      <w:r w:rsidRPr="00CC4888">
        <w:rPr>
          <w:i/>
        </w:rPr>
        <w:t>LEED</w:t>
      </w:r>
      <w:r>
        <w:t>, t</w:t>
      </w:r>
      <w:r w:rsidR="00A66865">
        <w:t xml:space="preserve">he longest </w:t>
      </w:r>
      <w:r w:rsidR="007E4F70">
        <w:t xml:space="preserve">running of these activities, </w:t>
      </w:r>
      <w:r w:rsidR="003E0AE3">
        <w:t xml:space="preserve">concluded </w:t>
      </w:r>
      <w:r w:rsidR="00A66865">
        <w:t>in June 20</w:t>
      </w:r>
      <w:r w:rsidR="00171937">
        <w:t>17, reaching expected out</w:t>
      </w:r>
      <w:r w:rsidR="00C56526">
        <w:t xml:space="preserve">comes. A </w:t>
      </w:r>
      <w:r w:rsidR="00012EDD">
        <w:t xml:space="preserve">subsequent </w:t>
      </w:r>
      <w:r w:rsidR="009C557D">
        <w:t>one-year</w:t>
      </w:r>
      <w:r w:rsidR="00C56526">
        <w:t xml:space="preserve"> extension </w:t>
      </w:r>
      <w:r>
        <w:t xml:space="preserve">meant </w:t>
      </w:r>
      <w:r w:rsidR="00171937">
        <w:t xml:space="preserve">cooperatives and producer groups </w:t>
      </w:r>
      <w:r w:rsidR="00BF4F1D">
        <w:t xml:space="preserve">in Northern Province </w:t>
      </w:r>
      <w:r w:rsidR="00012EDD">
        <w:t>were able to consolidate their ability to</w:t>
      </w:r>
      <w:r w:rsidR="00171937">
        <w:t xml:space="preserve"> </w:t>
      </w:r>
      <w:r w:rsidR="00BF4F1D">
        <w:t>operat</w:t>
      </w:r>
      <w:r w:rsidR="00012EDD">
        <w:t>e</w:t>
      </w:r>
      <w:r w:rsidR="00BF4F1D">
        <w:t xml:space="preserve"> </w:t>
      </w:r>
      <w:r w:rsidR="00171937">
        <w:t xml:space="preserve">independently, working with </w:t>
      </w:r>
      <w:r w:rsidR="00F2574E">
        <w:t>large buyers and ex</w:t>
      </w:r>
      <w:r w:rsidR="00FA7D10">
        <w:t xml:space="preserve">porters without additional </w:t>
      </w:r>
      <w:r w:rsidR="00FF5F30">
        <w:t>support.</w:t>
      </w:r>
      <w:r w:rsidR="0083751B">
        <w:rPr>
          <w:rStyle w:val="FootnoteReference"/>
        </w:rPr>
        <w:footnoteReference w:id="3"/>
      </w:r>
      <w:r w:rsidR="00FF5F30">
        <w:t xml:space="preserve"> B</w:t>
      </w:r>
      <w:r w:rsidR="00FA7D10">
        <w:t xml:space="preserve">anks </w:t>
      </w:r>
      <w:r w:rsidR="002520CC">
        <w:t xml:space="preserve">have </w:t>
      </w:r>
      <w:r w:rsidR="005920D3">
        <w:t xml:space="preserve">provided </w:t>
      </w:r>
      <w:r w:rsidR="00FA7D10">
        <w:t xml:space="preserve">members </w:t>
      </w:r>
      <w:r w:rsidR="00BF4F1D">
        <w:t xml:space="preserve">of cooperatives </w:t>
      </w:r>
      <w:r w:rsidR="002520CC">
        <w:t xml:space="preserve">commercial </w:t>
      </w:r>
      <w:r w:rsidR="00FF5F30">
        <w:t>loans without requiring collateral</w:t>
      </w:r>
      <w:r w:rsidR="00BF4F1D">
        <w:t xml:space="preserve">. </w:t>
      </w:r>
      <w:r w:rsidR="005920D3">
        <w:t>In the past, t</w:t>
      </w:r>
      <w:r w:rsidR="00BF4F1D">
        <w:t xml:space="preserve">his requirement for collateral had been a barrier, </w:t>
      </w:r>
      <w:r w:rsidR="005920D3">
        <w:t xml:space="preserve">particularly </w:t>
      </w:r>
      <w:r w:rsidR="00BF4F1D">
        <w:t xml:space="preserve">in poor rural areas, and especially for women.  </w:t>
      </w:r>
      <w:r w:rsidR="00FF5F30">
        <w:t xml:space="preserve">A </w:t>
      </w:r>
      <w:r w:rsidR="002F3464">
        <w:t>new</w:t>
      </w:r>
      <w:r w:rsidR="00FF5F30">
        <w:t xml:space="preserve"> phase of </w:t>
      </w:r>
      <w:r w:rsidR="00FF5F30" w:rsidRPr="00CC4888">
        <w:rPr>
          <w:i/>
        </w:rPr>
        <w:t>LEED</w:t>
      </w:r>
      <w:r w:rsidR="00FF5F30">
        <w:t xml:space="preserve"> </w:t>
      </w:r>
      <w:proofErr w:type="gramStart"/>
      <w:r w:rsidR="00FF5F30">
        <w:t xml:space="preserve">is </w:t>
      </w:r>
      <w:r w:rsidR="00BF4F1D">
        <w:t xml:space="preserve">now </w:t>
      </w:r>
      <w:r w:rsidR="00FF5F30">
        <w:t>being negotiated</w:t>
      </w:r>
      <w:proofErr w:type="gramEnd"/>
      <w:r w:rsidR="00FF5F30">
        <w:t xml:space="preserve">, </w:t>
      </w:r>
      <w:r w:rsidR="002520CC">
        <w:t>with the aim of moving</w:t>
      </w:r>
      <w:r w:rsidR="00FF5F30">
        <w:t xml:space="preserve"> into new geographic areas and value chains.</w:t>
      </w:r>
    </w:p>
    <w:p w:rsidR="00CC2224" w:rsidRDefault="00CC2224" w:rsidP="00015316"/>
    <w:p w:rsidR="0012728C" w:rsidRPr="00FA1BA6" w:rsidRDefault="00ED1799" w:rsidP="00ED1799">
      <w:pPr>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Objective</w:t>
      </w:r>
      <w:r>
        <w:rPr>
          <w:rFonts w:asciiTheme="majorHAnsi" w:eastAsiaTheme="majorEastAsia" w:hAnsiTheme="majorHAnsi" w:cstheme="majorBidi"/>
          <w:caps/>
          <w:sz w:val="38"/>
          <w:szCs w:val="26"/>
        </w:rPr>
        <w:t xml:space="preserve"> </w:t>
      </w:r>
      <w:proofErr w:type="gramStart"/>
      <w:r>
        <w:rPr>
          <w:rFonts w:asciiTheme="majorHAnsi" w:eastAsiaTheme="majorEastAsia" w:hAnsiTheme="majorHAnsi" w:cstheme="majorBidi"/>
          <w:caps/>
          <w:sz w:val="38"/>
          <w:szCs w:val="26"/>
        </w:rPr>
        <w:t>2</w:t>
      </w:r>
      <w:proofErr w:type="gramEnd"/>
      <w:r>
        <w:rPr>
          <w:rFonts w:asciiTheme="majorHAnsi" w:eastAsiaTheme="majorEastAsia" w:hAnsiTheme="majorHAnsi" w:cstheme="majorBidi"/>
          <w:caps/>
          <w:sz w:val="38"/>
          <w:szCs w:val="26"/>
        </w:rPr>
        <w:t xml:space="preserve"> – support government to be more responsive to the needs of citizens and the private sector</w:t>
      </w:r>
    </w:p>
    <w:p w:rsidR="00B717A8" w:rsidRDefault="0012728C" w:rsidP="00015316">
      <w:r>
        <w:t xml:space="preserve"> </w:t>
      </w:r>
      <w:r w:rsidR="0071493A" w:rsidRPr="00695730">
        <w:rPr>
          <w:rFonts w:asciiTheme="majorHAnsi" w:eastAsiaTheme="majorEastAsia" w:hAnsiTheme="majorHAnsi" w:cstheme="majorBidi"/>
          <w:caps/>
          <w:noProof/>
          <w:sz w:val="38"/>
          <w:szCs w:val="26"/>
          <w:lang w:val="en-AU" w:eastAsia="en-AU"/>
        </w:rPr>
        <w:drawing>
          <wp:inline distT="0" distB="0" distL="0" distR="0" wp14:anchorId="14423130" wp14:editId="4A65CDC9">
            <wp:extent cx="1137600" cy="720000"/>
            <wp:effectExtent l="0" t="0" r="5715"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sidR="00FA1BA6">
        <w:t xml:space="preserve">  </w:t>
      </w:r>
      <w:r w:rsidR="005D12B5">
        <w:t xml:space="preserve">  </w:t>
      </w:r>
      <w:r>
        <w:rPr>
          <w:noProof/>
          <w:lang w:val="en-AU" w:eastAsia="en-AU"/>
        </w:rPr>
        <w:t xml:space="preserve">  </w:t>
      </w:r>
      <w:r w:rsidRPr="00F75380">
        <w:rPr>
          <w:noProof/>
          <w:lang w:val="en-AU" w:eastAsia="en-AU"/>
        </w:rPr>
        <w:drawing>
          <wp:inline distT="0" distB="0" distL="0" distR="0" wp14:anchorId="45B529A0" wp14:editId="520AC819">
            <wp:extent cx="612000" cy="612000"/>
            <wp:effectExtent l="0" t="0" r="0" b="0"/>
            <wp:docPr id="43" name="Picture 43"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sidR="005D12B5">
        <w:rPr>
          <w:noProof/>
          <w:lang w:val="en-AU" w:eastAsia="en-AU"/>
        </w:rPr>
        <w:t xml:space="preserve"> </w:t>
      </w:r>
      <w:r w:rsidR="00FA1BA6">
        <w:rPr>
          <w:noProof/>
          <w:lang w:val="en-AU" w:eastAsia="en-AU"/>
        </w:rPr>
        <w:t xml:space="preserve">  </w:t>
      </w:r>
      <w:r>
        <w:t xml:space="preserve"> </w:t>
      </w:r>
      <w:r>
        <w:rPr>
          <w:noProof/>
          <w:lang w:val="en-AU" w:eastAsia="en-AU"/>
        </w:rPr>
        <w:t xml:space="preserve">   </w:t>
      </w:r>
      <w:r>
        <w:rPr>
          <w:noProof/>
          <w:lang w:val="en-AU" w:eastAsia="en-AU"/>
        </w:rPr>
        <w:drawing>
          <wp:inline distT="0" distB="0" distL="0" distR="0" wp14:anchorId="7AAE1578" wp14:editId="51935A2D">
            <wp:extent cx="601980" cy="601980"/>
            <wp:effectExtent l="0" t="0" r="762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2470" cy="602470"/>
                    </a:xfrm>
                    <a:prstGeom prst="rect">
                      <a:avLst/>
                    </a:prstGeom>
                  </pic:spPr>
                </pic:pic>
              </a:graphicData>
            </a:graphic>
          </wp:inline>
        </w:drawing>
      </w:r>
      <w:r w:rsidR="005D12B5">
        <w:rPr>
          <w:noProof/>
          <w:lang w:val="en-AU" w:eastAsia="en-AU"/>
        </w:rPr>
        <w:t xml:space="preserve"> </w:t>
      </w:r>
      <w:r>
        <w:t xml:space="preserve"> </w:t>
      </w:r>
      <w:r w:rsidR="00FA1BA6">
        <w:t xml:space="preserve">  </w:t>
      </w:r>
      <w:r>
        <w:rPr>
          <w:noProof/>
          <w:lang w:val="en-AU" w:eastAsia="en-AU"/>
        </w:rPr>
        <w:t xml:space="preserve">   </w:t>
      </w:r>
      <w:r>
        <w:rPr>
          <w:noProof/>
          <w:lang w:val="en-AU" w:eastAsia="en-AU"/>
        </w:rPr>
        <w:drawing>
          <wp:inline distT="0" distB="0" distL="0" distR="0" wp14:anchorId="1F0FA95F" wp14:editId="20695349">
            <wp:extent cx="617220" cy="6172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7723" cy="617723"/>
                    </a:xfrm>
                    <a:prstGeom prst="rect">
                      <a:avLst/>
                    </a:prstGeom>
                  </pic:spPr>
                </pic:pic>
              </a:graphicData>
            </a:graphic>
          </wp:inline>
        </w:drawing>
      </w:r>
      <w:r w:rsidR="005D12B5">
        <w:rPr>
          <w:noProof/>
          <w:lang w:val="en-AU" w:eastAsia="en-AU"/>
        </w:rPr>
        <w:t xml:space="preserve"> </w:t>
      </w:r>
      <w:r>
        <w:t xml:space="preserve"> </w:t>
      </w:r>
      <w:r>
        <w:rPr>
          <w:noProof/>
          <w:lang w:val="en-AU" w:eastAsia="en-AU"/>
        </w:rPr>
        <w:t xml:space="preserve"> </w:t>
      </w:r>
      <w:r w:rsidR="00FA1BA6">
        <w:rPr>
          <w:noProof/>
          <w:lang w:val="en-AU" w:eastAsia="en-AU"/>
        </w:rPr>
        <w:t xml:space="preserve">  </w:t>
      </w:r>
      <w:r>
        <w:rPr>
          <w:noProof/>
          <w:lang w:val="en-AU" w:eastAsia="en-AU"/>
        </w:rPr>
        <w:t xml:space="preserve"> </w:t>
      </w:r>
      <w:r>
        <w:rPr>
          <w:noProof/>
          <w:lang w:val="en-AU" w:eastAsia="en-AU"/>
        </w:rPr>
        <w:drawing>
          <wp:inline distT="0" distB="0" distL="0" distR="0" wp14:anchorId="2BDB70A4" wp14:editId="1C7D0A8A">
            <wp:extent cx="608400" cy="612000"/>
            <wp:effectExtent l="0" t="0" r="127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r>
        <w:t xml:space="preserve"> </w:t>
      </w:r>
      <w:r w:rsidR="005D12B5">
        <w:t xml:space="preserve"> </w:t>
      </w:r>
      <w:r>
        <w:rPr>
          <w:noProof/>
          <w:lang w:val="en-AU" w:eastAsia="en-AU"/>
        </w:rPr>
        <w:t xml:space="preserve"> </w:t>
      </w:r>
      <w:r w:rsidR="00FA1BA6">
        <w:rPr>
          <w:noProof/>
          <w:lang w:val="en-AU" w:eastAsia="en-AU"/>
        </w:rPr>
        <w:t xml:space="preserve">  </w:t>
      </w:r>
      <w:r>
        <w:rPr>
          <w:noProof/>
          <w:lang w:val="en-AU" w:eastAsia="en-AU"/>
        </w:rPr>
        <w:t xml:space="preserve">  </w:t>
      </w:r>
      <w:r>
        <w:rPr>
          <w:noProof/>
          <w:lang w:val="en-AU" w:eastAsia="en-AU"/>
        </w:rPr>
        <w:drawing>
          <wp:inline distT="0" distB="0" distL="0" distR="0" wp14:anchorId="2F053659" wp14:editId="7602B3DE">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CC51AE" w:rsidRDefault="00CC51AE" w:rsidP="00015316"/>
    <w:p w:rsidR="00D749CD" w:rsidRDefault="00E9665C" w:rsidP="00015316">
      <w:r>
        <w:t>Progress towards this object</w:t>
      </w:r>
      <w:r w:rsidR="00CC2224">
        <w:t xml:space="preserve">ive </w:t>
      </w:r>
      <w:proofErr w:type="gramStart"/>
      <w:r w:rsidR="00E22D27">
        <w:t>is</w:t>
      </w:r>
      <w:r w:rsidR="00D36686">
        <w:t xml:space="preserve"> rated</w:t>
      </w:r>
      <w:proofErr w:type="gramEnd"/>
      <w:r w:rsidR="00D36686">
        <w:t xml:space="preserve"> as being</w:t>
      </w:r>
      <w:r w:rsidR="00E22D27">
        <w:t xml:space="preserve"> </w:t>
      </w:r>
      <w:r w:rsidR="00354678">
        <w:t>on</w:t>
      </w:r>
      <w:r w:rsidR="00421008">
        <w:t>l</w:t>
      </w:r>
      <w:r w:rsidR="00354678">
        <w:t xml:space="preserve">y </w:t>
      </w:r>
      <w:r w:rsidR="00E22D27">
        <w:t>partially on track</w:t>
      </w:r>
      <w:r w:rsidR="00CC2224">
        <w:t xml:space="preserve">. </w:t>
      </w:r>
      <w:r w:rsidR="001E5E17">
        <w:t>Despite significant achievements, detailed below, t</w:t>
      </w:r>
      <w:r w:rsidR="00D749CD">
        <w:t>he</w:t>
      </w:r>
      <w:r w:rsidR="00012EDD">
        <w:t xml:space="preserve">re have been delays in the establishment of key components of the </w:t>
      </w:r>
      <w:r w:rsidR="00D36686">
        <w:rPr>
          <w:i/>
        </w:rPr>
        <w:t xml:space="preserve">Governance for Growth </w:t>
      </w:r>
      <w:r w:rsidR="00D36686">
        <w:t>investment</w:t>
      </w:r>
      <w:r w:rsidR="00525279">
        <w:t>.</w:t>
      </w:r>
      <w:r w:rsidR="00D36686">
        <w:t xml:space="preserve"> In addition, a</w:t>
      </w:r>
      <w:r w:rsidR="00441E7B">
        <w:t xml:space="preserve">n investment-level Monitoring, Evaluation and Learning (MEL) system is yet to </w:t>
      </w:r>
      <w:proofErr w:type="gramStart"/>
      <w:r w:rsidR="00441E7B">
        <w:t>be implemented</w:t>
      </w:r>
      <w:proofErr w:type="gramEnd"/>
      <w:r w:rsidR="00441E7B">
        <w:t xml:space="preserve">, making it difficult to measure how well </w:t>
      </w:r>
      <w:r w:rsidR="00D36686">
        <w:t>separate</w:t>
      </w:r>
      <w:r w:rsidR="00441E7B">
        <w:t xml:space="preserve"> activities </w:t>
      </w:r>
      <w:r w:rsidR="00D36686">
        <w:t>are collectively contributing to overall progress toward this objective</w:t>
      </w:r>
      <w:r w:rsidR="00441E7B">
        <w:t xml:space="preserve">. </w:t>
      </w:r>
    </w:p>
    <w:p w:rsidR="00D749CD" w:rsidRDefault="00D749CD" w:rsidP="00015316">
      <w:r>
        <w:t xml:space="preserve">The </w:t>
      </w:r>
      <w:r w:rsidRPr="00CC4888">
        <w:rPr>
          <w:i/>
        </w:rPr>
        <w:t>Governance for Growth</w:t>
      </w:r>
      <w:r>
        <w:t xml:space="preserve"> investment began im</w:t>
      </w:r>
      <w:r w:rsidR="0010242B">
        <w:t>plementation in July 2017</w:t>
      </w:r>
      <w:r w:rsidR="00EB0365">
        <w:t xml:space="preserve">, with the aim of supporting the Sri Lankan </w:t>
      </w:r>
      <w:r w:rsidR="005920D3">
        <w:t>G</w:t>
      </w:r>
      <w:r w:rsidR="00EB0365">
        <w:t>overnment’s economic reform program and contributing to improvements in the delivery of public services by sub</w:t>
      </w:r>
      <w:r w:rsidR="00695CF0">
        <w:t>-</w:t>
      </w:r>
      <w:r w:rsidR="00EB0365">
        <w:t>national governments</w:t>
      </w:r>
      <w:r w:rsidR="0010242B">
        <w:t xml:space="preserve">. This </w:t>
      </w:r>
      <w:r>
        <w:t>cornerstone invest</w:t>
      </w:r>
      <w:r w:rsidR="00D04100">
        <w:t>ment draws</w:t>
      </w:r>
      <w:r>
        <w:t xml:space="preserve"> together several pre-existing governance activities</w:t>
      </w:r>
      <w:r w:rsidR="00D36686">
        <w:t>,</w:t>
      </w:r>
      <w:r>
        <w:t xml:space="preserve"> </w:t>
      </w:r>
      <w:r w:rsidR="00D04100">
        <w:t xml:space="preserve">including </w:t>
      </w:r>
      <w:r w:rsidRPr="00CC4888">
        <w:rPr>
          <w:i/>
        </w:rPr>
        <w:t>Eliminating Barriers to Inclusive and Sustainable Growth</w:t>
      </w:r>
      <w:r>
        <w:t xml:space="preserve"> (World </w:t>
      </w:r>
      <w:r>
        <w:lastRenderedPageBreak/>
        <w:t xml:space="preserve">Bank), the </w:t>
      </w:r>
      <w:r w:rsidRPr="00CC4888">
        <w:rPr>
          <w:i/>
        </w:rPr>
        <w:t>Sub-national Governance Program</w:t>
      </w:r>
      <w:r>
        <w:t xml:space="preserve"> </w:t>
      </w:r>
      <w:r w:rsidR="00D04100">
        <w:t xml:space="preserve">(The Asia Foundation) and </w:t>
      </w:r>
      <w:r w:rsidR="00D04100" w:rsidRPr="00CC4888">
        <w:rPr>
          <w:i/>
        </w:rPr>
        <w:t>Women in Local Government</w:t>
      </w:r>
      <w:r w:rsidR="00D04100">
        <w:t xml:space="preserve"> (IFES and Search for Common Ground). An </w:t>
      </w:r>
      <w:r w:rsidR="00F7557A">
        <w:t>investment-</w:t>
      </w:r>
      <w:r w:rsidR="00D04100">
        <w:t xml:space="preserve">level </w:t>
      </w:r>
      <w:r w:rsidR="00695CF0">
        <w:t>MEL</w:t>
      </w:r>
      <w:r w:rsidR="00D04100">
        <w:t xml:space="preserve"> framework </w:t>
      </w:r>
      <w:proofErr w:type="gramStart"/>
      <w:r w:rsidR="00D04100">
        <w:t>is planned</w:t>
      </w:r>
      <w:proofErr w:type="gramEnd"/>
      <w:r w:rsidR="00D04100">
        <w:t xml:space="preserve"> for late 2018.</w:t>
      </w:r>
      <w:r w:rsidR="00695CF0">
        <w:t xml:space="preserve"> For now, progress </w:t>
      </w:r>
      <w:proofErr w:type="gramStart"/>
      <w:r w:rsidR="00695CF0">
        <w:t xml:space="preserve">has been </w:t>
      </w:r>
      <w:r w:rsidR="00F7557A">
        <w:t>assessed</w:t>
      </w:r>
      <w:proofErr w:type="gramEnd"/>
      <w:r w:rsidR="00F7557A">
        <w:t xml:space="preserve"> within frameworks </w:t>
      </w:r>
      <w:r w:rsidR="00695CF0">
        <w:t xml:space="preserve">set </w:t>
      </w:r>
      <w:r w:rsidR="00F7557A">
        <w:t xml:space="preserve">for individual activities. </w:t>
      </w:r>
    </w:p>
    <w:p w:rsidR="005471D4" w:rsidRDefault="00E57B9A" w:rsidP="00015316">
      <w:r>
        <w:t>The World Bank</w:t>
      </w:r>
      <w:r w:rsidR="00012EDD">
        <w:t>-</w:t>
      </w:r>
      <w:r>
        <w:t xml:space="preserve">delivered </w:t>
      </w:r>
      <w:r w:rsidRPr="00CC4888">
        <w:rPr>
          <w:i/>
        </w:rPr>
        <w:t>Eliminating Barriers to Inclusive and Sustainable Growth</w:t>
      </w:r>
      <w:r>
        <w:t xml:space="preserve"> </w:t>
      </w:r>
      <w:r w:rsidR="00012EDD">
        <w:t xml:space="preserve">program </w:t>
      </w:r>
      <w:r w:rsidR="00CC4888">
        <w:t xml:space="preserve">made </w:t>
      </w:r>
      <w:r w:rsidR="0081440C">
        <w:t>progress</w:t>
      </w:r>
      <w:r w:rsidR="005920D3">
        <w:t xml:space="preserve"> </w:t>
      </w:r>
      <w:r w:rsidR="00DF5DDF">
        <w:t>in line with expectations</w:t>
      </w:r>
      <w:r w:rsidR="007026C4">
        <w:t xml:space="preserve">, supporting the Sri Lankan </w:t>
      </w:r>
      <w:r w:rsidR="005920D3">
        <w:t>G</w:t>
      </w:r>
      <w:r w:rsidR="007026C4">
        <w:t>overnment’s economic reform agenda. Achievements</w:t>
      </w:r>
      <w:r>
        <w:t xml:space="preserve"> over the reporting period</w:t>
      </w:r>
      <w:r w:rsidR="007026C4">
        <w:t xml:space="preserve"> include</w:t>
      </w:r>
      <w:r w:rsidR="009667B2">
        <w:t xml:space="preserve"> </w:t>
      </w:r>
      <w:r>
        <w:t>a cabinet-endorsed trade policy framework</w:t>
      </w:r>
      <w:r w:rsidR="00CC4888">
        <w:t xml:space="preserve"> to revitalise Sri Lanka’s export competitiveness</w:t>
      </w:r>
      <w:r>
        <w:t xml:space="preserve">, </w:t>
      </w:r>
      <w:r w:rsidR="0081440C">
        <w:t>a schedule for reducing para-tariffs</w:t>
      </w:r>
      <w:r w:rsidR="005352BA">
        <w:t xml:space="preserve"> and </w:t>
      </w:r>
      <w:r w:rsidR="0010242B">
        <w:t xml:space="preserve">establishment of </w:t>
      </w:r>
      <w:r w:rsidR="0081440C">
        <w:t xml:space="preserve">a national trade facilitation committee. Work </w:t>
      </w:r>
      <w:r w:rsidR="0010242B">
        <w:t xml:space="preserve">also </w:t>
      </w:r>
      <w:r w:rsidR="0081440C">
        <w:t>commence</w:t>
      </w:r>
      <w:r w:rsidR="00CC4888">
        <w:t xml:space="preserve">d on a trade information portal, </w:t>
      </w:r>
      <w:r w:rsidR="005352BA">
        <w:t>to bring</w:t>
      </w:r>
      <w:r w:rsidR="00CC4888">
        <w:t xml:space="preserve"> together 586 trade regulations, laws and procedures, </w:t>
      </w:r>
      <w:r w:rsidR="00E9026A">
        <w:t xml:space="preserve">and on </w:t>
      </w:r>
      <w:r w:rsidR="005920D3">
        <w:t xml:space="preserve">providing </w:t>
      </w:r>
      <w:r w:rsidR="00E9026A">
        <w:t>a ‘</w:t>
      </w:r>
      <w:r w:rsidR="007026C4">
        <w:t>single window</w:t>
      </w:r>
      <w:r w:rsidR="00E9026A">
        <w:t>’ for imports and exports. Sri Lanka’s cabinet approved eight task</w:t>
      </w:r>
      <w:r w:rsidR="005352BA">
        <w:t>forces and work</w:t>
      </w:r>
      <w:r w:rsidR="00B25655">
        <w:t xml:space="preserve"> </w:t>
      </w:r>
      <w:r w:rsidR="005352BA">
        <w:t xml:space="preserve">plans, including a new corporate plan to strengthen </w:t>
      </w:r>
      <w:r w:rsidR="007026C4">
        <w:t xml:space="preserve">the Board of Investment </w:t>
      </w:r>
      <w:r w:rsidR="005352BA">
        <w:t xml:space="preserve">and a strategy to promote investment. National strategies </w:t>
      </w:r>
      <w:proofErr w:type="gramStart"/>
      <w:r w:rsidR="000803F4">
        <w:t>have been drafted</w:t>
      </w:r>
      <w:proofErr w:type="gramEnd"/>
      <w:r w:rsidR="000803F4">
        <w:t xml:space="preserve"> </w:t>
      </w:r>
      <w:r w:rsidR="005352BA">
        <w:t xml:space="preserve">for </w:t>
      </w:r>
      <w:r w:rsidR="000803F4">
        <w:t>quality infrastructure and for innovation and entrepr</w:t>
      </w:r>
      <w:r w:rsidR="0088346D">
        <w:t>eneurship</w:t>
      </w:r>
      <w:r w:rsidR="000803F4">
        <w:t xml:space="preserve">, </w:t>
      </w:r>
      <w:r w:rsidR="005920D3">
        <w:t xml:space="preserve">soon </w:t>
      </w:r>
      <w:r w:rsidR="000803F4">
        <w:t xml:space="preserve">to be submitted </w:t>
      </w:r>
      <w:r w:rsidR="005920D3">
        <w:t xml:space="preserve">for endorsement by </w:t>
      </w:r>
      <w:r w:rsidR="000803F4">
        <w:t xml:space="preserve">Sri Lanka’s cabinet. </w:t>
      </w:r>
    </w:p>
    <w:p w:rsidR="00816A7B" w:rsidRDefault="00C444B6" w:rsidP="00015316">
      <w:r>
        <w:t>An independent, qualitative assessment of the</w:t>
      </w:r>
      <w:r w:rsidR="00CC4888">
        <w:t xml:space="preserve"> </w:t>
      </w:r>
      <w:r w:rsidR="00C54745">
        <w:rPr>
          <w:i/>
        </w:rPr>
        <w:t>Sub-N</w:t>
      </w:r>
      <w:r w:rsidR="00CC4888" w:rsidRPr="00CC4888">
        <w:rPr>
          <w:i/>
        </w:rPr>
        <w:t>ational Governance P</w:t>
      </w:r>
      <w:r w:rsidR="00816A7B" w:rsidRPr="00CC4888">
        <w:rPr>
          <w:i/>
        </w:rPr>
        <w:t>rogram</w:t>
      </w:r>
      <w:r w:rsidR="00816A7B">
        <w:t>, delivered by The Asia Foundation,</w:t>
      </w:r>
      <w:r w:rsidR="00EB55F6">
        <w:t xml:space="preserve"> stated</w:t>
      </w:r>
      <w:r w:rsidRPr="00C444B6">
        <w:rPr>
          <w:rFonts w:ascii="Calibri" w:hAnsi="Calibri" w:cs="Calibri"/>
          <w:color w:val="000000"/>
          <w:lang w:val="en-AU"/>
        </w:rPr>
        <w:t xml:space="preserve"> </w:t>
      </w:r>
      <w:r>
        <w:rPr>
          <w:lang w:val="en-AU"/>
        </w:rPr>
        <w:t>that it was creating observable behavioural change among target groups by having a</w:t>
      </w:r>
      <w:r w:rsidRPr="00C444B6">
        <w:rPr>
          <w:lang w:val="en-AU"/>
        </w:rPr>
        <w:t xml:space="preserve"> </w:t>
      </w:r>
      <w:r>
        <w:rPr>
          <w:lang w:val="en-AU"/>
        </w:rPr>
        <w:t>“</w:t>
      </w:r>
      <w:r w:rsidRPr="00C444B6">
        <w:rPr>
          <w:lang w:val="en-AU"/>
        </w:rPr>
        <w:t>close association with the partners, adopting a bottom-up approach, promoting a participatory culture and working within the system.</w:t>
      </w:r>
      <w:r>
        <w:rPr>
          <w:lang w:val="en-AU"/>
        </w:rPr>
        <w:t>”</w:t>
      </w:r>
      <w:r>
        <w:rPr>
          <w:rStyle w:val="FootnoteReference"/>
          <w:lang w:val="en-AU"/>
        </w:rPr>
        <w:footnoteReference w:id="4"/>
      </w:r>
      <w:r w:rsidRPr="00C444B6">
        <w:rPr>
          <w:lang w:val="en-AU"/>
        </w:rPr>
        <w:t xml:space="preserve"> </w:t>
      </w:r>
      <w:r>
        <w:rPr>
          <w:lang w:val="en-AU"/>
        </w:rPr>
        <w:t>It</w:t>
      </w:r>
      <w:r w:rsidR="00816A7B">
        <w:t xml:space="preserve"> also delivered </w:t>
      </w:r>
      <w:r w:rsidR="005E5D90">
        <w:t>positive</w:t>
      </w:r>
      <w:r w:rsidR="009667B2">
        <w:t xml:space="preserve"> results</w:t>
      </w:r>
      <w:r w:rsidR="00DF5DDF">
        <w:t xml:space="preserve"> that met the majority of </w:t>
      </w:r>
      <w:r w:rsidR="005920D3">
        <w:t xml:space="preserve">its </w:t>
      </w:r>
      <w:r w:rsidR="00DF5DDF">
        <w:t>targets:</w:t>
      </w:r>
      <w:r w:rsidR="009667B2">
        <w:t xml:space="preserve"> providing technical support for new and existing taxation</w:t>
      </w:r>
      <w:r w:rsidR="00886859">
        <w:t xml:space="preserve"> processes</w:t>
      </w:r>
      <w:r w:rsidR="009667B2">
        <w:t>, developing business plans for economic infrastructure and introducing automated/mobile revenue co</w:t>
      </w:r>
      <w:r w:rsidR="00897253">
        <w:t>llection.</w:t>
      </w:r>
      <w:r w:rsidR="00886859">
        <w:t xml:space="preserve"> Citizen engagement has </w:t>
      </w:r>
      <w:r w:rsidR="000563C4">
        <w:t xml:space="preserve">increased </w:t>
      </w:r>
      <w:r w:rsidR="00886859">
        <w:t xml:space="preserve">with </w:t>
      </w:r>
      <w:r w:rsidR="0016223B">
        <w:t>a</w:t>
      </w:r>
      <w:r w:rsidR="00886859">
        <w:t xml:space="preserve"> </w:t>
      </w:r>
      <w:r w:rsidR="0016223B">
        <w:t xml:space="preserve">citizenship report card </w:t>
      </w:r>
      <w:r w:rsidR="0088346D">
        <w:t>in target l</w:t>
      </w:r>
      <w:r w:rsidR="00DF5DDF">
        <w:t>ocal</w:t>
      </w:r>
      <w:r w:rsidR="0088346D">
        <w:t xml:space="preserve"> a</w:t>
      </w:r>
      <w:r w:rsidR="00DF5DDF">
        <w:t>uthorities across the country</w:t>
      </w:r>
      <w:r w:rsidR="00154EE2">
        <w:t xml:space="preserve"> </w:t>
      </w:r>
      <w:r w:rsidR="0016223B">
        <w:t xml:space="preserve">and a </w:t>
      </w:r>
      <w:r w:rsidR="00886859">
        <w:t xml:space="preserve">small business barometer survey. </w:t>
      </w:r>
      <w:r w:rsidR="00691288">
        <w:t>There were, howev</w:t>
      </w:r>
      <w:r w:rsidR="005E5D90">
        <w:t>er, delays under the program’s redress pillar</w:t>
      </w:r>
      <w:r>
        <w:t xml:space="preserve"> and the independent assessment recommended the M&amp;E system needed to have s</w:t>
      </w:r>
      <w:r w:rsidR="0088346D">
        <w:t xml:space="preserve">tronger feedback loops into </w:t>
      </w:r>
      <w:r>
        <w:t>program decision-making</w:t>
      </w:r>
      <w:r w:rsidR="0010242B">
        <w:t>.</w:t>
      </w:r>
    </w:p>
    <w:p w:rsidR="00DF5DDF" w:rsidRDefault="00DF5DDF" w:rsidP="00015316">
      <w:r>
        <w:t xml:space="preserve">A third key component of the G4G investment is a Linkages Program that aims </w:t>
      </w:r>
      <w:r w:rsidR="00525279">
        <w:t xml:space="preserve">to build long-running partnerships between Sri Lankan and Australian </w:t>
      </w:r>
      <w:r w:rsidR="005920D3">
        <w:t>g</w:t>
      </w:r>
      <w:r w:rsidR="00525279">
        <w:t xml:space="preserve">overnment, research and civil society organisations, with a focus on building knowledge and capacity for rational policy making and implementation. Due to staff and budget realignment, establishment of this G4G component </w:t>
      </w:r>
      <w:proofErr w:type="gramStart"/>
      <w:r w:rsidR="00525279">
        <w:t>was delayed</w:t>
      </w:r>
      <w:proofErr w:type="gramEnd"/>
      <w:r w:rsidR="00525279">
        <w:t xml:space="preserve">. It </w:t>
      </w:r>
      <w:proofErr w:type="gramStart"/>
      <w:r w:rsidR="00525279">
        <w:t>is anticipated</w:t>
      </w:r>
      <w:proofErr w:type="gramEnd"/>
      <w:r w:rsidR="00525279">
        <w:t xml:space="preserve"> </w:t>
      </w:r>
      <w:r w:rsidR="004B6564">
        <w:t xml:space="preserve">it will </w:t>
      </w:r>
      <w:r w:rsidR="00525279">
        <w:t>be function</w:t>
      </w:r>
      <w:r w:rsidR="00167F25">
        <w:t>al</w:t>
      </w:r>
      <w:r w:rsidR="00525279">
        <w:t xml:space="preserve"> by the end of 2018. </w:t>
      </w:r>
    </w:p>
    <w:p w:rsidR="004158FD" w:rsidRDefault="004158FD" w:rsidP="00015316">
      <w:proofErr w:type="gramStart"/>
      <w:r>
        <w:t xml:space="preserve">The </w:t>
      </w:r>
      <w:r w:rsidRPr="00154EE2">
        <w:rPr>
          <w:i/>
        </w:rPr>
        <w:t>W</w:t>
      </w:r>
      <w:r w:rsidR="0016223B" w:rsidRPr="00154EE2">
        <w:rPr>
          <w:i/>
        </w:rPr>
        <w:t xml:space="preserve">omen in </w:t>
      </w:r>
      <w:r w:rsidR="00355953" w:rsidRPr="00154EE2">
        <w:rPr>
          <w:i/>
        </w:rPr>
        <w:t>Local Government</w:t>
      </w:r>
      <w:r w:rsidR="00603919">
        <w:rPr>
          <w:i/>
        </w:rPr>
        <w:t xml:space="preserve"> P</w:t>
      </w:r>
      <w:r w:rsidR="0016223B" w:rsidRPr="00154EE2">
        <w:rPr>
          <w:i/>
        </w:rPr>
        <w:t>rogram</w:t>
      </w:r>
      <w:r w:rsidR="0016223B">
        <w:t xml:space="preserve">, delivered </w:t>
      </w:r>
      <w:r w:rsidR="005E5D90">
        <w:t>in separate parts by</w:t>
      </w:r>
      <w:r w:rsidR="0016223B">
        <w:t xml:space="preserve"> </w:t>
      </w:r>
      <w:r>
        <w:t>the International Foundation for Electoral Systems (IFES) and Search for Common Ground</w:t>
      </w:r>
      <w:r w:rsidR="0016223B">
        <w:t xml:space="preserve">, </w:t>
      </w:r>
      <w:r w:rsidR="00C46BCF">
        <w:t>met program expectations by making</w:t>
      </w:r>
      <w:r w:rsidR="00DF5DDF">
        <w:t xml:space="preserve"> a critical contribution to the ability of </w:t>
      </w:r>
      <w:r w:rsidR="00154EE2">
        <w:t>the</w:t>
      </w:r>
      <w:r w:rsidR="00DF5DDF">
        <w:t xml:space="preserve"> Sri Lankan</w:t>
      </w:r>
      <w:r w:rsidR="00154EE2">
        <w:t xml:space="preserve"> Elections Commission, police and the media to help prepare for </w:t>
      </w:r>
      <w:r w:rsidR="005E5D90">
        <w:t xml:space="preserve">a new quota for 25 per cent of local government representatives to be women, </w:t>
      </w:r>
      <w:r w:rsidR="00154EE2">
        <w:t>first applied in February 2018.</w:t>
      </w:r>
      <w:proofErr w:type="gramEnd"/>
      <w:r w:rsidR="00154EE2">
        <w:t xml:space="preserve"> </w:t>
      </w:r>
      <w:r w:rsidR="005E5D90">
        <w:t xml:space="preserve">This activity was responsible for training </w:t>
      </w:r>
      <w:r w:rsidR="00354678">
        <w:t xml:space="preserve">453 </w:t>
      </w:r>
      <w:r w:rsidR="00355953">
        <w:t xml:space="preserve">women candidates </w:t>
      </w:r>
      <w:r w:rsidR="005E5D90">
        <w:t xml:space="preserve">for local government, developing </w:t>
      </w:r>
      <w:r w:rsidR="00355953">
        <w:t>a curriculum on roles and responsibilities of local governme</w:t>
      </w:r>
      <w:r w:rsidR="001C7907">
        <w:t>nt representatives</w:t>
      </w:r>
      <w:r w:rsidR="00354678">
        <w:t>.</w:t>
      </w:r>
      <w:r w:rsidR="00D36686">
        <w:rPr>
          <w:rStyle w:val="FootnoteReference"/>
        </w:rPr>
        <w:footnoteReference w:id="5"/>
      </w:r>
      <w:r w:rsidR="00354678">
        <w:t xml:space="preserve"> A police handbook was developed and distributed on violence against women in elections. Search for Common Ground delivered a </w:t>
      </w:r>
      <w:r w:rsidR="00355953">
        <w:t xml:space="preserve">study tour to Australia for </w:t>
      </w:r>
      <w:r w:rsidR="00354678">
        <w:t>six ministers from the Women’s Parliamentary Caucus</w:t>
      </w:r>
      <w:r w:rsidR="001C7907">
        <w:t xml:space="preserve">, to learn about </w:t>
      </w:r>
      <w:r w:rsidR="0010242B">
        <w:t xml:space="preserve">a range of approaches to increasing the </w:t>
      </w:r>
      <w:r w:rsidR="00B74214">
        <w:t xml:space="preserve">representation </w:t>
      </w:r>
      <w:r w:rsidR="0010242B">
        <w:t xml:space="preserve">of women in politics, </w:t>
      </w:r>
      <w:r w:rsidR="00B74214">
        <w:t xml:space="preserve">and </w:t>
      </w:r>
      <w:r w:rsidR="001C7907">
        <w:t xml:space="preserve">policy </w:t>
      </w:r>
      <w:r w:rsidR="00B74214">
        <w:t>resp</w:t>
      </w:r>
      <w:r w:rsidR="005E5D90">
        <w:t xml:space="preserve">onses </w:t>
      </w:r>
      <w:r w:rsidR="001C7907">
        <w:t xml:space="preserve">in Australia </w:t>
      </w:r>
      <w:r w:rsidR="005E5D90">
        <w:t>to gender based violence.</w:t>
      </w:r>
    </w:p>
    <w:p w:rsidR="00DF5DDF" w:rsidRDefault="00A503FD" w:rsidP="00015316">
      <w:r>
        <w:t xml:space="preserve">Two long-running World Bank managed projects, </w:t>
      </w:r>
      <w:r w:rsidR="00513F9A">
        <w:t xml:space="preserve">in which DFAT has invested </w:t>
      </w:r>
      <w:r>
        <w:t xml:space="preserve">over many years, </w:t>
      </w:r>
      <w:proofErr w:type="gramStart"/>
      <w:r>
        <w:t>were completed</w:t>
      </w:r>
      <w:proofErr w:type="gramEnd"/>
      <w:r>
        <w:t xml:space="preserve"> in the reporting period, </w:t>
      </w:r>
      <w:r w:rsidR="007B681E">
        <w:t xml:space="preserve">with Final Aid Quality Checks finding they met or exceeded </w:t>
      </w:r>
      <w:r>
        <w:t>program expectations. As well as delivering much-needed community infrastructure</w:t>
      </w:r>
      <w:r w:rsidR="00C4424A">
        <w:t xml:space="preserve"> in conflict-affected </w:t>
      </w:r>
      <w:r w:rsidR="007B681E">
        <w:t>areas</w:t>
      </w:r>
      <w:r>
        <w:t xml:space="preserve">, the </w:t>
      </w:r>
      <w:r w:rsidRPr="00603919">
        <w:rPr>
          <w:i/>
        </w:rPr>
        <w:t xml:space="preserve">North and East Local Services Improvement Project </w:t>
      </w:r>
      <w:r w:rsidR="00F568B4" w:rsidRPr="00603919">
        <w:rPr>
          <w:i/>
        </w:rPr>
        <w:t>(NELSIP)</w:t>
      </w:r>
      <w:r w:rsidR="00F568B4">
        <w:t xml:space="preserve"> </w:t>
      </w:r>
      <w:r>
        <w:t xml:space="preserve">built the capacity of a </w:t>
      </w:r>
      <w:r w:rsidR="00354678">
        <w:t>101</w:t>
      </w:r>
      <w:r>
        <w:t xml:space="preserve"> local authorities </w:t>
      </w:r>
      <w:r w:rsidR="007B681E">
        <w:t xml:space="preserve">to </w:t>
      </w:r>
      <w:r w:rsidR="007B681E">
        <w:lastRenderedPageBreak/>
        <w:t>use participatory approaches to planning.</w:t>
      </w:r>
      <w:r w:rsidR="00D36686">
        <w:rPr>
          <w:rStyle w:val="FootnoteReference"/>
        </w:rPr>
        <w:footnoteReference w:id="6"/>
      </w:r>
      <w:r w:rsidR="007B681E">
        <w:t xml:space="preserve"> Community surveys demonstrated increased trust and c</w:t>
      </w:r>
      <w:r w:rsidR="00C4424A">
        <w:t>onfidence in local authorities</w:t>
      </w:r>
      <w:r w:rsidR="00F568B4">
        <w:t xml:space="preserve"> as a result. Likewise, </w:t>
      </w:r>
      <w:r w:rsidR="00C4424A">
        <w:t xml:space="preserve">the </w:t>
      </w:r>
      <w:r w:rsidR="00C4424A" w:rsidRPr="00603919">
        <w:rPr>
          <w:i/>
        </w:rPr>
        <w:t>Transforming Schools Education Project (TSEP)</w:t>
      </w:r>
      <w:r w:rsidR="00C4424A">
        <w:t xml:space="preserve"> </w:t>
      </w:r>
      <w:r w:rsidR="002F3464">
        <w:t>performed well overall</w:t>
      </w:r>
      <w:r w:rsidR="00CB2DF1">
        <w:t xml:space="preserve">, directly benefitting four million </w:t>
      </w:r>
      <w:r w:rsidR="00F568B4">
        <w:t xml:space="preserve">Sri Lankan </w:t>
      </w:r>
      <w:r w:rsidR="002B18D8">
        <w:t xml:space="preserve">primary and secondary </w:t>
      </w:r>
      <w:r w:rsidR="00F568B4">
        <w:t xml:space="preserve">school </w:t>
      </w:r>
      <w:r w:rsidR="00CB2DF1">
        <w:t xml:space="preserve">students. </w:t>
      </w:r>
      <w:r w:rsidR="00754C40">
        <w:t>Results included</w:t>
      </w:r>
      <w:r w:rsidR="00CB2DF1">
        <w:t xml:space="preserve"> a significant improvement in the rate </w:t>
      </w:r>
      <w:r w:rsidR="00F568B4">
        <w:t>of students completing school</w:t>
      </w:r>
      <w:r w:rsidR="00CB2DF1">
        <w:t xml:space="preserve">, </w:t>
      </w:r>
      <w:r w:rsidR="00F568B4">
        <w:t>as well as improvement</w:t>
      </w:r>
      <w:r w:rsidR="0010242B">
        <w:t>s</w:t>
      </w:r>
      <w:r w:rsidR="00F568B4">
        <w:t xml:space="preserve"> in </w:t>
      </w:r>
      <w:r w:rsidR="00CB2DF1">
        <w:t xml:space="preserve">the quality of education </w:t>
      </w:r>
      <w:r w:rsidR="0010242B">
        <w:t>and</w:t>
      </w:r>
      <w:r w:rsidR="00F568B4">
        <w:t xml:space="preserve"> </w:t>
      </w:r>
      <w:r w:rsidR="00CB2DF1">
        <w:t>results.</w:t>
      </w:r>
      <w:r w:rsidR="00754C40">
        <w:t xml:space="preserve"> </w:t>
      </w:r>
      <w:r w:rsidR="00754C40" w:rsidRPr="00603919">
        <w:rPr>
          <w:i/>
        </w:rPr>
        <w:t xml:space="preserve">TSEP </w:t>
      </w:r>
      <w:proofErr w:type="gramStart"/>
      <w:r w:rsidR="00754C40">
        <w:t>was implemented</w:t>
      </w:r>
      <w:proofErr w:type="gramEnd"/>
      <w:r w:rsidR="00754C40">
        <w:t xml:space="preserve"> through government systems, </w:t>
      </w:r>
      <w:r w:rsidR="00F568B4">
        <w:t xml:space="preserve">and there was </w:t>
      </w:r>
      <w:r w:rsidR="006F5B89">
        <w:t xml:space="preserve">a </w:t>
      </w:r>
      <w:r w:rsidR="002F3464">
        <w:t>high degree</w:t>
      </w:r>
      <w:r w:rsidR="006F5B89">
        <w:t xml:space="preserve"> of ownership by </w:t>
      </w:r>
      <w:r w:rsidR="00F568B4">
        <w:t xml:space="preserve">Sri Lankan </w:t>
      </w:r>
      <w:r w:rsidR="006F5B89">
        <w:t>government officials</w:t>
      </w:r>
      <w:r w:rsidR="00B004E0">
        <w:t>.</w:t>
      </w:r>
      <w:r w:rsidR="00D36686">
        <w:rPr>
          <w:rStyle w:val="FootnoteReference"/>
        </w:rPr>
        <w:footnoteReference w:id="7"/>
      </w:r>
    </w:p>
    <w:p w:rsidR="00313BF2" w:rsidRDefault="00313BF2" w:rsidP="0071493A">
      <w:pPr>
        <w:rPr>
          <w:rFonts w:ascii="Tahoma" w:eastAsia="Times New Roman" w:hAnsi="Tahoma" w:cs="Tahoma"/>
          <w:color w:val="auto"/>
          <w:sz w:val="20"/>
          <w:szCs w:val="20"/>
          <w:lang w:val="en-AU" w:eastAsia="en-AU"/>
        </w:rPr>
      </w:pPr>
    </w:p>
    <w:p w:rsidR="0071493A" w:rsidRPr="00015316" w:rsidRDefault="0071493A" w:rsidP="0071493A">
      <w:r w:rsidRPr="002A51CA">
        <w:rPr>
          <w:rFonts w:asciiTheme="majorHAnsi" w:eastAsiaTheme="majorEastAsia" w:hAnsiTheme="majorHAnsi" w:cstheme="majorBidi"/>
          <w:caps/>
          <w:sz w:val="38"/>
          <w:szCs w:val="26"/>
        </w:rPr>
        <w:t>Objective</w:t>
      </w:r>
      <w:r>
        <w:rPr>
          <w:rFonts w:asciiTheme="majorHAnsi" w:eastAsiaTheme="majorEastAsia" w:hAnsiTheme="majorHAnsi" w:cstheme="majorBidi"/>
          <w:caps/>
          <w:sz w:val="38"/>
          <w:szCs w:val="26"/>
        </w:rPr>
        <w:t xml:space="preserve"> </w:t>
      </w:r>
      <w:proofErr w:type="gramStart"/>
      <w:r>
        <w:rPr>
          <w:rFonts w:asciiTheme="majorHAnsi" w:eastAsiaTheme="majorEastAsia" w:hAnsiTheme="majorHAnsi" w:cstheme="majorBidi"/>
          <w:caps/>
          <w:sz w:val="38"/>
          <w:szCs w:val="26"/>
        </w:rPr>
        <w:t>3</w:t>
      </w:r>
      <w:proofErr w:type="gramEnd"/>
      <w:r>
        <w:rPr>
          <w:rFonts w:asciiTheme="majorHAnsi" w:eastAsiaTheme="majorEastAsia" w:hAnsiTheme="majorHAnsi" w:cstheme="majorBidi"/>
          <w:caps/>
          <w:sz w:val="38"/>
          <w:szCs w:val="26"/>
        </w:rPr>
        <w:t xml:space="preserve"> – INCREASE GENDER EQUALITY</w:t>
      </w:r>
    </w:p>
    <w:p w:rsidR="0071493A" w:rsidRDefault="0071493A" w:rsidP="0071493A">
      <w:r w:rsidRPr="00695730">
        <w:rPr>
          <w:rFonts w:asciiTheme="majorHAnsi" w:eastAsiaTheme="majorEastAsia" w:hAnsiTheme="majorHAnsi" w:cstheme="majorBidi"/>
          <w:caps/>
          <w:noProof/>
          <w:sz w:val="38"/>
          <w:szCs w:val="26"/>
          <w:lang w:val="en-AU" w:eastAsia="en-AU"/>
        </w:rPr>
        <w:drawing>
          <wp:inline distT="0" distB="0" distL="0" distR="0" wp14:anchorId="13C5F9D0" wp14:editId="2D0D668C">
            <wp:extent cx="1137600" cy="720000"/>
            <wp:effectExtent l="0" t="0" r="5715"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t xml:space="preserve">     </w:t>
      </w:r>
      <w:r>
        <w:rPr>
          <w:noProof/>
          <w:lang w:val="en-AU" w:eastAsia="en-AU"/>
        </w:rPr>
        <w:t xml:space="preserve">  </w:t>
      </w:r>
      <w:r w:rsidRPr="00F75380">
        <w:rPr>
          <w:noProof/>
          <w:lang w:val="en-AU" w:eastAsia="en-AU"/>
        </w:rPr>
        <w:drawing>
          <wp:inline distT="0" distB="0" distL="0" distR="0" wp14:anchorId="3163E5CB" wp14:editId="60736CFE">
            <wp:extent cx="612000" cy="612000"/>
            <wp:effectExtent l="0" t="0" r="0" b="0"/>
            <wp:docPr id="56" name="Picture 56"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Pr>
          <w:noProof/>
          <w:lang w:val="en-AU" w:eastAsia="en-AU"/>
        </w:rPr>
        <w:t xml:space="preserve">   </w:t>
      </w:r>
      <w:r>
        <w:t xml:space="preserve"> </w:t>
      </w:r>
      <w:r>
        <w:rPr>
          <w:noProof/>
          <w:lang w:val="en-AU" w:eastAsia="en-AU"/>
        </w:rPr>
        <w:t xml:space="preserve">   </w:t>
      </w:r>
      <w:r>
        <w:rPr>
          <w:noProof/>
          <w:lang w:val="en-AU" w:eastAsia="en-AU"/>
        </w:rPr>
        <w:drawing>
          <wp:inline distT="0" distB="0" distL="0" distR="0" wp14:anchorId="47293AB8" wp14:editId="13BE74A5">
            <wp:extent cx="601980" cy="60198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2470" cy="602470"/>
                    </a:xfrm>
                    <a:prstGeom prst="rect">
                      <a:avLst/>
                    </a:prstGeom>
                  </pic:spPr>
                </pic:pic>
              </a:graphicData>
            </a:graphic>
          </wp:inline>
        </w:drawing>
      </w:r>
      <w:r>
        <w:rPr>
          <w:noProof/>
          <w:lang w:val="en-AU" w:eastAsia="en-AU"/>
        </w:rPr>
        <w:t xml:space="preserve"> </w:t>
      </w:r>
      <w:r>
        <w:t xml:space="preserve">    </w:t>
      </w:r>
      <w:r>
        <w:rPr>
          <w:noProof/>
          <w:lang w:val="en-AU" w:eastAsia="en-AU"/>
        </w:rPr>
        <w:drawing>
          <wp:inline distT="0" distB="0" distL="0" distR="0" wp14:anchorId="5C5B2187" wp14:editId="2F222C09">
            <wp:extent cx="609600" cy="609600"/>
            <wp:effectExtent l="0" t="0" r="0" b="0"/>
            <wp:docPr id="62" name="Picture 62"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 xml:space="preserve">  </w:t>
      </w:r>
      <w:r>
        <w:rPr>
          <w:noProof/>
          <w:lang w:val="en-AU" w:eastAsia="en-AU"/>
        </w:rPr>
        <w:t xml:space="preserve">   </w:t>
      </w:r>
      <w:r>
        <w:rPr>
          <w:noProof/>
          <w:lang w:val="en-AU" w:eastAsia="en-AU"/>
        </w:rPr>
        <w:drawing>
          <wp:inline distT="0" distB="0" distL="0" distR="0" wp14:anchorId="0C8DA294" wp14:editId="30A2C9EE">
            <wp:extent cx="617220" cy="6172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7723" cy="617723"/>
                    </a:xfrm>
                    <a:prstGeom prst="rect">
                      <a:avLst/>
                    </a:prstGeom>
                  </pic:spPr>
                </pic:pic>
              </a:graphicData>
            </a:graphic>
          </wp:inline>
        </w:drawing>
      </w:r>
      <w:r>
        <w:rPr>
          <w:noProof/>
          <w:lang w:val="en-AU" w:eastAsia="en-AU"/>
        </w:rPr>
        <w:t xml:space="preserve"> </w:t>
      </w:r>
      <w:r>
        <w:t xml:space="preserve"> </w:t>
      </w:r>
      <w:r>
        <w:rPr>
          <w:noProof/>
          <w:lang w:val="en-AU" w:eastAsia="en-AU"/>
        </w:rPr>
        <w:t xml:space="preserve">    </w:t>
      </w:r>
      <w:r>
        <w:rPr>
          <w:noProof/>
          <w:lang w:val="en-AU" w:eastAsia="en-AU"/>
        </w:rPr>
        <w:drawing>
          <wp:inline distT="0" distB="0" distL="0" distR="0" wp14:anchorId="702971D8" wp14:editId="01016921">
            <wp:extent cx="608400" cy="612000"/>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r>
        <w:t xml:space="preserve">  </w:t>
      </w:r>
      <w:r>
        <w:rPr>
          <w:noProof/>
          <w:lang w:val="en-AU" w:eastAsia="en-AU"/>
        </w:rPr>
        <w:t xml:space="preserve">     </w:t>
      </w:r>
    </w:p>
    <w:p w:rsidR="00C74F81" w:rsidRDefault="00C74F81" w:rsidP="008614BB"/>
    <w:p w:rsidR="00A238DE" w:rsidRPr="00477879" w:rsidRDefault="00AA1ACF" w:rsidP="008614BB">
      <w:r>
        <w:t>This objective has been rated green, with</w:t>
      </w:r>
      <w:r w:rsidR="00C74F81">
        <w:t xml:space="preserve"> positive</w:t>
      </w:r>
      <w:r>
        <w:t xml:space="preserve"> progress across all main investments</w:t>
      </w:r>
      <w:r w:rsidR="00C74F81">
        <w:t xml:space="preserve"> in line with expectations</w:t>
      </w:r>
      <w:r>
        <w:t>.</w:t>
      </w:r>
      <w:r w:rsidR="00094263">
        <w:t xml:space="preserve"> Gender specific work under investments already mentioned </w:t>
      </w:r>
      <w:proofErr w:type="gramStart"/>
      <w:r w:rsidR="00094263">
        <w:t>will be detailed</w:t>
      </w:r>
      <w:proofErr w:type="gramEnd"/>
      <w:r w:rsidR="00094263">
        <w:t xml:space="preserve"> later in this section. In addition </w:t>
      </w:r>
      <w:r w:rsidR="00AB0422">
        <w:t xml:space="preserve">to </w:t>
      </w:r>
      <w:r w:rsidR="000B66EB">
        <w:t>this</w:t>
      </w:r>
      <w:r w:rsidR="00094263">
        <w:t>, i</w:t>
      </w:r>
      <w:r w:rsidR="008B4204">
        <w:t>mplementation of t</w:t>
      </w:r>
      <w:r w:rsidR="001E5E17">
        <w:t xml:space="preserve">he new </w:t>
      </w:r>
      <w:r w:rsidR="00094263">
        <w:t xml:space="preserve">stand-alone </w:t>
      </w:r>
      <w:r w:rsidR="001E5E17">
        <w:t>$</w:t>
      </w:r>
      <w:r w:rsidR="00BF166D">
        <w:t xml:space="preserve">15 million </w:t>
      </w:r>
      <w:r w:rsidRPr="00603919">
        <w:rPr>
          <w:i/>
        </w:rPr>
        <w:t>Women in Work</w:t>
      </w:r>
      <w:r>
        <w:t xml:space="preserve"> </w:t>
      </w:r>
      <w:r w:rsidR="00094263">
        <w:t xml:space="preserve">investment </w:t>
      </w:r>
      <w:r w:rsidR="00EB55F6">
        <w:t xml:space="preserve">began in earnest in August 2017 </w:t>
      </w:r>
      <w:r w:rsidR="00E86E09">
        <w:t xml:space="preserve">with </w:t>
      </w:r>
      <w:r w:rsidR="008B4204">
        <w:t xml:space="preserve">the appointment of </w:t>
      </w:r>
      <w:r w:rsidR="00E86E09">
        <w:t>a program director</w:t>
      </w:r>
      <w:r w:rsidR="008B4204">
        <w:t>.</w:t>
      </w:r>
      <w:r w:rsidR="00E86E09">
        <w:t xml:space="preserve"> </w:t>
      </w:r>
      <w:r w:rsidR="00054629">
        <w:t xml:space="preserve">Led by the International Finance Corporation </w:t>
      </w:r>
      <w:r w:rsidR="003D007D">
        <w:t xml:space="preserve">(IFC), this </w:t>
      </w:r>
      <w:r w:rsidR="009C557D">
        <w:t>four-year</w:t>
      </w:r>
      <w:r w:rsidR="00054629">
        <w:t xml:space="preserve"> program aims to increase women’s access to quality work</w:t>
      </w:r>
      <w:r w:rsidR="00AB0422">
        <w:t>, decision-making and leadership</w:t>
      </w:r>
      <w:r w:rsidR="00054629">
        <w:t xml:space="preserve">. </w:t>
      </w:r>
      <w:r w:rsidR="00096125">
        <w:t>Despite</w:t>
      </w:r>
      <w:r w:rsidR="00C74F81">
        <w:t xml:space="preserve"> </w:t>
      </w:r>
      <w:r w:rsidR="00054629">
        <w:t xml:space="preserve">an initial </w:t>
      </w:r>
      <w:r w:rsidR="009C557D">
        <w:t>delay,</w:t>
      </w:r>
      <w:r w:rsidR="004C3EBF">
        <w:t xml:space="preserve"> </w:t>
      </w:r>
      <w:r w:rsidR="00096125">
        <w:t>t</w:t>
      </w:r>
      <w:r w:rsidR="002F3464">
        <w:t>he program director quickly established</w:t>
      </w:r>
      <w:r w:rsidR="00096125">
        <w:t xml:space="preserve"> </w:t>
      </w:r>
      <w:r w:rsidR="002F3464">
        <w:t xml:space="preserve">important </w:t>
      </w:r>
      <w:r w:rsidR="00096125">
        <w:t>networks</w:t>
      </w:r>
      <w:r w:rsidR="002F3464">
        <w:t>,</w:t>
      </w:r>
      <w:r w:rsidR="00096125">
        <w:t xml:space="preserve"> ensuring the program has a high profile</w:t>
      </w:r>
      <w:r w:rsidR="00C74F81">
        <w:t xml:space="preserve">. </w:t>
      </w:r>
      <w:r w:rsidR="00D76D3D">
        <w:t xml:space="preserve">In the first six months, </w:t>
      </w:r>
      <w:r w:rsidR="00C74F81">
        <w:t xml:space="preserve">18 </w:t>
      </w:r>
      <w:r w:rsidR="001A4997">
        <w:t>‘</w:t>
      </w:r>
      <w:proofErr w:type="spellStart"/>
      <w:r w:rsidR="001A4997">
        <w:t>SheWorks</w:t>
      </w:r>
      <w:proofErr w:type="spellEnd"/>
      <w:r w:rsidR="001A4997">
        <w:t>’ partne</w:t>
      </w:r>
      <w:r w:rsidR="00C74F81">
        <w:t xml:space="preserve">rships have been formed with </w:t>
      </w:r>
      <w:r w:rsidR="00A238DE">
        <w:t>some of Sri Lanka’s biggest companies</w:t>
      </w:r>
      <w:r w:rsidR="001A4997">
        <w:t xml:space="preserve">, </w:t>
      </w:r>
      <w:r w:rsidR="00A238DE">
        <w:t>between them employing</w:t>
      </w:r>
      <w:r w:rsidR="004C3EBF">
        <w:t xml:space="preserve"> </w:t>
      </w:r>
      <w:r w:rsidR="00C74F81">
        <w:t xml:space="preserve">200,000 </w:t>
      </w:r>
      <w:r w:rsidR="00A238DE">
        <w:t>people. The partnerships commit the firms to promoting women’s leadership, recruitment and retention, and to ensuring that anti-sexual harassme</w:t>
      </w:r>
      <w:r w:rsidR="00EB55F6">
        <w:t>nt mechanisms are effective. P</w:t>
      </w:r>
      <w:r w:rsidR="00A238DE">
        <w:t>artnership</w:t>
      </w:r>
      <w:r w:rsidR="00EB55F6">
        <w:t>s</w:t>
      </w:r>
      <w:r w:rsidR="00096125">
        <w:t xml:space="preserve"> </w:t>
      </w:r>
      <w:proofErr w:type="gramStart"/>
      <w:r w:rsidR="00096125">
        <w:t>have</w:t>
      </w:r>
      <w:r w:rsidR="00A238DE">
        <w:t xml:space="preserve"> also been reached</w:t>
      </w:r>
      <w:proofErr w:type="gramEnd"/>
      <w:r w:rsidR="00A238DE">
        <w:t xml:space="preserve"> with the National Development Bank, to tailo</w:t>
      </w:r>
      <w:r w:rsidR="002F3464">
        <w:t>r financial products for women,</w:t>
      </w:r>
      <w:r w:rsidR="00096125">
        <w:t xml:space="preserve"> the Central Bank to develop a nation</w:t>
      </w:r>
      <w:r w:rsidR="002F3464">
        <w:t>al financial inclusion strategy,</w:t>
      </w:r>
      <w:r w:rsidR="00096125">
        <w:t xml:space="preserve"> and the Ceylon Stock Exch</w:t>
      </w:r>
      <w:r w:rsidR="00477879">
        <w:t xml:space="preserve">ange to establish a baseline for </w:t>
      </w:r>
      <w:r w:rsidR="00096125">
        <w:t>women on boards, develop a directory and produce a short film</w:t>
      </w:r>
      <w:r w:rsidR="00943B36">
        <w:t>.</w:t>
      </w:r>
      <w:r w:rsidR="002F3464">
        <w:t xml:space="preserve"> </w:t>
      </w:r>
      <w:r w:rsidR="00341D77" w:rsidRPr="00477879">
        <w:t>However, t</w:t>
      </w:r>
      <w:r w:rsidR="00C44F99" w:rsidRPr="00477879">
        <w:t xml:space="preserve">he first six-monthly report received in April </w:t>
      </w:r>
      <w:r w:rsidR="00477879">
        <w:t xml:space="preserve">showed </w:t>
      </w:r>
      <w:r w:rsidR="00C44F99" w:rsidRPr="00477879">
        <w:t xml:space="preserve">low expenditure rates and </w:t>
      </w:r>
      <w:r w:rsidR="00477879">
        <w:t>a need for more reporting</w:t>
      </w:r>
      <w:r w:rsidR="00C44F99" w:rsidRPr="00477879">
        <w:t xml:space="preserve"> on program activities. </w:t>
      </w:r>
      <w:r w:rsidR="002F3464" w:rsidRPr="00477879">
        <w:t xml:space="preserve">In order to ensure </w:t>
      </w:r>
      <w:r w:rsidR="00C44F99" w:rsidRPr="00477879">
        <w:t xml:space="preserve">continued </w:t>
      </w:r>
      <w:r w:rsidR="002F3464" w:rsidRPr="00477879">
        <w:t>progress</w:t>
      </w:r>
      <w:r w:rsidR="00C44F99" w:rsidRPr="00477879">
        <w:t xml:space="preserve"> across the whole program, </w:t>
      </w:r>
      <w:r w:rsidR="002F3464" w:rsidRPr="00477879">
        <w:t xml:space="preserve">DFAT will push IFC </w:t>
      </w:r>
      <w:proofErr w:type="gramStart"/>
      <w:r w:rsidR="002F3464" w:rsidRPr="00477879">
        <w:t>for more detailed performance</w:t>
      </w:r>
      <w:r w:rsidR="00707E58" w:rsidRPr="00477879">
        <w:t>, results</w:t>
      </w:r>
      <w:proofErr w:type="gramEnd"/>
      <w:r w:rsidR="00707E58" w:rsidRPr="00477879">
        <w:t xml:space="preserve"> and budget reporting</w:t>
      </w:r>
      <w:r w:rsidR="002F3464" w:rsidRPr="00477879">
        <w:t>.</w:t>
      </w:r>
    </w:p>
    <w:p w:rsidR="003D007D" w:rsidRDefault="00283D38" w:rsidP="00572D5B">
      <w:r>
        <w:t xml:space="preserve">The </w:t>
      </w:r>
      <w:r w:rsidRPr="00603919">
        <w:rPr>
          <w:i/>
        </w:rPr>
        <w:t>EOP</w:t>
      </w:r>
      <w:r>
        <w:t xml:space="preserve"> investment has a consistent focus on economic benefits for women</w:t>
      </w:r>
      <w:r w:rsidR="008614BB">
        <w:t>.</w:t>
      </w:r>
      <w:r>
        <w:t xml:space="preserve"> Under the </w:t>
      </w:r>
      <w:r w:rsidRPr="00603919">
        <w:rPr>
          <w:i/>
        </w:rPr>
        <w:t>LEED</w:t>
      </w:r>
      <w:r>
        <w:t xml:space="preserve"> </w:t>
      </w:r>
      <w:r w:rsidR="00DC439A">
        <w:t>sub-</w:t>
      </w:r>
      <w:r>
        <w:t xml:space="preserve">activity, </w:t>
      </w:r>
      <w:r w:rsidR="00274FB7">
        <w:t>economic conditions for women have improved in farming, fishing</w:t>
      </w:r>
      <w:r w:rsidR="00572D5B">
        <w:t xml:space="preserve"> and in micro, small and medium sized </w:t>
      </w:r>
      <w:r w:rsidR="00274FB7">
        <w:t xml:space="preserve">enterprises. Due to guarantees given by farming and fishing cooperatives, </w:t>
      </w:r>
      <w:r w:rsidR="006F3486">
        <w:t xml:space="preserve">formed under </w:t>
      </w:r>
      <w:r w:rsidR="006F3486" w:rsidRPr="00603919">
        <w:rPr>
          <w:i/>
        </w:rPr>
        <w:t>LEED</w:t>
      </w:r>
      <w:r w:rsidR="006F3486">
        <w:t xml:space="preserve">, </w:t>
      </w:r>
      <w:r w:rsidR="00274FB7">
        <w:t xml:space="preserve">women in rural areas have been able to receive loans from banks, without the collateral </w:t>
      </w:r>
      <w:r w:rsidR="00572D5B">
        <w:t xml:space="preserve">required in the past, and </w:t>
      </w:r>
      <w:r w:rsidR="0070361F">
        <w:t>more w</w:t>
      </w:r>
      <w:r w:rsidR="00274FB7">
        <w:t xml:space="preserve">omen </w:t>
      </w:r>
      <w:r w:rsidR="00572D5B">
        <w:t xml:space="preserve">are </w:t>
      </w:r>
      <w:r w:rsidR="0070361F">
        <w:t xml:space="preserve">members of </w:t>
      </w:r>
      <w:r w:rsidR="0076554E">
        <w:t>co</w:t>
      </w:r>
      <w:r w:rsidR="00274FB7">
        <w:t>op</w:t>
      </w:r>
      <w:r w:rsidR="0076554E">
        <w:t>erative</w:t>
      </w:r>
      <w:r w:rsidR="00274FB7">
        <w:t xml:space="preserve"> boards. </w:t>
      </w:r>
      <w:r w:rsidR="00572D5B">
        <w:t xml:space="preserve">Of the jobs created in the tourism and hospitality industries, under the </w:t>
      </w:r>
      <w:r w:rsidR="00572D5B" w:rsidRPr="00603919">
        <w:rPr>
          <w:i/>
        </w:rPr>
        <w:t>MDF</w:t>
      </w:r>
      <w:r w:rsidR="00572D5B">
        <w:t xml:space="preserve"> </w:t>
      </w:r>
      <w:r w:rsidR="00DC439A">
        <w:t>sub-</w:t>
      </w:r>
      <w:r w:rsidR="00572D5B">
        <w:t xml:space="preserve">activity, </w:t>
      </w:r>
      <w:proofErr w:type="gramStart"/>
      <w:r w:rsidR="00572D5B">
        <w:t>most have been taken up by women</w:t>
      </w:r>
      <w:proofErr w:type="gramEnd"/>
      <w:r w:rsidR="00572D5B">
        <w:t xml:space="preserve">. The first six partnerships formed </w:t>
      </w:r>
      <w:proofErr w:type="gramStart"/>
      <w:r w:rsidR="00572D5B">
        <w:t>were tailored</w:t>
      </w:r>
      <w:proofErr w:type="gramEnd"/>
      <w:r w:rsidR="00572D5B">
        <w:t xml:space="preserve"> to </w:t>
      </w:r>
      <w:r w:rsidR="00F7790A">
        <w:t xml:space="preserve">address </w:t>
      </w:r>
      <w:r w:rsidR="00572D5B">
        <w:t>women’s skills gaps</w:t>
      </w:r>
      <w:r w:rsidR="00F7790A">
        <w:t xml:space="preserve">. </w:t>
      </w:r>
      <w:r w:rsidR="00572D5B">
        <w:t xml:space="preserve"> </w:t>
      </w:r>
    </w:p>
    <w:p w:rsidR="00730898" w:rsidRDefault="00730898" w:rsidP="00572D5B">
      <w:r>
        <w:t>DFAT provided training</w:t>
      </w:r>
      <w:r w:rsidR="00D36686">
        <w:t xml:space="preserve">, through the </w:t>
      </w:r>
      <w:r w:rsidR="00D36686" w:rsidRPr="00730898">
        <w:rPr>
          <w:i/>
        </w:rPr>
        <w:t>Women in Local Government program</w:t>
      </w:r>
      <w:r w:rsidR="00D36686">
        <w:t>,</w:t>
      </w:r>
      <w:r>
        <w:t xml:space="preserve"> to more than 450 women candidates for the local government elections,</w:t>
      </w:r>
      <w:r w:rsidR="000B66EB">
        <w:t xml:space="preserve"> with many subsequently elected</w:t>
      </w:r>
      <w:r>
        <w:t xml:space="preserve">. </w:t>
      </w:r>
      <w:r w:rsidR="000B66EB">
        <w:t>Also u</w:t>
      </w:r>
      <w:r>
        <w:t xml:space="preserve">nder this </w:t>
      </w:r>
      <w:proofErr w:type="gramStart"/>
      <w:r>
        <w:t>program</w:t>
      </w:r>
      <w:proofErr w:type="gramEnd"/>
      <w:r>
        <w:t xml:space="preserve"> a handbook was produced </w:t>
      </w:r>
      <w:r w:rsidR="00755C28">
        <w:t xml:space="preserve">to help police respond to violence against women during elections. Ministers from </w:t>
      </w:r>
      <w:r w:rsidR="00755C28">
        <w:lastRenderedPageBreak/>
        <w:t>the Women’s Parliamentary Caucus visited Australia on a study tour, aimed at increasing the representation of women in politics and informing government responses to gender based violence.</w:t>
      </w:r>
    </w:p>
    <w:p w:rsidR="00691E5A" w:rsidRDefault="00691E5A" w:rsidP="00572D5B">
      <w:r w:rsidRPr="00603919">
        <w:rPr>
          <w:i/>
        </w:rPr>
        <w:t>NELSIP</w:t>
      </w:r>
      <w:r>
        <w:t xml:space="preserve"> </w:t>
      </w:r>
      <w:r w:rsidR="005D54E8">
        <w:t xml:space="preserve">made significant contributions to community infrastructure in conflict affected areas but has had </w:t>
      </w:r>
      <w:r w:rsidR="002D3B57">
        <w:t>a history of low Aid Quality C</w:t>
      </w:r>
      <w:r>
        <w:t>heck r</w:t>
      </w:r>
      <w:r w:rsidR="00044579">
        <w:t>atings</w:t>
      </w:r>
      <w:r w:rsidR="002D3B57">
        <w:t xml:space="preserve"> when it comes to </w:t>
      </w:r>
      <w:r w:rsidR="00044579">
        <w:t xml:space="preserve">gender equality. As noted in the Final Aid Quality Check, </w:t>
      </w:r>
      <w:r>
        <w:t xml:space="preserve">a gender inclusion plan </w:t>
      </w:r>
      <w:r w:rsidR="00044579">
        <w:t xml:space="preserve">was </w:t>
      </w:r>
      <w:r w:rsidR="00241CBD">
        <w:t xml:space="preserve">developed mid-way through the project, but implementation was </w:t>
      </w:r>
      <w:r w:rsidR="005D54E8">
        <w:t>inconsistent</w:t>
      </w:r>
      <w:r w:rsidR="00044579">
        <w:t xml:space="preserve">. </w:t>
      </w:r>
      <w:r w:rsidR="002F3464">
        <w:t>DFAT monitoring fo</w:t>
      </w:r>
      <w:r w:rsidR="00341D77">
        <w:t>u</w:t>
      </w:r>
      <w:r w:rsidR="002F3464">
        <w:t xml:space="preserve">nd </w:t>
      </w:r>
      <w:r w:rsidR="00F43464">
        <w:t xml:space="preserve">that </w:t>
      </w:r>
      <w:r w:rsidR="00F43464" w:rsidRPr="00603919">
        <w:rPr>
          <w:i/>
        </w:rPr>
        <w:t>NELSIP</w:t>
      </w:r>
      <w:r w:rsidR="00F43464">
        <w:t xml:space="preserve"> did benefit women, </w:t>
      </w:r>
      <w:proofErr w:type="gramStart"/>
      <w:r w:rsidR="002F3464">
        <w:t>and provided</w:t>
      </w:r>
      <w:proofErr w:type="gramEnd"/>
      <w:r w:rsidR="00F43464">
        <w:t xml:space="preserve"> opportunities </w:t>
      </w:r>
      <w:r w:rsidR="002D3B57">
        <w:t>for greater participation in</w:t>
      </w:r>
      <w:r w:rsidR="00F43464">
        <w:t xml:space="preserve"> planning decisions, and enhanced livelihoods, but the World Bank collected </w:t>
      </w:r>
      <w:r w:rsidR="002D3B57">
        <w:t xml:space="preserve">only </w:t>
      </w:r>
      <w:r w:rsidR="00F43464">
        <w:t xml:space="preserve">limited data to support these observations. Among the lessons learned from </w:t>
      </w:r>
      <w:r w:rsidR="00F43464" w:rsidRPr="00603919">
        <w:rPr>
          <w:i/>
        </w:rPr>
        <w:t>NELSIP</w:t>
      </w:r>
      <w:r w:rsidR="00F43464">
        <w:t xml:space="preserve"> is that DFAT should insist on a separate budget line for gender </w:t>
      </w:r>
      <w:r w:rsidR="00D23044">
        <w:t xml:space="preserve">equality </w:t>
      </w:r>
      <w:r w:rsidR="00F43464">
        <w:t>and inclusion, for analysis</w:t>
      </w:r>
      <w:r w:rsidR="0039307E">
        <w:t xml:space="preserve">, </w:t>
      </w:r>
      <w:r w:rsidR="00F43464">
        <w:t>specific activities</w:t>
      </w:r>
      <w:r w:rsidR="0039307E">
        <w:t xml:space="preserve"> and monitoring</w:t>
      </w:r>
      <w:r w:rsidR="00F43464">
        <w:t xml:space="preserve">. </w:t>
      </w:r>
    </w:p>
    <w:p w:rsidR="002B4393" w:rsidRDefault="008B4CFC" w:rsidP="00572D5B">
      <w:r>
        <w:t>T</w:t>
      </w:r>
      <w:r w:rsidR="003B5AB8">
        <w:t xml:space="preserve">he </w:t>
      </w:r>
      <w:proofErr w:type="gramStart"/>
      <w:r w:rsidR="003B5AB8" w:rsidRPr="00603919">
        <w:rPr>
          <w:i/>
        </w:rPr>
        <w:t>Transforming School Education Program (</w:t>
      </w:r>
      <w:r w:rsidR="00241CBD" w:rsidRPr="00603919">
        <w:rPr>
          <w:i/>
        </w:rPr>
        <w:t>TSEP</w:t>
      </w:r>
      <w:r w:rsidR="009C557D" w:rsidRPr="00603919">
        <w:rPr>
          <w:i/>
        </w:rPr>
        <w:t>)</w:t>
      </w:r>
      <w:r w:rsidR="003B5AB8">
        <w:t xml:space="preserve"> </w:t>
      </w:r>
      <w:r w:rsidR="004636B6">
        <w:t xml:space="preserve">was </w:t>
      </w:r>
      <w:r w:rsidR="003B5AB8">
        <w:t>also delivered by the World Bank, in partnership with the Sri Lankan Ministry of Educat</w:t>
      </w:r>
      <w:r w:rsidR="004636B6">
        <w:t>ion</w:t>
      </w:r>
      <w:proofErr w:type="gramEnd"/>
      <w:r w:rsidR="004636B6">
        <w:t>. The Final Aid Qual</w:t>
      </w:r>
      <w:r w:rsidR="0074758C">
        <w:t xml:space="preserve">ity Check </w:t>
      </w:r>
      <w:r w:rsidR="002D3B57">
        <w:t xml:space="preserve">(FAQC) </w:t>
      </w:r>
      <w:r w:rsidR="0074758C">
        <w:t>for this activity</w:t>
      </w:r>
      <w:r w:rsidR="004636B6">
        <w:t xml:space="preserve"> </w:t>
      </w:r>
      <w:r w:rsidR="005D54E8">
        <w:t xml:space="preserve">also </w:t>
      </w:r>
      <w:r w:rsidR="004636B6">
        <w:t xml:space="preserve">noted that gender </w:t>
      </w:r>
      <w:r w:rsidR="00D23044">
        <w:t xml:space="preserve">equality </w:t>
      </w:r>
      <w:proofErr w:type="gramStart"/>
      <w:r w:rsidR="004636B6">
        <w:t>was only made</w:t>
      </w:r>
      <w:proofErr w:type="gramEnd"/>
      <w:r w:rsidR="004636B6">
        <w:t xml:space="preserve"> a priority by DFAT some way into implementation, rather than at the outset. </w:t>
      </w:r>
      <w:r w:rsidR="0074758C">
        <w:t>T</w:t>
      </w:r>
      <w:r w:rsidR="004636B6">
        <w:t>h</w:t>
      </w:r>
      <w:r w:rsidR="0074758C">
        <w:t xml:space="preserve">e FAQC concludes </w:t>
      </w:r>
      <w:r w:rsidR="004636B6">
        <w:t xml:space="preserve">that in future, gender equality </w:t>
      </w:r>
      <w:proofErr w:type="gramStart"/>
      <w:r w:rsidR="004636B6">
        <w:t>should be incorporated</w:t>
      </w:r>
      <w:proofErr w:type="gramEnd"/>
      <w:r w:rsidR="004636B6">
        <w:t xml:space="preserve"> during the concept and des</w:t>
      </w:r>
      <w:r w:rsidR="002B4393">
        <w:t xml:space="preserve">ign phases of such an activity. </w:t>
      </w:r>
    </w:p>
    <w:p w:rsidR="00241CBD" w:rsidRDefault="008B4CFC" w:rsidP="00683AC9">
      <w:r w:rsidRPr="008B4CFC">
        <w:rPr>
          <w:i/>
        </w:rPr>
        <w:t>NELSIP</w:t>
      </w:r>
      <w:r>
        <w:t xml:space="preserve"> and </w:t>
      </w:r>
      <w:r w:rsidRPr="008B4CFC">
        <w:rPr>
          <w:i/>
        </w:rPr>
        <w:t>TSEP</w:t>
      </w:r>
      <w:r w:rsidR="00683AC9">
        <w:t xml:space="preserve"> have both now concluded</w:t>
      </w:r>
      <w:r>
        <w:t xml:space="preserve">. Their </w:t>
      </w:r>
      <w:r w:rsidR="005D54E8">
        <w:t xml:space="preserve">limitations </w:t>
      </w:r>
      <w:r w:rsidR="00683AC9">
        <w:t>on prioritising gender</w:t>
      </w:r>
      <w:r w:rsidR="00D23044">
        <w:t xml:space="preserve"> equality</w:t>
      </w:r>
      <w:r w:rsidR="00683AC9">
        <w:t xml:space="preserve">, and measuring the impact of the projects on improving gender equality, will not have an ongoing </w:t>
      </w:r>
      <w:r w:rsidR="00525279">
        <w:t>e</w:t>
      </w:r>
      <w:r w:rsidR="00683AC9">
        <w:t xml:space="preserve">ffect on the Sri Lanka program. </w:t>
      </w:r>
      <w:r w:rsidR="002B4393">
        <w:t xml:space="preserve">On balance, their performance should not detract from the green rating </w:t>
      </w:r>
      <w:r w:rsidR="00683AC9">
        <w:t xml:space="preserve">recorded against this objective. </w:t>
      </w:r>
      <w:r w:rsidR="002B4393">
        <w:t xml:space="preserve"> </w:t>
      </w:r>
    </w:p>
    <w:p w:rsidR="005B5769" w:rsidRPr="003D007D" w:rsidRDefault="005B5769" w:rsidP="00015316">
      <w:pPr>
        <w:pStyle w:val="ListBullet"/>
        <w:tabs>
          <w:tab w:val="clear" w:pos="284"/>
        </w:tabs>
        <w:spacing w:before="400"/>
        <w:rPr>
          <w:rFonts w:asciiTheme="minorHAnsi" w:eastAsiaTheme="minorHAnsi" w:hAnsiTheme="minorHAnsi" w:cstheme="minorBidi"/>
          <w:color w:val="495965" w:themeColor="text2"/>
          <w:sz w:val="22"/>
          <w:szCs w:val="22"/>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rsidR="00B30589" w:rsidRDefault="00525279" w:rsidP="00B30589">
      <w:r>
        <w:t>The</w:t>
      </w:r>
      <w:r w:rsidR="00B30589">
        <w:t xml:space="preserve"> Sri Lankan </w:t>
      </w:r>
      <w:r w:rsidR="004B6564">
        <w:t>G</w:t>
      </w:r>
      <w:r w:rsidR="00B30589">
        <w:t xml:space="preserve">overnment </w:t>
      </w:r>
      <w:r>
        <w:t xml:space="preserve">continues to </w:t>
      </w:r>
      <w:r w:rsidR="00B30589">
        <w:t xml:space="preserve">face challenges in implementing its political and economic reform agenda and </w:t>
      </w:r>
      <w:proofErr w:type="gramStart"/>
      <w:r w:rsidR="00B30589">
        <w:t>internationally-endorsed</w:t>
      </w:r>
      <w:proofErr w:type="gramEnd"/>
      <w:r w:rsidR="00B30589">
        <w:t xml:space="preserve"> transitional justice process. Overall, the country context has not shifted markedly since the previous reporting period</w:t>
      </w:r>
      <w:r w:rsidR="00096BD5">
        <w:t>, although, as provincial and national elections get closer (2019-2020) the focus of government is naturally turning toward electoral concerns. Overall,</w:t>
      </w:r>
      <w:r w:rsidR="00B30589">
        <w:t xml:space="preserve"> the AIP’s development logic and our existing government-to-government agreements remain valid.  </w:t>
      </w:r>
    </w:p>
    <w:p w:rsidR="00B30589" w:rsidRDefault="00096BD5" w:rsidP="00B30589">
      <w:r>
        <w:t>The 2017</w:t>
      </w:r>
      <w:r w:rsidR="00B30589" w:rsidRPr="00AD5B08">
        <w:t xml:space="preserve"> Sri Lanka-Australia Development Cooperation Memorandum of Understanding </w:t>
      </w:r>
      <w:r>
        <w:t>continues to</w:t>
      </w:r>
      <w:r w:rsidR="00B30589">
        <w:t xml:space="preserve"> guide </w:t>
      </w:r>
      <w:r w:rsidR="00667B88">
        <w:t xml:space="preserve">our development </w:t>
      </w:r>
      <w:r w:rsidR="00B30589">
        <w:t>relations</w:t>
      </w:r>
      <w:r w:rsidR="00667B88">
        <w:t>hip. It commits the Sri Lankan G</w:t>
      </w:r>
      <w:r w:rsidR="00B30589">
        <w:t>overnment to work wi</w:t>
      </w:r>
      <w:r w:rsidR="00667B88">
        <w:t>th the Australian G</w:t>
      </w:r>
      <w:r w:rsidR="00B30589">
        <w:t>overnment to promote the achievement of the Sustainable Development G</w:t>
      </w:r>
      <w:r w:rsidR="008C22DF">
        <w:t>oal</w:t>
      </w:r>
      <w:r w:rsidR="00B30589">
        <w:t>s, regularly review projects, ensure transparent sharing of data and assist in fa</w:t>
      </w:r>
      <w:r w:rsidR="00667B88">
        <w:t>cilitating Australian projects (</w:t>
      </w:r>
      <w:r>
        <w:t xml:space="preserve">including applying the </w:t>
      </w:r>
      <w:r w:rsidR="00B30589">
        <w:t>Australia-Sri Lanka Double Taxation Avoidance Agreement</w:t>
      </w:r>
      <w:r w:rsidR="00667B88">
        <w:t>)</w:t>
      </w:r>
      <w:r w:rsidR="00B30589">
        <w:t xml:space="preserve">. </w:t>
      </w:r>
      <w:proofErr w:type="gramStart"/>
      <w:r w:rsidR="00B30589" w:rsidRPr="00AD5B08">
        <w:t xml:space="preserve">More </w:t>
      </w:r>
      <w:r w:rsidR="00B30589">
        <w:t>specific</w:t>
      </w:r>
      <w:r w:rsidR="00B30589" w:rsidRPr="00AD5B08">
        <w:t xml:space="preserve"> sets of mutual obligations</w:t>
      </w:r>
      <w:proofErr w:type="gramEnd"/>
      <w:r w:rsidR="00B30589" w:rsidRPr="00AD5B08">
        <w:t xml:space="preserve"> </w:t>
      </w:r>
      <w:r w:rsidR="00B30589">
        <w:t xml:space="preserve">are then established at the investment or activity level. For example, </w:t>
      </w:r>
      <w:r w:rsidR="004B6564">
        <w:t>s</w:t>
      </w:r>
      <w:r w:rsidR="00B30589">
        <w:t xml:space="preserve">ubsidiary </w:t>
      </w:r>
      <w:r w:rsidR="004B6564">
        <w:t>a</w:t>
      </w:r>
      <w:r w:rsidR="00B30589">
        <w:t>rrangements are in place with the Sri Lankan Ministry of Tourism for the MDF and the Ministry of Skills Development for S4IG</w:t>
      </w:r>
      <w:r w:rsidR="00B30589" w:rsidRPr="00AD5B08">
        <w:t xml:space="preserve">. </w:t>
      </w:r>
      <w:r w:rsidR="00B30589">
        <w:t xml:space="preserve">These require the relevant ministries to contribute to project oversight, facilitate project implementation and engage in project reporting. The Sri Lankan </w:t>
      </w:r>
      <w:r w:rsidR="004B6564">
        <w:t>G</w:t>
      </w:r>
      <w:r w:rsidR="00B30589">
        <w:t xml:space="preserve">overnment met its commitments under these </w:t>
      </w:r>
      <w:r w:rsidR="004B6564">
        <w:t>s</w:t>
      </w:r>
      <w:r w:rsidR="00B30589">
        <w:t xml:space="preserve">ubsidiary </w:t>
      </w:r>
      <w:r w:rsidR="004B6564">
        <w:t>a</w:t>
      </w:r>
      <w:r w:rsidR="00B30589">
        <w:t>rrangements over the reporting period</w:t>
      </w:r>
    </w:p>
    <w:p w:rsidR="00B1694D" w:rsidRPr="00C4114C" w:rsidRDefault="00096BD5" w:rsidP="00E65105">
      <w:r>
        <w:t>Similarly, u</w:t>
      </w:r>
      <w:r w:rsidR="00B30589" w:rsidRPr="00AD5B08">
        <w:t xml:space="preserve">nder the TAF projects, local authorities and the Northern Provincial Council have agreed to implement administrative and structural changes in return for project assistance. </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rsidR="00BE2AD8" w:rsidRDefault="00AD0A11" w:rsidP="005B5769">
      <w:pPr>
        <w:spacing w:after="200" w:line="276" w:lineRule="auto"/>
      </w:pPr>
      <w:r>
        <w:t>Overall, t</w:t>
      </w:r>
      <w:r w:rsidR="00BE2AD8">
        <w:t xml:space="preserve">he internal Aid Quality Check (AQC) </w:t>
      </w:r>
      <w:r w:rsidR="00C30C76">
        <w:t>ratings for the Sri Lanka program were satisfactory to good, in line with AQC ratings for the previous two years. Exceptions to this were for</w:t>
      </w:r>
      <w:r>
        <w:t xml:space="preserve"> disability inclusion (</w:t>
      </w:r>
      <w:r w:rsidR="008A6589">
        <w:t xml:space="preserve">with less than adequate ratings for </w:t>
      </w:r>
      <w:r w:rsidR="00C30C76">
        <w:t>EOP</w:t>
      </w:r>
      <w:r>
        <w:t xml:space="preserve">, </w:t>
      </w:r>
      <w:r w:rsidR="00C30C76">
        <w:t xml:space="preserve">Women in Work </w:t>
      </w:r>
      <w:r>
        <w:t>and NELSIP)</w:t>
      </w:r>
      <w:r w:rsidR="00C30C76">
        <w:t>,</w:t>
      </w:r>
      <w:r>
        <w:t xml:space="preserve"> monitoring and evaluation (</w:t>
      </w:r>
      <w:r w:rsidR="008A6589">
        <w:t xml:space="preserve">less than adequate ratings for </w:t>
      </w:r>
      <w:r>
        <w:t>Women in Work and</w:t>
      </w:r>
      <w:r w:rsidR="008A6589">
        <w:t xml:space="preserve"> NELSIP</w:t>
      </w:r>
      <w:r>
        <w:t>) and for gender equality (NELSIP and TSEP given a less than adequate score).</w:t>
      </w:r>
      <w:r w:rsidR="003E2BC1">
        <w:t xml:space="preserve"> Final Aid Quality Checks (</w:t>
      </w:r>
      <w:r>
        <w:t>FAQCs</w:t>
      </w:r>
      <w:r w:rsidR="003E2BC1">
        <w:t>)</w:t>
      </w:r>
      <w:r>
        <w:t xml:space="preserve"> for NELSIP and TSEP note that it would have been better for DFAT to include gender equality as a priority for these investments at the outset, rather than trying to include it after </w:t>
      </w:r>
      <w:r>
        <w:lastRenderedPageBreak/>
        <w:t xml:space="preserve">the projects </w:t>
      </w:r>
      <w:r w:rsidR="0019480A">
        <w:t>had begun. These two Wor</w:t>
      </w:r>
      <w:r w:rsidR="00D94942">
        <w:t xml:space="preserve">ld Bank delivered projects </w:t>
      </w:r>
      <w:proofErr w:type="gramStart"/>
      <w:r w:rsidR="00667B88">
        <w:t xml:space="preserve">have </w:t>
      </w:r>
      <w:r w:rsidR="008A6589">
        <w:t xml:space="preserve">been </w:t>
      </w:r>
      <w:r w:rsidR="0019480A">
        <w:t>completed</w:t>
      </w:r>
      <w:proofErr w:type="gramEnd"/>
      <w:r w:rsidR="0019480A">
        <w:t>, so less than satisfactory ratings in these parti</w:t>
      </w:r>
      <w:r w:rsidR="008A6589">
        <w:t xml:space="preserve">cular areas </w:t>
      </w:r>
      <w:r w:rsidR="00D94942">
        <w:t>should not</w:t>
      </w:r>
      <w:r w:rsidR="008A6589">
        <w:t xml:space="preserve"> affect </w:t>
      </w:r>
      <w:r w:rsidR="002D3B57">
        <w:t xml:space="preserve">the </w:t>
      </w:r>
      <w:r w:rsidR="0019480A">
        <w:t>quality</w:t>
      </w:r>
      <w:r w:rsidR="002D3B57">
        <w:t xml:space="preserve"> of the aid program</w:t>
      </w:r>
      <w:r w:rsidR="0019480A">
        <w:t xml:space="preserve"> in</w:t>
      </w:r>
      <w:r w:rsidR="002D3B57">
        <w:t xml:space="preserve"> the</w:t>
      </w:r>
      <w:r w:rsidR="0019480A">
        <w:t xml:space="preserve"> future. </w:t>
      </w:r>
      <w:r w:rsidR="00D94942">
        <w:t>Lessons have been learned and noted.</w:t>
      </w:r>
    </w:p>
    <w:p w:rsidR="0019480A" w:rsidRDefault="002D3B57" w:rsidP="005B5769">
      <w:pPr>
        <w:spacing w:after="200" w:line="276" w:lineRule="auto"/>
      </w:pPr>
      <w:r>
        <w:t xml:space="preserve">After </w:t>
      </w:r>
      <w:proofErr w:type="gramStart"/>
      <w:r>
        <w:t>receiving</w:t>
      </w:r>
      <w:proofErr w:type="gramEnd"/>
      <w:r>
        <w:t xml:space="preserve"> a green rating for the last two APPR</w:t>
      </w:r>
      <w:r w:rsidR="0019480A">
        <w:t xml:space="preserve">s, in this APPR an amber rating has been given to </w:t>
      </w:r>
      <w:r w:rsidR="003E2BC1">
        <w:t>‘O</w:t>
      </w:r>
      <w:r w:rsidR="007070FA">
        <w:t>bjective 2</w:t>
      </w:r>
      <w:r w:rsidR="0019480A">
        <w:t xml:space="preserve"> – to support government to be more responsive to the needs of citizens and the private s</w:t>
      </w:r>
      <w:r w:rsidR="004104A2">
        <w:t>ector.</w:t>
      </w:r>
      <w:r w:rsidR="003E2BC1">
        <w:t xml:space="preserve">’ </w:t>
      </w:r>
      <w:r w:rsidR="004104A2">
        <w:t xml:space="preserve">This is in part due to the </w:t>
      </w:r>
      <w:r w:rsidR="0019480A">
        <w:t>lack of an investment-level MEL system to measure results</w:t>
      </w:r>
      <w:r w:rsidR="008A6589">
        <w:t xml:space="preserve">. </w:t>
      </w:r>
      <w:r w:rsidR="004104A2">
        <w:t xml:space="preserve">If this is in place as planned by </w:t>
      </w:r>
      <w:r w:rsidR="007070FA">
        <w:t xml:space="preserve">late 2018, the </w:t>
      </w:r>
      <w:r w:rsidR="004104A2">
        <w:t xml:space="preserve">amber rating </w:t>
      </w:r>
      <w:r w:rsidR="007070FA">
        <w:t xml:space="preserve">for objective </w:t>
      </w:r>
      <w:proofErr w:type="gramStart"/>
      <w:r w:rsidR="007070FA">
        <w:t>2</w:t>
      </w:r>
      <w:proofErr w:type="gramEnd"/>
      <w:r w:rsidR="007070FA">
        <w:t xml:space="preserve"> </w:t>
      </w:r>
      <w:r w:rsidR="004104A2">
        <w:t xml:space="preserve">should improve </w:t>
      </w:r>
      <w:r w:rsidR="007070FA">
        <w:t xml:space="preserve">to a green rating </w:t>
      </w:r>
      <w:r w:rsidR="004104A2">
        <w:t xml:space="preserve">in </w:t>
      </w:r>
      <w:r w:rsidR="008A6589">
        <w:t>next year’s APPR.</w:t>
      </w:r>
      <w:r w:rsidR="0019480A">
        <w:t xml:space="preserve"> </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rsidR="00C02D01" w:rsidRPr="00C02D01" w:rsidRDefault="00C02D01" w:rsidP="00623E7F">
      <w:pPr>
        <w:pStyle w:val="ListBullet"/>
        <w:tabs>
          <w:tab w:val="clear" w:pos="284"/>
        </w:tabs>
        <w:rPr>
          <w:rFonts w:asciiTheme="minorHAnsi" w:eastAsiaTheme="minorHAnsi" w:hAnsiTheme="minorHAnsi" w:cstheme="minorBidi"/>
          <w:b/>
          <w:color w:val="495965" w:themeColor="text2"/>
          <w:sz w:val="22"/>
          <w:szCs w:val="22"/>
          <w:lang w:val="en-GB" w:eastAsia="en-US"/>
        </w:rPr>
      </w:pPr>
      <w:r w:rsidRPr="00C02D01">
        <w:rPr>
          <w:rFonts w:asciiTheme="minorHAnsi" w:eastAsiaTheme="minorHAnsi" w:hAnsiTheme="minorHAnsi" w:cstheme="minorBidi"/>
          <w:b/>
          <w:color w:val="495965" w:themeColor="text2"/>
          <w:sz w:val="22"/>
          <w:szCs w:val="22"/>
          <w:lang w:val="en-GB" w:eastAsia="en-US"/>
        </w:rPr>
        <w:t>EOP:</w:t>
      </w:r>
    </w:p>
    <w:p w:rsidR="00CF593D" w:rsidRDefault="00CF593D"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Post to </w:t>
      </w:r>
      <w:r w:rsidR="00F62DB0">
        <w:rPr>
          <w:rFonts w:asciiTheme="minorHAnsi" w:eastAsiaTheme="minorHAnsi" w:hAnsiTheme="minorHAnsi" w:cstheme="minorBidi"/>
          <w:color w:val="495965" w:themeColor="text2"/>
          <w:sz w:val="22"/>
          <w:szCs w:val="22"/>
          <w:lang w:val="en-GB" w:eastAsia="en-US"/>
        </w:rPr>
        <w:t xml:space="preserve">advance the revalidation of the EOP MEL framework, </w:t>
      </w:r>
      <w:r w:rsidR="00667B88">
        <w:rPr>
          <w:rFonts w:asciiTheme="minorHAnsi" w:eastAsiaTheme="minorHAnsi" w:hAnsiTheme="minorHAnsi" w:cstheme="minorBidi"/>
          <w:color w:val="495965" w:themeColor="text2"/>
          <w:sz w:val="22"/>
          <w:szCs w:val="22"/>
          <w:lang w:val="en-GB" w:eastAsia="en-US"/>
        </w:rPr>
        <w:t xml:space="preserve">to </w:t>
      </w:r>
      <w:r w:rsidR="00F62DB0">
        <w:rPr>
          <w:rFonts w:asciiTheme="minorHAnsi" w:eastAsiaTheme="minorHAnsi" w:hAnsiTheme="minorHAnsi" w:cstheme="minorBidi"/>
          <w:color w:val="495965" w:themeColor="text2"/>
          <w:sz w:val="22"/>
          <w:szCs w:val="22"/>
          <w:lang w:val="en-GB" w:eastAsia="en-US"/>
        </w:rPr>
        <w:t>measure the social, cultural and environmental im</w:t>
      </w:r>
      <w:r w:rsidR="004D457F">
        <w:rPr>
          <w:rFonts w:asciiTheme="minorHAnsi" w:eastAsiaTheme="minorHAnsi" w:hAnsiTheme="minorHAnsi" w:cstheme="minorBidi"/>
          <w:color w:val="495965" w:themeColor="text2"/>
          <w:sz w:val="22"/>
          <w:szCs w:val="22"/>
          <w:lang w:val="en-GB" w:eastAsia="en-US"/>
        </w:rPr>
        <w:t xml:space="preserve">pacts as well as the aggregated </w:t>
      </w:r>
      <w:r w:rsidR="00F62DB0">
        <w:rPr>
          <w:rFonts w:asciiTheme="minorHAnsi" w:eastAsiaTheme="minorHAnsi" w:hAnsiTheme="minorHAnsi" w:cstheme="minorBidi"/>
          <w:color w:val="495965" w:themeColor="text2"/>
          <w:sz w:val="22"/>
          <w:szCs w:val="22"/>
          <w:lang w:val="en-GB" w:eastAsia="en-US"/>
        </w:rPr>
        <w:t xml:space="preserve">economic impact. </w:t>
      </w:r>
    </w:p>
    <w:p w:rsidR="00623E7F" w:rsidRDefault="00A951A1"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Post to ensure </w:t>
      </w:r>
      <w:r w:rsidR="00B930B6">
        <w:rPr>
          <w:rFonts w:asciiTheme="minorHAnsi" w:eastAsiaTheme="minorHAnsi" w:hAnsiTheme="minorHAnsi" w:cstheme="minorBidi"/>
          <w:color w:val="495965" w:themeColor="text2"/>
          <w:sz w:val="22"/>
          <w:szCs w:val="22"/>
          <w:lang w:val="en-GB" w:eastAsia="en-US"/>
        </w:rPr>
        <w:t xml:space="preserve">MDF takes a clearer strategic focus, reorienting the project’s strategic plan by the end of 2018, and </w:t>
      </w:r>
      <w:r w:rsidR="00667B88">
        <w:rPr>
          <w:rFonts w:asciiTheme="minorHAnsi" w:eastAsiaTheme="minorHAnsi" w:hAnsiTheme="minorHAnsi" w:cstheme="minorBidi"/>
          <w:color w:val="495965" w:themeColor="text2"/>
          <w:sz w:val="22"/>
          <w:szCs w:val="22"/>
          <w:lang w:val="en-GB" w:eastAsia="en-US"/>
        </w:rPr>
        <w:t xml:space="preserve">ensure </w:t>
      </w:r>
      <w:r w:rsidR="00B930B6">
        <w:rPr>
          <w:rFonts w:asciiTheme="minorHAnsi" w:eastAsiaTheme="minorHAnsi" w:hAnsiTheme="minorHAnsi" w:cstheme="minorBidi"/>
          <w:color w:val="495965" w:themeColor="text2"/>
          <w:sz w:val="22"/>
          <w:szCs w:val="22"/>
          <w:lang w:val="en-GB" w:eastAsia="en-US"/>
        </w:rPr>
        <w:t xml:space="preserve">that MDF has allowed sufficient resourcing to make it operational. </w:t>
      </w:r>
    </w:p>
    <w:p w:rsidR="00C02D01" w:rsidRDefault="00B930B6"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Post to ensure S4IG is testing new skills delivery models and that implementation is </w:t>
      </w:r>
      <w:r w:rsidR="002F3464">
        <w:rPr>
          <w:rFonts w:asciiTheme="minorHAnsi" w:eastAsiaTheme="minorHAnsi" w:hAnsiTheme="minorHAnsi" w:cstheme="minorBidi"/>
          <w:color w:val="495965" w:themeColor="text2"/>
          <w:sz w:val="22"/>
          <w:szCs w:val="22"/>
          <w:lang w:val="en-GB" w:eastAsia="en-US"/>
        </w:rPr>
        <w:t>on track, especially in relation to the inclusion of people with a disability.</w:t>
      </w:r>
    </w:p>
    <w:p w:rsidR="00B930B6" w:rsidRDefault="00C02D01"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Post to encourage learning, collaboration and leveraging between EOP partners. This should include cross learning between MDF, S4IG, LEED and Women in Work on gender and inclusion.</w:t>
      </w:r>
    </w:p>
    <w:p w:rsidR="00A951A1" w:rsidRPr="00C02D01" w:rsidRDefault="00A951A1" w:rsidP="00623E7F">
      <w:pPr>
        <w:pStyle w:val="ListBullet"/>
        <w:tabs>
          <w:tab w:val="clear" w:pos="284"/>
        </w:tabs>
        <w:rPr>
          <w:rFonts w:asciiTheme="minorHAnsi" w:eastAsiaTheme="minorHAnsi" w:hAnsiTheme="minorHAnsi" w:cstheme="minorBidi"/>
          <w:b/>
          <w:color w:val="495965" w:themeColor="text2"/>
          <w:sz w:val="22"/>
          <w:szCs w:val="22"/>
          <w:lang w:val="en-GB" w:eastAsia="en-US"/>
        </w:rPr>
      </w:pPr>
      <w:r w:rsidRPr="00C02D01">
        <w:rPr>
          <w:rFonts w:asciiTheme="minorHAnsi" w:eastAsiaTheme="minorHAnsi" w:hAnsiTheme="minorHAnsi" w:cstheme="minorBidi"/>
          <w:b/>
          <w:color w:val="495965" w:themeColor="text2"/>
          <w:sz w:val="22"/>
          <w:szCs w:val="22"/>
          <w:lang w:val="en-GB" w:eastAsia="en-US"/>
        </w:rPr>
        <w:t>G</w:t>
      </w:r>
      <w:r w:rsidR="00707E58">
        <w:rPr>
          <w:rFonts w:asciiTheme="minorHAnsi" w:eastAsiaTheme="minorHAnsi" w:hAnsiTheme="minorHAnsi" w:cstheme="minorBidi"/>
          <w:b/>
          <w:color w:val="495965" w:themeColor="text2"/>
          <w:sz w:val="22"/>
          <w:szCs w:val="22"/>
          <w:lang w:val="en-GB" w:eastAsia="en-US"/>
        </w:rPr>
        <w:t xml:space="preserve">overnance </w:t>
      </w:r>
      <w:r w:rsidRPr="00C02D01">
        <w:rPr>
          <w:rFonts w:asciiTheme="minorHAnsi" w:eastAsiaTheme="minorHAnsi" w:hAnsiTheme="minorHAnsi" w:cstheme="minorBidi"/>
          <w:b/>
          <w:color w:val="495965" w:themeColor="text2"/>
          <w:sz w:val="22"/>
          <w:szCs w:val="22"/>
          <w:lang w:val="en-GB" w:eastAsia="en-US"/>
        </w:rPr>
        <w:t>4G</w:t>
      </w:r>
      <w:r w:rsidR="00C02D01" w:rsidRPr="00C02D01">
        <w:rPr>
          <w:rFonts w:asciiTheme="minorHAnsi" w:eastAsiaTheme="minorHAnsi" w:hAnsiTheme="minorHAnsi" w:cstheme="minorBidi"/>
          <w:b/>
          <w:color w:val="495965" w:themeColor="text2"/>
          <w:sz w:val="22"/>
          <w:szCs w:val="22"/>
          <w:lang w:val="en-GB" w:eastAsia="en-US"/>
        </w:rPr>
        <w:t>:</w:t>
      </w:r>
    </w:p>
    <w:p w:rsidR="00A951A1" w:rsidRDefault="00A951A1"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Desk and post to work together to ensure an investment level MEL system</w:t>
      </w:r>
      <w:r w:rsidR="00EB16E9">
        <w:rPr>
          <w:rFonts w:asciiTheme="minorHAnsi" w:eastAsiaTheme="minorHAnsi" w:hAnsiTheme="minorHAnsi" w:cstheme="minorBidi"/>
          <w:color w:val="495965" w:themeColor="text2"/>
          <w:sz w:val="22"/>
          <w:szCs w:val="22"/>
          <w:lang w:val="en-GB" w:eastAsia="en-US"/>
        </w:rPr>
        <w:t xml:space="preserve"> is in place to be applied to the 2019 AQC.</w:t>
      </w:r>
    </w:p>
    <w:p w:rsidR="00955C03" w:rsidRDefault="00955C03"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Desk and post to work together to establish a G4G </w:t>
      </w:r>
      <w:r w:rsidR="00096BD5">
        <w:rPr>
          <w:rFonts w:asciiTheme="minorHAnsi" w:eastAsiaTheme="minorHAnsi" w:hAnsiTheme="minorHAnsi" w:cstheme="minorBidi"/>
          <w:color w:val="495965" w:themeColor="text2"/>
          <w:sz w:val="22"/>
          <w:szCs w:val="22"/>
          <w:lang w:val="en-GB" w:eastAsia="en-US"/>
        </w:rPr>
        <w:t>L</w:t>
      </w:r>
      <w:r>
        <w:rPr>
          <w:rFonts w:asciiTheme="minorHAnsi" w:eastAsiaTheme="minorHAnsi" w:hAnsiTheme="minorHAnsi" w:cstheme="minorBidi"/>
          <w:color w:val="495965" w:themeColor="text2"/>
          <w:sz w:val="22"/>
          <w:szCs w:val="22"/>
          <w:lang w:val="en-GB" w:eastAsia="en-US"/>
        </w:rPr>
        <w:t xml:space="preserve">inkages </w:t>
      </w:r>
      <w:r w:rsidR="00096BD5">
        <w:rPr>
          <w:rFonts w:asciiTheme="minorHAnsi" w:eastAsiaTheme="minorHAnsi" w:hAnsiTheme="minorHAnsi" w:cstheme="minorBidi"/>
          <w:color w:val="495965" w:themeColor="text2"/>
          <w:sz w:val="22"/>
          <w:szCs w:val="22"/>
          <w:lang w:val="en-GB" w:eastAsia="en-US"/>
        </w:rPr>
        <w:t>Program</w:t>
      </w:r>
      <w:r>
        <w:rPr>
          <w:rFonts w:asciiTheme="minorHAnsi" w:eastAsiaTheme="minorHAnsi" w:hAnsiTheme="minorHAnsi" w:cstheme="minorBidi"/>
          <w:color w:val="495965" w:themeColor="text2"/>
          <w:sz w:val="22"/>
          <w:szCs w:val="22"/>
          <w:lang w:val="en-GB" w:eastAsia="en-US"/>
        </w:rPr>
        <w:t>.</w:t>
      </w:r>
    </w:p>
    <w:p w:rsidR="00955C03" w:rsidRDefault="00955C03"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Establish a G4G technical assistance team</w:t>
      </w:r>
      <w:r w:rsidR="003153A6">
        <w:rPr>
          <w:rFonts w:asciiTheme="minorHAnsi" w:eastAsiaTheme="minorHAnsi" w:hAnsiTheme="minorHAnsi" w:cstheme="minorBidi"/>
          <w:color w:val="495965" w:themeColor="text2"/>
          <w:sz w:val="22"/>
          <w:szCs w:val="22"/>
          <w:lang w:val="en-GB" w:eastAsia="en-US"/>
        </w:rPr>
        <w:t>.</w:t>
      </w:r>
    </w:p>
    <w:p w:rsidR="00955C03" w:rsidRDefault="00955C03"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DFAT to review SNGP, due to finish in March 2019</w:t>
      </w:r>
      <w:r w:rsidR="003153A6">
        <w:rPr>
          <w:rFonts w:asciiTheme="minorHAnsi" w:eastAsiaTheme="minorHAnsi" w:hAnsiTheme="minorHAnsi" w:cstheme="minorBidi"/>
          <w:color w:val="495965" w:themeColor="text2"/>
          <w:sz w:val="22"/>
          <w:szCs w:val="22"/>
          <w:lang w:val="en-GB" w:eastAsia="en-US"/>
        </w:rPr>
        <w:t>.</w:t>
      </w:r>
    </w:p>
    <w:p w:rsidR="00955C03" w:rsidRDefault="00955C03"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DFAT to monitor effectiveness of G4G </w:t>
      </w:r>
      <w:proofErr w:type="gramStart"/>
      <w:r>
        <w:rPr>
          <w:rFonts w:asciiTheme="minorHAnsi" w:eastAsiaTheme="minorHAnsi" w:hAnsiTheme="minorHAnsi" w:cstheme="minorBidi"/>
          <w:color w:val="495965" w:themeColor="text2"/>
          <w:sz w:val="22"/>
          <w:szCs w:val="22"/>
          <w:lang w:val="en-GB" w:eastAsia="en-US"/>
        </w:rPr>
        <w:t>partners</w:t>
      </w:r>
      <w:proofErr w:type="gramEnd"/>
      <w:r>
        <w:rPr>
          <w:rFonts w:asciiTheme="minorHAnsi" w:eastAsiaTheme="minorHAnsi" w:hAnsiTheme="minorHAnsi" w:cstheme="minorBidi"/>
          <w:color w:val="495965" w:themeColor="text2"/>
          <w:sz w:val="22"/>
          <w:szCs w:val="22"/>
          <w:lang w:val="en-GB" w:eastAsia="en-US"/>
        </w:rPr>
        <w:t xml:space="preserve"> in promoting gender equality</w:t>
      </w:r>
      <w:r w:rsidR="003153A6">
        <w:rPr>
          <w:rFonts w:asciiTheme="minorHAnsi" w:eastAsiaTheme="minorHAnsi" w:hAnsiTheme="minorHAnsi" w:cstheme="minorBidi"/>
          <w:color w:val="495965" w:themeColor="text2"/>
          <w:sz w:val="22"/>
          <w:szCs w:val="22"/>
          <w:lang w:val="en-GB" w:eastAsia="en-US"/>
        </w:rPr>
        <w:t>.</w:t>
      </w:r>
    </w:p>
    <w:p w:rsidR="003153A6" w:rsidRPr="003153A6" w:rsidRDefault="00341D77" w:rsidP="00623E7F">
      <w:pPr>
        <w:pStyle w:val="ListBullet"/>
        <w:tabs>
          <w:tab w:val="clear" w:pos="284"/>
        </w:tabs>
        <w:rPr>
          <w:rFonts w:asciiTheme="minorHAnsi" w:eastAsiaTheme="minorHAnsi" w:hAnsiTheme="minorHAnsi" w:cstheme="minorBidi"/>
          <w:b/>
          <w:color w:val="495965" w:themeColor="text2"/>
          <w:sz w:val="22"/>
          <w:szCs w:val="22"/>
          <w:lang w:val="en-GB" w:eastAsia="en-US"/>
        </w:rPr>
      </w:pPr>
      <w:r>
        <w:rPr>
          <w:rFonts w:asciiTheme="minorHAnsi" w:eastAsiaTheme="minorHAnsi" w:hAnsiTheme="minorHAnsi" w:cstheme="minorBidi"/>
          <w:b/>
          <w:color w:val="495965" w:themeColor="text2"/>
          <w:sz w:val="22"/>
          <w:szCs w:val="22"/>
          <w:lang w:val="en-GB" w:eastAsia="en-US"/>
        </w:rPr>
        <w:t>Gender Equality</w:t>
      </w:r>
      <w:r w:rsidR="003153A6" w:rsidRPr="003153A6">
        <w:rPr>
          <w:rFonts w:asciiTheme="minorHAnsi" w:eastAsiaTheme="minorHAnsi" w:hAnsiTheme="minorHAnsi" w:cstheme="minorBidi"/>
          <w:b/>
          <w:color w:val="495965" w:themeColor="text2"/>
          <w:sz w:val="22"/>
          <w:szCs w:val="22"/>
          <w:lang w:val="en-GB" w:eastAsia="en-US"/>
        </w:rPr>
        <w:t>:</w:t>
      </w:r>
    </w:p>
    <w:p w:rsidR="003153A6" w:rsidRDefault="003153A6"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DFAT to recruit an external advisor to assist with monitoring the program and providing expert advice</w:t>
      </w:r>
      <w:r w:rsidR="002F3464">
        <w:rPr>
          <w:rFonts w:asciiTheme="minorHAnsi" w:eastAsiaTheme="minorHAnsi" w:hAnsiTheme="minorHAnsi" w:cstheme="minorBidi"/>
          <w:color w:val="495965" w:themeColor="text2"/>
          <w:sz w:val="22"/>
          <w:szCs w:val="22"/>
          <w:lang w:val="en-GB" w:eastAsia="en-US"/>
        </w:rPr>
        <w:t xml:space="preserve"> across the bilateral program</w:t>
      </w:r>
      <w:r>
        <w:rPr>
          <w:rFonts w:asciiTheme="minorHAnsi" w:eastAsiaTheme="minorHAnsi" w:hAnsiTheme="minorHAnsi" w:cstheme="minorBidi"/>
          <w:color w:val="495965" w:themeColor="text2"/>
          <w:sz w:val="22"/>
          <w:szCs w:val="22"/>
          <w:lang w:val="en-GB" w:eastAsia="en-US"/>
        </w:rPr>
        <w:t>.</w:t>
      </w:r>
    </w:p>
    <w:p w:rsidR="003153A6" w:rsidRDefault="003153A6"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D</w:t>
      </w:r>
      <w:r w:rsidR="00A43DF0">
        <w:rPr>
          <w:rFonts w:asciiTheme="minorHAnsi" w:eastAsiaTheme="minorHAnsi" w:hAnsiTheme="minorHAnsi" w:cstheme="minorBidi"/>
          <w:color w:val="495965" w:themeColor="text2"/>
          <w:sz w:val="22"/>
          <w:szCs w:val="22"/>
          <w:lang w:val="en-GB" w:eastAsia="en-US"/>
        </w:rPr>
        <w:t>FAT to work with IFC to improve</w:t>
      </w:r>
      <w:r>
        <w:rPr>
          <w:rFonts w:asciiTheme="minorHAnsi" w:eastAsiaTheme="minorHAnsi" w:hAnsiTheme="minorHAnsi" w:cstheme="minorBidi"/>
          <w:color w:val="495965" w:themeColor="text2"/>
          <w:sz w:val="22"/>
          <w:szCs w:val="22"/>
          <w:lang w:val="en-GB" w:eastAsia="en-US"/>
        </w:rPr>
        <w:t xml:space="preserve"> qualitative monitoring of the </w:t>
      </w:r>
      <w:r w:rsidR="00341D77">
        <w:rPr>
          <w:rFonts w:asciiTheme="minorHAnsi" w:eastAsiaTheme="minorHAnsi" w:hAnsiTheme="minorHAnsi" w:cstheme="minorBidi"/>
          <w:color w:val="495965" w:themeColor="text2"/>
          <w:sz w:val="22"/>
          <w:szCs w:val="22"/>
          <w:lang w:val="en-GB" w:eastAsia="en-US"/>
        </w:rPr>
        <w:t xml:space="preserve">Women in Work </w:t>
      </w:r>
      <w:r>
        <w:rPr>
          <w:rFonts w:asciiTheme="minorHAnsi" w:eastAsiaTheme="minorHAnsi" w:hAnsiTheme="minorHAnsi" w:cstheme="minorBidi"/>
          <w:color w:val="495965" w:themeColor="text2"/>
          <w:sz w:val="22"/>
          <w:szCs w:val="22"/>
          <w:lang w:val="en-GB" w:eastAsia="en-US"/>
        </w:rPr>
        <w:t>program</w:t>
      </w:r>
      <w:r w:rsidR="00C44F99">
        <w:rPr>
          <w:rFonts w:asciiTheme="minorHAnsi" w:eastAsiaTheme="minorHAnsi" w:hAnsiTheme="minorHAnsi" w:cstheme="minorBidi"/>
          <w:color w:val="495965" w:themeColor="text2"/>
          <w:sz w:val="22"/>
          <w:szCs w:val="22"/>
          <w:lang w:val="en-GB" w:eastAsia="en-US"/>
        </w:rPr>
        <w:t>, including greater visibility of the activity pipeline</w:t>
      </w:r>
      <w:r w:rsidR="001A08B4">
        <w:rPr>
          <w:rFonts w:asciiTheme="minorHAnsi" w:eastAsiaTheme="minorHAnsi" w:hAnsiTheme="minorHAnsi" w:cstheme="minorBidi"/>
          <w:color w:val="495965" w:themeColor="text2"/>
          <w:sz w:val="22"/>
          <w:szCs w:val="22"/>
          <w:lang w:val="en-GB" w:eastAsia="en-US"/>
        </w:rPr>
        <w:t xml:space="preserve">, clearer explanation of progress towards program targets and budget forecasts. </w:t>
      </w:r>
    </w:p>
    <w:p w:rsidR="00185591" w:rsidRPr="00185591" w:rsidRDefault="00185591" w:rsidP="00623E7F">
      <w:pPr>
        <w:pStyle w:val="ListBullet"/>
        <w:tabs>
          <w:tab w:val="clear" w:pos="284"/>
        </w:tabs>
        <w:rPr>
          <w:rFonts w:asciiTheme="minorHAnsi" w:eastAsiaTheme="minorHAnsi" w:hAnsiTheme="minorHAnsi" w:cstheme="minorBidi"/>
          <w:b/>
          <w:color w:val="495965" w:themeColor="text2"/>
          <w:sz w:val="22"/>
          <w:szCs w:val="22"/>
          <w:lang w:val="en-GB" w:eastAsia="en-US"/>
        </w:rPr>
      </w:pPr>
      <w:r w:rsidRPr="00185591">
        <w:rPr>
          <w:rFonts w:asciiTheme="minorHAnsi" w:eastAsiaTheme="minorHAnsi" w:hAnsiTheme="minorHAnsi" w:cstheme="minorBidi"/>
          <w:b/>
          <w:color w:val="495965" w:themeColor="text2"/>
          <w:sz w:val="22"/>
          <w:szCs w:val="22"/>
          <w:lang w:val="en-GB" w:eastAsia="en-US"/>
        </w:rPr>
        <w:t>Program-wide</w:t>
      </w:r>
    </w:p>
    <w:p w:rsidR="00185591" w:rsidRDefault="00185591" w:rsidP="00623E7F">
      <w:pPr>
        <w:pStyle w:val="ListBullet"/>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Desk</w:t>
      </w:r>
      <w:r w:rsidR="00096BD5">
        <w:rPr>
          <w:rFonts w:asciiTheme="minorHAnsi" w:eastAsiaTheme="minorHAnsi" w:hAnsiTheme="minorHAnsi" w:cstheme="minorBidi"/>
          <w:color w:val="495965" w:themeColor="text2"/>
          <w:sz w:val="22"/>
          <w:szCs w:val="22"/>
          <w:lang w:val="en-GB" w:eastAsia="en-US"/>
        </w:rPr>
        <w:t xml:space="preserve"> and Post</w:t>
      </w:r>
      <w:r>
        <w:rPr>
          <w:rFonts w:asciiTheme="minorHAnsi" w:eastAsiaTheme="minorHAnsi" w:hAnsiTheme="minorHAnsi" w:cstheme="minorBidi"/>
          <w:color w:val="495965" w:themeColor="text2"/>
          <w:sz w:val="22"/>
          <w:szCs w:val="22"/>
          <w:lang w:val="en-GB" w:eastAsia="en-US"/>
        </w:rPr>
        <w:t xml:space="preserve"> to advance development of the next A</w:t>
      </w:r>
      <w:r w:rsidR="00707E58">
        <w:rPr>
          <w:rFonts w:asciiTheme="minorHAnsi" w:eastAsiaTheme="minorHAnsi" w:hAnsiTheme="minorHAnsi" w:cstheme="minorBidi"/>
          <w:color w:val="495965" w:themeColor="text2"/>
          <w:sz w:val="22"/>
          <w:szCs w:val="22"/>
          <w:lang w:val="en-GB" w:eastAsia="en-US"/>
        </w:rPr>
        <w:t>id Investment Plan, including how better to mainstream strategies on gender equality and people with a disability</w:t>
      </w:r>
      <w:r w:rsidR="00096BD5">
        <w:rPr>
          <w:rFonts w:asciiTheme="minorHAnsi" w:eastAsiaTheme="minorHAnsi" w:hAnsiTheme="minorHAnsi" w:cstheme="minorBidi"/>
          <w:color w:val="495965" w:themeColor="text2"/>
          <w:sz w:val="22"/>
          <w:szCs w:val="22"/>
          <w:lang w:val="en-GB" w:eastAsia="en-US"/>
        </w:rPr>
        <w:t>.</w:t>
      </w:r>
    </w:p>
    <w:p w:rsidR="003153A6" w:rsidRDefault="003153A6" w:rsidP="00623E7F">
      <w:pPr>
        <w:pStyle w:val="ListBullet"/>
        <w:tabs>
          <w:tab w:val="clear" w:pos="284"/>
        </w:tabs>
        <w:rPr>
          <w:rFonts w:asciiTheme="minorHAnsi" w:eastAsiaTheme="minorHAnsi" w:hAnsiTheme="minorHAnsi" w:cstheme="minorBidi"/>
          <w:color w:val="495965" w:themeColor="text2"/>
          <w:sz w:val="22"/>
          <w:szCs w:val="22"/>
          <w:lang w:val="en-GB" w:eastAsia="en-US"/>
        </w:rPr>
      </w:pPr>
    </w:p>
    <w:p w:rsidR="00955C03" w:rsidRDefault="00955C03" w:rsidP="00623E7F">
      <w:pPr>
        <w:pStyle w:val="ListBullet"/>
        <w:tabs>
          <w:tab w:val="clear" w:pos="284"/>
        </w:tabs>
        <w:rPr>
          <w:rFonts w:asciiTheme="minorHAnsi" w:eastAsiaTheme="minorHAnsi" w:hAnsiTheme="minorHAnsi" w:cstheme="minorBidi"/>
          <w:color w:val="495965" w:themeColor="text2"/>
          <w:sz w:val="22"/>
          <w:szCs w:val="22"/>
          <w:lang w:val="en-GB" w:eastAsia="en-US"/>
        </w:rPr>
      </w:pPr>
    </w:p>
    <w:p w:rsidR="00D00802" w:rsidRDefault="00D00802" w:rsidP="005B5769">
      <w:pPr>
        <w:pStyle w:val="ListBullet"/>
        <w:tabs>
          <w:tab w:val="clear" w:pos="284"/>
        </w:tabs>
        <w:sectPr w:rsidR="00D00802" w:rsidSect="00D2653F">
          <w:headerReference w:type="default" r:id="rId25"/>
          <w:footerReference w:type="default" r:id="rId26"/>
          <w:pgSz w:w="11906" w:h="16838" w:code="9"/>
          <w:pgMar w:top="1811" w:right="1134" w:bottom="851" w:left="1134" w:header="1565" w:footer="342" w:gutter="0"/>
          <w:cols w:space="397"/>
          <w:docGrid w:linePitch="360"/>
        </w:sectPr>
      </w:pPr>
    </w:p>
    <w:p w:rsidR="00015316" w:rsidRDefault="00015316" w:rsidP="005B5769">
      <w:pPr>
        <w:pStyle w:val="ListBullet"/>
        <w:tabs>
          <w:tab w:val="clear" w:pos="284"/>
        </w:tabs>
      </w:pPr>
    </w:p>
    <w:p w:rsidR="00D00802" w:rsidRDefault="00D00802" w:rsidP="005B5769">
      <w:pPr>
        <w:pStyle w:val="ListBullet"/>
        <w:tabs>
          <w:tab w:val="clear" w:pos="284"/>
        </w:tabs>
      </w:pPr>
    </w:p>
    <w:p w:rsidR="00AF1B85" w:rsidRPr="00A8197B" w:rsidRDefault="00AF1B85" w:rsidP="005E606B">
      <w:pPr>
        <w:pStyle w:val="Subtitle"/>
      </w:pPr>
      <w:r w:rsidRPr="00A8197B">
        <w:t>Annex A - Progress in Addressing Management Responses</w:t>
      </w:r>
    </w:p>
    <w:p w:rsidR="00AF1B85" w:rsidRPr="00C61187" w:rsidRDefault="00AF1B85" w:rsidP="00A8197B">
      <w:r w:rsidRPr="00C61187">
        <w:t>Describe progress made against management responses in 201</w:t>
      </w:r>
      <w:r w:rsidR="00580A64">
        <w:t>6</w:t>
      </w:r>
      <w:r w:rsidRPr="00C61187">
        <w:t>-1</w:t>
      </w:r>
      <w:r w:rsidR="00580A64">
        <w:t>7</w:t>
      </w:r>
      <w:r w:rsidRPr="00C61187">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6317"/>
        <w:gridCol w:w="1621"/>
        <w:gridCol w:w="6305"/>
      </w:tblGrid>
      <w:tr w:rsidR="00AF1B85" w:rsidRPr="00812509" w:rsidTr="001F2A43">
        <w:trPr>
          <w:cnfStyle w:val="000000010000" w:firstRow="0" w:lastRow="0" w:firstColumn="0" w:lastColumn="0" w:oddVBand="0" w:evenVBand="0" w:oddHBand="0" w:evenHBand="1" w:firstRowFirstColumn="0" w:firstRowLastColumn="0" w:lastRowFirstColumn="0" w:lastRowLastColumn="0"/>
        </w:trPr>
        <w:tc>
          <w:tcPr>
            <w:tcW w:w="6275" w:type="dxa"/>
          </w:tcPr>
          <w:p w:rsidR="00AF1B85" w:rsidRPr="00812509" w:rsidRDefault="00AF1B85" w:rsidP="00580A64">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580A64">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580A64">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593" w:type="dxa"/>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263" w:type="dxa"/>
          </w:tcPr>
          <w:p w:rsidR="00AF1B85" w:rsidRPr="00812509" w:rsidRDefault="00AF1B85" w:rsidP="00580A64">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580A64">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-1</w:t>
            </w:r>
            <w:r w:rsidR="00580A64">
              <w:rPr>
                <w:rFonts w:asciiTheme="minorHAnsi" w:eastAsia="Times New Roman" w:hAnsiTheme="minorHAnsi"/>
                <w:b/>
                <w:iCs/>
                <w:szCs w:val="17"/>
                <w:lang w:eastAsia="en-US"/>
              </w:rPr>
              <w:t>8</w:t>
            </w:r>
          </w:p>
        </w:tc>
      </w:tr>
      <w:tr w:rsidR="00AF1B85" w:rsidRPr="00812509" w:rsidTr="00083E41">
        <w:trPr>
          <w:cnfStyle w:val="000000010000" w:firstRow="0" w:lastRow="0" w:firstColumn="0" w:lastColumn="0" w:oddVBand="0" w:evenVBand="0" w:oddHBand="0" w:evenHBand="1" w:firstRowFirstColumn="0" w:firstRowLastColumn="0" w:lastRowFirstColumn="0" w:lastRowLastColumn="0"/>
        </w:trPr>
        <w:tc>
          <w:tcPr>
            <w:tcW w:w="6275" w:type="dxa"/>
          </w:tcPr>
          <w:p w:rsidR="00C701AB" w:rsidRPr="00812509" w:rsidRDefault="00C701AB"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Work to ensure that policy advice generated from our aid investments and advisors is of high quality and explore opportunities to advance trade through new technology</w:t>
            </w:r>
            <w:r w:rsidR="00D50CFE">
              <w:rPr>
                <w:rFonts w:asciiTheme="minorHAnsi" w:eastAsia="Times New Roman" w:hAnsiTheme="minorHAnsi"/>
                <w:iCs/>
                <w:szCs w:val="17"/>
                <w:lang w:eastAsia="en-US"/>
              </w:rPr>
              <w:t>.</w:t>
            </w:r>
          </w:p>
        </w:tc>
        <w:tc>
          <w:tcPr>
            <w:tcW w:w="1593" w:type="dxa"/>
            <w:shd w:val="clear" w:color="auto" w:fill="92D050"/>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263" w:type="dxa"/>
          </w:tcPr>
          <w:p w:rsidR="00AF1B85" w:rsidRPr="0053059C" w:rsidRDefault="00A43DF0" w:rsidP="00341D77">
            <w:pPr>
              <w:keepLines/>
              <w:spacing w:before="40" w:after="40" w:line="200" w:lineRule="atLeast"/>
              <w:rPr>
                <w:rFonts w:asciiTheme="minorHAnsi" w:eastAsia="Times New Roman" w:hAnsiTheme="minorHAnsi"/>
                <w:iCs/>
                <w:color w:val="595959" w:themeColor="text1" w:themeTint="A6"/>
                <w:szCs w:val="17"/>
                <w:lang w:eastAsia="en-US"/>
              </w:rPr>
            </w:pPr>
            <w:r w:rsidRPr="0053059C">
              <w:rPr>
                <w:rFonts w:asciiTheme="minorHAnsi" w:eastAsia="Times New Roman" w:hAnsiTheme="minorHAnsi"/>
                <w:iCs/>
                <w:color w:val="595959" w:themeColor="text1" w:themeTint="A6"/>
                <w:szCs w:val="17"/>
                <w:lang w:eastAsia="en-US"/>
              </w:rPr>
              <w:t>A Technology for Trade Conference run in Colombo in late 2018 highlighted the quality of Australian-supported policy ideas on this issue.</w:t>
            </w:r>
          </w:p>
        </w:tc>
      </w:tr>
      <w:tr w:rsidR="00AF1B85" w:rsidRPr="00812509" w:rsidTr="001F2A43">
        <w:trPr>
          <w:cnfStyle w:val="000000010000" w:firstRow="0" w:lastRow="0" w:firstColumn="0" w:lastColumn="0" w:oddVBand="0" w:evenVBand="0" w:oddHBand="0" w:evenHBand="1" w:firstRowFirstColumn="0" w:firstRowLastColumn="0" w:lastRowFirstColumn="0" w:lastRowLastColumn="0"/>
        </w:trPr>
        <w:tc>
          <w:tcPr>
            <w:tcW w:w="6275" w:type="dxa"/>
          </w:tcPr>
          <w:p w:rsidR="00AF1B85" w:rsidRPr="00812509" w:rsidRDefault="00D50CF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Review whole-of-government performance benchmarks and monitoring and evaluation systems of all investments to ensure that they a) are providing accurate, gender-sensitive and disability-disaggregated assessments of performance, and b) are assisting DFAT managers to track shifts in the political economy effectively, enabling appropriate adjustments to investments and activities to be made.</w:t>
            </w:r>
          </w:p>
        </w:tc>
        <w:tc>
          <w:tcPr>
            <w:tcW w:w="1593" w:type="dxa"/>
            <w:shd w:val="clear" w:color="auto" w:fill="FFC000"/>
          </w:tcPr>
          <w:p w:rsidR="00AF1B85" w:rsidRPr="00812509" w:rsidRDefault="004C1134"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Partly </w:t>
            </w:r>
            <w:r w:rsidR="00AF1B85" w:rsidRPr="00812509">
              <w:rPr>
                <w:rFonts w:asciiTheme="minorHAnsi" w:eastAsia="Times New Roman" w:hAnsiTheme="minorHAnsi"/>
                <w:iCs/>
                <w:color w:val="FFFFFF" w:themeColor="background1"/>
                <w:szCs w:val="17"/>
                <w:lang w:eastAsia="en-US"/>
              </w:rPr>
              <w:t>Achieved</w:t>
            </w:r>
            <w:r w:rsidR="00AF1B85" w:rsidRPr="00812509">
              <w:rPr>
                <w:rFonts w:eastAsia="Times New Roman"/>
                <w:iCs/>
                <w:color w:val="FFFFFF" w:themeColor="background1"/>
                <w:szCs w:val="17"/>
              </w:rPr>
              <w:fldChar w:fldCharType="begin"/>
            </w:r>
            <w:r w:rsidR="00AF1B85"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00AF1B85" w:rsidRPr="00812509">
              <w:rPr>
                <w:rFonts w:eastAsia="Times New Roman"/>
                <w:iCs/>
                <w:color w:val="FFFFFF" w:themeColor="background1"/>
                <w:szCs w:val="17"/>
              </w:rPr>
              <w:fldChar w:fldCharType="end"/>
            </w:r>
          </w:p>
        </w:tc>
        <w:tc>
          <w:tcPr>
            <w:tcW w:w="6263" w:type="dxa"/>
          </w:tcPr>
          <w:p w:rsidR="00EC1736" w:rsidRDefault="00EC1736" w:rsidP="00D15A00">
            <w:pPr>
              <w:keepLines/>
              <w:spacing w:before="40" w:after="40" w:line="200" w:lineRule="atLeast"/>
              <w:rPr>
                <w:rFonts w:asciiTheme="minorHAnsi" w:eastAsia="Times New Roman" w:hAnsiTheme="minorHAnsi"/>
                <w:iCs/>
                <w:color w:val="92D050"/>
                <w:szCs w:val="17"/>
                <w:lang w:eastAsia="en-US"/>
              </w:rPr>
            </w:pPr>
          </w:p>
          <w:p w:rsidR="00AF1B85" w:rsidRPr="0053059C" w:rsidRDefault="00A43DF0" w:rsidP="00341D77">
            <w:pPr>
              <w:rPr>
                <w:rFonts w:asciiTheme="minorHAnsi" w:eastAsia="Times New Roman" w:hAnsiTheme="minorHAnsi"/>
                <w:szCs w:val="17"/>
              </w:rPr>
            </w:pPr>
            <w:r>
              <w:rPr>
                <w:rFonts w:asciiTheme="minorHAnsi" w:eastAsia="Times New Roman" w:hAnsiTheme="minorHAnsi"/>
                <w:szCs w:val="17"/>
              </w:rPr>
              <w:t xml:space="preserve">There was partial improvement in existing investment M&amp;E systems, especially </w:t>
            </w:r>
            <w:r w:rsidR="00341D77">
              <w:rPr>
                <w:rFonts w:asciiTheme="minorHAnsi" w:eastAsia="Times New Roman" w:hAnsiTheme="minorHAnsi"/>
                <w:szCs w:val="17"/>
              </w:rPr>
              <w:t>with respect to</w:t>
            </w:r>
            <w:r>
              <w:rPr>
                <w:rFonts w:asciiTheme="minorHAnsi" w:eastAsia="Times New Roman" w:hAnsiTheme="minorHAnsi"/>
                <w:szCs w:val="17"/>
              </w:rPr>
              <w:t xml:space="preserve"> gender quality assessment. Delays in the development of new</w:t>
            </w:r>
            <w:r w:rsidR="00DC439A">
              <w:rPr>
                <w:rFonts w:asciiTheme="minorHAnsi" w:eastAsia="Times New Roman" w:hAnsiTheme="minorHAnsi"/>
                <w:szCs w:val="17"/>
              </w:rPr>
              <w:t xml:space="preserve"> M&amp;E systems, especially in governance programs</w:t>
            </w:r>
            <w:r>
              <w:rPr>
                <w:rFonts w:asciiTheme="minorHAnsi" w:eastAsia="Times New Roman" w:hAnsiTheme="minorHAnsi"/>
                <w:szCs w:val="17"/>
              </w:rPr>
              <w:t xml:space="preserve">, means this </w:t>
            </w:r>
            <w:proofErr w:type="gramStart"/>
            <w:r>
              <w:rPr>
                <w:rFonts w:asciiTheme="minorHAnsi" w:eastAsia="Times New Roman" w:hAnsiTheme="minorHAnsi"/>
                <w:szCs w:val="17"/>
              </w:rPr>
              <w:t>can only be assessed</w:t>
            </w:r>
            <w:proofErr w:type="gramEnd"/>
            <w:r>
              <w:rPr>
                <w:rFonts w:asciiTheme="minorHAnsi" w:eastAsia="Times New Roman" w:hAnsiTheme="minorHAnsi"/>
                <w:szCs w:val="17"/>
              </w:rPr>
              <w:t xml:space="preserve"> as partly achieved.</w:t>
            </w:r>
          </w:p>
        </w:tc>
      </w:tr>
      <w:tr w:rsidR="00D50CFE" w:rsidRPr="00812509" w:rsidTr="001F2A43">
        <w:trPr>
          <w:cnfStyle w:val="000000010000" w:firstRow="0" w:lastRow="0" w:firstColumn="0" w:lastColumn="0" w:oddVBand="0" w:evenVBand="0" w:oddHBand="0" w:evenHBand="1" w:firstRowFirstColumn="0" w:firstRowLastColumn="0" w:lastRowFirstColumn="0" w:lastRowLastColumn="0"/>
        </w:trPr>
        <w:tc>
          <w:tcPr>
            <w:tcW w:w="6275" w:type="dxa"/>
          </w:tcPr>
          <w:p w:rsidR="00D50CFE" w:rsidRPr="00812509" w:rsidRDefault="00D50CF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Establish a core team of technical experts (including monitoring and evaluation; gender and disability inclusion; private sector engagement) to provide DFAT with advice across all major investments.</w:t>
            </w:r>
          </w:p>
        </w:tc>
        <w:tc>
          <w:tcPr>
            <w:tcW w:w="1593" w:type="dxa"/>
            <w:shd w:val="clear" w:color="auto" w:fill="FFC000"/>
          </w:tcPr>
          <w:p w:rsidR="00D50CFE" w:rsidRPr="00812509" w:rsidRDefault="00D50CFE"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Partly </w:t>
            </w:r>
            <w:r w:rsidRPr="00812509">
              <w:rPr>
                <w:rFonts w:asciiTheme="minorHAnsi" w:eastAsia="Times New Roman" w:hAnsiTheme="minorHAnsi"/>
                <w:iCs/>
                <w:color w:val="FFFFFF" w:themeColor="background1"/>
                <w:szCs w:val="17"/>
                <w:lang w:eastAsia="en-US"/>
              </w:rPr>
              <w:t>achieved</w:t>
            </w:r>
          </w:p>
        </w:tc>
        <w:tc>
          <w:tcPr>
            <w:tcW w:w="6263" w:type="dxa"/>
          </w:tcPr>
          <w:p w:rsidR="00D50CFE" w:rsidRPr="0053059C" w:rsidRDefault="00A43DF0" w:rsidP="00D15A00">
            <w:pPr>
              <w:keepLines/>
              <w:spacing w:before="40" w:after="40" w:line="200" w:lineRule="atLeast"/>
              <w:rPr>
                <w:rFonts w:asciiTheme="minorHAnsi" w:eastAsia="Times New Roman" w:hAnsiTheme="minorHAnsi"/>
                <w:iCs/>
                <w:color w:val="595959" w:themeColor="text1" w:themeTint="A6"/>
                <w:szCs w:val="17"/>
                <w:lang w:eastAsia="en-US"/>
              </w:rPr>
            </w:pPr>
            <w:r w:rsidRPr="0053059C">
              <w:rPr>
                <w:rFonts w:asciiTheme="minorHAnsi" w:eastAsia="Times New Roman" w:hAnsiTheme="minorHAnsi"/>
                <w:iCs/>
                <w:color w:val="595959" w:themeColor="text1" w:themeTint="A6"/>
                <w:szCs w:val="17"/>
                <w:lang w:eastAsia="en-US"/>
              </w:rPr>
              <w:t xml:space="preserve">Existing arrangements with M&amp;E and tourism experts </w:t>
            </w:r>
            <w:proofErr w:type="gramStart"/>
            <w:r w:rsidRPr="0053059C">
              <w:rPr>
                <w:rFonts w:asciiTheme="minorHAnsi" w:eastAsia="Times New Roman" w:hAnsiTheme="minorHAnsi"/>
                <w:iCs/>
                <w:color w:val="595959" w:themeColor="text1" w:themeTint="A6"/>
                <w:szCs w:val="17"/>
                <w:lang w:eastAsia="en-US"/>
              </w:rPr>
              <w:t>were extended</w:t>
            </w:r>
            <w:proofErr w:type="gramEnd"/>
            <w:r w:rsidRPr="0053059C">
              <w:rPr>
                <w:rFonts w:asciiTheme="minorHAnsi" w:eastAsia="Times New Roman" w:hAnsiTheme="minorHAnsi"/>
                <w:iCs/>
                <w:color w:val="595959" w:themeColor="text1" w:themeTint="A6"/>
                <w:szCs w:val="17"/>
                <w:lang w:eastAsia="en-US"/>
              </w:rPr>
              <w:t xml:space="preserve"> to cover delays in establishing a new, comprehensive advisor team.</w:t>
            </w:r>
          </w:p>
        </w:tc>
      </w:tr>
      <w:tr w:rsidR="00661396" w:rsidRPr="00812509" w:rsidTr="00A43DF0">
        <w:trPr>
          <w:cnfStyle w:val="000000010000" w:firstRow="0" w:lastRow="0" w:firstColumn="0" w:lastColumn="0" w:oddVBand="0" w:evenVBand="0" w:oddHBand="0" w:evenHBand="1" w:firstRowFirstColumn="0" w:firstRowLastColumn="0" w:lastRowFirstColumn="0" w:lastRowLastColumn="0"/>
        </w:trPr>
        <w:tc>
          <w:tcPr>
            <w:tcW w:w="6275" w:type="dxa"/>
          </w:tcPr>
          <w:p w:rsidR="00661396" w:rsidRPr="00661396" w:rsidRDefault="00661396"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Establish bi-annual implementation partner forums to promote collaboration and complementarities between investments.</w:t>
            </w:r>
          </w:p>
        </w:tc>
        <w:tc>
          <w:tcPr>
            <w:tcW w:w="1593" w:type="dxa"/>
            <w:shd w:val="clear" w:color="auto" w:fill="92D050"/>
          </w:tcPr>
          <w:p w:rsidR="00661396" w:rsidRDefault="00096BD5" w:rsidP="00D15A00">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263" w:type="dxa"/>
          </w:tcPr>
          <w:p w:rsidR="00661396" w:rsidRPr="00B805A3" w:rsidRDefault="00A43DF0"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Partner forums established and </w:t>
            </w:r>
            <w:proofErr w:type="gramStart"/>
            <w:r>
              <w:rPr>
                <w:rFonts w:asciiTheme="minorHAnsi" w:eastAsia="Times New Roman" w:hAnsiTheme="minorHAnsi"/>
                <w:iCs/>
                <w:szCs w:val="17"/>
                <w:lang w:eastAsia="en-US"/>
              </w:rPr>
              <w:t>will be built on</w:t>
            </w:r>
            <w:proofErr w:type="gramEnd"/>
            <w:r>
              <w:rPr>
                <w:rFonts w:asciiTheme="minorHAnsi" w:eastAsia="Times New Roman" w:hAnsiTheme="minorHAnsi"/>
                <w:iCs/>
                <w:szCs w:val="17"/>
                <w:lang w:eastAsia="en-US"/>
              </w:rPr>
              <w:t xml:space="preserve"> as key places for information exchange.</w:t>
            </w:r>
          </w:p>
        </w:tc>
      </w:tr>
      <w:tr w:rsidR="00661396" w:rsidRPr="00812509" w:rsidTr="00B805A3">
        <w:trPr>
          <w:cnfStyle w:val="000000010000" w:firstRow="0" w:lastRow="0" w:firstColumn="0" w:lastColumn="0" w:oddVBand="0" w:evenVBand="0" w:oddHBand="0" w:evenHBand="1" w:firstRowFirstColumn="0" w:firstRowLastColumn="0" w:lastRowFirstColumn="0" w:lastRowLastColumn="0"/>
        </w:trPr>
        <w:tc>
          <w:tcPr>
            <w:tcW w:w="6275" w:type="dxa"/>
          </w:tcPr>
          <w:p w:rsidR="00661396" w:rsidRPr="00661396" w:rsidRDefault="00661396" w:rsidP="00661396">
            <w:pPr>
              <w:suppressAutoHyphens w:val="0"/>
              <w:spacing w:before="0" w:after="0" w:line="240" w:lineRule="auto"/>
              <w:rPr>
                <w:rFonts w:asciiTheme="minorHAnsi" w:eastAsia="Times New Roman" w:hAnsiTheme="minorHAnsi"/>
                <w:iCs/>
                <w:szCs w:val="17"/>
                <w:lang w:eastAsia="en-US"/>
              </w:rPr>
            </w:pPr>
            <w:r w:rsidRPr="00661396">
              <w:rPr>
                <w:rFonts w:asciiTheme="minorHAnsi" w:eastAsia="Times New Roman" w:hAnsiTheme="minorHAnsi"/>
                <w:iCs/>
                <w:szCs w:val="17"/>
                <w:lang w:eastAsia="en-US"/>
              </w:rPr>
              <w:t xml:space="preserve">Continue to explore how we can more effectively support the government to plan for </w:t>
            </w:r>
            <w:r w:rsidR="00DC439A">
              <w:rPr>
                <w:rFonts w:asciiTheme="minorHAnsi" w:eastAsia="Times New Roman" w:hAnsiTheme="minorHAnsi"/>
                <w:iCs/>
                <w:szCs w:val="17"/>
                <w:lang w:eastAsia="en-US"/>
              </w:rPr>
              <w:t>and respond to predictable crise</w:t>
            </w:r>
            <w:r w:rsidRPr="00661396">
              <w:rPr>
                <w:rFonts w:asciiTheme="minorHAnsi" w:eastAsia="Times New Roman" w:hAnsiTheme="minorHAnsi"/>
                <w:iCs/>
                <w:szCs w:val="17"/>
                <w:lang w:eastAsia="en-US"/>
              </w:rPr>
              <w:t>s, including how to tackle complex challenges of climate resilience and sustainability.</w:t>
            </w:r>
          </w:p>
        </w:tc>
        <w:tc>
          <w:tcPr>
            <w:tcW w:w="1593" w:type="dxa"/>
            <w:shd w:val="clear" w:color="auto" w:fill="92D050"/>
          </w:tcPr>
          <w:p w:rsidR="00661396" w:rsidRDefault="00B805A3" w:rsidP="00D15A00">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263" w:type="dxa"/>
          </w:tcPr>
          <w:p w:rsidR="00661396" w:rsidRPr="00B805A3" w:rsidRDefault="00A43DF0" w:rsidP="00B85AD9">
            <w:pPr>
              <w:keepLines/>
              <w:spacing w:before="40" w:after="40" w:line="200" w:lineRule="atLeast"/>
              <w:rPr>
                <w:rFonts w:eastAsia="Times New Roman"/>
                <w:iCs/>
                <w:color w:val="000000" w:themeColor="text1"/>
                <w:szCs w:val="17"/>
              </w:rPr>
            </w:pPr>
            <w:r>
              <w:rPr>
                <w:rFonts w:asciiTheme="minorHAnsi" w:eastAsia="Times New Roman" w:hAnsiTheme="minorHAnsi"/>
                <w:iCs/>
                <w:szCs w:val="17"/>
                <w:lang w:eastAsia="en-US"/>
              </w:rPr>
              <w:t>The d</w:t>
            </w:r>
            <w:r w:rsidR="00B805A3" w:rsidRPr="00B805A3">
              <w:rPr>
                <w:rFonts w:asciiTheme="minorHAnsi" w:eastAsia="Times New Roman" w:hAnsiTheme="minorHAnsi"/>
                <w:iCs/>
                <w:szCs w:val="17"/>
                <w:lang w:eastAsia="en-US"/>
              </w:rPr>
              <w:t xml:space="preserve">ecision to </w:t>
            </w:r>
            <w:r>
              <w:rPr>
                <w:rFonts w:asciiTheme="minorHAnsi" w:eastAsia="Times New Roman" w:hAnsiTheme="minorHAnsi"/>
                <w:iCs/>
                <w:szCs w:val="17"/>
                <w:lang w:eastAsia="en-US"/>
              </w:rPr>
              <w:t>establish a</w:t>
            </w:r>
            <w:r w:rsidR="00B805A3" w:rsidRPr="00B805A3">
              <w:rPr>
                <w:rFonts w:asciiTheme="minorHAnsi" w:eastAsia="Times New Roman" w:hAnsiTheme="minorHAnsi"/>
                <w:iCs/>
                <w:szCs w:val="17"/>
                <w:lang w:eastAsia="en-US"/>
              </w:rPr>
              <w:t xml:space="preserve"> standing</w:t>
            </w:r>
            <w:r>
              <w:rPr>
                <w:rFonts w:asciiTheme="minorHAnsi" w:eastAsia="Times New Roman" w:hAnsiTheme="minorHAnsi"/>
                <w:iCs/>
                <w:szCs w:val="17"/>
                <w:lang w:eastAsia="en-US"/>
              </w:rPr>
              <w:t xml:space="preserve"> humanitarian</w:t>
            </w:r>
            <w:r w:rsidR="00B805A3" w:rsidRPr="00B805A3">
              <w:rPr>
                <w:rFonts w:asciiTheme="minorHAnsi" w:eastAsia="Times New Roman" w:hAnsiTheme="minorHAnsi"/>
                <w:iCs/>
                <w:szCs w:val="17"/>
                <w:lang w:eastAsia="en-US"/>
              </w:rPr>
              <w:t xml:space="preserve"> arrangemen</w:t>
            </w:r>
            <w:r>
              <w:rPr>
                <w:rFonts w:asciiTheme="minorHAnsi" w:eastAsia="Times New Roman" w:hAnsiTheme="minorHAnsi"/>
                <w:iCs/>
                <w:szCs w:val="17"/>
                <w:lang w:eastAsia="en-US"/>
              </w:rPr>
              <w:t>t</w:t>
            </w:r>
            <w:r w:rsidR="00B805A3" w:rsidRPr="00B805A3">
              <w:rPr>
                <w:rFonts w:asciiTheme="minorHAnsi" w:eastAsia="Times New Roman" w:hAnsiTheme="minorHAnsi"/>
                <w:iCs/>
                <w:szCs w:val="17"/>
                <w:lang w:eastAsia="en-US"/>
              </w:rPr>
              <w:t xml:space="preserve"> with </w:t>
            </w:r>
            <w:r>
              <w:rPr>
                <w:rFonts w:asciiTheme="minorHAnsi" w:eastAsia="Times New Roman" w:hAnsiTheme="minorHAnsi"/>
                <w:iCs/>
                <w:szCs w:val="17"/>
                <w:lang w:eastAsia="en-US"/>
              </w:rPr>
              <w:t>established partner</w:t>
            </w:r>
            <w:r w:rsidR="00B85AD9">
              <w:rPr>
                <w:rFonts w:asciiTheme="minorHAnsi" w:eastAsia="Times New Roman" w:hAnsiTheme="minorHAnsi"/>
                <w:iCs/>
                <w:szCs w:val="17"/>
                <w:lang w:eastAsia="en-US"/>
              </w:rPr>
              <w:t>s</w:t>
            </w:r>
            <w:r>
              <w:rPr>
                <w:rFonts w:asciiTheme="minorHAnsi" w:eastAsia="Times New Roman" w:hAnsiTheme="minorHAnsi"/>
                <w:iCs/>
                <w:szCs w:val="17"/>
                <w:lang w:eastAsia="en-US"/>
              </w:rPr>
              <w:t xml:space="preserve"> UNICEF </w:t>
            </w:r>
            <w:r w:rsidR="00B85AD9">
              <w:rPr>
                <w:rFonts w:asciiTheme="minorHAnsi" w:eastAsia="Times New Roman" w:hAnsiTheme="minorHAnsi"/>
                <w:iCs/>
                <w:szCs w:val="17"/>
                <w:lang w:eastAsia="en-US"/>
              </w:rPr>
              <w:t xml:space="preserve">and WFP </w:t>
            </w:r>
            <w:r>
              <w:rPr>
                <w:rFonts w:asciiTheme="minorHAnsi" w:eastAsia="Times New Roman" w:hAnsiTheme="minorHAnsi"/>
                <w:iCs/>
                <w:szCs w:val="17"/>
                <w:lang w:eastAsia="en-US"/>
              </w:rPr>
              <w:t>has improved the efficiency and effectiveness of Australia’s commitment.</w:t>
            </w:r>
          </w:p>
        </w:tc>
      </w:tr>
      <w:tr w:rsidR="00661396" w:rsidRPr="00812509" w:rsidTr="00A43DF0">
        <w:trPr>
          <w:cnfStyle w:val="000000010000" w:firstRow="0" w:lastRow="0" w:firstColumn="0" w:lastColumn="0" w:oddVBand="0" w:evenVBand="0" w:oddHBand="0" w:evenHBand="1" w:firstRowFirstColumn="0" w:firstRowLastColumn="0" w:lastRowFirstColumn="0" w:lastRowLastColumn="0"/>
        </w:trPr>
        <w:tc>
          <w:tcPr>
            <w:tcW w:w="6275" w:type="dxa"/>
          </w:tcPr>
          <w:p w:rsidR="00661396" w:rsidRPr="00661396" w:rsidRDefault="00661396" w:rsidP="00661396">
            <w:pPr>
              <w:suppressAutoHyphens w:val="0"/>
              <w:spacing w:before="0" w:after="0" w:line="240" w:lineRule="auto"/>
              <w:rPr>
                <w:rFonts w:asciiTheme="minorHAnsi" w:eastAsia="Times New Roman" w:hAnsiTheme="minorHAnsi"/>
                <w:iCs/>
                <w:szCs w:val="17"/>
                <w:lang w:eastAsia="en-US"/>
              </w:rPr>
            </w:pPr>
            <w:r w:rsidRPr="00661396">
              <w:rPr>
                <w:rFonts w:asciiTheme="minorHAnsi" w:eastAsia="Times New Roman" w:hAnsiTheme="minorHAnsi"/>
                <w:iCs/>
                <w:szCs w:val="17"/>
                <w:lang w:eastAsia="en-US"/>
              </w:rPr>
              <w:t>Increase the effectiveness of our communications by packaging results from this APPR into a range of communication products.</w:t>
            </w:r>
          </w:p>
        </w:tc>
        <w:tc>
          <w:tcPr>
            <w:tcW w:w="1593" w:type="dxa"/>
            <w:shd w:val="clear" w:color="auto" w:fill="FFC000"/>
          </w:tcPr>
          <w:p w:rsidR="00661396" w:rsidRDefault="00A43DF0" w:rsidP="00185591">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Partly Achieved</w:t>
            </w:r>
          </w:p>
        </w:tc>
        <w:tc>
          <w:tcPr>
            <w:tcW w:w="6263" w:type="dxa"/>
          </w:tcPr>
          <w:p w:rsidR="00661396" w:rsidRPr="00B805A3" w:rsidRDefault="00A43DF0"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Improved public diplomacy around the aid program </w:t>
            </w:r>
            <w:proofErr w:type="gramStart"/>
            <w:r>
              <w:rPr>
                <w:rFonts w:asciiTheme="minorHAnsi" w:eastAsia="Times New Roman" w:hAnsiTheme="minorHAnsi"/>
                <w:iCs/>
                <w:szCs w:val="17"/>
                <w:lang w:eastAsia="en-US"/>
              </w:rPr>
              <w:t>was highlighted</w:t>
            </w:r>
            <w:proofErr w:type="gramEnd"/>
            <w:r>
              <w:rPr>
                <w:rFonts w:asciiTheme="minorHAnsi" w:eastAsia="Times New Roman" w:hAnsiTheme="minorHAnsi"/>
                <w:iCs/>
                <w:szCs w:val="17"/>
                <w:lang w:eastAsia="en-US"/>
              </w:rPr>
              <w:t xml:space="preserve"> during the year, but better communication of results to key government decision-makers can be achieved.</w:t>
            </w:r>
          </w:p>
        </w:tc>
      </w:tr>
      <w:tr w:rsidR="0053059C" w:rsidRPr="00812509" w:rsidTr="00B805A3">
        <w:trPr>
          <w:cnfStyle w:val="000000010000" w:firstRow="0" w:lastRow="0" w:firstColumn="0" w:lastColumn="0" w:oddVBand="0" w:evenVBand="0" w:oddHBand="0" w:evenHBand="1" w:firstRowFirstColumn="0" w:firstRowLastColumn="0" w:lastRowFirstColumn="0" w:lastRowLastColumn="0"/>
        </w:trPr>
        <w:tc>
          <w:tcPr>
            <w:tcW w:w="6275" w:type="dxa"/>
          </w:tcPr>
          <w:p w:rsidR="0053059C" w:rsidRPr="00812509" w:rsidRDefault="0053059C" w:rsidP="0053059C">
            <w:pPr>
              <w:spacing w:after="120"/>
              <w:rPr>
                <w:rFonts w:asciiTheme="minorHAnsi" w:eastAsia="Times New Roman" w:hAnsiTheme="minorHAnsi"/>
                <w:iCs/>
                <w:szCs w:val="17"/>
                <w:lang w:eastAsia="en-US"/>
              </w:rPr>
            </w:pPr>
            <w:r w:rsidRPr="00661396">
              <w:rPr>
                <w:rFonts w:asciiTheme="minorHAnsi" w:eastAsia="Times New Roman" w:hAnsiTheme="minorHAnsi"/>
                <w:iCs/>
                <w:szCs w:val="17"/>
                <w:lang w:eastAsia="en-US"/>
              </w:rPr>
              <w:t xml:space="preserve">Continue to deepen our knowledge and implementation partnerships with government, the private sector and civil society and to respond nimbly to the operating context. </w:t>
            </w:r>
          </w:p>
        </w:tc>
        <w:tc>
          <w:tcPr>
            <w:tcW w:w="1593" w:type="dxa"/>
            <w:shd w:val="clear" w:color="auto" w:fill="92D050"/>
          </w:tcPr>
          <w:p w:rsidR="0053059C" w:rsidRPr="00812509" w:rsidRDefault="0053059C" w:rsidP="0053059C">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263" w:type="dxa"/>
          </w:tcPr>
          <w:p w:rsidR="0053059C" w:rsidRPr="00812509" w:rsidRDefault="0053059C" w:rsidP="0053059C">
            <w:pPr>
              <w:keepLines/>
              <w:spacing w:before="40" w:after="40" w:line="200" w:lineRule="atLeast"/>
              <w:rPr>
                <w:rFonts w:asciiTheme="minorHAnsi" w:eastAsia="Times New Roman" w:hAnsiTheme="minorHAnsi"/>
                <w:iCs/>
                <w:color w:val="409F68" w:themeColor="accent6"/>
                <w:szCs w:val="17"/>
                <w:lang w:eastAsia="en-US"/>
              </w:rPr>
            </w:pPr>
            <w:r>
              <w:rPr>
                <w:rFonts w:asciiTheme="minorHAnsi" w:eastAsia="Times New Roman" w:hAnsiTheme="minorHAnsi"/>
                <w:iCs/>
                <w:szCs w:val="17"/>
                <w:lang w:eastAsia="en-US"/>
              </w:rPr>
              <w:t xml:space="preserve">The relationship between Post and the Government of Sri Lanka and civil society remains strong and has helped </w:t>
            </w:r>
            <w:proofErr w:type="gramStart"/>
            <w:r>
              <w:rPr>
                <w:rFonts w:asciiTheme="minorHAnsi" w:eastAsia="Times New Roman" w:hAnsiTheme="minorHAnsi"/>
                <w:iCs/>
                <w:szCs w:val="17"/>
                <w:lang w:eastAsia="en-US"/>
              </w:rPr>
              <w:t>leverage</w:t>
            </w:r>
            <w:proofErr w:type="gramEnd"/>
            <w:r>
              <w:rPr>
                <w:rFonts w:asciiTheme="minorHAnsi" w:eastAsia="Times New Roman" w:hAnsiTheme="minorHAnsi"/>
                <w:iCs/>
                <w:szCs w:val="17"/>
                <w:lang w:eastAsia="en-US"/>
              </w:rPr>
              <w:t xml:space="preserve"> the impact of activities of DFAT’s delivery partners.</w:t>
            </w:r>
          </w:p>
        </w:tc>
      </w:tr>
      <w:tr w:rsidR="0053059C" w:rsidRPr="00812509" w:rsidTr="00A43DF0">
        <w:trPr>
          <w:cnfStyle w:val="000000010000" w:firstRow="0" w:lastRow="0" w:firstColumn="0" w:lastColumn="0" w:oddVBand="0" w:evenVBand="0" w:oddHBand="0" w:evenHBand="1" w:firstRowFirstColumn="0" w:firstRowLastColumn="0" w:lastRowFirstColumn="0" w:lastRowLastColumn="0"/>
        </w:trPr>
        <w:tc>
          <w:tcPr>
            <w:tcW w:w="6275" w:type="dxa"/>
          </w:tcPr>
          <w:p w:rsidR="0053059C" w:rsidRPr="00661396" w:rsidRDefault="0053059C" w:rsidP="0053059C">
            <w:pPr>
              <w:suppressAutoHyphens w:val="0"/>
              <w:spacing w:before="0" w:after="0" w:line="240" w:lineRule="auto"/>
              <w:rPr>
                <w:rFonts w:asciiTheme="minorHAnsi" w:eastAsia="Times New Roman" w:hAnsiTheme="minorHAnsi"/>
                <w:iCs/>
                <w:szCs w:val="17"/>
                <w:lang w:eastAsia="en-US"/>
              </w:rPr>
            </w:pPr>
            <w:r w:rsidRPr="00661396">
              <w:rPr>
                <w:rFonts w:asciiTheme="minorHAnsi" w:eastAsia="Times New Roman" w:hAnsiTheme="minorHAnsi"/>
                <w:iCs/>
                <w:szCs w:val="17"/>
                <w:lang w:eastAsia="en-US"/>
              </w:rPr>
              <w:t xml:space="preserve">Further advance gender equality and disability inclusion through our programs and a commitment to greater engagement of disabled </w:t>
            </w:r>
            <w:proofErr w:type="gramStart"/>
            <w:r w:rsidRPr="00661396">
              <w:rPr>
                <w:rFonts w:asciiTheme="minorHAnsi" w:eastAsia="Times New Roman" w:hAnsiTheme="minorHAnsi"/>
                <w:iCs/>
                <w:szCs w:val="17"/>
                <w:lang w:eastAsia="en-US"/>
              </w:rPr>
              <w:t>persons</w:t>
            </w:r>
            <w:proofErr w:type="gramEnd"/>
            <w:r w:rsidRPr="00661396">
              <w:rPr>
                <w:rFonts w:asciiTheme="minorHAnsi" w:eastAsia="Times New Roman" w:hAnsiTheme="minorHAnsi"/>
                <w:iCs/>
                <w:szCs w:val="17"/>
                <w:lang w:eastAsia="en-US"/>
              </w:rPr>
              <w:t xml:space="preserve"> organisations in our programs and gender equality on all panels involving DFAT staff.</w:t>
            </w:r>
          </w:p>
        </w:tc>
        <w:tc>
          <w:tcPr>
            <w:tcW w:w="1593" w:type="dxa"/>
            <w:shd w:val="clear" w:color="auto" w:fill="FFC000"/>
          </w:tcPr>
          <w:p w:rsidR="0053059C" w:rsidRPr="00982053" w:rsidRDefault="0053059C" w:rsidP="0053059C">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 xml:space="preserve">Partly </w:t>
            </w:r>
            <w:r w:rsidRPr="00812509">
              <w:rPr>
                <w:rFonts w:asciiTheme="minorHAnsi" w:eastAsia="Times New Roman" w:hAnsiTheme="minorHAnsi"/>
                <w:iCs/>
                <w:color w:val="FFFFFF" w:themeColor="background1"/>
                <w:szCs w:val="17"/>
                <w:lang w:eastAsia="en-US"/>
              </w:rPr>
              <w:t>Achieved</w:t>
            </w:r>
            <w:r w:rsidDel="00147597">
              <w:rPr>
                <w:rFonts w:eastAsia="Times New Roman"/>
                <w:iCs/>
                <w:color w:val="FFFFFF" w:themeColor="background1"/>
                <w:szCs w:val="17"/>
              </w:rPr>
              <w:t xml:space="preserve"> </w:t>
            </w:r>
          </w:p>
        </w:tc>
        <w:tc>
          <w:tcPr>
            <w:tcW w:w="6263" w:type="dxa"/>
          </w:tcPr>
          <w:p w:rsidR="0053059C" w:rsidRPr="00812509" w:rsidRDefault="0053059C" w:rsidP="00B85AD9">
            <w:pPr>
              <w:keepLines/>
              <w:spacing w:before="40" w:after="40" w:line="200" w:lineRule="atLeast"/>
              <w:rPr>
                <w:rFonts w:eastAsia="Times New Roman"/>
                <w:iCs/>
                <w:color w:val="409F68" w:themeColor="accent6"/>
                <w:szCs w:val="17"/>
              </w:rPr>
            </w:pPr>
            <w:r>
              <w:rPr>
                <w:rFonts w:asciiTheme="minorHAnsi" w:eastAsia="Times New Roman" w:hAnsiTheme="minorHAnsi"/>
                <w:iCs/>
                <w:szCs w:val="17"/>
                <w:lang w:eastAsia="en-US"/>
              </w:rPr>
              <w:t xml:space="preserve">A Sri Lanka-specific Gender Action Plan was finalised by </w:t>
            </w:r>
            <w:r w:rsidR="00B85AD9">
              <w:rPr>
                <w:rFonts w:asciiTheme="minorHAnsi" w:eastAsia="Times New Roman" w:hAnsiTheme="minorHAnsi"/>
                <w:iCs/>
                <w:szCs w:val="17"/>
                <w:lang w:eastAsia="en-US"/>
              </w:rPr>
              <w:t>Post</w:t>
            </w:r>
            <w:r>
              <w:rPr>
                <w:rFonts w:asciiTheme="minorHAnsi" w:eastAsia="Times New Roman" w:hAnsiTheme="minorHAnsi"/>
                <w:iCs/>
                <w:szCs w:val="17"/>
                <w:lang w:eastAsia="en-US"/>
              </w:rPr>
              <w:t xml:space="preserve"> and now guides programming and policy activities. Greater engagement with disability organisations remains to be achieved</w:t>
            </w:r>
          </w:p>
        </w:tc>
      </w:tr>
    </w:tbl>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w:t>
      </w:r>
      <w:proofErr w:type="gramStart"/>
      <w:r w:rsidRPr="00812509">
        <w:rPr>
          <w:rFonts w:eastAsia="Times New Roman"/>
          <w:b/>
          <w:sz w:val="16"/>
          <w:szCs w:val="14"/>
        </w:rPr>
        <w:t>has been made</w:t>
      </w:r>
      <w:proofErr w:type="gramEnd"/>
      <w:r w:rsidRPr="00812509">
        <w:rPr>
          <w:rFonts w:eastAsia="Times New Roman"/>
          <w:b/>
          <w:sz w:val="16"/>
          <w:szCs w:val="14"/>
        </w:rPr>
        <w:t xml:space="preserve"> in addressing the issue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w:t>
      </w:r>
      <w:proofErr w:type="gramStart"/>
      <w:r w:rsidRPr="00812509">
        <w:rPr>
          <w:rFonts w:eastAsia="Times New Roman"/>
          <w:b/>
          <w:sz w:val="16"/>
          <w:szCs w:val="14"/>
        </w:rPr>
        <w:t>has been made</w:t>
      </w:r>
      <w:proofErr w:type="gramEnd"/>
      <w:r w:rsidRPr="00812509">
        <w:rPr>
          <w:rFonts w:eastAsia="Times New Roman"/>
          <w:b/>
          <w:sz w:val="16"/>
          <w:szCs w:val="14"/>
        </w:rPr>
        <w:t xml:space="preserve"> in addressing the issue, but the issue has not been resolved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D00802">
          <w:headerReference w:type="first" r:id="rId27"/>
          <w:pgSz w:w="16838" w:h="11906" w:orient="landscape" w:code="9"/>
          <w:pgMar w:top="1134" w:right="1952" w:bottom="1134" w:left="851" w:header="1107" w:footer="567" w:gutter="0"/>
          <w:cols w:space="397"/>
          <w:titlePg/>
          <w:docGrid w:linePitch="360"/>
        </w:sectPr>
      </w:pPr>
    </w:p>
    <w:p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w:t>
      </w:r>
      <w:r w:rsidR="00580A64">
        <w:rPr>
          <w:rFonts w:ascii="Franklin Gothic Book" w:eastAsia="Times New Roman" w:hAnsi="Franklin Gothic Book"/>
          <w:b/>
          <w:sz w:val="24"/>
          <w:szCs w:val="24"/>
        </w:rPr>
        <w:t>7</w:t>
      </w:r>
      <w:r w:rsidRPr="00320251">
        <w:rPr>
          <w:rFonts w:ascii="Franklin Gothic Book" w:eastAsia="Times New Roman" w:hAnsi="Franklin Gothic Book"/>
          <w:b/>
          <w:sz w:val="24"/>
          <w:szCs w:val="24"/>
        </w:rPr>
        <w:t>-1</w:t>
      </w:r>
      <w:r w:rsidR="00580A64">
        <w:rPr>
          <w:rFonts w:ascii="Franklin Gothic Book" w:eastAsia="Times New Roman" w:hAnsi="Franklin Gothic Book"/>
          <w:b/>
          <w:sz w:val="24"/>
          <w:szCs w:val="24"/>
        </w:rPr>
        <w:t>8</w:t>
      </w:r>
    </w:p>
    <w:p w:rsidR="00184F1E" w:rsidRDefault="00184F1E" w:rsidP="00184F1E">
      <w:r>
        <w:rPr>
          <w:rFonts w:ascii="Franklin Gothic Book" w:eastAsia="Times New Roman" w:hAnsi="Franklin Gothic Book"/>
          <w:sz w:val="21"/>
        </w:rPr>
        <w:t xml:space="preserve">Discussion on progress against specific </w:t>
      </w:r>
      <w:r w:rsidRPr="00C61187">
        <w:rPr>
          <w:rFonts w:ascii="Franklin Gothic Book" w:eastAsia="Times New Roman" w:hAnsi="Franklin Gothic Book"/>
          <w:sz w:val="21"/>
        </w:rPr>
        <w:t xml:space="preserve">performance benchmarks </w:t>
      </w:r>
      <w:r>
        <w:rPr>
          <w:rFonts w:ascii="Franklin Gothic Book" w:eastAsia="Times New Roman" w:hAnsi="Franklin Gothic Book"/>
          <w:sz w:val="21"/>
        </w:rPr>
        <w:t>in 201</w:t>
      </w:r>
      <w:r w:rsidR="00580A64">
        <w:rPr>
          <w:rFonts w:ascii="Franklin Gothic Book" w:eastAsia="Times New Roman" w:hAnsi="Franklin Gothic Book"/>
          <w:sz w:val="21"/>
        </w:rPr>
        <w:t>7</w:t>
      </w:r>
      <w:r>
        <w:rPr>
          <w:rFonts w:ascii="Franklin Gothic Book" w:eastAsia="Times New Roman" w:hAnsi="Franklin Gothic Book"/>
          <w:sz w:val="21"/>
        </w:rPr>
        <w:t>-1</w:t>
      </w:r>
      <w:r w:rsidR="00580A64">
        <w:rPr>
          <w:rFonts w:ascii="Franklin Gothic Book" w:eastAsia="Times New Roman" w:hAnsi="Franklin Gothic Book"/>
          <w:sz w:val="21"/>
        </w:rPr>
        <w:t>8</w:t>
      </w:r>
      <w:r>
        <w:rPr>
          <w:rFonts w:ascii="Franklin Gothic Book" w:eastAsia="Times New Roman" w:hAnsi="Franklin Gothic Book"/>
          <w:sz w:val="21"/>
        </w:rPr>
        <w:t xml:space="preserve"> should also be included as part of the text assessing progress against individual program objectives in the main body of the APPR.</w:t>
      </w:r>
    </w:p>
    <w:p w:rsidR="00184F1E" w:rsidRPr="00CE5DF0" w:rsidRDefault="00184F1E" w:rsidP="00184F1E"/>
    <w:tbl>
      <w:tblPr>
        <w:tblStyle w:val="DFATTable"/>
        <w:tblW w:w="5000" w:type="pct"/>
        <w:tblLook w:val="04A0" w:firstRow="1" w:lastRow="0" w:firstColumn="1" w:lastColumn="0" w:noHBand="0" w:noVBand="1"/>
      </w:tblPr>
      <w:tblGrid>
        <w:gridCol w:w="2190"/>
        <w:gridCol w:w="2189"/>
        <w:gridCol w:w="1319"/>
        <w:gridCol w:w="8337"/>
      </w:tblGrid>
      <w:tr w:rsidR="00184F1E" w:rsidRPr="00C61187" w:rsidTr="00AA1ACF">
        <w:trPr>
          <w:tblHeader/>
        </w:trPr>
        <w:tc>
          <w:tcPr>
            <w:tcW w:w="780" w:type="pct"/>
            <w:tcMar>
              <w:top w:w="57" w:type="dxa"/>
              <w:bottom w:w="57" w:type="dxa"/>
            </w:tcMar>
          </w:tcPr>
          <w:p w:rsidR="00184F1E" w:rsidRPr="00880004" w:rsidRDefault="00184F1E" w:rsidP="00AA1ACF">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rsidR="00184F1E" w:rsidRPr="00880004" w:rsidRDefault="00184F1E" w:rsidP="00AA1ACF">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rsidR="00184F1E" w:rsidRPr="00880004" w:rsidRDefault="00184F1E" w:rsidP="00AA1ACF">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rsidR="00184F1E" w:rsidRPr="00880004" w:rsidRDefault="00184F1E" w:rsidP="00580A64">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580A64">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sidR="00580A64">
              <w:rPr>
                <w:rFonts w:asciiTheme="minorHAnsi" w:eastAsia="Times New Roman" w:hAnsiTheme="minorHAnsi"/>
                <w:b/>
                <w:iCs/>
                <w:szCs w:val="17"/>
                <w:lang w:eastAsia="en-US"/>
              </w:rPr>
              <w:t>8</w:t>
            </w:r>
          </w:p>
        </w:tc>
      </w:tr>
      <w:tr w:rsidR="00184F1E" w:rsidRPr="00C61187" w:rsidTr="00B805A3">
        <w:tc>
          <w:tcPr>
            <w:tcW w:w="780" w:type="pct"/>
            <w:tcMar>
              <w:top w:w="57" w:type="dxa"/>
              <w:bottom w:w="57" w:type="dxa"/>
            </w:tcMar>
          </w:tcPr>
          <w:p w:rsidR="00184F1E" w:rsidRPr="00880004" w:rsidRDefault="001F2A43" w:rsidP="00AA1AC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Expand economic opportunities for the poor</w:t>
            </w:r>
            <w:r w:rsidR="00184F1E" w:rsidRPr="00880004">
              <w:rPr>
                <w:rFonts w:asciiTheme="minorHAnsi" w:eastAsia="Times New Roman" w:hAnsiTheme="minorHAnsi"/>
                <w:iCs/>
                <w:szCs w:val="17"/>
                <w:lang w:eastAsia="en-US"/>
              </w:rPr>
              <w:t xml:space="preserve"> </w:t>
            </w:r>
          </w:p>
        </w:tc>
        <w:tc>
          <w:tcPr>
            <w:tcW w:w="780" w:type="pct"/>
          </w:tcPr>
          <w:p w:rsidR="00184F1E" w:rsidRPr="00880004" w:rsidRDefault="001F2A43" w:rsidP="0053059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Increase the targeted populations, including women and people with a disability, who have an increase in net additional income.</w:t>
            </w:r>
            <w:r w:rsidR="00184F1E" w:rsidRPr="00880004">
              <w:rPr>
                <w:rFonts w:asciiTheme="minorHAnsi" w:eastAsia="Times New Roman" w:hAnsiTheme="minorHAnsi"/>
                <w:iCs/>
                <w:szCs w:val="17"/>
                <w:lang w:eastAsia="en-US"/>
              </w:rPr>
              <w:t xml:space="preserve"> </w:t>
            </w:r>
          </w:p>
        </w:tc>
        <w:tc>
          <w:tcPr>
            <w:tcW w:w="470" w:type="pct"/>
            <w:shd w:val="clear" w:color="auto" w:fill="92D050"/>
          </w:tcPr>
          <w:p w:rsidR="00184F1E" w:rsidRPr="00880004" w:rsidRDefault="00AD429F" w:rsidP="00AA1AC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w:t>
            </w:r>
            <w:r w:rsidR="00184F1E" w:rsidRPr="00880004">
              <w:rPr>
                <w:rFonts w:asciiTheme="minorHAnsi" w:eastAsia="Times New Roman" w:hAnsiTheme="minorHAnsi"/>
                <w:iCs/>
                <w:color w:val="FFFFFF" w:themeColor="background1"/>
                <w:szCs w:val="17"/>
                <w:lang w:eastAsia="en-US"/>
              </w:rPr>
              <w:t>chieved</w:t>
            </w:r>
          </w:p>
        </w:tc>
        <w:tc>
          <w:tcPr>
            <w:tcW w:w="2970" w:type="pct"/>
          </w:tcPr>
          <w:p w:rsidR="00184F1E" w:rsidRPr="00880004" w:rsidRDefault="008E67B1" w:rsidP="0053059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The combined impact of MDF, S4IG and LEED has led to an </w:t>
            </w:r>
            <w:r w:rsidR="00156922">
              <w:rPr>
                <w:rFonts w:asciiTheme="minorHAnsi" w:eastAsia="Times New Roman" w:hAnsiTheme="minorHAnsi"/>
                <w:iCs/>
                <w:szCs w:val="17"/>
                <w:lang w:eastAsia="en-US"/>
              </w:rPr>
              <w:t xml:space="preserve">increase </w:t>
            </w:r>
            <w:r w:rsidR="00CB5CE1">
              <w:rPr>
                <w:rFonts w:asciiTheme="minorHAnsi" w:eastAsia="Times New Roman" w:hAnsiTheme="minorHAnsi"/>
                <w:iCs/>
                <w:szCs w:val="17"/>
                <w:lang w:eastAsia="en-US"/>
              </w:rPr>
              <w:t xml:space="preserve">in net additional income for </w:t>
            </w:r>
            <w:r w:rsidR="00156922">
              <w:rPr>
                <w:rFonts w:asciiTheme="minorHAnsi" w:eastAsia="Times New Roman" w:hAnsiTheme="minorHAnsi"/>
                <w:iCs/>
                <w:szCs w:val="17"/>
                <w:lang w:eastAsia="en-US"/>
              </w:rPr>
              <w:t xml:space="preserve">increased </w:t>
            </w:r>
            <w:r w:rsidR="00CF4EBE">
              <w:rPr>
                <w:rFonts w:asciiTheme="minorHAnsi" w:eastAsia="Times New Roman" w:hAnsiTheme="minorHAnsi"/>
                <w:iCs/>
                <w:szCs w:val="17"/>
                <w:lang w:eastAsia="en-US"/>
              </w:rPr>
              <w:t xml:space="preserve">numbers </w:t>
            </w:r>
            <w:r w:rsidR="0053059C">
              <w:rPr>
                <w:rFonts w:asciiTheme="minorHAnsi" w:eastAsia="Times New Roman" w:hAnsiTheme="minorHAnsi"/>
                <w:iCs/>
                <w:szCs w:val="17"/>
                <w:lang w:eastAsia="en-US"/>
              </w:rPr>
              <w:t>of women and people with a disability in the target regions</w:t>
            </w:r>
            <w:r w:rsidR="00156922">
              <w:rPr>
                <w:rFonts w:asciiTheme="minorHAnsi" w:eastAsia="Times New Roman" w:hAnsiTheme="minorHAnsi"/>
                <w:iCs/>
                <w:szCs w:val="17"/>
                <w:lang w:eastAsia="en-US"/>
              </w:rPr>
              <w:t>.</w:t>
            </w:r>
          </w:p>
        </w:tc>
      </w:tr>
      <w:tr w:rsidR="00184F1E" w:rsidRPr="00C61187" w:rsidTr="00CE71EC">
        <w:tc>
          <w:tcPr>
            <w:tcW w:w="780" w:type="pct"/>
            <w:tcMar>
              <w:top w:w="57" w:type="dxa"/>
              <w:bottom w:w="57" w:type="dxa"/>
            </w:tcMar>
          </w:tcPr>
          <w:p w:rsidR="00CE71EC" w:rsidRPr="00880004" w:rsidRDefault="00AD429F" w:rsidP="00AA1AC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Support government to be more responsive to the needs of citizens and the private sector</w:t>
            </w:r>
            <w:r w:rsidR="00CE71EC">
              <w:rPr>
                <w:rFonts w:asciiTheme="minorHAnsi" w:eastAsia="Times New Roman" w:hAnsiTheme="minorHAnsi"/>
                <w:iCs/>
                <w:szCs w:val="17"/>
                <w:lang w:eastAsia="en-US"/>
              </w:rPr>
              <w:t>.</w:t>
            </w:r>
          </w:p>
        </w:tc>
        <w:tc>
          <w:tcPr>
            <w:tcW w:w="780" w:type="pct"/>
          </w:tcPr>
          <w:p w:rsidR="00184F1E" w:rsidRPr="00880004" w:rsidRDefault="00AD429F" w:rsidP="00AA1AC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Increased satisfaction of citizens and the private sector with national and subnational government performance in delivering key services.</w:t>
            </w:r>
            <w:r w:rsidR="00184F1E" w:rsidRPr="00880004">
              <w:rPr>
                <w:rFonts w:asciiTheme="minorHAnsi" w:eastAsia="Times New Roman" w:hAnsiTheme="minorHAnsi"/>
                <w:iCs/>
                <w:szCs w:val="17"/>
                <w:lang w:eastAsia="en-US"/>
              </w:rPr>
              <w:t xml:space="preserve"> </w:t>
            </w:r>
          </w:p>
        </w:tc>
        <w:tc>
          <w:tcPr>
            <w:tcW w:w="470" w:type="pct"/>
            <w:shd w:val="clear" w:color="auto" w:fill="FFC000"/>
          </w:tcPr>
          <w:p w:rsidR="00184F1E" w:rsidRPr="00982053" w:rsidRDefault="00CE71EC" w:rsidP="00AA1ACF">
            <w:pPr>
              <w:keepLines/>
              <w:spacing w:before="40" w:after="40" w:line="200" w:lineRule="atLeast"/>
              <w:rPr>
                <w:rFonts w:asciiTheme="minorHAnsi" w:eastAsia="Times New Roman" w:hAnsiTheme="minorHAnsi"/>
                <w:iCs/>
                <w:szCs w:val="17"/>
                <w:lang w:eastAsia="en-US"/>
              </w:rPr>
            </w:pPr>
            <w:r w:rsidRPr="00982053">
              <w:rPr>
                <w:rFonts w:asciiTheme="minorHAnsi" w:eastAsia="Times New Roman" w:hAnsiTheme="minorHAnsi"/>
                <w:iCs/>
                <w:color w:val="FFFFFF" w:themeColor="background1"/>
                <w:szCs w:val="17"/>
                <w:lang w:eastAsia="en-US"/>
              </w:rPr>
              <w:t>Partly</w:t>
            </w:r>
            <w:r w:rsidR="00184F1E" w:rsidRPr="00982053">
              <w:rPr>
                <w:rFonts w:asciiTheme="minorHAnsi" w:eastAsia="Times New Roman" w:hAnsiTheme="minorHAnsi"/>
                <w:iCs/>
                <w:color w:val="FFFFFF" w:themeColor="background1"/>
                <w:szCs w:val="17"/>
                <w:lang w:eastAsia="en-US"/>
              </w:rPr>
              <w:t xml:space="preserve"> Achieved </w:t>
            </w:r>
          </w:p>
        </w:tc>
        <w:tc>
          <w:tcPr>
            <w:tcW w:w="2970" w:type="pct"/>
          </w:tcPr>
          <w:p w:rsidR="00184F1E" w:rsidRPr="00880004" w:rsidRDefault="00AD429F" w:rsidP="00AA1ACF">
            <w:pPr>
              <w:pStyle w:val="TableTextEntries"/>
              <w:keepNext/>
              <w:rPr>
                <w:rFonts w:asciiTheme="minorHAnsi" w:hAnsiTheme="minorHAnsi" w:cstheme="minorBidi"/>
                <w:color w:val="495965" w:themeColor="text2"/>
                <w:lang w:val="en-GB" w:eastAsia="en-US"/>
              </w:rPr>
            </w:pPr>
            <w:r>
              <w:rPr>
                <w:rFonts w:asciiTheme="minorHAnsi" w:hAnsiTheme="minorHAnsi" w:cstheme="minorBidi"/>
                <w:color w:val="495965" w:themeColor="text2"/>
                <w:lang w:val="en-GB" w:eastAsia="en-US"/>
              </w:rPr>
              <w:t xml:space="preserve">The lack of an investment-level MEL system makes this difficult to measure. </w:t>
            </w:r>
            <w:r w:rsidR="00CE71EC">
              <w:rPr>
                <w:rFonts w:asciiTheme="minorHAnsi" w:hAnsiTheme="minorHAnsi" w:cstheme="minorBidi"/>
                <w:color w:val="495965" w:themeColor="text2"/>
                <w:lang w:val="en-GB" w:eastAsia="en-US"/>
              </w:rPr>
              <w:t xml:space="preserve">While our programs have supported governments, with tangible </w:t>
            </w:r>
            <w:r w:rsidR="001128E6">
              <w:rPr>
                <w:rFonts w:asciiTheme="minorHAnsi" w:hAnsiTheme="minorHAnsi" w:cstheme="minorBidi"/>
                <w:color w:val="495965" w:themeColor="text2"/>
                <w:lang w:val="en-GB" w:eastAsia="en-US"/>
              </w:rPr>
              <w:t xml:space="preserve">and positive </w:t>
            </w:r>
            <w:r w:rsidR="00CE71EC">
              <w:rPr>
                <w:rFonts w:asciiTheme="minorHAnsi" w:hAnsiTheme="minorHAnsi" w:cstheme="minorBidi"/>
                <w:color w:val="495965" w:themeColor="text2"/>
                <w:lang w:val="en-GB" w:eastAsia="en-US"/>
              </w:rPr>
              <w:t xml:space="preserve">results, satisfaction levels </w:t>
            </w:r>
            <w:proofErr w:type="gramStart"/>
            <w:r w:rsidR="00CE71EC">
              <w:rPr>
                <w:rFonts w:asciiTheme="minorHAnsi" w:hAnsiTheme="minorHAnsi" w:cstheme="minorBidi"/>
                <w:color w:val="495965" w:themeColor="text2"/>
                <w:lang w:val="en-GB" w:eastAsia="en-US"/>
              </w:rPr>
              <w:t xml:space="preserve">are </w:t>
            </w:r>
            <w:r w:rsidR="001128E6">
              <w:rPr>
                <w:rFonts w:asciiTheme="minorHAnsi" w:hAnsiTheme="minorHAnsi" w:cstheme="minorBidi"/>
                <w:color w:val="495965" w:themeColor="text2"/>
                <w:lang w:val="en-GB" w:eastAsia="en-US"/>
              </w:rPr>
              <w:t xml:space="preserve">also </w:t>
            </w:r>
            <w:r w:rsidR="00CE71EC">
              <w:rPr>
                <w:rFonts w:asciiTheme="minorHAnsi" w:hAnsiTheme="minorHAnsi" w:cstheme="minorBidi"/>
                <w:color w:val="495965" w:themeColor="text2"/>
                <w:lang w:val="en-GB" w:eastAsia="en-US"/>
              </w:rPr>
              <w:t>affected</w:t>
            </w:r>
            <w:proofErr w:type="gramEnd"/>
            <w:r w:rsidR="00CE71EC">
              <w:rPr>
                <w:rFonts w:asciiTheme="minorHAnsi" w:hAnsiTheme="minorHAnsi" w:cstheme="minorBidi"/>
                <w:color w:val="495965" w:themeColor="text2"/>
                <w:lang w:val="en-GB" w:eastAsia="en-US"/>
              </w:rPr>
              <w:t xml:space="preserve"> by </w:t>
            </w:r>
            <w:r w:rsidR="008E67B1">
              <w:rPr>
                <w:rFonts w:asciiTheme="minorHAnsi" w:hAnsiTheme="minorHAnsi" w:cstheme="minorBidi"/>
                <w:color w:val="495965" w:themeColor="text2"/>
                <w:lang w:val="en-GB" w:eastAsia="en-US"/>
              </w:rPr>
              <w:t>perceptions about the performance</w:t>
            </w:r>
            <w:r w:rsidR="001128E6">
              <w:rPr>
                <w:rFonts w:asciiTheme="minorHAnsi" w:hAnsiTheme="minorHAnsi" w:cstheme="minorBidi"/>
                <w:color w:val="495965" w:themeColor="text2"/>
                <w:lang w:val="en-GB" w:eastAsia="en-US"/>
              </w:rPr>
              <w:t xml:space="preserve"> more broadly</w:t>
            </w:r>
            <w:r w:rsidR="008E67B1">
              <w:rPr>
                <w:rFonts w:asciiTheme="minorHAnsi" w:hAnsiTheme="minorHAnsi" w:cstheme="minorBidi"/>
                <w:color w:val="495965" w:themeColor="text2"/>
                <w:lang w:val="en-GB" w:eastAsia="en-US"/>
              </w:rPr>
              <w:t xml:space="preserve"> of the Sri Lankan </w:t>
            </w:r>
            <w:r w:rsidR="00B85AD9">
              <w:rPr>
                <w:rFonts w:asciiTheme="minorHAnsi" w:hAnsiTheme="minorHAnsi" w:cstheme="minorBidi"/>
                <w:color w:val="495965" w:themeColor="text2"/>
                <w:lang w:val="en-GB" w:eastAsia="en-US"/>
              </w:rPr>
              <w:t>G</w:t>
            </w:r>
            <w:r w:rsidR="008E67B1">
              <w:rPr>
                <w:rFonts w:asciiTheme="minorHAnsi" w:hAnsiTheme="minorHAnsi" w:cstheme="minorBidi"/>
                <w:color w:val="495965" w:themeColor="text2"/>
                <w:lang w:val="en-GB" w:eastAsia="en-US"/>
              </w:rPr>
              <w:t>overnment.</w:t>
            </w:r>
          </w:p>
          <w:p w:rsidR="00184F1E" w:rsidRPr="00880004" w:rsidRDefault="00184F1E" w:rsidP="00AA1ACF">
            <w:pPr>
              <w:keepLines/>
              <w:spacing w:before="40" w:after="40" w:line="200" w:lineRule="atLeast"/>
              <w:rPr>
                <w:rFonts w:asciiTheme="minorHAnsi" w:eastAsia="Times New Roman" w:hAnsiTheme="minorHAnsi"/>
                <w:iCs/>
                <w:szCs w:val="17"/>
                <w:lang w:eastAsia="en-US"/>
              </w:rPr>
            </w:pPr>
          </w:p>
        </w:tc>
      </w:tr>
      <w:tr w:rsidR="00CE71EC" w:rsidRPr="00C61187" w:rsidTr="00B805A3">
        <w:tc>
          <w:tcPr>
            <w:tcW w:w="780" w:type="pct"/>
            <w:tcMar>
              <w:top w:w="57" w:type="dxa"/>
              <w:bottom w:w="57" w:type="dxa"/>
            </w:tcMar>
          </w:tcPr>
          <w:p w:rsidR="00CE71EC" w:rsidRPr="00CE71EC" w:rsidRDefault="00CE71EC" w:rsidP="00AA1ACF">
            <w:pPr>
              <w:keepLines/>
              <w:spacing w:before="40" w:after="40" w:line="200" w:lineRule="atLeast"/>
              <w:rPr>
                <w:rFonts w:asciiTheme="minorHAnsi" w:eastAsia="Times New Roman" w:hAnsiTheme="minorHAnsi"/>
                <w:iCs/>
                <w:szCs w:val="17"/>
                <w:lang w:eastAsia="en-US"/>
              </w:rPr>
            </w:pPr>
            <w:r w:rsidRPr="00CE71EC">
              <w:rPr>
                <w:rFonts w:asciiTheme="minorHAnsi" w:eastAsia="Times New Roman" w:hAnsiTheme="minorHAnsi"/>
                <w:iCs/>
                <w:szCs w:val="17"/>
                <w:lang w:eastAsia="en-US"/>
              </w:rPr>
              <w:t>Increase gender equality</w:t>
            </w:r>
          </w:p>
        </w:tc>
        <w:tc>
          <w:tcPr>
            <w:tcW w:w="780" w:type="pct"/>
          </w:tcPr>
          <w:p w:rsidR="00CE71EC" w:rsidRPr="00CE71EC" w:rsidRDefault="00CE71EC" w:rsidP="0053059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Increase the </w:t>
            </w:r>
            <w:r w:rsidR="0053059C">
              <w:rPr>
                <w:rFonts w:asciiTheme="minorHAnsi" w:eastAsia="Times New Roman" w:hAnsiTheme="minorHAnsi"/>
                <w:iCs/>
                <w:szCs w:val="17"/>
                <w:lang w:eastAsia="en-US"/>
              </w:rPr>
              <w:t>number</w:t>
            </w:r>
            <w:r>
              <w:rPr>
                <w:rFonts w:asciiTheme="minorHAnsi" w:eastAsia="Times New Roman" w:hAnsiTheme="minorHAnsi"/>
                <w:iCs/>
                <w:szCs w:val="17"/>
                <w:lang w:eastAsia="en-US"/>
              </w:rPr>
              <w:t xml:space="preserve"> of women in targeted populations in formal and informal employment</w:t>
            </w:r>
          </w:p>
        </w:tc>
        <w:tc>
          <w:tcPr>
            <w:tcW w:w="470" w:type="pct"/>
            <w:shd w:val="clear" w:color="auto" w:fill="92D050"/>
          </w:tcPr>
          <w:p w:rsidR="00CE71EC" w:rsidRPr="00982053" w:rsidRDefault="00CE71EC" w:rsidP="00CE71EC">
            <w:pPr>
              <w:keepLines/>
              <w:spacing w:before="40" w:after="40" w:line="200" w:lineRule="atLeast"/>
              <w:jc w:val="center"/>
              <w:rPr>
                <w:rFonts w:eastAsia="Times New Roman"/>
                <w:iCs/>
                <w:color w:val="FFFFFF" w:themeColor="background1"/>
                <w:szCs w:val="17"/>
              </w:rPr>
            </w:pPr>
            <w:r w:rsidRPr="00982053">
              <w:rPr>
                <w:rFonts w:asciiTheme="minorHAnsi" w:eastAsia="Times New Roman" w:hAnsiTheme="minorHAnsi"/>
                <w:iCs/>
                <w:color w:val="FFFFFF" w:themeColor="background1"/>
                <w:szCs w:val="17"/>
                <w:lang w:eastAsia="en-US"/>
              </w:rPr>
              <w:t>Achieved</w:t>
            </w:r>
          </w:p>
        </w:tc>
        <w:tc>
          <w:tcPr>
            <w:tcW w:w="2970" w:type="pct"/>
          </w:tcPr>
          <w:p w:rsidR="00CE71EC" w:rsidRDefault="00156922" w:rsidP="0053059C">
            <w:pPr>
              <w:pStyle w:val="TableTextEntries"/>
              <w:keepNext/>
              <w:rPr>
                <w:rFonts w:asciiTheme="minorHAnsi" w:hAnsiTheme="minorHAnsi" w:cstheme="minorBidi"/>
                <w:color w:val="495965" w:themeColor="text2"/>
                <w:lang w:val="en-GB"/>
              </w:rPr>
            </w:pPr>
            <w:r>
              <w:rPr>
                <w:rFonts w:asciiTheme="minorHAnsi" w:hAnsiTheme="minorHAnsi" w:cstheme="minorBidi"/>
                <w:color w:val="495965" w:themeColor="text2"/>
                <w:lang w:val="en-GB"/>
              </w:rPr>
              <w:t xml:space="preserve">EOP, G4G and </w:t>
            </w:r>
            <w:proofErr w:type="spellStart"/>
            <w:r>
              <w:rPr>
                <w:rFonts w:asciiTheme="minorHAnsi" w:hAnsiTheme="minorHAnsi" w:cstheme="minorBidi"/>
                <w:color w:val="495965" w:themeColor="text2"/>
                <w:lang w:val="en-GB"/>
              </w:rPr>
              <w:t>WiW</w:t>
            </w:r>
            <w:proofErr w:type="spellEnd"/>
            <w:r>
              <w:rPr>
                <w:rFonts w:asciiTheme="minorHAnsi" w:hAnsiTheme="minorHAnsi" w:cstheme="minorBidi"/>
                <w:color w:val="495965" w:themeColor="text2"/>
                <w:lang w:val="en-GB"/>
              </w:rPr>
              <w:t xml:space="preserve"> are all </w:t>
            </w:r>
            <w:r w:rsidR="001128E6">
              <w:rPr>
                <w:rFonts w:asciiTheme="minorHAnsi" w:hAnsiTheme="minorHAnsi" w:cstheme="minorBidi"/>
                <w:color w:val="495965" w:themeColor="text2"/>
                <w:lang w:val="en-GB"/>
              </w:rPr>
              <w:t xml:space="preserve">achieving tangible and positive results, </w:t>
            </w:r>
            <w:r w:rsidR="0053059C">
              <w:rPr>
                <w:rFonts w:asciiTheme="minorHAnsi" w:hAnsiTheme="minorHAnsi" w:cstheme="minorBidi"/>
                <w:color w:val="495965" w:themeColor="text2"/>
                <w:lang w:val="en-GB"/>
              </w:rPr>
              <w:t>creating more sustainable jobs for women in target areas</w:t>
            </w:r>
            <w:r>
              <w:rPr>
                <w:rFonts w:asciiTheme="minorHAnsi" w:hAnsiTheme="minorHAnsi" w:cstheme="minorBidi"/>
                <w:color w:val="495965" w:themeColor="text2"/>
                <w:lang w:val="en-GB"/>
              </w:rPr>
              <w:t xml:space="preserve">. </w:t>
            </w:r>
          </w:p>
        </w:tc>
      </w:tr>
    </w:tbl>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w:t>
      </w:r>
      <w:proofErr w:type="gramStart"/>
      <w:r w:rsidRPr="00880004">
        <w:rPr>
          <w:rFonts w:eastAsia="Times New Roman"/>
          <w:b/>
          <w:sz w:val="16"/>
          <w:szCs w:val="14"/>
        </w:rPr>
        <w:t>has been made</w:t>
      </w:r>
      <w:proofErr w:type="gramEnd"/>
      <w:r w:rsidRPr="00880004">
        <w:rPr>
          <w:rFonts w:eastAsia="Times New Roman"/>
          <w:b/>
          <w:sz w:val="16"/>
          <w:szCs w:val="14"/>
        </w:rPr>
        <w:t xml:space="preserve"> and the performance benchmark was achieved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w:t>
      </w:r>
      <w:proofErr w:type="gramStart"/>
      <w:r w:rsidRPr="00880004">
        <w:rPr>
          <w:rFonts w:eastAsia="Times New Roman"/>
          <w:b/>
          <w:sz w:val="16"/>
          <w:szCs w:val="14"/>
        </w:rPr>
        <w:t>has been made</w:t>
      </w:r>
      <w:proofErr w:type="gramEnd"/>
      <w:r w:rsidRPr="00880004">
        <w:rPr>
          <w:rFonts w:eastAsia="Times New Roman"/>
          <w:b/>
          <w:sz w:val="16"/>
          <w:szCs w:val="14"/>
        </w:rPr>
        <w:t xml:space="preserve"> towards achieving the performance benchmark, but progress was less than anticipated.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BE1BEB" w:rsidRDefault="00BE1BEB" w:rsidP="00184F1E">
      <w:pPr>
        <w:rPr>
          <w:rFonts w:ascii="Franklin Gothic Book" w:eastAsia="Times New Roman" w:hAnsi="Franklin Gothic Book"/>
          <w:b/>
          <w:sz w:val="24"/>
          <w:szCs w:val="24"/>
        </w:rPr>
      </w:pPr>
    </w:p>
    <w:p w:rsidR="0053059C" w:rsidRDefault="0053059C" w:rsidP="00184F1E">
      <w:pPr>
        <w:rPr>
          <w:rFonts w:ascii="Franklin Gothic Book" w:eastAsia="Times New Roman" w:hAnsi="Franklin Gothic Book"/>
          <w:b/>
          <w:sz w:val="24"/>
          <w:szCs w:val="24"/>
        </w:rPr>
      </w:pPr>
    </w:p>
    <w:p w:rsidR="00AF1B85" w:rsidRPr="00A8197B" w:rsidRDefault="00184F1E" w:rsidP="00BE1BEB">
      <w:pPr>
        <w:pStyle w:val="Subtitle"/>
        <w:numPr>
          <w:ilvl w:val="0"/>
          <w:numId w:val="0"/>
        </w:numPr>
      </w:pPr>
      <w:r>
        <w:br w:type="page"/>
      </w:r>
      <w:r w:rsidR="00AF1B85" w:rsidRPr="00A8197B">
        <w:lastRenderedPageBreak/>
        <w:t xml:space="preserve">Annex </w:t>
      </w:r>
      <w:r>
        <w:t>C</w:t>
      </w:r>
      <w:r w:rsidR="00AF1B85" w:rsidRPr="00A8197B">
        <w:t xml:space="preserve"> - Evaluation Planning</w:t>
      </w:r>
    </w:p>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53059C"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53059C" w:rsidRPr="0053059C" w:rsidRDefault="0053059C" w:rsidP="0053059C">
            <w:pPr>
              <w:keepLines/>
              <w:spacing w:before="40" w:after="40" w:line="200" w:lineRule="atLeast"/>
              <w:rPr>
                <w:rFonts w:asciiTheme="minorHAnsi" w:eastAsia="Times New Roman" w:hAnsiTheme="minorHAnsi"/>
                <w:b w:val="0"/>
                <w:iCs/>
                <w:szCs w:val="17"/>
                <w:lang w:eastAsia="en-US"/>
              </w:rPr>
            </w:pPr>
            <w:r w:rsidRPr="0053059C">
              <w:rPr>
                <w:b w:val="0"/>
              </w:rPr>
              <w:t xml:space="preserve">North and East Local Services Improvement Project Independent Completion Report </w:t>
            </w:r>
          </w:p>
        </w:tc>
        <w:tc>
          <w:tcPr>
            <w:tcW w:w="3665" w:type="dxa"/>
          </w:tcPr>
          <w:p w:rsidR="0053059C" w:rsidRPr="0053059C" w:rsidRDefault="0053059C" w:rsidP="0053059C">
            <w:pPr>
              <w:keepLines/>
              <w:spacing w:before="40" w:after="40" w:line="200" w:lineRule="atLeast"/>
              <w:rPr>
                <w:rFonts w:asciiTheme="minorHAnsi" w:eastAsia="Times New Roman" w:hAnsiTheme="minorHAnsi"/>
                <w:b w:val="0"/>
                <w:iCs/>
                <w:szCs w:val="17"/>
                <w:lang w:eastAsia="en-US"/>
              </w:rPr>
            </w:pPr>
            <w:r w:rsidRPr="0053059C">
              <w:rPr>
                <w:b w:val="0"/>
              </w:rPr>
              <w:t>INK283 North and East Local Services Improvement Project</w:t>
            </w:r>
          </w:p>
        </w:tc>
        <w:tc>
          <w:tcPr>
            <w:tcW w:w="1397" w:type="dxa"/>
          </w:tcPr>
          <w:p w:rsidR="0053059C" w:rsidRPr="0053059C" w:rsidRDefault="0053059C" w:rsidP="0053059C">
            <w:pPr>
              <w:keepLines/>
              <w:spacing w:before="40" w:after="40" w:line="200" w:lineRule="atLeast"/>
              <w:rPr>
                <w:rFonts w:asciiTheme="minorHAnsi" w:eastAsia="Times New Roman" w:hAnsiTheme="minorHAnsi"/>
                <w:b w:val="0"/>
                <w:iCs/>
                <w:szCs w:val="17"/>
                <w:lang w:eastAsia="en-US"/>
              </w:rPr>
            </w:pPr>
            <w:r>
              <w:rPr>
                <w:b w:val="0"/>
              </w:rPr>
              <w:t>June 2018</w:t>
            </w:r>
          </w:p>
        </w:tc>
        <w:tc>
          <w:tcPr>
            <w:tcW w:w="1953" w:type="dxa"/>
          </w:tcPr>
          <w:p w:rsidR="0053059C" w:rsidRPr="0053059C" w:rsidRDefault="0053059C" w:rsidP="0053059C">
            <w:pPr>
              <w:keepLines/>
              <w:spacing w:before="40" w:after="40" w:line="200" w:lineRule="atLeast"/>
              <w:rPr>
                <w:rFonts w:asciiTheme="minorHAnsi" w:eastAsia="Times New Roman" w:hAnsiTheme="minorHAnsi"/>
                <w:b w:val="0"/>
                <w:iCs/>
                <w:szCs w:val="17"/>
                <w:lang w:eastAsia="en-US"/>
              </w:rPr>
            </w:pPr>
            <w:r>
              <w:rPr>
                <w:b w:val="0"/>
              </w:rPr>
              <w:t>July</w:t>
            </w:r>
            <w:r w:rsidRPr="0053059C">
              <w:rPr>
                <w:b w:val="0"/>
              </w:rPr>
              <w:t xml:space="preserve"> 2018 </w:t>
            </w:r>
          </w:p>
        </w:tc>
        <w:tc>
          <w:tcPr>
            <w:tcW w:w="1671" w:type="dxa"/>
          </w:tcPr>
          <w:p w:rsidR="0053059C" w:rsidRPr="0053059C" w:rsidRDefault="0053059C" w:rsidP="0053059C">
            <w:pPr>
              <w:keepLines/>
              <w:spacing w:before="40" w:after="40" w:line="200" w:lineRule="atLeast"/>
              <w:rPr>
                <w:rFonts w:asciiTheme="minorHAnsi" w:eastAsia="Times New Roman" w:hAnsiTheme="minorHAnsi"/>
                <w:b w:val="0"/>
                <w:iCs/>
                <w:szCs w:val="17"/>
                <w:lang w:eastAsia="en-US"/>
              </w:rPr>
            </w:pPr>
            <w:r>
              <w:rPr>
                <w:b w:val="0"/>
              </w:rPr>
              <w:t>N/A</w:t>
            </w:r>
          </w:p>
        </w:tc>
        <w:tc>
          <w:tcPr>
            <w:tcW w:w="2365" w:type="dxa"/>
          </w:tcPr>
          <w:p w:rsidR="0053059C" w:rsidRPr="0053059C" w:rsidRDefault="0053059C" w:rsidP="0053059C">
            <w:pPr>
              <w:keepLines/>
              <w:spacing w:before="40" w:after="40" w:line="200" w:lineRule="atLeast"/>
              <w:rPr>
                <w:rFonts w:asciiTheme="minorHAnsi" w:eastAsia="Times New Roman" w:hAnsiTheme="minorHAnsi"/>
                <w:b w:val="0"/>
                <w:iCs/>
                <w:szCs w:val="17"/>
                <w:lang w:eastAsia="en-US"/>
              </w:rPr>
            </w:pPr>
            <w:r w:rsidRPr="0053059C">
              <w:rPr>
                <w:b w:val="0"/>
              </w:rPr>
              <w:t xml:space="preserve">North and East Local Services Improvement Project Independent Completion Report </w:t>
            </w:r>
          </w:p>
        </w:tc>
      </w:tr>
    </w:tbl>
    <w:p w:rsidR="0059146A" w:rsidRDefault="0059146A" w:rsidP="005B5769">
      <w:pPr>
        <w:pStyle w:val="ListBullet"/>
        <w:tabs>
          <w:tab w:val="clear" w:pos="284"/>
        </w:tabs>
      </w:pPr>
    </w:p>
    <w:p w:rsidR="005E606B" w:rsidRDefault="005E606B" w:rsidP="005B5769">
      <w:pPr>
        <w:pStyle w:val="ListBullet"/>
        <w:tabs>
          <w:tab w:val="clear" w:pos="284"/>
        </w:tabs>
        <w:sectPr w:rsidR="005E606B" w:rsidSect="00D2653F">
          <w:headerReference w:type="default" r:id="rId28"/>
          <w:headerReference w:type="first" r:id="rId29"/>
          <w:pgSz w:w="16838" w:h="11906" w:orient="landscape" w:code="9"/>
          <w:pgMar w:top="1134" w:right="1952" w:bottom="1134" w:left="851" w:header="1107" w:footer="567" w:gutter="0"/>
          <w:cols w:space="397"/>
          <w:docGrid w:linePitch="360"/>
        </w:sectPr>
      </w:pPr>
    </w:p>
    <w:p w:rsidR="0059146A" w:rsidRDefault="0059146A" w:rsidP="005B5769">
      <w:pPr>
        <w:pStyle w:val="ListBullet"/>
        <w:tabs>
          <w:tab w:val="clear" w:pos="284"/>
        </w:tabs>
      </w:pPr>
    </w:p>
    <w:p w:rsidR="005E606B" w:rsidRPr="00A8197B" w:rsidRDefault="005E606B" w:rsidP="00A8197B">
      <w:pPr>
        <w:pStyle w:val="Subtitle"/>
      </w:pPr>
      <w:r w:rsidRPr="00A8197B">
        <w:t xml:space="preserve">Annex </w:t>
      </w:r>
      <w:r w:rsidR="00184F1E">
        <w:t>D</w:t>
      </w:r>
      <w:r w:rsidRPr="00A8197B">
        <w:t xml:space="preserve"> - Aid Quality Check ratings</w:t>
      </w:r>
    </w:p>
    <w:p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rsidR="005E606B" w:rsidRPr="00C61187" w:rsidRDefault="005E606B" w:rsidP="00A8197B">
      <w:r w:rsidRPr="00C61187">
        <w:t>AQC investment performance over the previous 12 months and where available last</w:t>
      </w:r>
      <w:r>
        <w:t xml:space="preserve"> year’s AQC ratings</w:t>
      </w:r>
      <w:r w:rsidRPr="00C61187">
        <w:t>.</w:t>
      </w:r>
    </w:p>
    <w:tbl>
      <w:tblPr>
        <w:tblStyle w:val="APPR"/>
        <w:tblW w:w="5000" w:type="pct"/>
        <w:tblLook w:val="0000" w:firstRow="0" w:lastRow="0" w:firstColumn="0" w:lastColumn="0" w:noHBand="0" w:noVBand="0"/>
      </w:tblPr>
      <w:tblGrid>
        <w:gridCol w:w="1771"/>
        <w:gridCol w:w="1285"/>
        <w:gridCol w:w="822"/>
        <w:gridCol w:w="825"/>
        <w:gridCol w:w="819"/>
        <w:gridCol w:w="825"/>
        <w:gridCol w:w="819"/>
        <w:gridCol w:w="825"/>
        <w:gridCol w:w="819"/>
        <w:gridCol w:w="828"/>
      </w:tblGrid>
      <w:tr w:rsidR="005E606B" w:rsidRPr="00C61187" w:rsidTr="00D15A00">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68480" behindDoc="0" locked="0" layoutInCell="1" allowOverlap="1" wp14:anchorId="256A7D01" wp14:editId="014A5DAB">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8"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6"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418"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5"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8"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5"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8"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5"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12"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5E606B" w:rsidRPr="00C61187" w:rsidTr="0020116D">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5E606B" w:rsidRPr="00812509" w:rsidRDefault="002A0AE4"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Economic Opportunities Program</w:t>
            </w:r>
          </w:p>
        </w:tc>
        <w:tc>
          <w:tcPr>
            <w:tcW w:w="658" w:type="pct"/>
            <w:vMerge w:val="restart"/>
          </w:tcPr>
          <w:p w:rsidR="005E606B" w:rsidRPr="00812509" w:rsidRDefault="00980E01"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$33</w:t>
            </w:r>
            <w:r w:rsidR="005E606B" w:rsidRPr="00812509">
              <w:rPr>
                <w:rFonts w:asciiTheme="minorHAnsi" w:hAnsiTheme="minorHAnsi" w:cs="Franklin Gothic Book"/>
                <w:color w:val="000000"/>
                <w:szCs w:val="17"/>
              </w:rPr>
              <w:t xml:space="preserve">m </w:t>
            </w:r>
          </w:p>
          <w:p w:rsidR="005E606B" w:rsidRPr="00812509" w:rsidRDefault="005E606B" w:rsidP="003E305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B71467">
              <w:rPr>
                <w:rFonts w:asciiTheme="minorHAnsi" w:eastAsia="Times New Roman" w:hAnsiTheme="minorHAnsi"/>
                <w:iCs/>
                <w:szCs w:val="17"/>
                <w:lang w:eastAsia="en-US"/>
              </w:rPr>
              <w:t>4-2022</w:t>
            </w:r>
            <w:r w:rsidRPr="00812509">
              <w:rPr>
                <w:rFonts w:asciiTheme="minorHAnsi" w:eastAsia="Times New Roman" w:hAnsiTheme="minorHAnsi"/>
                <w:iCs/>
                <w:szCs w:val="17"/>
                <w:lang w:eastAsia="en-US"/>
              </w:rPr>
              <w:t xml:space="preserve"> </w:t>
            </w:r>
          </w:p>
        </w:tc>
        <w:tc>
          <w:tcPr>
            <w:tcW w:w="416" w:type="pct"/>
          </w:tcPr>
          <w:p w:rsidR="005E606B" w:rsidRPr="00812509" w:rsidRDefault="005E606B" w:rsidP="00580A6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580A64">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418" w:type="pct"/>
            <w:shd w:val="clear" w:color="auto" w:fill="92D050"/>
            <w:noWrap/>
          </w:tcPr>
          <w:p w:rsidR="005E606B" w:rsidRPr="00812509" w:rsidRDefault="00980E0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shd w:val="clear" w:color="auto" w:fill="FFFF00"/>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8" w:type="pct"/>
            <w:shd w:val="clear" w:color="auto" w:fill="FFFF00"/>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5" w:type="pct"/>
            <w:shd w:val="clear" w:color="auto" w:fill="FFFF00"/>
            <w:noWrap/>
          </w:tcPr>
          <w:p w:rsidR="005E606B" w:rsidRPr="00812509" w:rsidRDefault="00980E0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shd w:val="clear" w:color="auto" w:fill="FFFF00"/>
            <w:noWrap/>
          </w:tcPr>
          <w:p w:rsidR="005E606B" w:rsidRPr="00812509" w:rsidRDefault="00980E0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shd w:val="clear" w:color="auto" w:fill="FFFF00"/>
            <w:noWrap/>
          </w:tcPr>
          <w:p w:rsidR="005E606B" w:rsidRPr="00812509" w:rsidRDefault="00980E0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FFFFFF" w:themeFill="background1"/>
          </w:tcPr>
          <w:p w:rsidR="005E606B" w:rsidRPr="00812509" w:rsidRDefault="00980E0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5E606B" w:rsidRPr="00C61187" w:rsidTr="0020116D">
        <w:trPr>
          <w:cnfStyle w:val="000000010000" w:firstRow="0" w:lastRow="0" w:firstColumn="0" w:lastColumn="0" w:oddVBand="0" w:evenVBand="0" w:oddHBand="0" w:evenHBand="1" w:firstRowFirstColumn="0" w:firstRowLastColumn="0" w:lastRowFirstColumn="0" w:lastRowLastColumn="0"/>
          <w:trHeight w:val="284"/>
        </w:trPr>
        <w:tc>
          <w:tcPr>
            <w:tcW w:w="906" w:type="pct"/>
            <w:vMerge/>
            <w:tcBorders>
              <w:bottom w:val="single" w:sz="4" w:space="0" w:color="auto"/>
            </w:tcBorders>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5E606B" w:rsidRPr="00812509" w:rsidRDefault="005E606B" w:rsidP="00580A6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580A64">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AQC</w:t>
            </w:r>
          </w:p>
        </w:tc>
        <w:tc>
          <w:tcPr>
            <w:tcW w:w="418" w:type="pct"/>
            <w:tcBorders>
              <w:bottom w:val="single" w:sz="4" w:space="0" w:color="auto"/>
            </w:tcBorders>
            <w:shd w:val="clear" w:color="auto" w:fill="92D050"/>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rsidR="005E606B" w:rsidRPr="00812509" w:rsidRDefault="00980E0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5" w:type="pct"/>
            <w:tcBorders>
              <w:bottom w:val="single" w:sz="4" w:space="0" w:color="auto"/>
            </w:tcBorders>
            <w:shd w:val="clear" w:color="auto" w:fill="FFC000"/>
            <w:noWrap/>
          </w:tcPr>
          <w:p w:rsidR="005E606B" w:rsidRPr="00812509" w:rsidRDefault="00980E0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8" w:type="pct"/>
            <w:tcBorders>
              <w:bottom w:val="single" w:sz="4" w:space="0" w:color="auto"/>
            </w:tcBorders>
            <w:shd w:val="clear" w:color="auto" w:fill="FFFF00"/>
            <w:noWrap/>
          </w:tcPr>
          <w:p w:rsidR="005E606B" w:rsidRPr="00812509" w:rsidRDefault="00980E0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5E606B" w:rsidRPr="00812509" w:rsidRDefault="00980E0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bottom w:val="single" w:sz="4" w:space="0" w:color="auto"/>
            </w:tcBorders>
            <w:shd w:val="clear" w:color="auto" w:fill="FFFFFF" w:themeFill="background1"/>
          </w:tcPr>
          <w:p w:rsidR="005E606B" w:rsidRPr="00812509" w:rsidRDefault="00980E0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5E606B" w:rsidRPr="00C61187" w:rsidTr="00764E05">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5E606B" w:rsidRPr="00812509" w:rsidRDefault="00B71467"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Governance for Growth</w:t>
            </w:r>
          </w:p>
        </w:tc>
        <w:tc>
          <w:tcPr>
            <w:tcW w:w="658" w:type="pct"/>
            <w:vMerge w:val="restart"/>
          </w:tcPr>
          <w:p w:rsidR="005E606B" w:rsidRPr="00812509" w:rsidRDefault="00B71467"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$14</w:t>
            </w:r>
            <w:r w:rsidR="005E606B" w:rsidRPr="00812509">
              <w:rPr>
                <w:rFonts w:asciiTheme="minorHAnsi" w:hAnsiTheme="minorHAnsi" w:cs="Franklin Gothic Book"/>
                <w:color w:val="000000"/>
                <w:szCs w:val="17"/>
              </w:rPr>
              <w:t xml:space="preserve">m </w:t>
            </w:r>
            <w:r w:rsidR="00980E01">
              <w:rPr>
                <w:rFonts w:asciiTheme="minorHAnsi" w:hAnsiTheme="minorHAnsi" w:cs="Franklin Gothic Book"/>
                <w:color w:val="000000"/>
                <w:szCs w:val="17"/>
              </w:rPr>
              <w:t xml:space="preserve">(last </w:t>
            </w:r>
            <w:proofErr w:type="gramStart"/>
            <w:r w:rsidR="00980E01">
              <w:rPr>
                <w:rFonts w:asciiTheme="minorHAnsi" w:hAnsiTheme="minorHAnsi" w:cs="Franklin Gothic Book"/>
                <w:color w:val="000000"/>
                <w:szCs w:val="17"/>
              </w:rPr>
              <w:t>year’s</w:t>
            </w:r>
            <w:proofErr w:type="gramEnd"/>
            <w:r w:rsidR="00980E01">
              <w:rPr>
                <w:rFonts w:asciiTheme="minorHAnsi" w:hAnsiTheme="minorHAnsi" w:cs="Franklin Gothic Book"/>
                <w:color w:val="000000"/>
                <w:szCs w:val="17"/>
              </w:rPr>
              <w:t xml:space="preserve"> APPR said $25m?)</w:t>
            </w:r>
          </w:p>
          <w:p w:rsidR="005E606B" w:rsidRPr="00812509" w:rsidRDefault="005E606B" w:rsidP="003E305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3E305C">
              <w:rPr>
                <w:rFonts w:asciiTheme="minorHAnsi" w:eastAsia="Times New Roman" w:hAnsiTheme="minorHAnsi"/>
                <w:iCs/>
                <w:szCs w:val="17"/>
                <w:lang w:eastAsia="en-US"/>
              </w:rPr>
              <w:t>6</w:t>
            </w:r>
            <w:r w:rsidR="00B71467">
              <w:rPr>
                <w:rFonts w:asciiTheme="minorHAnsi" w:eastAsia="Times New Roman" w:hAnsiTheme="minorHAnsi"/>
                <w:iCs/>
                <w:szCs w:val="17"/>
                <w:lang w:eastAsia="en-US"/>
              </w:rPr>
              <w:t>-2021</w:t>
            </w:r>
          </w:p>
        </w:tc>
        <w:tc>
          <w:tcPr>
            <w:tcW w:w="416" w:type="pct"/>
          </w:tcPr>
          <w:p w:rsidR="005E606B" w:rsidRPr="00812509" w:rsidRDefault="005E606B" w:rsidP="00580A6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580A64">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418" w:type="pct"/>
            <w:shd w:val="clear" w:color="auto" w:fill="FFFF00"/>
            <w:noWrap/>
          </w:tcPr>
          <w:p w:rsidR="005E606B" w:rsidRPr="00812509" w:rsidRDefault="00764E0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shd w:val="clear" w:color="auto" w:fill="FFFF00"/>
            <w:noWrap/>
          </w:tcPr>
          <w:p w:rsidR="005E606B" w:rsidRPr="00812509" w:rsidRDefault="00764E0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shd w:val="clear" w:color="auto" w:fill="FFFF00"/>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5" w:type="pct"/>
            <w:shd w:val="clear" w:color="auto" w:fill="FFFF00"/>
            <w:noWrap/>
          </w:tcPr>
          <w:p w:rsidR="005E606B" w:rsidRPr="00812509" w:rsidRDefault="00764E0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shd w:val="clear" w:color="auto" w:fill="FFFF00"/>
            <w:noWrap/>
          </w:tcPr>
          <w:p w:rsidR="005E606B" w:rsidRPr="00812509" w:rsidRDefault="00764E0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shd w:val="clear" w:color="auto" w:fill="FFFF00"/>
            <w:noWrap/>
          </w:tcPr>
          <w:p w:rsidR="005E606B" w:rsidRPr="00812509" w:rsidRDefault="00764E0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FFFF00"/>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5E606B" w:rsidRPr="00C61187" w:rsidTr="00B805A3">
        <w:trPr>
          <w:cnfStyle w:val="000000010000" w:firstRow="0" w:lastRow="0" w:firstColumn="0" w:lastColumn="0" w:oddVBand="0" w:evenVBand="0" w:oddHBand="0" w:evenHBand="1" w:firstRowFirstColumn="0" w:firstRowLastColumn="0" w:lastRowFirstColumn="0" w:lastRowLastColumn="0"/>
          <w:trHeight w:val="284"/>
        </w:trPr>
        <w:tc>
          <w:tcPr>
            <w:tcW w:w="906" w:type="pct"/>
            <w:vMerge/>
            <w:tcBorders>
              <w:bottom w:val="single" w:sz="4" w:space="0" w:color="auto"/>
            </w:tcBorders>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5E606B" w:rsidRPr="00812509" w:rsidRDefault="005E606B" w:rsidP="00580A6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580A64">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AQC</w:t>
            </w:r>
          </w:p>
        </w:tc>
        <w:tc>
          <w:tcPr>
            <w:tcW w:w="418" w:type="pct"/>
            <w:tcBorders>
              <w:bottom w:val="single" w:sz="4" w:space="0" w:color="auto"/>
            </w:tcBorders>
            <w:shd w:val="clear" w:color="auto" w:fill="92D050"/>
            <w:noWrap/>
          </w:tcPr>
          <w:p w:rsidR="005E606B" w:rsidRPr="00812509" w:rsidRDefault="00816E7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rsidR="005E606B" w:rsidRPr="00812509" w:rsidRDefault="00816E7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rsidR="005E606B" w:rsidRPr="00812509" w:rsidRDefault="00816E7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5E606B" w:rsidRPr="00812509" w:rsidRDefault="00816E7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92D050"/>
            <w:noWrap/>
          </w:tcPr>
          <w:p w:rsidR="005E606B" w:rsidRPr="00812509" w:rsidRDefault="00816E7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rsidR="005E606B" w:rsidRPr="00812509" w:rsidRDefault="00816E7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bottom w:val="single" w:sz="4" w:space="0" w:color="auto"/>
            </w:tcBorders>
            <w:shd w:val="clear" w:color="auto" w:fill="auto"/>
          </w:tcPr>
          <w:p w:rsidR="005E606B" w:rsidRPr="00812509" w:rsidRDefault="00816E7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5E606B" w:rsidRPr="00C61187" w:rsidTr="00B805A3">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5E606B" w:rsidRPr="00812509" w:rsidRDefault="00B71467"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Women in Work</w:t>
            </w:r>
          </w:p>
        </w:tc>
        <w:tc>
          <w:tcPr>
            <w:tcW w:w="658" w:type="pct"/>
            <w:vMerge w:val="restart"/>
          </w:tcPr>
          <w:p w:rsidR="005E606B" w:rsidRDefault="00B71467"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$15</w:t>
            </w:r>
          </w:p>
          <w:p w:rsidR="00B71467" w:rsidRPr="00812509" w:rsidRDefault="00B71467"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2015-2021</w:t>
            </w:r>
          </w:p>
        </w:tc>
        <w:tc>
          <w:tcPr>
            <w:tcW w:w="416" w:type="pct"/>
          </w:tcPr>
          <w:p w:rsidR="005E606B" w:rsidRPr="00812509" w:rsidRDefault="005E606B" w:rsidP="00580A6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580A64">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418" w:type="pct"/>
            <w:shd w:val="clear" w:color="auto" w:fill="92D050"/>
            <w:noWrap/>
          </w:tcPr>
          <w:p w:rsidR="005E606B" w:rsidRPr="00812509" w:rsidRDefault="0020116D"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shd w:val="clear" w:color="auto" w:fill="FFFF00"/>
            <w:noWrap/>
          </w:tcPr>
          <w:p w:rsidR="005E606B" w:rsidRPr="00812509" w:rsidRDefault="0020116D"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shd w:val="clear" w:color="auto" w:fill="FFFF00"/>
            <w:noWrap/>
          </w:tcPr>
          <w:p w:rsidR="005E606B" w:rsidRPr="00812509" w:rsidRDefault="0020116D"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shd w:val="clear" w:color="auto" w:fill="FF0000"/>
            <w:noWrap/>
          </w:tcPr>
          <w:p w:rsidR="005E606B" w:rsidRPr="00812509" w:rsidRDefault="0020116D"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8" w:type="pct"/>
            <w:shd w:val="clear" w:color="auto" w:fill="92D050"/>
            <w:noWrap/>
          </w:tcPr>
          <w:p w:rsidR="005E606B" w:rsidRPr="00812509" w:rsidRDefault="0020116D"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shd w:val="clear" w:color="auto" w:fill="92D050"/>
            <w:noWrap/>
          </w:tcPr>
          <w:p w:rsidR="005E606B" w:rsidRPr="00812509" w:rsidRDefault="0020116D"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tcPr>
          <w:p w:rsidR="005E606B" w:rsidRPr="00812509" w:rsidRDefault="0020116D"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5E606B" w:rsidRPr="00C61187" w:rsidTr="00D15A00">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658" w:type="pct"/>
            <w:vMerge/>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6" w:type="pct"/>
          </w:tcPr>
          <w:p w:rsidR="005E606B" w:rsidRPr="00812509" w:rsidRDefault="005E606B" w:rsidP="00580A6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580A64">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AQC</w:t>
            </w:r>
          </w:p>
        </w:tc>
        <w:tc>
          <w:tcPr>
            <w:tcW w:w="418" w:type="pct"/>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415" w:type="pct"/>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418" w:type="pct"/>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415" w:type="pct"/>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418" w:type="pct"/>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415" w:type="pct"/>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412" w:type="pct"/>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r>
    </w:tbl>
    <w:p w:rsidR="005E606B" w:rsidRPr="00C61187" w:rsidRDefault="005E606B" w:rsidP="005E606B">
      <w:pPr>
        <w:rPr>
          <w:iCs/>
        </w:rPr>
      </w:pPr>
    </w:p>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 xml:space="preserve">HAQC ratings </w:t>
      </w:r>
      <w:r w:rsidRPr="00A8197B">
        <w:rPr>
          <w:rStyle w:val="BodyTextChar"/>
          <w:rFonts w:asciiTheme="minorHAnsi" w:hAnsiTheme="minorHAnsi"/>
          <w:sz w:val="24"/>
          <w:lang w:val="en-GB" w:eastAsia="en-US"/>
        </w:rPr>
        <w:t>(include if relevant)</w:t>
      </w:r>
    </w:p>
    <w:p w:rsidR="00A8197B" w:rsidRPr="00C61187" w:rsidRDefault="00A8197B" w:rsidP="00A8197B">
      <w:r w:rsidRPr="00C61187">
        <w:t xml:space="preserve">Humanitarian response AQCs assess performance over the previous 12 months (ratings </w:t>
      </w:r>
      <w:proofErr w:type="gramStart"/>
      <w:r w:rsidRPr="00C61187">
        <w:t>are not compared</w:t>
      </w:r>
      <w:proofErr w:type="gramEnd"/>
      <w:r w:rsidRPr="00C61187">
        <w:t xml:space="preserve"> to previous years). </w:t>
      </w:r>
    </w:p>
    <w:tbl>
      <w:tblPr>
        <w:tblStyle w:val="APPR"/>
        <w:tblW w:w="5000" w:type="pct"/>
        <w:tblLook w:val="0000" w:firstRow="0" w:lastRow="0" w:firstColumn="0" w:lastColumn="0" w:noHBand="0" w:noVBand="0"/>
      </w:tblPr>
      <w:tblGrid>
        <w:gridCol w:w="1737"/>
        <w:gridCol w:w="1259"/>
        <w:gridCol w:w="803"/>
        <w:gridCol w:w="803"/>
        <w:gridCol w:w="72"/>
        <w:gridCol w:w="803"/>
        <w:gridCol w:w="803"/>
        <w:gridCol w:w="72"/>
        <w:gridCol w:w="801"/>
        <w:gridCol w:w="803"/>
        <w:gridCol w:w="72"/>
        <w:gridCol w:w="801"/>
        <w:gridCol w:w="809"/>
      </w:tblGrid>
      <w:tr w:rsidR="00A8197B" w:rsidRPr="00C61187" w:rsidTr="00D15A00">
        <w:trPr>
          <w:cnfStyle w:val="000000010000" w:firstRow="0" w:lastRow="0" w:firstColumn="0" w:lastColumn="0" w:oddVBand="0" w:evenVBand="0" w:oddHBand="0" w:evenHBand="1" w:firstRowFirstColumn="0" w:firstRowLastColumn="0" w:lastRowFirstColumn="0" w:lastRowLastColumn="0"/>
          <w:trHeight w:val="1413"/>
        </w:trPr>
        <w:tc>
          <w:tcPr>
            <w:tcW w:w="895"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0528" behindDoc="0" locked="0" layoutInCell="1" allowOverlap="1" wp14:anchorId="746122FB" wp14:editId="4D87FB95">
                  <wp:simplePos x="0" y="0"/>
                  <wp:positionH relativeFrom="column">
                    <wp:posOffset>0</wp:posOffset>
                  </wp:positionH>
                  <wp:positionV relativeFrom="paragraph">
                    <wp:posOffset>0</wp:posOffset>
                  </wp:positionV>
                  <wp:extent cx="1857375" cy="228600"/>
                  <wp:effectExtent l="0" t="0" r="9525" b="0"/>
                  <wp:wrapNone/>
                  <wp:docPr id="27" name="Picture 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33" w:type="pct"/>
            <w:gridSpan w:val="2"/>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32" w:type="pct"/>
            <w:gridSpan w:val="2"/>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Connectedness</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Protection</w:t>
            </w:r>
          </w:p>
        </w:tc>
        <w:tc>
          <w:tcPr>
            <w:tcW w:w="432" w:type="pct"/>
            <w:gridSpan w:val="2"/>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6"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A8197B" w:rsidRPr="00C61187" w:rsidTr="00D15A00">
        <w:trPr>
          <w:cnfStyle w:val="000000010000" w:firstRow="0" w:lastRow="0" w:firstColumn="0" w:lastColumn="0" w:oddVBand="0" w:evenVBand="0" w:oddHBand="0" w:evenHBand="1" w:firstRowFirstColumn="0" w:firstRowLastColumn="0" w:lastRowFirstColumn="0" w:lastRowLastColumn="0"/>
          <w:trHeight w:val="284"/>
        </w:trPr>
        <w:tc>
          <w:tcPr>
            <w:tcW w:w="895" w:type="pct"/>
          </w:tcPr>
          <w:p w:rsidR="00A8197B" w:rsidRPr="00812509" w:rsidRDefault="00A8197B"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Investment 4</w:t>
            </w:r>
          </w:p>
        </w:tc>
        <w:tc>
          <w:tcPr>
            <w:tcW w:w="650" w:type="pct"/>
          </w:tcPr>
          <w:p w:rsidR="00A8197B" w:rsidRPr="00812509" w:rsidRDefault="00A8197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 xml:space="preserve">$3m </w:t>
            </w:r>
          </w:p>
          <w:p w:rsidR="00A8197B" w:rsidRPr="00812509" w:rsidRDefault="00A8197B" w:rsidP="00B907C7">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B907C7">
              <w:rPr>
                <w:rFonts w:asciiTheme="minorHAnsi" w:eastAsia="Times New Roman" w:hAnsiTheme="minorHAnsi"/>
                <w:iCs/>
                <w:szCs w:val="17"/>
                <w:lang w:eastAsia="en-US"/>
              </w:rPr>
              <w:t>5</w:t>
            </w:r>
            <w:r w:rsidRPr="00812509">
              <w:rPr>
                <w:rFonts w:asciiTheme="minorHAnsi" w:eastAsia="Times New Roman" w:hAnsiTheme="minorHAnsi"/>
                <w:iCs/>
                <w:szCs w:val="17"/>
                <w:lang w:eastAsia="en-US"/>
              </w:rPr>
              <w:t>-1</w:t>
            </w:r>
            <w:r w:rsidR="00B907C7">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w:t>
            </w:r>
          </w:p>
        </w:tc>
        <w:tc>
          <w:tcPr>
            <w:tcW w:w="410" w:type="pct"/>
            <w:shd w:val="clear" w:color="auto" w:fill="92D050"/>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33" w:type="pct"/>
            <w:gridSpan w:val="2"/>
            <w:shd w:val="clear" w:color="auto" w:fill="92D05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0" w:type="pct"/>
            <w:shd w:val="clear" w:color="auto" w:fill="FFC00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433" w:type="pct"/>
            <w:gridSpan w:val="2"/>
            <w:shd w:val="clear" w:color="auto" w:fill="FFFF0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09" w:type="pct"/>
            <w:shd w:val="clear" w:color="auto" w:fill="FF000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w:t>
            </w:r>
          </w:p>
        </w:tc>
        <w:tc>
          <w:tcPr>
            <w:tcW w:w="433" w:type="pct"/>
            <w:gridSpan w:val="2"/>
            <w:shd w:val="clear" w:color="auto" w:fill="92D05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409" w:type="pct"/>
            <w:shd w:val="clear" w:color="auto" w:fill="FF000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1</w:t>
            </w:r>
          </w:p>
        </w:tc>
        <w:tc>
          <w:tcPr>
            <w:tcW w:w="406" w:type="pct"/>
            <w:shd w:val="clear" w:color="auto" w:fill="FFFF00"/>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bl>
    <w:p w:rsidR="00A8197B" w:rsidRPr="00C61187" w:rsidRDefault="00A8197B" w:rsidP="00A8197B">
      <w:pPr>
        <w:rPr>
          <w:iCs/>
        </w:rPr>
      </w:pPr>
    </w:p>
    <w:p w:rsidR="005E606B" w:rsidRPr="00C61187" w:rsidRDefault="005E606B" w:rsidP="005E606B">
      <w:pPr>
        <w:keepNext/>
        <w:numPr>
          <w:ilvl w:val="2"/>
          <w:numId w:val="0"/>
        </w:numPr>
        <w:spacing w:before="240" w:after="120"/>
        <w:outlineLvl w:val="2"/>
        <w:rPr>
          <w:rFonts w:ascii="Helvetica" w:eastAsia="Times New Roman" w:hAnsi="Helvetica" w:cs="Arial"/>
          <w:b/>
          <w:color w:val="124486"/>
          <w:kern w:val="28"/>
          <w:lang w:eastAsia="zh-CN"/>
        </w:rPr>
      </w:pPr>
      <w:r w:rsidRPr="00C61187">
        <w:rPr>
          <w:rFonts w:ascii="Helvetica" w:eastAsia="Times New Roman" w:hAnsi="Helvetica" w:cs="Arial"/>
          <w:b/>
          <w:color w:val="124486"/>
          <w:kern w:val="28"/>
          <w:lang w:eastAsia="zh-CN"/>
        </w:rPr>
        <w:br w:type="page"/>
      </w:r>
    </w:p>
    <w:p w:rsidR="0059146A" w:rsidRDefault="0059146A" w:rsidP="00661396">
      <w:pPr>
        <w:pStyle w:val="ListBullet"/>
        <w:pBdr>
          <w:bottom w:val="single" w:sz="4" w:space="1" w:color="auto"/>
        </w:pBdr>
        <w:tabs>
          <w:tab w:val="clear" w:pos="284"/>
        </w:tabs>
      </w:pPr>
    </w:p>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 xml:space="preserve">FAQC ratings </w:t>
      </w:r>
      <w:r w:rsidRPr="00A8197B">
        <w:rPr>
          <w:rStyle w:val="BodyTextChar"/>
          <w:rFonts w:asciiTheme="minorHAnsi" w:hAnsiTheme="minorHAnsi"/>
          <w:sz w:val="24"/>
          <w:lang w:val="en-GB" w:eastAsia="en-US"/>
        </w:rPr>
        <w:t>(include if relevant)</w:t>
      </w:r>
    </w:p>
    <w:p w:rsidR="00A8197B" w:rsidRPr="00C61187" w:rsidRDefault="00A8197B" w:rsidP="00A8197B">
      <w:r w:rsidRPr="00C61187">
        <w:t xml:space="preserve">Final AQCs assess performance over the lifetime of the investment (ratings </w:t>
      </w:r>
      <w:proofErr w:type="gramStart"/>
      <w:r w:rsidRPr="00C61187">
        <w:t>are not compared</w:t>
      </w:r>
      <w:proofErr w:type="gramEnd"/>
      <w:r w:rsidRPr="00C61187">
        <w:t xml:space="preserve"> to previous years).</w:t>
      </w:r>
    </w:p>
    <w:tbl>
      <w:tblPr>
        <w:tblStyle w:val="APPR"/>
        <w:tblW w:w="5000" w:type="pct"/>
        <w:tblLook w:val="0000" w:firstRow="0" w:lastRow="0" w:firstColumn="0" w:lastColumn="0" w:noHBand="0" w:noVBand="0"/>
      </w:tblPr>
      <w:tblGrid>
        <w:gridCol w:w="1769"/>
        <w:gridCol w:w="1285"/>
        <w:gridCol w:w="824"/>
        <w:gridCol w:w="821"/>
        <w:gridCol w:w="823"/>
        <w:gridCol w:w="821"/>
        <w:gridCol w:w="823"/>
        <w:gridCol w:w="821"/>
        <w:gridCol w:w="823"/>
        <w:gridCol w:w="828"/>
      </w:tblGrid>
      <w:tr w:rsidR="00A8197B" w:rsidRPr="00812509" w:rsidTr="00D15A00">
        <w:trPr>
          <w:cnfStyle w:val="000000010000" w:firstRow="0" w:lastRow="0" w:firstColumn="0" w:lastColumn="0" w:oddVBand="0" w:evenVBand="0" w:oddHBand="0" w:evenHBand="1" w:firstRowFirstColumn="0" w:firstRowLastColumn="0" w:lastRowFirstColumn="0" w:lastRowLastColumn="0"/>
          <w:trHeight w:val="1505"/>
        </w:trPr>
        <w:tc>
          <w:tcPr>
            <w:tcW w:w="905"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3D540645" wp14:editId="5B816772">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8"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7"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6"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7"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6"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7"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6"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7"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12"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A8197B" w:rsidRPr="00812509" w:rsidTr="00B805A3">
        <w:trPr>
          <w:cnfStyle w:val="000000010000" w:firstRow="0" w:lastRow="0" w:firstColumn="0" w:lastColumn="0" w:oddVBand="0" w:evenVBand="0" w:oddHBand="0" w:evenHBand="1" w:firstRowFirstColumn="0" w:firstRowLastColumn="0" w:lastRowFirstColumn="0" w:lastRowLastColumn="0"/>
          <w:trHeight w:val="1109"/>
        </w:trPr>
        <w:tc>
          <w:tcPr>
            <w:tcW w:w="905" w:type="pct"/>
          </w:tcPr>
          <w:p w:rsidR="0067318C" w:rsidRPr="00812509" w:rsidRDefault="004A3489"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w:t>
            </w:r>
            <w:r w:rsidR="0067318C">
              <w:rPr>
                <w:rFonts w:asciiTheme="minorHAnsi" w:eastAsia="Times New Roman" w:hAnsiTheme="minorHAnsi"/>
                <w:iCs/>
                <w:szCs w:val="17"/>
                <w:lang w:eastAsia="en-US"/>
              </w:rPr>
              <w:t xml:space="preserve">orth </w:t>
            </w:r>
            <w:r>
              <w:rPr>
                <w:rFonts w:asciiTheme="minorHAnsi" w:eastAsia="Times New Roman" w:hAnsiTheme="minorHAnsi"/>
                <w:iCs/>
                <w:szCs w:val="17"/>
                <w:lang w:eastAsia="en-US"/>
              </w:rPr>
              <w:t>E</w:t>
            </w:r>
            <w:r w:rsidR="0067318C">
              <w:rPr>
                <w:rFonts w:asciiTheme="minorHAnsi" w:eastAsia="Times New Roman" w:hAnsiTheme="minorHAnsi"/>
                <w:iCs/>
                <w:szCs w:val="17"/>
                <w:lang w:eastAsia="en-US"/>
              </w:rPr>
              <w:t xml:space="preserve">ast </w:t>
            </w:r>
            <w:r>
              <w:rPr>
                <w:rFonts w:asciiTheme="minorHAnsi" w:eastAsia="Times New Roman" w:hAnsiTheme="minorHAnsi"/>
                <w:iCs/>
                <w:szCs w:val="17"/>
                <w:lang w:eastAsia="en-US"/>
              </w:rPr>
              <w:t>L</w:t>
            </w:r>
            <w:r w:rsidR="0067318C">
              <w:rPr>
                <w:rFonts w:asciiTheme="minorHAnsi" w:eastAsia="Times New Roman" w:hAnsiTheme="minorHAnsi"/>
                <w:iCs/>
                <w:szCs w:val="17"/>
                <w:lang w:eastAsia="en-US"/>
              </w:rPr>
              <w:t xml:space="preserve">ocal </w:t>
            </w:r>
            <w:r>
              <w:rPr>
                <w:rFonts w:asciiTheme="minorHAnsi" w:eastAsia="Times New Roman" w:hAnsiTheme="minorHAnsi"/>
                <w:iCs/>
                <w:szCs w:val="17"/>
                <w:lang w:eastAsia="en-US"/>
              </w:rPr>
              <w:t>S</w:t>
            </w:r>
            <w:r w:rsidR="0067318C">
              <w:rPr>
                <w:rFonts w:asciiTheme="minorHAnsi" w:eastAsia="Times New Roman" w:hAnsiTheme="minorHAnsi"/>
                <w:iCs/>
                <w:szCs w:val="17"/>
                <w:lang w:eastAsia="en-US"/>
              </w:rPr>
              <w:t xml:space="preserve">ervices </w:t>
            </w:r>
            <w:r>
              <w:rPr>
                <w:rFonts w:asciiTheme="minorHAnsi" w:eastAsia="Times New Roman" w:hAnsiTheme="minorHAnsi"/>
                <w:iCs/>
                <w:szCs w:val="17"/>
                <w:lang w:eastAsia="en-US"/>
              </w:rPr>
              <w:t>I</w:t>
            </w:r>
            <w:r w:rsidR="0067318C">
              <w:rPr>
                <w:rFonts w:asciiTheme="minorHAnsi" w:eastAsia="Times New Roman" w:hAnsiTheme="minorHAnsi"/>
                <w:iCs/>
                <w:szCs w:val="17"/>
                <w:lang w:eastAsia="en-US"/>
              </w:rPr>
              <w:t xml:space="preserve">mprovement </w:t>
            </w:r>
            <w:r>
              <w:rPr>
                <w:rFonts w:asciiTheme="minorHAnsi" w:eastAsia="Times New Roman" w:hAnsiTheme="minorHAnsi"/>
                <w:iCs/>
                <w:szCs w:val="17"/>
                <w:lang w:eastAsia="en-US"/>
              </w:rPr>
              <w:t>P</w:t>
            </w:r>
            <w:r w:rsidR="0067318C">
              <w:rPr>
                <w:rFonts w:asciiTheme="minorHAnsi" w:eastAsia="Times New Roman" w:hAnsiTheme="minorHAnsi"/>
                <w:iCs/>
                <w:szCs w:val="17"/>
                <w:lang w:eastAsia="en-US"/>
              </w:rPr>
              <w:t>rogram (NELSIP)</w:t>
            </w:r>
          </w:p>
        </w:tc>
        <w:tc>
          <w:tcPr>
            <w:tcW w:w="658" w:type="pct"/>
          </w:tcPr>
          <w:p w:rsidR="00A8197B" w:rsidRPr="00812509" w:rsidRDefault="000415C3"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$26</w:t>
            </w:r>
            <w:r w:rsidR="00A8197B" w:rsidRPr="00812509">
              <w:rPr>
                <w:rFonts w:asciiTheme="minorHAnsi" w:hAnsiTheme="minorHAnsi" w:cs="Franklin Gothic Book"/>
                <w:color w:val="000000"/>
                <w:szCs w:val="17"/>
              </w:rPr>
              <w:t xml:space="preserve">m </w:t>
            </w:r>
          </w:p>
          <w:p w:rsidR="00A8197B" w:rsidRDefault="00A8197B" w:rsidP="003E305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A3489">
              <w:rPr>
                <w:rFonts w:asciiTheme="minorHAnsi" w:eastAsia="Times New Roman" w:hAnsiTheme="minorHAnsi"/>
                <w:iCs/>
                <w:szCs w:val="17"/>
                <w:lang w:eastAsia="en-US"/>
              </w:rPr>
              <w:t>1</w:t>
            </w:r>
            <w:r w:rsidRPr="00812509">
              <w:rPr>
                <w:rFonts w:asciiTheme="minorHAnsi" w:eastAsia="Times New Roman" w:hAnsiTheme="minorHAnsi"/>
                <w:iCs/>
                <w:szCs w:val="17"/>
                <w:lang w:eastAsia="en-US"/>
              </w:rPr>
              <w:t>-1</w:t>
            </w:r>
            <w:r w:rsidR="003E305C">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w:t>
            </w:r>
          </w:p>
          <w:p w:rsidR="0067318C" w:rsidRDefault="0067318C" w:rsidP="003E305C">
            <w:pPr>
              <w:keepLines/>
              <w:spacing w:before="40" w:after="40" w:line="200" w:lineRule="atLeast"/>
              <w:rPr>
                <w:rFonts w:asciiTheme="minorHAnsi" w:eastAsia="Times New Roman" w:hAnsiTheme="minorHAnsi"/>
                <w:iCs/>
                <w:szCs w:val="17"/>
                <w:lang w:eastAsia="en-US"/>
              </w:rPr>
            </w:pPr>
          </w:p>
          <w:p w:rsidR="0067318C" w:rsidRPr="00812509" w:rsidRDefault="0067318C" w:rsidP="003E305C">
            <w:pPr>
              <w:keepLines/>
              <w:spacing w:before="40" w:after="40" w:line="200" w:lineRule="atLeast"/>
              <w:rPr>
                <w:rFonts w:asciiTheme="minorHAnsi" w:eastAsia="Times New Roman" w:hAnsiTheme="minorHAnsi"/>
                <w:iCs/>
                <w:szCs w:val="17"/>
                <w:lang w:eastAsia="en-US"/>
              </w:rPr>
            </w:pPr>
          </w:p>
        </w:tc>
        <w:tc>
          <w:tcPr>
            <w:tcW w:w="417" w:type="pct"/>
            <w:shd w:val="clear" w:color="auto" w:fill="92D050"/>
            <w:noWrap/>
          </w:tcPr>
          <w:p w:rsidR="0067318C" w:rsidRPr="00812509" w:rsidRDefault="004A3489" w:rsidP="0095638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6" w:type="pct"/>
            <w:shd w:val="clear" w:color="auto" w:fill="92D05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7" w:type="pct"/>
            <w:shd w:val="clear" w:color="auto" w:fill="FFFF0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6" w:type="pct"/>
            <w:shd w:val="clear" w:color="auto" w:fill="FFFF00"/>
            <w:noWrap/>
          </w:tcPr>
          <w:p w:rsidR="00A8197B" w:rsidRPr="00812509" w:rsidRDefault="004A348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7" w:type="pct"/>
            <w:shd w:val="clear" w:color="auto" w:fill="FF0000"/>
            <w:noWrap/>
          </w:tcPr>
          <w:p w:rsidR="00A8197B" w:rsidRPr="00812509" w:rsidRDefault="004A348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6" w:type="pct"/>
            <w:shd w:val="clear" w:color="auto" w:fill="FFFF00"/>
            <w:noWrap/>
          </w:tcPr>
          <w:p w:rsidR="00A8197B" w:rsidRPr="00812509" w:rsidRDefault="004A348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7" w:type="pct"/>
            <w:shd w:val="clear" w:color="auto" w:fill="FF0000"/>
          </w:tcPr>
          <w:p w:rsidR="00A8197B" w:rsidRPr="00812509" w:rsidRDefault="004A348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2" w:type="pct"/>
            <w:shd w:val="clear" w:color="auto" w:fill="FFFFFF" w:themeFill="background1"/>
          </w:tcPr>
          <w:p w:rsidR="00A8197B" w:rsidRPr="00812509" w:rsidRDefault="00C30A7A"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9177A2" w:rsidRPr="00812509" w:rsidTr="00C30A7A">
        <w:trPr>
          <w:cnfStyle w:val="000000010000" w:firstRow="0" w:lastRow="0" w:firstColumn="0" w:lastColumn="0" w:oddVBand="0" w:evenVBand="0" w:oddHBand="0" w:evenHBand="1" w:firstRowFirstColumn="0" w:firstRowLastColumn="0" w:lastRowFirstColumn="0" w:lastRowLastColumn="0"/>
          <w:trHeight w:val="995"/>
        </w:trPr>
        <w:tc>
          <w:tcPr>
            <w:tcW w:w="905" w:type="pct"/>
          </w:tcPr>
          <w:p w:rsidR="009177A2" w:rsidRDefault="002438E0" w:rsidP="00D15A00">
            <w:pPr>
              <w:keepLines/>
              <w:spacing w:before="40" w:after="40" w:line="200" w:lineRule="atLeast"/>
              <w:rPr>
                <w:rFonts w:eastAsia="Times New Roman"/>
                <w:iCs/>
                <w:szCs w:val="17"/>
              </w:rPr>
            </w:pPr>
            <w:r>
              <w:rPr>
                <w:rFonts w:asciiTheme="minorHAnsi" w:eastAsia="Times New Roman" w:hAnsiTheme="minorHAnsi"/>
                <w:iCs/>
                <w:szCs w:val="17"/>
                <w:lang w:eastAsia="en-US"/>
              </w:rPr>
              <w:t>Transforming School Education Project (TSEP)</w:t>
            </w:r>
          </w:p>
        </w:tc>
        <w:tc>
          <w:tcPr>
            <w:tcW w:w="658" w:type="pct"/>
          </w:tcPr>
          <w:p w:rsidR="002438E0" w:rsidRDefault="002438E0" w:rsidP="002438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$49</w:t>
            </w:r>
          </w:p>
          <w:p w:rsidR="009177A2" w:rsidRDefault="002438E0" w:rsidP="002438E0">
            <w:pPr>
              <w:autoSpaceDE w:val="0"/>
              <w:autoSpaceDN w:val="0"/>
              <w:adjustRightInd w:val="0"/>
              <w:rPr>
                <w:rFonts w:cs="Franklin Gothic Book"/>
                <w:color w:val="000000"/>
                <w:szCs w:val="17"/>
              </w:rPr>
            </w:pPr>
            <w:r>
              <w:rPr>
                <w:rFonts w:asciiTheme="minorHAnsi" w:eastAsia="Times New Roman" w:hAnsiTheme="minorHAnsi"/>
                <w:iCs/>
                <w:szCs w:val="17"/>
                <w:lang w:eastAsia="en-US"/>
              </w:rPr>
              <w:t>2011-2017</w:t>
            </w:r>
          </w:p>
        </w:tc>
        <w:tc>
          <w:tcPr>
            <w:tcW w:w="417" w:type="pct"/>
            <w:shd w:val="clear" w:color="auto" w:fill="92D050"/>
            <w:noWrap/>
          </w:tcPr>
          <w:p w:rsidR="009177A2" w:rsidRPr="00956382" w:rsidRDefault="009177A2" w:rsidP="00D15A00">
            <w:pPr>
              <w:keepLines/>
              <w:spacing w:before="40" w:after="40" w:line="200" w:lineRule="atLeast"/>
              <w:jc w:val="center"/>
              <w:rPr>
                <w:rFonts w:asciiTheme="minorHAnsi" w:eastAsia="Times New Roman" w:hAnsiTheme="minorHAnsi"/>
                <w:iCs/>
                <w:szCs w:val="17"/>
                <w:lang w:eastAsia="en-US"/>
              </w:rPr>
            </w:pPr>
            <w:r w:rsidRPr="00956382">
              <w:rPr>
                <w:rFonts w:asciiTheme="minorHAnsi" w:eastAsia="Times New Roman" w:hAnsiTheme="minorHAnsi"/>
                <w:iCs/>
                <w:szCs w:val="17"/>
                <w:lang w:eastAsia="en-US"/>
              </w:rPr>
              <w:t>5</w:t>
            </w:r>
          </w:p>
        </w:tc>
        <w:tc>
          <w:tcPr>
            <w:tcW w:w="416" w:type="pct"/>
            <w:shd w:val="clear" w:color="auto" w:fill="92D050"/>
            <w:noWrap/>
          </w:tcPr>
          <w:p w:rsidR="009177A2" w:rsidRPr="00956382" w:rsidRDefault="009177A2" w:rsidP="00D15A00">
            <w:pPr>
              <w:keepLines/>
              <w:spacing w:before="40" w:after="40" w:line="200" w:lineRule="atLeast"/>
              <w:jc w:val="center"/>
              <w:rPr>
                <w:rFonts w:asciiTheme="minorHAnsi" w:eastAsia="Times New Roman" w:hAnsiTheme="minorHAnsi"/>
                <w:iCs/>
                <w:szCs w:val="17"/>
                <w:lang w:eastAsia="en-US"/>
              </w:rPr>
            </w:pPr>
            <w:r w:rsidRPr="00956382">
              <w:rPr>
                <w:rFonts w:asciiTheme="minorHAnsi" w:eastAsia="Times New Roman" w:hAnsiTheme="minorHAnsi"/>
                <w:iCs/>
                <w:szCs w:val="17"/>
                <w:lang w:eastAsia="en-US"/>
              </w:rPr>
              <w:t>5</w:t>
            </w:r>
          </w:p>
        </w:tc>
        <w:tc>
          <w:tcPr>
            <w:tcW w:w="417" w:type="pct"/>
            <w:shd w:val="clear" w:color="auto" w:fill="92D050"/>
            <w:noWrap/>
          </w:tcPr>
          <w:p w:rsidR="009177A2" w:rsidRPr="00956382" w:rsidRDefault="009177A2" w:rsidP="00D15A00">
            <w:pPr>
              <w:keepLines/>
              <w:spacing w:before="40" w:after="40" w:line="200" w:lineRule="atLeast"/>
              <w:jc w:val="center"/>
              <w:rPr>
                <w:rFonts w:asciiTheme="minorHAnsi" w:eastAsia="Times New Roman" w:hAnsiTheme="minorHAnsi"/>
                <w:iCs/>
                <w:szCs w:val="17"/>
                <w:lang w:eastAsia="en-US"/>
              </w:rPr>
            </w:pPr>
            <w:r w:rsidRPr="00956382">
              <w:rPr>
                <w:rFonts w:asciiTheme="minorHAnsi" w:eastAsia="Times New Roman" w:hAnsiTheme="minorHAnsi"/>
                <w:iCs/>
                <w:szCs w:val="17"/>
                <w:lang w:eastAsia="en-US"/>
              </w:rPr>
              <w:t>5</w:t>
            </w:r>
          </w:p>
        </w:tc>
        <w:tc>
          <w:tcPr>
            <w:tcW w:w="416" w:type="pct"/>
            <w:shd w:val="clear" w:color="auto" w:fill="92D050"/>
            <w:noWrap/>
          </w:tcPr>
          <w:p w:rsidR="009177A2" w:rsidRPr="00956382" w:rsidRDefault="00C30A7A"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7" w:type="pct"/>
            <w:shd w:val="clear" w:color="auto" w:fill="FFFF00"/>
            <w:noWrap/>
          </w:tcPr>
          <w:p w:rsidR="009177A2" w:rsidRPr="00C30A7A" w:rsidRDefault="00C30A7A" w:rsidP="00D15A00">
            <w:pPr>
              <w:keepLines/>
              <w:spacing w:before="40" w:after="40" w:line="200" w:lineRule="atLeast"/>
              <w:jc w:val="center"/>
              <w:rPr>
                <w:rFonts w:asciiTheme="minorHAnsi" w:eastAsia="Times New Roman" w:hAnsiTheme="minorHAnsi"/>
                <w:iCs/>
                <w:szCs w:val="17"/>
                <w:lang w:eastAsia="en-US"/>
              </w:rPr>
            </w:pPr>
            <w:r w:rsidRPr="00C30A7A">
              <w:rPr>
                <w:rFonts w:asciiTheme="minorHAnsi" w:eastAsia="Times New Roman" w:hAnsiTheme="minorHAnsi"/>
                <w:iCs/>
                <w:szCs w:val="17"/>
                <w:lang w:eastAsia="en-US"/>
              </w:rPr>
              <w:t>4</w:t>
            </w:r>
          </w:p>
        </w:tc>
        <w:tc>
          <w:tcPr>
            <w:tcW w:w="416" w:type="pct"/>
            <w:shd w:val="clear" w:color="auto" w:fill="92D050"/>
            <w:noWrap/>
          </w:tcPr>
          <w:p w:rsidR="009177A2" w:rsidRPr="00C30A7A" w:rsidRDefault="00C30A7A" w:rsidP="00D15A00">
            <w:pPr>
              <w:keepLines/>
              <w:spacing w:before="40" w:after="40" w:line="200" w:lineRule="atLeast"/>
              <w:jc w:val="center"/>
              <w:rPr>
                <w:rFonts w:asciiTheme="minorHAnsi" w:eastAsia="Times New Roman" w:hAnsiTheme="minorHAnsi"/>
                <w:iCs/>
                <w:szCs w:val="17"/>
                <w:lang w:eastAsia="en-US"/>
              </w:rPr>
            </w:pPr>
            <w:r w:rsidRPr="00C30A7A">
              <w:rPr>
                <w:rFonts w:asciiTheme="minorHAnsi" w:eastAsia="Times New Roman" w:hAnsiTheme="minorHAnsi"/>
                <w:iCs/>
                <w:szCs w:val="17"/>
                <w:lang w:eastAsia="en-US"/>
              </w:rPr>
              <w:t>5</w:t>
            </w:r>
          </w:p>
        </w:tc>
        <w:tc>
          <w:tcPr>
            <w:tcW w:w="417" w:type="pct"/>
            <w:shd w:val="clear" w:color="auto" w:fill="FF0000"/>
          </w:tcPr>
          <w:p w:rsidR="009177A2" w:rsidRPr="00C30A7A" w:rsidRDefault="00C30A7A" w:rsidP="00D15A00">
            <w:pPr>
              <w:keepLines/>
              <w:spacing w:before="40" w:after="40" w:line="200" w:lineRule="atLeast"/>
              <w:jc w:val="center"/>
              <w:rPr>
                <w:rFonts w:asciiTheme="minorHAnsi" w:eastAsia="Times New Roman" w:hAnsiTheme="minorHAnsi"/>
                <w:iCs/>
                <w:szCs w:val="17"/>
                <w:lang w:eastAsia="en-US"/>
              </w:rPr>
            </w:pPr>
            <w:r w:rsidRPr="00C30A7A">
              <w:rPr>
                <w:rFonts w:asciiTheme="minorHAnsi" w:eastAsia="Times New Roman" w:hAnsiTheme="minorHAnsi"/>
                <w:iCs/>
                <w:szCs w:val="17"/>
                <w:lang w:eastAsia="en-US"/>
              </w:rPr>
              <w:t>3</w:t>
            </w:r>
          </w:p>
        </w:tc>
        <w:tc>
          <w:tcPr>
            <w:tcW w:w="412" w:type="pct"/>
            <w:shd w:val="clear" w:color="auto" w:fill="FFFFFF" w:themeFill="background1"/>
          </w:tcPr>
          <w:p w:rsidR="009177A2" w:rsidRPr="00C30A7A" w:rsidRDefault="00C30A7A" w:rsidP="00D15A00">
            <w:pPr>
              <w:keepLines/>
              <w:spacing w:before="40" w:after="40" w:line="200" w:lineRule="atLeast"/>
              <w:jc w:val="center"/>
              <w:rPr>
                <w:rFonts w:eastAsia="Times New Roman"/>
                <w:iCs/>
                <w:color w:val="000000" w:themeColor="text1"/>
                <w:szCs w:val="17"/>
              </w:rPr>
            </w:pPr>
            <w:r>
              <w:rPr>
                <w:rFonts w:eastAsia="Times New Roman"/>
                <w:iCs/>
                <w:color w:val="000000" w:themeColor="text1"/>
                <w:szCs w:val="17"/>
              </w:rPr>
              <w:t>N/A</w:t>
            </w:r>
          </w:p>
        </w:tc>
      </w:tr>
    </w:tbl>
    <w:p w:rsidR="00A8197B" w:rsidRPr="00812509" w:rsidRDefault="00A8197B" w:rsidP="00A8197B">
      <w:pPr>
        <w:spacing w:before="20" w:after="20" w:line="180" w:lineRule="atLeast"/>
        <w:jc w:val="both"/>
        <w:rPr>
          <w:rFonts w:eastAsia="Times New Roman"/>
          <w:b/>
          <w:sz w:val="14"/>
          <w:szCs w:val="14"/>
        </w:rPr>
      </w:pP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w:t>
      </w:r>
      <w:proofErr w:type="gramStart"/>
      <w:r w:rsidRPr="00812509">
        <w:rPr>
          <w:rFonts w:eastAsia="Times New Roman"/>
          <w:b/>
          <w:sz w:val="16"/>
          <w:szCs w:val="14"/>
        </w:rPr>
        <w:t>4</w:t>
      </w:r>
      <w:proofErr w:type="gramEnd"/>
      <w:r w:rsidRPr="00812509">
        <w:rPr>
          <w:rFonts w:eastAsia="Times New Roman"/>
          <w:b/>
          <w:sz w:val="16"/>
          <w:szCs w:val="14"/>
        </w:rPr>
        <w:t>, 5 and 6)</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w:t>
      </w:r>
      <w:proofErr w:type="gramStart"/>
      <w:r w:rsidRPr="00812509">
        <w:rPr>
          <w:rFonts w:eastAsia="Times New Roman"/>
          <w:b/>
          <w:sz w:val="16"/>
          <w:szCs w:val="14"/>
        </w:rPr>
        <w:t>6</w:t>
      </w:r>
      <w:proofErr w:type="gramEnd"/>
      <w:r w:rsidRPr="00812509">
        <w:rPr>
          <w:rFonts w:eastAsia="Times New Roman"/>
          <w:b/>
          <w:sz w:val="16"/>
          <w:szCs w:val="14"/>
        </w:rPr>
        <w:t xml:space="preserve">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w:t>
      </w:r>
      <w:proofErr w:type="gramStart"/>
      <w:r w:rsidRPr="00812509">
        <w:rPr>
          <w:rFonts w:eastAsia="Times New Roman"/>
          <w:b/>
          <w:sz w:val="16"/>
          <w:szCs w:val="14"/>
        </w:rPr>
        <w:t>5</w:t>
      </w:r>
      <w:proofErr w:type="gramEnd"/>
      <w:r w:rsidRPr="00812509">
        <w:rPr>
          <w:rFonts w:eastAsia="Times New Roman"/>
          <w:b/>
          <w:sz w:val="16"/>
          <w:szCs w:val="14"/>
        </w:rPr>
        <w:t xml:space="preserve"> = Good; satisfies criteria in almost all areas.</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w:t>
      </w:r>
      <w:proofErr w:type="gramStart"/>
      <w:r w:rsidRPr="00812509">
        <w:rPr>
          <w:rFonts w:eastAsia="Times New Roman"/>
          <w:b/>
          <w:sz w:val="16"/>
          <w:szCs w:val="14"/>
        </w:rPr>
        <w:t>4</w:t>
      </w:r>
      <w:proofErr w:type="gramEnd"/>
      <w:r w:rsidRPr="00812509">
        <w:rPr>
          <w:rFonts w:eastAsia="Times New Roman"/>
          <w:b/>
          <w:sz w:val="16"/>
          <w:szCs w:val="14"/>
        </w:rPr>
        <w:t xml:space="preserve"> = Adequate; on balance, satisfies criteria; does not fail in any major area.</w:t>
      </w:r>
    </w:p>
    <w:p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w:t>
      </w:r>
      <w:proofErr w:type="gramStart"/>
      <w:r w:rsidRPr="00812509">
        <w:rPr>
          <w:rFonts w:eastAsia="Times New Roman"/>
          <w:b/>
          <w:sz w:val="16"/>
          <w:szCs w:val="14"/>
        </w:rPr>
        <w:t>1</w:t>
      </w:r>
      <w:proofErr w:type="gramEnd"/>
      <w:r w:rsidRPr="00812509">
        <w:rPr>
          <w:rFonts w:eastAsia="Times New Roman"/>
          <w:b/>
          <w:sz w:val="16"/>
          <w:szCs w:val="14"/>
        </w:rPr>
        <w:t>, 2 and 3)</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proofErr w:type="gramStart"/>
      <w:r w:rsidRPr="00812509">
        <w:rPr>
          <w:rFonts w:eastAsia="Times New Roman"/>
          <w:b/>
          <w:sz w:val="16"/>
          <w:szCs w:val="14"/>
        </w:rPr>
        <w:t>3</w:t>
      </w:r>
      <w:proofErr w:type="gramEnd"/>
      <w:r w:rsidRPr="00812509">
        <w:rPr>
          <w:rFonts w:eastAsia="Times New Roman"/>
          <w:b/>
          <w:sz w:val="16"/>
          <w:szCs w:val="14"/>
        </w:rPr>
        <w:t xml:space="preserve"> = Less than adequate; on balance does not satisfy criteria and/or fails in at least one major area.</w:t>
      </w:r>
    </w:p>
    <w:p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w:t>
      </w:r>
      <w:proofErr w:type="gramStart"/>
      <w:r w:rsidRPr="00812509">
        <w:rPr>
          <w:rFonts w:eastAsia="Times New Roman"/>
          <w:b/>
          <w:sz w:val="16"/>
          <w:szCs w:val="14"/>
        </w:rPr>
        <w:t>2</w:t>
      </w:r>
      <w:proofErr w:type="gramEnd"/>
      <w:r w:rsidRPr="00812509">
        <w:rPr>
          <w:rFonts w:eastAsia="Times New Roman"/>
          <w:b/>
          <w:sz w:val="16"/>
          <w:szCs w:val="14"/>
        </w:rPr>
        <w:t xml:space="preserve">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w:t>
      </w:r>
      <w:proofErr w:type="gramStart"/>
      <w:r w:rsidRPr="00812509">
        <w:rPr>
          <w:rFonts w:eastAsia="Times New Roman"/>
          <w:b/>
          <w:sz w:val="16"/>
          <w:szCs w:val="14"/>
        </w:rPr>
        <w:t>1</w:t>
      </w:r>
      <w:proofErr w:type="gramEnd"/>
      <w:r w:rsidRPr="00812509">
        <w:rPr>
          <w:rFonts w:eastAsia="Times New Roman"/>
          <w:b/>
          <w:sz w:val="16"/>
          <w:szCs w:val="14"/>
        </w:rPr>
        <w:t xml:space="preserve"> = Very poor; does not satisfy criteria in many major area.</w:t>
      </w:r>
    </w:p>
    <w:p w:rsidR="00A8197B" w:rsidRDefault="00A8197B" w:rsidP="00A8197B">
      <w:pPr>
        <w:pStyle w:val="ListBullet"/>
        <w:tabs>
          <w:tab w:val="clear" w:pos="284"/>
        </w:tabs>
      </w:pPr>
    </w:p>
    <w:p w:rsidR="00A8197B" w:rsidRPr="00A8197B" w:rsidRDefault="00A8197B" w:rsidP="00A8197B"/>
    <w:p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sectPr w:rsidR="00184F1E" w:rsidSect="004839E3">
      <w:headerReference w:type="default" r:id="rId30"/>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B72" w:rsidRDefault="00C67B72" w:rsidP="00EF4574">
      <w:pPr>
        <w:spacing w:before="0" w:after="0" w:line="240" w:lineRule="auto"/>
      </w:pPr>
      <w:r>
        <w:separator/>
      </w:r>
    </w:p>
  </w:endnote>
  <w:endnote w:type="continuationSeparator" w:id="0">
    <w:p w:rsidR="00C67B72" w:rsidRDefault="00C67B72"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C9A" w:rsidRDefault="002F6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64" w:rsidRDefault="002F3464" w:rsidP="004839E3">
    <w:pPr>
      <w:pStyle w:val="Footer"/>
      <w:rPr>
        <w:lang w:val="en-AU"/>
      </w:rPr>
    </w:pPr>
  </w:p>
  <w:p w:rsidR="002F3464" w:rsidRDefault="002F3464" w:rsidP="004839E3">
    <w:pPr>
      <w:pStyle w:val="Footer"/>
    </w:pPr>
  </w:p>
  <w:p w:rsidR="002F3464" w:rsidRPr="00CD0E4B" w:rsidRDefault="002F3464" w:rsidP="004839E3">
    <w:pPr>
      <w:pStyle w:val="Footer"/>
    </w:pPr>
    <w:r w:rsidRPr="00CD0E4B">
      <w:rPr>
        <w:noProof/>
        <w:lang w:val="en-AU" w:eastAsia="en-AU"/>
      </w:rPr>
      <w:drawing>
        <wp:inline distT="0" distB="0" distL="0" distR="0" wp14:anchorId="16CE16C9" wp14:editId="7B4CCA93">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2F3464" w:rsidRPr="00CD0E4B" w:rsidRDefault="002F3464" w:rsidP="004839E3">
    <w:pPr>
      <w:pStyle w:val="Footer"/>
      <w:rPr>
        <w:color w:val="ACD08C" w:themeColor="accent3"/>
      </w:rPr>
    </w:pPr>
    <w:r w:rsidRPr="00CD0E4B">
      <w:rPr>
        <w:color w:val="ACD08C" w:themeColor="accent3"/>
      </w:rPr>
      <w:t>DFAT.GOV.AU</w:t>
    </w:r>
  </w:p>
  <w:p w:rsidR="002F3464" w:rsidRPr="004839E3" w:rsidRDefault="002F3464"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64" w:rsidRPr="004839E3" w:rsidRDefault="002F3464"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2F3464" w:rsidRDefault="002F3464"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64" w:rsidRDefault="002F3464" w:rsidP="004839E3">
    <w:pPr>
      <w:pStyle w:val="Footer"/>
      <w:rPr>
        <w:lang w:val="en-AU"/>
      </w:rPr>
    </w:pPr>
  </w:p>
  <w:p w:rsidR="002F3464" w:rsidRDefault="002F3464" w:rsidP="004839E3">
    <w:pPr>
      <w:pStyle w:val="Footer"/>
    </w:pPr>
  </w:p>
  <w:p w:rsidR="002F3464" w:rsidRPr="00CD0E4B" w:rsidRDefault="002F3464" w:rsidP="004839E3">
    <w:pPr>
      <w:pStyle w:val="Footer"/>
    </w:pPr>
    <w:r w:rsidRPr="00CD0E4B">
      <w:rPr>
        <w:noProof/>
        <w:lang w:val="en-AU" w:eastAsia="en-AU"/>
      </w:rPr>
      <w:drawing>
        <wp:inline distT="0" distB="0" distL="0" distR="0" wp14:anchorId="629D54FA" wp14:editId="48D1EF42">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2F3464" w:rsidRPr="00CD0E4B" w:rsidRDefault="002F3464" w:rsidP="004839E3">
    <w:pPr>
      <w:pStyle w:val="Footer"/>
      <w:rPr>
        <w:color w:val="ACD08C" w:themeColor="accent3"/>
      </w:rPr>
    </w:pPr>
    <w:r w:rsidRPr="00CD0E4B">
      <w:rPr>
        <w:color w:val="ACD08C" w:themeColor="accent3"/>
      </w:rPr>
      <w:t>DFAT.GOV.AU</w:t>
    </w:r>
  </w:p>
  <w:p w:rsidR="002F3464" w:rsidRPr="004839E3" w:rsidRDefault="002F3464"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B72" w:rsidRPr="008C5A0E" w:rsidRDefault="00C67B72" w:rsidP="001D663E">
      <w:pPr>
        <w:pStyle w:val="Footer"/>
        <w:pBdr>
          <w:top w:val="single" w:sz="4" w:space="1" w:color="495965" w:themeColor="text2"/>
        </w:pBdr>
      </w:pPr>
    </w:p>
  </w:footnote>
  <w:footnote w:type="continuationSeparator" w:id="0">
    <w:p w:rsidR="00C67B72" w:rsidRDefault="00C67B72" w:rsidP="00EF4574">
      <w:pPr>
        <w:spacing w:before="0" w:after="0" w:line="240" w:lineRule="auto"/>
      </w:pPr>
      <w:r>
        <w:continuationSeparator/>
      </w:r>
    </w:p>
  </w:footnote>
  <w:footnote w:id="1">
    <w:p w:rsidR="002F3464" w:rsidRPr="00292B3B" w:rsidRDefault="002F3464">
      <w:pPr>
        <w:pStyle w:val="FootnoteText"/>
        <w:rPr>
          <w:lang w:val="en-AU"/>
        </w:rPr>
      </w:pPr>
      <w:r w:rsidRPr="0083751B">
        <w:rPr>
          <w:rStyle w:val="FootnoteReference"/>
          <w:sz w:val="20"/>
        </w:rPr>
        <w:footnoteRef/>
      </w:r>
      <w:r w:rsidRPr="0083751B">
        <w:rPr>
          <w:sz w:val="20"/>
        </w:rPr>
        <w:t xml:space="preserve"> </w:t>
      </w:r>
      <w:r w:rsidRPr="00292B3B">
        <w:rPr>
          <w:sz w:val="20"/>
          <w:lang w:val="en-AU"/>
        </w:rPr>
        <w:t>MDF Annual Report 2017 (Internal Document)</w:t>
      </w:r>
    </w:p>
  </w:footnote>
  <w:footnote w:id="2">
    <w:p w:rsidR="002F3464" w:rsidRPr="0083751B" w:rsidRDefault="002F3464">
      <w:pPr>
        <w:pStyle w:val="FootnoteText"/>
        <w:rPr>
          <w:sz w:val="20"/>
          <w:lang w:val="en-AU"/>
        </w:rPr>
      </w:pPr>
      <w:r w:rsidRPr="0083751B">
        <w:rPr>
          <w:rStyle w:val="FootnoteReference"/>
          <w:sz w:val="20"/>
        </w:rPr>
        <w:footnoteRef/>
      </w:r>
      <w:r w:rsidRPr="0083751B">
        <w:rPr>
          <w:sz w:val="20"/>
        </w:rPr>
        <w:t xml:space="preserve"> </w:t>
      </w:r>
      <w:r w:rsidRPr="0083751B">
        <w:rPr>
          <w:sz w:val="20"/>
          <w:lang w:val="en-AU"/>
        </w:rPr>
        <w:t>Skills for Inclusive Growth Six-monthly Report (Internal Document)</w:t>
      </w:r>
    </w:p>
  </w:footnote>
  <w:footnote w:id="3">
    <w:p w:rsidR="002F3464" w:rsidRPr="0083751B" w:rsidRDefault="002F3464">
      <w:pPr>
        <w:pStyle w:val="FootnoteText"/>
        <w:rPr>
          <w:lang w:val="en-AU"/>
        </w:rPr>
      </w:pPr>
      <w:r w:rsidRPr="0083751B">
        <w:rPr>
          <w:rStyle w:val="FootnoteReference"/>
          <w:sz w:val="20"/>
        </w:rPr>
        <w:footnoteRef/>
      </w:r>
      <w:r w:rsidRPr="0083751B">
        <w:rPr>
          <w:sz w:val="20"/>
        </w:rPr>
        <w:t xml:space="preserve"> </w:t>
      </w:r>
      <w:r w:rsidRPr="0083751B">
        <w:rPr>
          <w:sz w:val="20"/>
          <w:lang w:val="en-AU"/>
        </w:rPr>
        <w:t>ILO. 2019. LEED Project Completion Report. (Internal Document)</w:t>
      </w:r>
    </w:p>
  </w:footnote>
  <w:footnote w:id="4">
    <w:p w:rsidR="002F3464" w:rsidRPr="00D36686" w:rsidRDefault="002F3464">
      <w:pPr>
        <w:pStyle w:val="FootnoteText"/>
        <w:rPr>
          <w:sz w:val="20"/>
          <w:lang w:val="en-AU"/>
        </w:rPr>
      </w:pPr>
      <w:r w:rsidRPr="00D36686">
        <w:rPr>
          <w:rStyle w:val="FootnoteReference"/>
          <w:sz w:val="20"/>
        </w:rPr>
        <w:footnoteRef/>
      </w:r>
      <w:r w:rsidRPr="00D36686">
        <w:rPr>
          <w:sz w:val="20"/>
        </w:rPr>
        <w:t xml:space="preserve"> </w:t>
      </w:r>
      <w:r w:rsidRPr="00D36686">
        <w:rPr>
          <w:sz w:val="20"/>
          <w:lang w:val="en-AU"/>
        </w:rPr>
        <w:t>A Qualitative Assessment of the Sri Lanka Subnationa</w:t>
      </w:r>
      <w:r>
        <w:rPr>
          <w:sz w:val="20"/>
          <w:lang w:val="en-AU"/>
        </w:rPr>
        <w:t>l Governance Program. Strategic Discussion Paper, March 2018. (Internal document)</w:t>
      </w:r>
    </w:p>
  </w:footnote>
  <w:footnote w:id="5">
    <w:p w:rsidR="002F3464" w:rsidRPr="0083751B" w:rsidRDefault="002F3464">
      <w:pPr>
        <w:pStyle w:val="FootnoteText"/>
        <w:rPr>
          <w:sz w:val="20"/>
          <w:lang w:val="en-AU"/>
        </w:rPr>
      </w:pPr>
      <w:r w:rsidRPr="0083751B">
        <w:rPr>
          <w:rStyle w:val="FootnoteReference"/>
          <w:sz w:val="20"/>
        </w:rPr>
        <w:footnoteRef/>
      </w:r>
      <w:r w:rsidRPr="0083751B">
        <w:rPr>
          <w:sz w:val="20"/>
        </w:rPr>
        <w:t xml:space="preserve"> </w:t>
      </w:r>
      <w:r w:rsidRPr="0083751B">
        <w:rPr>
          <w:sz w:val="20"/>
          <w:lang w:val="en-AU"/>
        </w:rPr>
        <w:t>IFES</w:t>
      </w:r>
      <w:r>
        <w:rPr>
          <w:sz w:val="20"/>
          <w:lang w:val="en-AU"/>
        </w:rPr>
        <w:t>. “She Leads”</w:t>
      </w:r>
      <w:r w:rsidRPr="0083751B">
        <w:rPr>
          <w:sz w:val="20"/>
          <w:lang w:val="en-AU"/>
        </w:rPr>
        <w:t xml:space="preserve"> </w:t>
      </w:r>
      <w:r>
        <w:rPr>
          <w:sz w:val="20"/>
          <w:lang w:val="en-AU"/>
        </w:rPr>
        <w:t>Final Project R</w:t>
      </w:r>
      <w:r w:rsidRPr="0083751B">
        <w:rPr>
          <w:sz w:val="20"/>
          <w:lang w:val="en-AU"/>
        </w:rPr>
        <w:t>eport</w:t>
      </w:r>
      <w:r>
        <w:rPr>
          <w:sz w:val="20"/>
          <w:lang w:val="en-AU"/>
        </w:rPr>
        <w:t xml:space="preserve"> (Internal document); See also </w:t>
      </w:r>
      <w:hyperlink r:id="rId1" w:history="1">
        <w:r w:rsidRPr="00A92E7A">
          <w:rPr>
            <w:rStyle w:val="Hyperlink"/>
            <w:rFonts w:cstheme="minorBidi"/>
            <w:sz w:val="20"/>
            <w:lang w:val="en-AU"/>
          </w:rPr>
          <w:t>www.ifes.org/news/she-leads-empowering-female-candidates-ahead-local-elections-sri-lanka</w:t>
        </w:r>
      </w:hyperlink>
      <w:r>
        <w:rPr>
          <w:sz w:val="20"/>
          <w:lang w:val="en-AU"/>
        </w:rPr>
        <w:t xml:space="preserve"> </w:t>
      </w:r>
    </w:p>
  </w:footnote>
  <w:footnote w:id="6">
    <w:p w:rsidR="002F3464" w:rsidRPr="00D36686" w:rsidRDefault="002F3464">
      <w:pPr>
        <w:pStyle w:val="FootnoteText"/>
        <w:rPr>
          <w:lang w:val="en-AU"/>
        </w:rPr>
      </w:pPr>
      <w:r w:rsidRPr="0083751B">
        <w:rPr>
          <w:rStyle w:val="FootnoteReference"/>
          <w:sz w:val="20"/>
        </w:rPr>
        <w:footnoteRef/>
      </w:r>
      <w:r w:rsidRPr="0083751B">
        <w:rPr>
          <w:sz w:val="20"/>
        </w:rPr>
        <w:t xml:space="preserve"> </w:t>
      </w:r>
      <w:r w:rsidRPr="0083751B">
        <w:rPr>
          <w:sz w:val="20"/>
          <w:lang w:val="en-US"/>
        </w:rPr>
        <w:t>Sri Lanka North East Local Services Improvement Project (NELSIP): Implementation, Completion and Results Report, by the World Bank June 2018</w:t>
      </w:r>
      <w:r>
        <w:rPr>
          <w:sz w:val="20"/>
          <w:lang w:val="en-US"/>
        </w:rPr>
        <w:t xml:space="preserve">, available at </w:t>
      </w:r>
      <w:hyperlink r:id="rId2" w:history="1">
        <w:r w:rsidRPr="00A92E7A">
          <w:rPr>
            <w:rStyle w:val="Hyperlink"/>
            <w:rFonts w:cstheme="minorBidi"/>
            <w:sz w:val="20"/>
            <w:lang w:val="en-US"/>
          </w:rPr>
          <w:t>https://dfat.gov.au/about-us/publications/Pages/sri-lanka-north-east-local-services-improvement-project-implementation-completion-and-results-report-world-bank.aspx</w:t>
        </w:r>
      </w:hyperlink>
      <w:r>
        <w:rPr>
          <w:sz w:val="20"/>
          <w:lang w:val="en-US"/>
        </w:rPr>
        <w:t xml:space="preserve"> </w:t>
      </w:r>
    </w:p>
  </w:footnote>
  <w:footnote w:id="7">
    <w:p w:rsidR="002F3464" w:rsidRPr="0083751B" w:rsidRDefault="002F3464" w:rsidP="0083751B">
      <w:pPr>
        <w:pStyle w:val="FootnoteText"/>
        <w:rPr>
          <w:sz w:val="20"/>
          <w:lang w:val="en-AU"/>
        </w:rPr>
      </w:pPr>
      <w:r w:rsidRPr="0083751B">
        <w:rPr>
          <w:rStyle w:val="FootnoteReference"/>
          <w:sz w:val="20"/>
        </w:rPr>
        <w:footnoteRef/>
      </w:r>
      <w:r w:rsidRPr="0083751B">
        <w:rPr>
          <w:sz w:val="20"/>
        </w:rPr>
        <w:t xml:space="preserve"> </w:t>
      </w:r>
      <w:proofErr w:type="spellStart"/>
      <w:r w:rsidRPr="0083751B">
        <w:rPr>
          <w:sz w:val="20"/>
        </w:rPr>
        <w:t>Aturupane</w:t>
      </w:r>
      <w:proofErr w:type="spellEnd"/>
      <w:r w:rsidRPr="0083751B">
        <w:rPr>
          <w:sz w:val="20"/>
        </w:rPr>
        <w:t xml:space="preserve">, </w:t>
      </w:r>
      <w:proofErr w:type="spellStart"/>
      <w:r w:rsidRPr="0083751B">
        <w:rPr>
          <w:sz w:val="20"/>
        </w:rPr>
        <w:t>Harsha</w:t>
      </w:r>
      <w:proofErr w:type="spellEnd"/>
      <w:r w:rsidRPr="0083751B">
        <w:rPr>
          <w:sz w:val="20"/>
        </w:rPr>
        <w:t xml:space="preserve">. 2018. </w:t>
      </w:r>
      <w:proofErr w:type="spellStart"/>
      <w:r w:rsidRPr="0083751B">
        <w:rPr>
          <w:i/>
          <w:iCs/>
          <w:sz w:val="20"/>
        </w:rPr>
        <w:t>Disclosable</w:t>
      </w:r>
      <w:proofErr w:type="spellEnd"/>
      <w:r w:rsidRPr="0083751B">
        <w:rPr>
          <w:i/>
          <w:iCs/>
          <w:sz w:val="20"/>
        </w:rPr>
        <w:t xml:space="preserve"> Version of the ISR - Sri Lanka - Transforming the School Education System as the Foundation of a Knowledge Hub - P113488 - Sequence </w:t>
      </w:r>
      <w:proofErr w:type="gramStart"/>
      <w:r w:rsidRPr="0083751B">
        <w:rPr>
          <w:i/>
          <w:iCs/>
          <w:sz w:val="20"/>
        </w:rPr>
        <w:t>No :</w:t>
      </w:r>
      <w:proofErr w:type="gramEnd"/>
      <w:r w:rsidRPr="0083751B">
        <w:rPr>
          <w:i/>
          <w:iCs/>
          <w:sz w:val="20"/>
        </w:rPr>
        <w:t xml:space="preserve"> 13 (English)</w:t>
      </w:r>
      <w:r w:rsidRPr="0083751B">
        <w:rPr>
          <w:sz w:val="20"/>
        </w:rPr>
        <w:t>. Washington, D.C</w:t>
      </w:r>
      <w:proofErr w:type="gramStart"/>
      <w:r w:rsidRPr="0083751B">
        <w:rPr>
          <w:sz w:val="20"/>
        </w:rPr>
        <w:t>. :</w:t>
      </w:r>
      <w:proofErr w:type="gramEnd"/>
      <w:r w:rsidRPr="0083751B">
        <w:rPr>
          <w:sz w:val="20"/>
        </w:rPr>
        <w:t xml:space="preserve"> World Bank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C9A" w:rsidRDefault="002F6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64" w:rsidRPr="00333501" w:rsidRDefault="002F3464"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64" w:rsidRPr="003D352D" w:rsidRDefault="002F3464"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64" w:rsidRPr="00333501" w:rsidRDefault="002F3464" w:rsidP="008F56A8">
    <w:pPr>
      <w:pStyle w:val="Header"/>
      <w:jc w:val="left"/>
    </w:pPr>
    <w:r>
      <w:rPr>
        <w:noProof/>
        <w:lang w:val="en-AU" w:eastAsia="en-AU"/>
      </w:rPr>
      <w:drawing>
        <wp:anchor distT="0" distB="0" distL="114300" distR="114300" simplePos="0" relativeHeight="251685888" behindDoc="1" locked="1" layoutInCell="1" allowOverlap="1" wp14:anchorId="4F5121C0" wp14:editId="7688A2E1">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64" w:rsidRPr="003D352D" w:rsidRDefault="002F3464"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64" w:rsidRPr="00333501" w:rsidRDefault="002F3464" w:rsidP="008F56A8">
    <w:pPr>
      <w:pStyle w:val="Header"/>
      <w:jc w:val="left"/>
    </w:pPr>
    <w:r>
      <w:rPr>
        <w:noProof/>
        <w:lang w:val="en-AU" w:eastAsia="en-AU"/>
      </w:rPr>
      <w:drawing>
        <wp:anchor distT="0" distB="0" distL="114300" distR="114300" simplePos="0" relativeHeight="251687936" behindDoc="1" locked="1" layoutInCell="1" allowOverlap="1" wp14:anchorId="3976B966" wp14:editId="1AB35367">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64" w:rsidRPr="003D352D" w:rsidRDefault="002F3464"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64" w:rsidRPr="00333501" w:rsidRDefault="002F3464"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0A869D6"/>
    <w:multiLevelType w:val="hybridMultilevel"/>
    <w:tmpl w:val="20A813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43428892"/>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F93580"/>
    <w:multiLevelType w:val="hybridMultilevel"/>
    <w:tmpl w:val="5F4200A2"/>
    <w:lvl w:ilvl="0" w:tplc="DE26EA12">
      <w:start w:val="1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3"/>
  </w:num>
  <w:num w:numId="23">
    <w:abstractNumId w:val="13"/>
  </w:num>
  <w:num w:numId="24">
    <w:abstractNumId w:val="20"/>
  </w:num>
  <w:num w:numId="25">
    <w:abstractNumId w:val="20"/>
  </w:num>
  <w:num w:numId="26">
    <w:abstractNumId w:val="20"/>
  </w:num>
  <w:num w:numId="27">
    <w:abstractNumId w:val="19"/>
  </w:num>
  <w:num w:numId="28">
    <w:abstractNumId w:val="10"/>
  </w:num>
  <w:num w:numId="29">
    <w:abstractNumId w:val="10"/>
  </w:num>
  <w:num w:numId="30">
    <w:abstractNumId w:val="10"/>
  </w:num>
  <w:num w:numId="31">
    <w:abstractNumId w:val="15"/>
  </w:num>
  <w:num w:numId="32">
    <w:abstractNumId w:val="18"/>
  </w:num>
  <w:num w:numId="33">
    <w:abstractNumId w:val="23"/>
  </w:num>
  <w:num w:numId="34">
    <w:abstractNumId w:val="17"/>
  </w:num>
  <w:num w:numId="35">
    <w:abstractNumId w:val="12"/>
  </w:num>
  <w:num w:numId="36">
    <w:abstractNumId w:val="16"/>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2EDD"/>
    <w:rsid w:val="00015316"/>
    <w:rsid w:val="0002080A"/>
    <w:rsid w:val="00024F88"/>
    <w:rsid w:val="0002782F"/>
    <w:rsid w:val="00031512"/>
    <w:rsid w:val="00032905"/>
    <w:rsid w:val="000415C3"/>
    <w:rsid w:val="000424CA"/>
    <w:rsid w:val="00044579"/>
    <w:rsid w:val="00054629"/>
    <w:rsid w:val="00054E4D"/>
    <w:rsid w:val="000563C4"/>
    <w:rsid w:val="000579F4"/>
    <w:rsid w:val="00057C66"/>
    <w:rsid w:val="00060073"/>
    <w:rsid w:val="00060268"/>
    <w:rsid w:val="00071175"/>
    <w:rsid w:val="00076806"/>
    <w:rsid w:val="000803F4"/>
    <w:rsid w:val="00083E41"/>
    <w:rsid w:val="000840B8"/>
    <w:rsid w:val="00084483"/>
    <w:rsid w:val="00086681"/>
    <w:rsid w:val="00090E85"/>
    <w:rsid w:val="00094263"/>
    <w:rsid w:val="00094EDF"/>
    <w:rsid w:val="00096125"/>
    <w:rsid w:val="00096BD5"/>
    <w:rsid w:val="000B3D4E"/>
    <w:rsid w:val="000B66EB"/>
    <w:rsid w:val="000D66D6"/>
    <w:rsid w:val="000E1E2C"/>
    <w:rsid w:val="000E314A"/>
    <w:rsid w:val="000F7521"/>
    <w:rsid w:val="0010242B"/>
    <w:rsid w:val="001128E6"/>
    <w:rsid w:val="001170FB"/>
    <w:rsid w:val="001242EA"/>
    <w:rsid w:val="0012728C"/>
    <w:rsid w:val="001310FE"/>
    <w:rsid w:val="00135A40"/>
    <w:rsid w:val="00141AA1"/>
    <w:rsid w:val="00147597"/>
    <w:rsid w:val="001541EA"/>
    <w:rsid w:val="00154EE2"/>
    <w:rsid w:val="00156922"/>
    <w:rsid w:val="0016223B"/>
    <w:rsid w:val="00162DE2"/>
    <w:rsid w:val="00166DDA"/>
    <w:rsid w:val="00167E04"/>
    <w:rsid w:val="00167F25"/>
    <w:rsid w:val="00171937"/>
    <w:rsid w:val="00172B28"/>
    <w:rsid w:val="00176BF0"/>
    <w:rsid w:val="001827E8"/>
    <w:rsid w:val="00182A0E"/>
    <w:rsid w:val="00184F1E"/>
    <w:rsid w:val="00185591"/>
    <w:rsid w:val="0019480A"/>
    <w:rsid w:val="001A08B4"/>
    <w:rsid w:val="001A4997"/>
    <w:rsid w:val="001B71E8"/>
    <w:rsid w:val="001B7432"/>
    <w:rsid w:val="001C6F2D"/>
    <w:rsid w:val="001C7907"/>
    <w:rsid w:val="001D663E"/>
    <w:rsid w:val="001D73B9"/>
    <w:rsid w:val="001D7F2D"/>
    <w:rsid w:val="001E1DC0"/>
    <w:rsid w:val="001E58BE"/>
    <w:rsid w:val="001E5E17"/>
    <w:rsid w:val="001F2A43"/>
    <w:rsid w:val="0020116D"/>
    <w:rsid w:val="00227BA1"/>
    <w:rsid w:val="002352F9"/>
    <w:rsid w:val="00236A53"/>
    <w:rsid w:val="0024060F"/>
    <w:rsid w:val="00241275"/>
    <w:rsid w:val="00241CBD"/>
    <w:rsid w:val="002438E0"/>
    <w:rsid w:val="002520CC"/>
    <w:rsid w:val="00252C98"/>
    <w:rsid w:val="0025778C"/>
    <w:rsid w:val="00263F92"/>
    <w:rsid w:val="00274FB7"/>
    <w:rsid w:val="00275DB7"/>
    <w:rsid w:val="00282E39"/>
    <w:rsid w:val="00283D38"/>
    <w:rsid w:val="00284957"/>
    <w:rsid w:val="002857BF"/>
    <w:rsid w:val="0028602A"/>
    <w:rsid w:val="00292893"/>
    <w:rsid w:val="00292B3B"/>
    <w:rsid w:val="00292F9E"/>
    <w:rsid w:val="002A0AE4"/>
    <w:rsid w:val="002A229A"/>
    <w:rsid w:val="002A4A0E"/>
    <w:rsid w:val="002A51CA"/>
    <w:rsid w:val="002A62C8"/>
    <w:rsid w:val="002B18D8"/>
    <w:rsid w:val="002B3E95"/>
    <w:rsid w:val="002B4393"/>
    <w:rsid w:val="002B5E10"/>
    <w:rsid w:val="002D3B57"/>
    <w:rsid w:val="002E0C21"/>
    <w:rsid w:val="002F3464"/>
    <w:rsid w:val="002F6C9A"/>
    <w:rsid w:val="003002C0"/>
    <w:rsid w:val="00301144"/>
    <w:rsid w:val="00310165"/>
    <w:rsid w:val="00313BF2"/>
    <w:rsid w:val="003148B7"/>
    <w:rsid w:val="003153A6"/>
    <w:rsid w:val="003158C3"/>
    <w:rsid w:val="003274CD"/>
    <w:rsid w:val="00333501"/>
    <w:rsid w:val="00341D77"/>
    <w:rsid w:val="003457C4"/>
    <w:rsid w:val="0035119D"/>
    <w:rsid w:val="00352C33"/>
    <w:rsid w:val="00353365"/>
    <w:rsid w:val="00354678"/>
    <w:rsid w:val="00355299"/>
    <w:rsid w:val="00355953"/>
    <w:rsid w:val="003609A7"/>
    <w:rsid w:val="00370469"/>
    <w:rsid w:val="00373848"/>
    <w:rsid w:val="00373ACC"/>
    <w:rsid w:val="003769E0"/>
    <w:rsid w:val="00377EDE"/>
    <w:rsid w:val="00380104"/>
    <w:rsid w:val="00381D11"/>
    <w:rsid w:val="003822DC"/>
    <w:rsid w:val="0039079D"/>
    <w:rsid w:val="0039307E"/>
    <w:rsid w:val="003B4F12"/>
    <w:rsid w:val="003B5AB8"/>
    <w:rsid w:val="003B688D"/>
    <w:rsid w:val="003C14B0"/>
    <w:rsid w:val="003D007D"/>
    <w:rsid w:val="003D092C"/>
    <w:rsid w:val="003D352D"/>
    <w:rsid w:val="003D3D6D"/>
    <w:rsid w:val="003E0AE3"/>
    <w:rsid w:val="003E2BC1"/>
    <w:rsid w:val="003E305C"/>
    <w:rsid w:val="00400B0F"/>
    <w:rsid w:val="0040131D"/>
    <w:rsid w:val="00402ACC"/>
    <w:rsid w:val="004031B5"/>
    <w:rsid w:val="004104A2"/>
    <w:rsid w:val="004120EC"/>
    <w:rsid w:val="004158FD"/>
    <w:rsid w:val="00421008"/>
    <w:rsid w:val="004215AE"/>
    <w:rsid w:val="00423F31"/>
    <w:rsid w:val="00431899"/>
    <w:rsid w:val="00441E7B"/>
    <w:rsid w:val="004561DD"/>
    <w:rsid w:val="004636B6"/>
    <w:rsid w:val="00466F5D"/>
    <w:rsid w:val="00477879"/>
    <w:rsid w:val="00480422"/>
    <w:rsid w:val="00480CF2"/>
    <w:rsid w:val="004839E3"/>
    <w:rsid w:val="00486804"/>
    <w:rsid w:val="0049249C"/>
    <w:rsid w:val="004977A1"/>
    <w:rsid w:val="004A3489"/>
    <w:rsid w:val="004B3775"/>
    <w:rsid w:val="004B6564"/>
    <w:rsid w:val="004C1134"/>
    <w:rsid w:val="004C3EBF"/>
    <w:rsid w:val="004D0BA0"/>
    <w:rsid w:val="004D457F"/>
    <w:rsid w:val="004E0264"/>
    <w:rsid w:val="004E058F"/>
    <w:rsid w:val="004E3B87"/>
    <w:rsid w:val="00510921"/>
    <w:rsid w:val="00510AD3"/>
    <w:rsid w:val="00513348"/>
    <w:rsid w:val="00513F9A"/>
    <w:rsid w:val="00523566"/>
    <w:rsid w:val="00525279"/>
    <w:rsid w:val="0053059C"/>
    <w:rsid w:val="00533B5D"/>
    <w:rsid w:val="005352BA"/>
    <w:rsid w:val="00535ABC"/>
    <w:rsid w:val="00544889"/>
    <w:rsid w:val="005471D4"/>
    <w:rsid w:val="005511BF"/>
    <w:rsid w:val="005520B1"/>
    <w:rsid w:val="00572D5B"/>
    <w:rsid w:val="00580A64"/>
    <w:rsid w:val="00584C82"/>
    <w:rsid w:val="0059146A"/>
    <w:rsid w:val="005920D3"/>
    <w:rsid w:val="00594814"/>
    <w:rsid w:val="005A0666"/>
    <w:rsid w:val="005B027B"/>
    <w:rsid w:val="005B4FEB"/>
    <w:rsid w:val="005B5769"/>
    <w:rsid w:val="005B6CF8"/>
    <w:rsid w:val="005C78DB"/>
    <w:rsid w:val="005D12B5"/>
    <w:rsid w:val="005D32E8"/>
    <w:rsid w:val="005D3655"/>
    <w:rsid w:val="005D54E8"/>
    <w:rsid w:val="005E4FFD"/>
    <w:rsid w:val="005E5D90"/>
    <w:rsid w:val="005E606B"/>
    <w:rsid w:val="00603919"/>
    <w:rsid w:val="00613728"/>
    <w:rsid w:val="00613C01"/>
    <w:rsid w:val="00614103"/>
    <w:rsid w:val="0062329E"/>
    <w:rsid w:val="00623BA1"/>
    <w:rsid w:val="00623E7F"/>
    <w:rsid w:val="00626D00"/>
    <w:rsid w:val="006346BC"/>
    <w:rsid w:val="00656401"/>
    <w:rsid w:val="006604CD"/>
    <w:rsid w:val="00661396"/>
    <w:rsid w:val="0066652A"/>
    <w:rsid w:val="00667B88"/>
    <w:rsid w:val="0067318C"/>
    <w:rsid w:val="00673BD3"/>
    <w:rsid w:val="00680522"/>
    <w:rsid w:val="00681F08"/>
    <w:rsid w:val="00682167"/>
    <w:rsid w:val="00683AC9"/>
    <w:rsid w:val="006859C7"/>
    <w:rsid w:val="00691288"/>
    <w:rsid w:val="00691E5A"/>
    <w:rsid w:val="00695730"/>
    <w:rsid w:val="00695AAB"/>
    <w:rsid w:val="00695CF0"/>
    <w:rsid w:val="00695D96"/>
    <w:rsid w:val="006A2613"/>
    <w:rsid w:val="006A7957"/>
    <w:rsid w:val="006C42AF"/>
    <w:rsid w:val="006E19DF"/>
    <w:rsid w:val="006E5334"/>
    <w:rsid w:val="006F0363"/>
    <w:rsid w:val="006F0C10"/>
    <w:rsid w:val="006F27B1"/>
    <w:rsid w:val="006F3486"/>
    <w:rsid w:val="006F5B89"/>
    <w:rsid w:val="007026C4"/>
    <w:rsid w:val="00703438"/>
    <w:rsid w:val="0070361F"/>
    <w:rsid w:val="007070FA"/>
    <w:rsid w:val="00707E58"/>
    <w:rsid w:val="00707EAE"/>
    <w:rsid w:val="00711C2A"/>
    <w:rsid w:val="00711D8E"/>
    <w:rsid w:val="0071228E"/>
    <w:rsid w:val="00712672"/>
    <w:rsid w:val="0071493A"/>
    <w:rsid w:val="00730898"/>
    <w:rsid w:val="00734E3F"/>
    <w:rsid w:val="00736985"/>
    <w:rsid w:val="007446E0"/>
    <w:rsid w:val="00745DF5"/>
    <w:rsid w:val="0074758C"/>
    <w:rsid w:val="00754C40"/>
    <w:rsid w:val="00755C28"/>
    <w:rsid w:val="00756C1E"/>
    <w:rsid w:val="0076250F"/>
    <w:rsid w:val="00762D05"/>
    <w:rsid w:val="00764E05"/>
    <w:rsid w:val="0076554E"/>
    <w:rsid w:val="0077003F"/>
    <w:rsid w:val="00770161"/>
    <w:rsid w:val="00771B53"/>
    <w:rsid w:val="007742A8"/>
    <w:rsid w:val="00784031"/>
    <w:rsid w:val="00790AFB"/>
    <w:rsid w:val="00790D1D"/>
    <w:rsid w:val="007A6119"/>
    <w:rsid w:val="007A61AD"/>
    <w:rsid w:val="007B6200"/>
    <w:rsid w:val="007B681E"/>
    <w:rsid w:val="007E4F70"/>
    <w:rsid w:val="007F3395"/>
    <w:rsid w:val="007F5051"/>
    <w:rsid w:val="007F55DC"/>
    <w:rsid w:val="00801B9F"/>
    <w:rsid w:val="008057FD"/>
    <w:rsid w:val="00812509"/>
    <w:rsid w:val="0081440C"/>
    <w:rsid w:val="00816A7B"/>
    <w:rsid w:val="00816E76"/>
    <w:rsid w:val="00827BC7"/>
    <w:rsid w:val="0083751B"/>
    <w:rsid w:val="00837A49"/>
    <w:rsid w:val="008475F0"/>
    <w:rsid w:val="008614BB"/>
    <w:rsid w:val="00864210"/>
    <w:rsid w:val="008802D6"/>
    <w:rsid w:val="00881D87"/>
    <w:rsid w:val="0088346D"/>
    <w:rsid w:val="00886859"/>
    <w:rsid w:val="00897253"/>
    <w:rsid w:val="008A22F3"/>
    <w:rsid w:val="008A5AFE"/>
    <w:rsid w:val="008A6589"/>
    <w:rsid w:val="008B4204"/>
    <w:rsid w:val="008B4CFC"/>
    <w:rsid w:val="008B68D7"/>
    <w:rsid w:val="008C22DF"/>
    <w:rsid w:val="008C2F58"/>
    <w:rsid w:val="008C5A0E"/>
    <w:rsid w:val="008D4779"/>
    <w:rsid w:val="008E3224"/>
    <w:rsid w:val="008E67B1"/>
    <w:rsid w:val="008F35D6"/>
    <w:rsid w:val="008F56A8"/>
    <w:rsid w:val="00910BA7"/>
    <w:rsid w:val="00916FB1"/>
    <w:rsid w:val="009177A2"/>
    <w:rsid w:val="00931897"/>
    <w:rsid w:val="0094281E"/>
    <w:rsid w:val="00943B36"/>
    <w:rsid w:val="00955C03"/>
    <w:rsid w:val="00956382"/>
    <w:rsid w:val="009667B2"/>
    <w:rsid w:val="0096734F"/>
    <w:rsid w:val="00980E01"/>
    <w:rsid w:val="0098134E"/>
    <w:rsid w:val="00982053"/>
    <w:rsid w:val="009903F3"/>
    <w:rsid w:val="00991968"/>
    <w:rsid w:val="00992C76"/>
    <w:rsid w:val="009B4D3B"/>
    <w:rsid w:val="009C557D"/>
    <w:rsid w:val="009D7407"/>
    <w:rsid w:val="009E0866"/>
    <w:rsid w:val="009E24B3"/>
    <w:rsid w:val="009E602C"/>
    <w:rsid w:val="009F5488"/>
    <w:rsid w:val="009F6423"/>
    <w:rsid w:val="00A151A7"/>
    <w:rsid w:val="00A15640"/>
    <w:rsid w:val="00A238DE"/>
    <w:rsid w:val="00A24A62"/>
    <w:rsid w:val="00A31A71"/>
    <w:rsid w:val="00A31C9F"/>
    <w:rsid w:val="00A3529E"/>
    <w:rsid w:val="00A4144F"/>
    <w:rsid w:val="00A43DF0"/>
    <w:rsid w:val="00A503FD"/>
    <w:rsid w:val="00A53E5B"/>
    <w:rsid w:val="00A56F14"/>
    <w:rsid w:val="00A56FC0"/>
    <w:rsid w:val="00A6188C"/>
    <w:rsid w:val="00A66865"/>
    <w:rsid w:val="00A80F95"/>
    <w:rsid w:val="00A8197B"/>
    <w:rsid w:val="00A81CA8"/>
    <w:rsid w:val="00A84162"/>
    <w:rsid w:val="00A91E7A"/>
    <w:rsid w:val="00A92CF2"/>
    <w:rsid w:val="00A938DA"/>
    <w:rsid w:val="00A94E8A"/>
    <w:rsid w:val="00A951A1"/>
    <w:rsid w:val="00AA1ACF"/>
    <w:rsid w:val="00AA3ED7"/>
    <w:rsid w:val="00AA7BE3"/>
    <w:rsid w:val="00AB0422"/>
    <w:rsid w:val="00AB5E7F"/>
    <w:rsid w:val="00AC164A"/>
    <w:rsid w:val="00AC38AB"/>
    <w:rsid w:val="00AD0A11"/>
    <w:rsid w:val="00AD429F"/>
    <w:rsid w:val="00AE2B01"/>
    <w:rsid w:val="00AF0F3F"/>
    <w:rsid w:val="00AF1B85"/>
    <w:rsid w:val="00AF2050"/>
    <w:rsid w:val="00B004E0"/>
    <w:rsid w:val="00B03CA8"/>
    <w:rsid w:val="00B12980"/>
    <w:rsid w:val="00B1592F"/>
    <w:rsid w:val="00B1694D"/>
    <w:rsid w:val="00B210D5"/>
    <w:rsid w:val="00B21554"/>
    <w:rsid w:val="00B25655"/>
    <w:rsid w:val="00B30589"/>
    <w:rsid w:val="00B331DC"/>
    <w:rsid w:val="00B438D3"/>
    <w:rsid w:val="00B55E19"/>
    <w:rsid w:val="00B71467"/>
    <w:rsid w:val="00B717A8"/>
    <w:rsid w:val="00B74214"/>
    <w:rsid w:val="00B754C8"/>
    <w:rsid w:val="00B805A3"/>
    <w:rsid w:val="00B8475C"/>
    <w:rsid w:val="00B85AD9"/>
    <w:rsid w:val="00B907C7"/>
    <w:rsid w:val="00B930B6"/>
    <w:rsid w:val="00B94544"/>
    <w:rsid w:val="00BA4B6D"/>
    <w:rsid w:val="00BB0470"/>
    <w:rsid w:val="00BB26C5"/>
    <w:rsid w:val="00BB3254"/>
    <w:rsid w:val="00BE1BEB"/>
    <w:rsid w:val="00BE2AD8"/>
    <w:rsid w:val="00BF166D"/>
    <w:rsid w:val="00BF3260"/>
    <w:rsid w:val="00BF4D6B"/>
    <w:rsid w:val="00BF4DE6"/>
    <w:rsid w:val="00BF4F1D"/>
    <w:rsid w:val="00C02D01"/>
    <w:rsid w:val="00C30A7A"/>
    <w:rsid w:val="00C30C76"/>
    <w:rsid w:val="00C42CDE"/>
    <w:rsid w:val="00C4424A"/>
    <w:rsid w:val="00C444B6"/>
    <w:rsid w:val="00C44F99"/>
    <w:rsid w:val="00C46BCF"/>
    <w:rsid w:val="00C5182A"/>
    <w:rsid w:val="00C523F9"/>
    <w:rsid w:val="00C54745"/>
    <w:rsid w:val="00C55EE4"/>
    <w:rsid w:val="00C56526"/>
    <w:rsid w:val="00C57CB4"/>
    <w:rsid w:val="00C63EE9"/>
    <w:rsid w:val="00C6626C"/>
    <w:rsid w:val="00C662F8"/>
    <w:rsid w:val="00C67B72"/>
    <w:rsid w:val="00C701AB"/>
    <w:rsid w:val="00C7139B"/>
    <w:rsid w:val="00C74A9C"/>
    <w:rsid w:val="00C74F81"/>
    <w:rsid w:val="00C869CC"/>
    <w:rsid w:val="00C91E83"/>
    <w:rsid w:val="00CA37B1"/>
    <w:rsid w:val="00CB1959"/>
    <w:rsid w:val="00CB2DF1"/>
    <w:rsid w:val="00CB5CE1"/>
    <w:rsid w:val="00CC2224"/>
    <w:rsid w:val="00CC4767"/>
    <w:rsid w:val="00CC4888"/>
    <w:rsid w:val="00CC51AE"/>
    <w:rsid w:val="00CC7902"/>
    <w:rsid w:val="00CD0E4B"/>
    <w:rsid w:val="00CD161B"/>
    <w:rsid w:val="00CD1652"/>
    <w:rsid w:val="00CD668B"/>
    <w:rsid w:val="00CE0155"/>
    <w:rsid w:val="00CE71EC"/>
    <w:rsid w:val="00CF4EBE"/>
    <w:rsid w:val="00CF593D"/>
    <w:rsid w:val="00CF670F"/>
    <w:rsid w:val="00D00802"/>
    <w:rsid w:val="00D0296C"/>
    <w:rsid w:val="00D04100"/>
    <w:rsid w:val="00D146A2"/>
    <w:rsid w:val="00D15A00"/>
    <w:rsid w:val="00D206B0"/>
    <w:rsid w:val="00D23044"/>
    <w:rsid w:val="00D2653F"/>
    <w:rsid w:val="00D36686"/>
    <w:rsid w:val="00D37D4D"/>
    <w:rsid w:val="00D50CFE"/>
    <w:rsid w:val="00D62D55"/>
    <w:rsid w:val="00D64BD1"/>
    <w:rsid w:val="00D72760"/>
    <w:rsid w:val="00D749CD"/>
    <w:rsid w:val="00D76D3D"/>
    <w:rsid w:val="00D94942"/>
    <w:rsid w:val="00DB5997"/>
    <w:rsid w:val="00DC439A"/>
    <w:rsid w:val="00DD1986"/>
    <w:rsid w:val="00DD3FAF"/>
    <w:rsid w:val="00DE084C"/>
    <w:rsid w:val="00DE79E6"/>
    <w:rsid w:val="00DF55AA"/>
    <w:rsid w:val="00DF5B23"/>
    <w:rsid w:val="00DF5DDF"/>
    <w:rsid w:val="00E01367"/>
    <w:rsid w:val="00E22206"/>
    <w:rsid w:val="00E22D27"/>
    <w:rsid w:val="00E23F5C"/>
    <w:rsid w:val="00E341D4"/>
    <w:rsid w:val="00E357B7"/>
    <w:rsid w:val="00E53800"/>
    <w:rsid w:val="00E57B9A"/>
    <w:rsid w:val="00E6081F"/>
    <w:rsid w:val="00E65105"/>
    <w:rsid w:val="00E7427A"/>
    <w:rsid w:val="00E829D8"/>
    <w:rsid w:val="00E86D47"/>
    <w:rsid w:val="00E86E09"/>
    <w:rsid w:val="00E9026A"/>
    <w:rsid w:val="00E9665C"/>
    <w:rsid w:val="00EA04B2"/>
    <w:rsid w:val="00EA20F3"/>
    <w:rsid w:val="00EA3F47"/>
    <w:rsid w:val="00EB0365"/>
    <w:rsid w:val="00EB16E9"/>
    <w:rsid w:val="00EB55F6"/>
    <w:rsid w:val="00EC1736"/>
    <w:rsid w:val="00ED1799"/>
    <w:rsid w:val="00ED1CD6"/>
    <w:rsid w:val="00ED2831"/>
    <w:rsid w:val="00ED43D1"/>
    <w:rsid w:val="00EE4EE1"/>
    <w:rsid w:val="00EF4574"/>
    <w:rsid w:val="00EF4AD9"/>
    <w:rsid w:val="00F039EE"/>
    <w:rsid w:val="00F06182"/>
    <w:rsid w:val="00F2574E"/>
    <w:rsid w:val="00F2684E"/>
    <w:rsid w:val="00F4029B"/>
    <w:rsid w:val="00F4140A"/>
    <w:rsid w:val="00F43464"/>
    <w:rsid w:val="00F51F9D"/>
    <w:rsid w:val="00F5404C"/>
    <w:rsid w:val="00F568B4"/>
    <w:rsid w:val="00F603A1"/>
    <w:rsid w:val="00F62DB0"/>
    <w:rsid w:val="00F729EF"/>
    <w:rsid w:val="00F74B99"/>
    <w:rsid w:val="00F7557A"/>
    <w:rsid w:val="00F7790A"/>
    <w:rsid w:val="00F77CAE"/>
    <w:rsid w:val="00F813BC"/>
    <w:rsid w:val="00F82271"/>
    <w:rsid w:val="00F83428"/>
    <w:rsid w:val="00F96BB9"/>
    <w:rsid w:val="00FA1BA6"/>
    <w:rsid w:val="00FA7D10"/>
    <w:rsid w:val="00FB4F75"/>
    <w:rsid w:val="00FB63EC"/>
    <w:rsid w:val="00FD1A62"/>
    <w:rsid w:val="00FD6DDF"/>
    <w:rsid w:val="00FE21D2"/>
    <w:rsid w:val="00FE6D51"/>
    <w:rsid w:val="00FE72AE"/>
    <w:rsid w:val="00FF09F3"/>
    <w:rsid w:val="00FF0C20"/>
    <w:rsid w:val="00FF101F"/>
    <w:rsid w:val="00FF45B0"/>
    <w:rsid w:val="00FF5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D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1D73B9"/>
    <w:rPr>
      <w:rFonts w:ascii="Courier New" w:eastAsia="Times New Roman" w:hAnsi="Courier New" w:cs="Courier New"/>
      <w:sz w:val="20"/>
      <w:szCs w:val="20"/>
      <w:lang w:eastAsia="en-AU"/>
    </w:rPr>
  </w:style>
  <w:style w:type="paragraph" w:styleId="ListParagraph">
    <w:name w:val="List Paragraph"/>
    <w:basedOn w:val="Normal"/>
    <w:uiPriority w:val="34"/>
    <w:qFormat/>
    <w:rsid w:val="00A951A1"/>
    <w:pPr>
      <w:ind w:left="720"/>
      <w:contextualSpacing/>
    </w:pPr>
  </w:style>
  <w:style w:type="character" w:styleId="CommentReference">
    <w:name w:val="annotation reference"/>
    <w:basedOn w:val="DefaultParagraphFont"/>
    <w:uiPriority w:val="99"/>
    <w:semiHidden/>
    <w:unhideWhenUsed/>
    <w:rsid w:val="001F2A43"/>
    <w:rPr>
      <w:sz w:val="16"/>
      <w:szCs w:val="16"/>
    </w:rPr>
  </w:style>
  <w:style w:type="paragraph" w:styleId="CommentText">
    <w:name w:val="annotation text"/>
    <w:basedOn w:val="Normal"/>
    <w:link w:val="CommentTextChar"/>
    <w:uiPriority w:val="99"/>
    <w:semiHidden/>
    <w:unhideWhenUsed/>
    <w:rsid w:val="001F2A43"/>
    <w:pPr>
      <w:spacing w:line="240" w:lineRule="auto"/>
    </w:pPr>
    <w:rPr>
      <w:sz w:val="20"/>
      <w:szCs w:val="20"/>
    </w:rPr>
  </w:style>
  <w:style w:type="character" w:customStyle="1" w:styleId="CommentTextChar">
    <w:name w:val="Comment Text Char"/>
    <w:basedOn w:val="DefaultParagraphFont"/>
    <w:link w:val="CommentText"/>
    <w:uiPriority w:val="99"/>
    <w:semiHidden/>
    <w:rsid w:val="001F2A43"/>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1F2A43"/>
    <w:rPr>
      <w:b/>
      <w:bCs/>
    </w:rPr>
  </w:style>
  <w:style w:type="character" w:customStyle="1" w:styleId="CommentSubjectChar">
    <w:name w:val="Comment Subject Char"/>
    <w:basedOn w:val="CommentTextChar"/>
    <w:link w:val="CommentSubject"/>
    <w:uiPriority w:val="99"/>
    <w:semiHidden/>
    <w:rsid w:val="001F2A43"/>
    <w:rPr>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5320">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header" Target="header4.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customXml" Target="../customXml/item4.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dfat.gov.au/about-us/publications/Pages/sri-lanka-north-east-local-services-improvement-project-implementation-completion-and-results-report-world-bank.aspx" TargetMode="External"/><Relationship Id="rId1" Type="http://schemas.openxmlformats.org/officeDocument/2006/relationships/hyperlink" Target="http://www.ifes.org/news/she-leads-empowering-female-candidates-ahead-local-elections-sri-lank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AA47DC-6623-4044-9ACE-57AC1EC96CAA}"/>
</file>

<file path=customXml/itemProps2.xml><?xml version="1.0" encoding="utf-8"?>
<ds:datastoreItem xmlns:ds="http://schemas.openxmlformats.org/officeDocument/2006/customXml" ds:itemID="{F6D733C1-6C8A-45D3-A2CA-3B3B0268ADA8}"/>
</file>

<file path=customXml/itemProps3.xml><?xml version="1.0" encoding="utf-8"?>
<ds:datastoreItem xmlns:ds="http://schemas.openxmlformats.org/officeDocument/2006/customXml" ds:itemID="{ACCF75B4-96BA-43B4-93AA-D0A4BC729A82}"/>
</file>

<file path=customXml/itemProps4.xml><?xml version="1.0" encoding="utf-8"?>
<ds:datastoreItem xmlns:ds="http://schemas.openxmlformats.org/officeDocument/2006/customXml" ds:itemID="{27C818B7-5CA6-413E-B68A-C0749CDACBFE}"/>
</file>

<file path=docProps/app.xml><?xml version="1.0" encoding="utf-8"?>
<Properties xmlns="http://schemas.openxmlformats.org/officeDocument/2006/extended-properties" xmlns:vt="http://schemas.openxmlformats.org/officeDocument/2006/docPropsVTypes">
  <Template>Normal.dotm</Template>
  <TotalTime>0</TotalTime>
  <Pages>13</Pages>
  <Words>4531</Words>
  <Characters>25829</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Lanka Aid Program Performance Report 2017-18</dc:title>
  <dc:creator/>
  <cp:lastModifiedBy/>
  <cp:revision>1</cp:revision>
  <dcterms:created xsi:type="dcterms:W3CDTF">2018-09-14T01:30:00Z</dcterms:created>
  <dcterms:modified xsi:type="dcterms:W3CDTF">2018-09-14T01:30:00Z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e2bf7866-be49-4651-a51c-28287356b529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1194200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