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F5726FD" w14:textId="77777777" w:rsidR="003D352D" w:rsidRDefault="00A56F14" w:rsidP="00D146A2">
      <w:bookmarkStart w:id="0" w:name="_GoBack"/>
      <w:bookmarkEnd w:id="0"/>
      <w:r>
        <w:rPr>
          <w:noProof/>
          <w:lang w:val="en-AU" w:eastAsia="en-AU"/>
        </w:rPr>
        <w:drawing>
          <wp:anchor distT="0" distB="0" distL="114300" distR="114300" simplePos="0" relativeHeight="251661312" behindDoc="1" locked="1" layoutInCell="1" allowOverlap="1" wp14:anchorId="5DD58185" wp14:editId="62D6B304">
            <wp:simplePos x="0" y="0"/>
            <wp:positionH relativeFrom="page">
              <wp:posOffset>872490</wp:posOffset>
            </wp:positionH>
            <wp:positionV relativeFrom="page">
              <wp:posOffset>1561465</wp:posOffset>
            </wp:positionV>
            <wp:extent cx="3167380" cy="5543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1" locked="1" layoutInCell="1" allowOverlap="1" wp14:anchorId="619E8947" wp14:editId="1A05470E">
            <wp:simplePos x="0" y="0"/>
            <wp:positionH relativeFrom="page">
              <wp:posOffset>-23495</wp:posOffset>
            </wp:positionH>
            <wp:positionV relativeFrom="page">
              <wp:posOffset>15875</wp:posOffset>
            </wp:positionV>
            <wp:extent cx="7585075" cy="106940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585075" cy="10694035"/>
                    </a:xfrm>
                    <a:prstGeom prst="rect">
                      <a:avLst/>
                    </a:prstGeom>
                  </pic:spPr>
                </pic:pic>
              </a:graphicData>
            </a:graphic>
            <wp14:sizeRelH relativeFrom="margin">
              <wp14:pctWidth>0</wp14:pctWidth>
            </wp14:sizeRelH>
            <wp14:sizeRelV relativeFrom="margin">
              <wp14:pctHeight>0</wp14:pctHeight>
            </wp14:sizeRelV>
          </wp:anchor>
        </w:drawing>
      </w:r>
    </w:p>
    <w:p w14:paraId="2D7F9798" w14:textId="77777777" w:rsidR="003D352D" w:rsidRDefault="003D352D" w:rsidP="00D146A2"/>
    <w:p w14:paraId="12E77A56" w14:textId="77777777" w:rsidR="003D352D" w:rsidRDefault="003D352D" w:rsidP="00D146A2"/>
    <w:p w14:paraId="554D0018" w14:textId="77777777" w:rsidR="003D352D" w:rsidRDefault="003D352D" w:rsidP="00D146A2"/>
    <w:p w14:paraId="0609842B" w14:textId="77777777" w:rsidR="003D352D" w:rsidRDefault="003D352D" w:rsidP="00D146A2"/>
    <w:p w14:paraId="36202B3B" w14:textId="77777777" w:rsidR="003D352D" w:rsidRDefault="003D352D" w:rsidP="00D146A2"/>
    <w:p w14:paraId="0B274676" w14:textId="77777777" w:rsidR="003D352D" w:rsidRDefault="003D352D" w:rsidP="00D146A2"/>
    <w:p w14:paraId="7CC6D00A" w14:textId="77777777" w:rsidR="003D352D" w:rsidRDefault="003D352D" w:rsidP="00D146A2"/>
    <w:p w14:paraId="72281228" w14:textId="77777777" w:rsidR="003D352D" w:rsidRDefault="003D352D" w:rsidP="00D146A2"/>
    <w:p w14:paraId="064D728F" w14:textId="77777777" w:rsidR="003D352D" w:rsidRDefault="003D352D" w:rsidP="00D146A2"/>
    <w:p w14:paraId="64308C52" w14:textId="77777777" w:rsidR="003D352D" w:rsidRDefault="003D352D" w:rsidP="00D146A2"/>
    <w:p w14:paraId="358424B8" w14:textId="77777777" w:rsidR="003D352D" w:rsidRDefault="003D352D" w:rsidP="00D146A2"/>
    <w:p w14:paraId="29817525" w14:textId="77777777" w:rsidR="003D352D" w:rsidRDefault="003D352D" w:rsidP="00D146A2"/>
    <w:p w14:paraId="6677DF29" w14:textId="77777777" w:rsidR="003D352D" w:rsidRDefault="003D352D" w:rsidP="00D146A2"/>
    <w:p w14:paraId="1FB9161E" w14:textId="77777777" w:rsidR="003D352D" w:rsidRDefault="003D352D" w:rsidP="00D146A2"/>
    <w:p w14:paraId="1A9237CB" w14:textId="77777777" w:rsidR="003D352D" w:rsidRDefault="003D352D" w:rsidP="00D146A2"/>
    <w:p w14:paraId="767337BE" w14:textId="77777777" w:rsidR="003D352D" w:rsidRPr="0059146A" w:rsidRDefault="003D352D" w:rsidP="0059146A"/>
    <w:p w14:paraId="3D2E5B6D" w14:textId="77777777" w:rsidR="003D352D" w:rsidRPr="0059146A" w:rsidRDefault="003D352D" w:rsidP="0059146A"/>
    <w:p w14:paraId="3676318D" w14:textId="77777777" w:rsidR="003D352D" w:rsidRPr="0059146A" w:rsidRDefault="003D352D" w:rsidP="0059146A"/>
    <w:p w14:paraId="6F57B69A" w14:textId="77777777" w:rsidR="003D352D" w:rsidRPr="0059146A" w:rsidRDefault="003D352D" w:rsidP="0059146A"/>
    <w:p w14:paraId="13051D9F" w14:textId="77777777" w:rsidR="003D352D" w:rsidRPr="0059146A" w:rsidRDefault="003D352D" w:rsidP="0059146A"/>
    <w:p w14:paraId="464E10FD" w14:textId="77777777" w:rsidR="003D352D" w:rsidRPr="0059146A" w:rsidRDefault="003D352D" w:rsidP="0059146A"/>
    <w:p w14:paraId="3BEE848A" w14:textId="77777777" w:rsidR="00A56F14" w:rsidRPr="0059146A" w:rsidRDefault="00A56F14" w:rsidP="00A56F14"/>
    <w:p w14:paraId="485F78AD" w14:textId="77777777" w:rsidR="00A56F14" w:rsidRPr="0059146A" w:rsidRDefault="00A56F14" w:rsidP="0059146A"/>
    <w:p w14:paraId="11A556D3" w14:textId="77777777" w:rsidR="00A56F14" w:rsidRDefault="00A56F14" w:rsidP="0059146A"/>
    <w:p w14:paraId="0F008531" w14:textId="77777777" w:rsidR="0059146A" w:rsidRDefault="0059146A" w:rsidP="0059146A"/>
    <w:p w14:paraId="2202668B" w14:textId="77777777" w:rsidR="0059146A" w:rsidRDefault="0059146A" w:rsidP="0059146A"/>
    <w:p w14:paraId="5124AFBF" w14:textId="77777777" w:rsidR="0059146A" w:rsidRDefault="0059146A" w:rsidP="0059146A"/>
    <w:p w14:paraId="077716A5" w14:textId="77777777" w:rsidR="0059146A" w:rsidRPr="0059146A" w:rsidRDefault="0059146A" w:rsidP="0059146A"/>
    <w:p w14:paraId="7EAC6CC3" w14:textId="77777777" w:rsidR="003D352D" w:rsidRDefault="00A56F14" w:rsidP="003D352D">
      <w:pPr>
        <w:pStyle w:val="Title"/>
        <w:spacing w:after="120" w:line="600" w:lineRule="exact"/>
        <w:rPr>
          <w:spacing w:val="-20"/>
          <w:sz w:val="60"/>
        </w:rPr>
      </w:pPr>
      <w:r>
        <w:rPr>
          <w:spacing w:val="-20"/>
          <w:sz w:val="60"/>
        </w:rPr>
        <w:t>Aid program performance</w:t>
      </w:r>
      <w:r w:rsidR="003D352D" w:rsidRPr="003D352D">
        <w:rPr>
          <w:spacing w:val="-20"/>
          <w:sz w:val="60"/>
        </w:rPr>
        <w:t xml:space="preserve"> </w:t>
      </w:r>
      <w:r>
        <w:rPr>
          <w:spacing w:val="-20"/>
          <w:sz w:val="60"/>
        </w:rPr>
        <w:t>report 201</w:t>
      </w:r>
      <w:r w:rsidR="003E305C">
        <w:rPr>
          <w:spacing w:val="-20"/>
          <w:sz w:val="60"/>
        </w:rPr>
        <w:t>6</w:t>
      </w:r>
      <w:r>
        <w:rPr>
          <w:spacing w:val="-20"/>
          <w:sz w:val="60"/>
        </w:rPr>
        <w:t>-1</w:t>
      </w:r>
      <w:r w:rsidR="003E305C">
        <w:rPr>
          <w:spacing w:val="-20"/>
          <w:sz w:val="60"/>
        </w:rPr>
        <w:t>7</w:t>
      </w:r>
    </w:p>
    <w:p w14:paraId="58C0A5FC" w14:textId="690994CE" w:rsidR="0059146A" w:rsidRDefault="00E94E06" w:rsidP="00A56F14">
      <w:pPr>
        <w:rPr>
          <w:sz w:val="24"/>
        </w:rPr>
        <w:sectPr w:rsidR="0059146A" w:rsidSect="00A56F14">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titlePg/>
          <w:docGrid w:linePitch="360"/>
        </w:sectPr>
      </w:pPr>
      <w:r>
        <w:rPr>
          <w:sz w:val="40"/>
        </w:rPr>
        <w:t>Sri Lanka</w:t>
      </w:r>
      <w:r w:rsidR="0059146A">
        <w:rPr>
          <w:sz w:val="40"/>
        </w:rPr>
        <w:br/>
      </w:r>
      <w:r w:rsidR="0059146A" w:rsidRPr="0059146A">
        <w:rPr>
          <w:sz w:val="24"/>
        </w:rPr>
        <w:t>September 201</w:t>
      </w:r>
      <w:r w:rsidR="003E305C">
        <w:rPr>
          <w:sz w:val="24"/>
        </w:rPr>
        <w:t>7</w:t>
      </w:r>
    </w:p>
    <w:p w14:paraId="4F552AFB" w14:textId="3812D841" w:rsidR="005B5769" w:rsidRPr="00B438D3" w:rsidRDefault="007F1900" w:rsidP="00B438D3">
      <w:pPr>
        <w:pStyle w:val="Title"/>
      </w:pPr>
      <w:r>
        <w:lastRenderedPageBreak/>
        <w:t xml:space="preserve">SRI LANKA </w:t>
      </w:r>
      <w:r w:rsidR="005B5769" w:rsidRPr="00B438D3">
        <w:t>Aid Program Performance Information 201</w:t>
      </w:r>
      <w:r w:rsidR="003E305C">
        <w:t>6</w:t>
      </w:r>
      <w:r w:rsidR="00411801">
        <w:noBreakHyphen/>
      </w:r>
      <w:r w:rsidR="005B5769" w:rsidRPr="00B438D3">
        <w:t>1</w:t>
      </w:r>
      <w:r w:rsidR="003E305C">
        <w:t>7</w:t>
      </w:r>
    </w:p>
    <w:p w14:paraId="115ECE15" w14:textId="77777777" w:rsidR="005B5769" w:rsidRPr="00C4114C" w:rsidRDefault="005B5769" w:rsidP="00B438D3">
      <w:pPr>
        <w:pStyle w:val="Subtitle"/>
      </w:pPr>
      <w:r w:rsidRPr="00C4114C">
        <w:t>Summary</w:t>
      </w:r>
    </w:p>
    <w:p w14:paraId="7D14A882" w14:textId="6B2F3511" w:rsidR="00CD1652" w:rsidRPr="00616ECE" w:rsidRDefault="00CD1652" w:rsidP="00CD1652">
      <w:r w:rsidRPr="00616ECE">
        <w:t xml:space="preserve">This report summarises the performance of Australia’s </w:t>
      </w:r>
      <w:r w:rsidR="00492DF7">
        <w:t>development</w:t>
      </w:r>
      <w:r w:rsidRPr="00616ECE">
        <w:t xml:space="preserve"> program in </w:t>
      </w:r>
      <w:r w:rsidR="00326B9F" w:rsidRPr="00616ECE">
        <w:t xml:space="preserve">Sri Lanka </w:t>
      </w:r>
      <w:r w:rsidRPr="00616ECE">
        <w:t xml:space="preserve">from July 2016 to June 2017 against the </w:t>
      </w:r>
      <w:r w:rsidR="00326B9F" w:rsidRPr="00616ECE">
        <w:t>Sri Lanka</w:t>
      </w:r>
      <w:r w:rsidRPr="00616ECE">
        <w:t xml:space="preserve"> Aid Investment Plan </w:t>
      </w:r>
      <w:r w:rsidR="00326B9F" w:rsidRPr="00616ECE">
        <w:t>2015-19</w:t>
      </w:r>
      <w:r w:rsidRPr="00616ECE">
        <w:t xml:space="preserve">. </w:t>
      </w:r>
    </w:p>
    <w:p w14:paraId="2254B719" w14:textId="77777777" w:rsidR="000074AB" w:rsidRDefault="00616ECE" w:rsidP="00015316">
      <w:r>
        <w:t xml:space="preserve">The Sri Lanka Aid Investment Plan (AIP) sets three objectives for achievement by 2019: expand economic opportunities for the poor; support government to be more responsive to the needs of citizens and the private sector; and increase gender equality. </w:t>
      </w:r>
    </w:p>
    <w:p w14:paraId="013CF9AB" w14:textId="64F909FC" w:rsidR="00D73D2F" w:rsidRDefault="00B82E1E" w:rsidP="00015316">
      <w:r>
        <w:t>S</w:t>
      </w:r>
      <w:r w:rsidR="00A2015E" w:rsidRPr="00A2015E">
        <w:t xml:space="preserve">even years </w:t>
      </w:r>
      <w:r>
        <w:t>after</w:t>
      </w:r>
      <w:r w:rsidR="00A2015E" w:rsidRPr="00A2015E">
        <w:t xml:space="preserve"> a </w:t>
      </w:r>
      <w:r w:rsidR="000B7FD8">
        <w:t>prot</w:t>
      </w:r>
      <w:r w:rsidR="00D5094A">
        <w:t>ra</w:t>
      </w:r>
      <w:r w:rsidR="000B7FD8">
        <w:t>cted</w:t>
      </w:r>
      <w:r w:rsidR="000B7FD8" w:rsidRPr="00A2015E">
        <w:t xml:space="preserve"> </w:t>
      </w:r>
      <w:r w:rsidR="00A2015E" w:rsidRPr="00A2015E">
        <w:t>civil conflict,</w:t>
      </w:r>
      <w:r w:rsidR="00A2015E">
        <w:t xml:space="preserve"> Sri Lanka’s ongoing prosperity and its ability to foster reconciliation </w:t>
      </w:r>
      <w:r w:rsidR="00B00807">
        <w:t>remain</w:t>
      </w:r>
      <w:r w:rsidR="00A2015E">
        <w:t xml:space="preserve"> mutually dependent. </w:t>
      </w:r>
      <w:r w:rsidR="00616ECE" w:rsidRPr="00616ECE">
        <w:t xml:space="preserve">The </w:t>
      </w:r>
      <w:r w:rsidR="00301E9D">
        <w:t>AIP’s</w:t>
      </w:r>
      <w:r w:rsidR="00616ECE">
        <w:t xml:space="preserve"> </w:t>
      </w:r>
      <w:r w:rsidR="00301E9D">
        <w:t>guiding</w:t>
      </w:r>
      <w:r w:rsidR="00616ECE">
        <w:t xml:space="preserve"> logic </w:t>
      </w:r>
      <w:r w:rsidR="00616ECE" w:rsidRPr="00616ECE">
        <w:t>is that</w:t>
      </w:r>
      <w:r w:rsidR="00702BFF">
        <w:t xml:space="preserve"> reconciliation requires the promotion of</w:t>
      </w:r>
      <w:r w:rsidR="00A2015E">
        <w:t xml:space="preserve"> inclusive sharing of the</w:t>
      </w:r>
      <w:r w:rsidR="00B00807">
        <w:t xml:space="preserve"> dividends of </w:t>
      </w:r>
      <w:r w:rsidR="00A2015E">
        <w:t>peace</w:t>
      </w:r>
      <w:r w:rsidR="00702BFF">
        <w:t xml:space="preserve">. </w:t>
      </w:r>
      <w:r>
        <w:t xml:space="preserve">To this end, </w:t>
      </w:r>
      <w:r w:rsidR="00492DF7">
        <w:t>our development</w:t>
      </w:r>
      <w:r w:rsidR="0083268A">
        <w:t xml:space="preserve"> program</w:t>
      </w:r>
      <w:r w:rsidR="00702BFF">
        <w:t xml:space="preserve"> </w:t>
      </w:r>
      <w:r w:rsidR="0083268A">
        <w:t>support</w:t>
      </w:r>
      <w:r w:rsidR="00702BFF">
        <w:t>s</w:t>
      </w:r>
      <w:r w:rsidR="0083268A">
        <w:t xml:space="preserve"> </w:t>
      </w:r>
      <w:r w:rsidR="00CB220B">
        <w:t xml:space="preserve">pro-poor </w:t>
      </w:r>
      <w:r w:rsidR="00301E9D">
        <w:t>economic growth</w:t>
      </w:r>
      <w:r w:rsidR="00052758">
        <w:t xml:space="preserve"> across</w:t>
      </w:r>
      <w:r w:rsidR="00B81B8E">
        <w:t xml:space="preserve"> all</w:t>
      </w:r>
      <w:r w:rsidR="00052758">
        <w:t xml:space="preserve"> provinces and districts</w:t>
      </w:r>
      <w:r w:rsidR="00616ECE" w:rsidRPr="00616ECE">
        <w:t>,</w:t>
      </w:r>
      <w:r w:rsidR="00492DF7">
        <w:t xml:space="preserve"> </w:t>
      </w:r>
      <w:r w:rsidR="0083268A">
        <w:t xml:space="preserve">efficient formation and delivery of public </w:t>
      </w:r>
      <w:r w:rsidR="00301E9D">
        <w:t>policy, and</w:t>
      </w:r>
      <w:r w:rsidR="00052758">
        <w:t xml:space="preserve"> the full participation of</w:t>
      </w:r>
      <w:r w:rsidR="00301E9D">
        <w:t xml:space="preserve"> women and </w:t>
      </w:r>
      <w:r w:rsidR="00052758">
        <w:t>persons with a disability</w:t>
      </w:r>
      <w:r w:rsidR="00616ECE" w:rsidRPr="00616ECE">
        <w:t xml:space="preserve"> in </w:t>
      </w:r>
      <w:r w:rsidR="00B043B3">
        <w:t xml:space="preserve">political and socio-economic life. </w:t>
      </w:r>
    </w:p>
    <w:p w14:paraId="263DE93B" w14:textId="4122A92F" w:rsidR="00F54B0A" w:rsidRDefault="00F54B0A" w:rsidP="00F54B0A">
      <w:pPr>
        <w:rPr>
          <w:lang w:val="en-US"/>
        </w:rPr>
      </w:pPr>
      <w:r w:rsidRPr="00E01003">
        <w:rPr>
          <w:lang w:val="en-US"/>
        </w:rPr>
        <w:t xml:space="preserve">Sri Lanka’s national unity government, comprised of both main political parties, </w:t>
      </w:r>
      <w:r w:rsidRPr="00B043B3">
        <w:rPr>
          <w:lang w:val="en-US"/>
        </w:rPr>
        <w:t>has</w:t>
      </w:r>
      <w:r w:rsidR="00B043B3">
        <w:rPr>
          <w:lang w:val="en-US"/>
        </w:rPr>
        <w:t xml:space="preserve"> begun a program of </w:t>
      </w:r>
      <w:r w:rsidR="00E819F3">
        <w:rPr>
          <w:lang w:val="en-US"/>
        </w:rPr>
        <w:t xml:space="preserve">political </w:t>
      </w:r>
      <w:r w:rsidR="00E01003">
        <w:rPr>
          <w:lang w:val="en-US"/>
        </w:rPr>
        <w:t xml:space="preserve">reform </w:t>
      </w:r>
      <w:r w:rsidR="00E01003" w:rsidRPr="00B043B3">
        <w:rPr>
          <w:lang w:val="en-US"/>
        </w:rPr>
        <w:t>including implementing a national reconciliation package and drafting a new Constitution</w:t>
      </w:r>
      <w:r w:rsidR="00E01003">
        <w:rPr>
          <w:lang w:val="en-US"/>
        </w:rPr>
        <w:t xml:space="preserve"> as well as </w:t>
      </w:r>
      <w:r w:rsidR="00B043B3" w:rsidRPr="00F939B5">
        <w:rPr>
          <w:lang w:val="en-US"/>
        </w:rPr>
        <w:t>economic reforms to boost revenues</w:t>
      </w:r>
      <w:r w:rsidR="00B043B3">
        <w:rPr>
          <w:lang w:val="en-US"/>
        </w:rPr>
        <w:t xml:space="preserve">, economic growth </w:t>
      </w:r>
      <w:r w:rsidR="00B043B3" w:rsidRPr="00F939B5">
        <w:rPr>
          <w:lang w:val="en-US"/>
        </w:rPr>
        <w:t xml:space="preserve">and </w:t>
      </w:r>
      <w:r w:rsidR="00B043B3">
        <w:rPr>
          <w:lang w:val="en-US"/>
        </w:rPr>
        <w:t>jobs</w:t>
      </w:r>
      <w:r w:rsidR="00E01003">
        <w:rPr>
          <w:lang w:val="en-US"/>
        </w:rPr>
        <w:t xml:space="preserve">. </w:t>
      </w:r>
      <w:r w:rsidR="00B043B3">
        <w:rPr>
          <w:lang w:val="en-US"/>
        </w:rPr>
        <w:t>It will be important for th</w:t>
      </w:r>
      <w:r w:rsidR="00702E86">
        <w:rPr>
          <w:lang w:val="en-US"/>
        </w:rPr>
        <w:t xml:space="preserve">ese </w:t>
      </w:r>
      <w:r w:rsidR="00B043B3">
        <w:rPr>
          <w:lang w:val="en-US"/>
        </w:rPr>
        <w:t>process</w:t>
      </w:r>
      <w:r w:rsidR="00702E86">
        <w:rPr>
          <w:lang w:val="en-US"/>
        </w:rPr>
        <w:t>es</w:t>
      </w:r>
      <w:r w:rsidR="00B043B3">
        <w:rPr>
          <w:lang w:val="en-US"/>
        </w:rPr>
        <w:t xml:space="preserve"> to continue. </w:t>
      </w:r>
      <w:r w:rsidR="00E01003">
        <w:rPr>
          <w:lang w:val="en-US"/>
        </w:rPr>
        <w:t xml:space="preserve"> </w:t>
      </w:r>
    </w:p>
    <w:p w14:paraId="395BA5E8" w14:textId="028A2328" w:rsidR="00492DF7" w:rsidRDefault="00AA2AD2" w:rsidP="00492DF7">
      <w:pPr>
        <w:rPr>
          <w:lang w:val="en-US"/>
        </w:rPr>
      </w:pPr>
      <w:r>
        <w:rPr>
          <w:lang w:val="en-US"/>
        </w:rPr>
        <w:t>Over the past year</w:t>
      </w:r>
      <w:r w:rsidR="00754691">
        <w:rPr>
          <w:lang w:val="en-US"/>
        </w:rPr>
        <w:t>,</w:t>
      </w:r>
      <w:r w:rsidR="00492DF7">
        <w:rPr>
          <w:lang w:val="en-US"/>
        </w:rPr>
        <w:t xml:space="preserve"> </w:t>
      </w:r>
      <w:r w:rsidR="00E92486">
        <w:rPr>
          <w:lang w:val="en-US"/>
        </w:rPr>
        <w:t xml:space="preserve">we continued to </w:t>
      </w:r>
      <w:r w:rsidR="00DF6C62">
        <w:rPr>
          <w:lang w:val="en-US"/>
        </w:rPr>
        <w:t xml:space="preserve">move </w:t>
      </w:r>
      <w:r w:rsidR="00492DF7">
        <w:rPr>
          <w:lang w:val="en-US"/>
        </w:rPr>
        <w:t xml:space="preserve">our development </w:t>
      </w:r>
      <w:r w:rsidR="00F54B0A">
        <w:rPr>
          <w:lang w:val="en-US"/>
        </w:rPr>
        <w:t>relationship with Sri Lanka</w:t>
      </w:r>
      <w:r w:rsidR="00492DF7">
        <w:rPr>
          <w:lang w:val="en-US"/>
        </w:rPr>
        <w:t xml:space="preserve"> to a mature economic partnership. W</w:t>
      </w:r>
      <w:r w:rsidR="00754691">
        <w:rPr>
          <w:lang w:val="en-US"/>
        </w:rPr>
        <w:t xml:space="preserve">orking </w:t>
      </w:r>
      <w:r w:rsidR="00F54B0A">
        <w:rPr>
          <w:lang w:val="en-US"/>
        </w:rPr>
        <w:t>closely with</w:t>
      </w:r>
      <w:r w:rsidR="006459E8">
        <w:rPr>
          <w:lang w:val="en-US"/>
        </w:rPr>
        <w:t xml:space="preserve"> </w:t>
      </w:r>
      <w:r w:rsidR="00D5094A">
        <w:rPr>
          <w:lang w:val="en-US"/>
        </w:rPr>
        <w:t>the World Bank</w:t>
      </w:r>
      <w:r w:rsidR="006459E8">
        <w:rPr>
          <w:lang w:val="en-US"/>
        </w:rPr>
        <w:t>, we provided</w:t>
      </w:r>
      <w:r w:rsidR="00D5094A">
        <w:rPr>
          <w:lang w:val="en-US"/>
        </w:rPr>
        <w:t xml:space="preserve"> </w:t>
      </w:r>
      <w:r w:rsidR="00492DF7">
        <w:rPr>
          <w:lang w:val="en-US"/>
        </w:rPr>
        <w:t xml:space="preserve"> policy and technical advice to support</w:t>
      </w:r>
      <w:r w:rsidR="00D5094A">
        <w:rPr>
          <w:lang w:val="en-US"/>
        </w:rPr>
        <w:t xml:space="preserve"> </w:t>
      </w:r>
      <w:r w:rsidR="006459E8">
        <w:rPr>
          <w:lang w:val="en-US"/>
        </w:rPr>
        <w:t>the government</w:t>
      </w:r>
      <w:r w:rsidR="00D5094A">
        <w:rPr>
          <w:lang w:val="en-US"/>
        </w:rPr>
        <w:t xml:space="preserve"> to implement its economic reform agenda</w:t>
      </w:r>
      <w:r w:rsidR="006459E8">
        <w:rPr>
          <w:lang w:val="en-US"/>
        </w:rPr>
        <w:t>,</w:t>
      </w:r>
      <w:r w:rsidR="00D5094A">
        <w:rPr>
          <w:lang w:val="en-US"/>
        </w:rPr>
        <w:t xml:space="preserve"> which </w:t>
      </w:r>
      <w:r w:rsidR="00286DD5">
        <w:rPr>
          <w:lang w:val="en-US"/>
        </w:rPr>
        <w:t>has included</w:t>
      </w:r>
      <w:r w:rsidR="00D5094A">
        <w:rPr>
          <w:lang w:val="en-US"/>
        </w:rPr>
        <w:t xml:space="preserve"> </w:t>
      </w:r>
      <w:r w:rsidR="00E92486">
        <w:rPr>
          <w:lang w:val="en-US"/>
        </w:rPr>
        <w:t>a new national tourism strategy</w:t>
      </w:r>
      <w:r w:rsidR="00286DD5">
        <w:rPr>
          <w:lang w:val="en-US"/>
        </w:rPr>
        <w:t xml:space="preserve">, </w:t>
      </w:r>
      <w:r w:rsidR="00754691">
        <w:rPr>
          <w:lang w:val="en-US"/>
        </w:rPr>
        <w:t xml:space="preserve">a </w:t>
      </w:r>
      <w:r w:rsidR="00E92486">
        <w:rPr>
          <w:lang w:val="en-US"/>
        </w:rPr>
        <w:t>national trade policy</w:t>
      </w:r>
      <w:r w:rsidR="00286DD5">
        <w:rPr>
          <w:lang w:val="en-US"/>
        </w:rPr>
        <w:t xml:space="preserve"> and </w:t>
      </w:r>
      <w:r w:rsidR="00754691">
        <w:rPr>
          <w:lang w:val="en-US"/>
        </w:rPr>
        <w:t xml:space="preserve">a </w:t>
      </w:r>
      <w:r w:rsidR="00286DD5">
        <w:rPr>
          <w:lang w:val="en-US"/>
        </w:rPr>
        <w:t>roadmap on investment climate reform</w:t>
      </w:r>
      <w:r w:rsidR="00E92486">
        <w:rPr>
          <w:lang w:val="en-US"/>
        </w:rPr>
        <w:t xml:space="preserve">.  </w:t>
      </w:r>
      <w:r w:rsidR="00492DF7">
        <w:rPr>
          <w:lang w:val="en-US"/>
        </w:rPr>
        <w:t xml:space="preserve">We </w:t>
      </w:r>
      <w:r w:rsidR="00492DF7">
        <w:rPr>
          <w:iCs/>
          <w:lang w:val="en-AU"/>
        </w:rPr>
        <w:t>co-invest</w:t>
      </w:r>
      <w:r w:rsidR="00E92486">
        <w:rPr>
          <w:iCs/>
          <w:lang w:val="en-AU"/>
        </w:rPr>
        <w:t>ed</w:t>
      </w:r>
      <w:r w:rsidR="00492DF7">
        <w:rPr>
          <w:iCs/>
          <w:lang w:val="en-AU"/>
        </w:rPr>
        <w:t xml:space="preserve"> with</w:t>
      </w:r>
      <w:r>
        <w:rPr>
          <w:iCs/>
          <w:lang w:val="en-AU"/>
        </w:rPr>
        <w:t xml:space="preserve"> local</w:t>
      </w:r>
      <w:r w:rsidR="00492DF7">
        <w:rPr>
          <w:iCs/>
          <w:lang w:val="en-AU"/>
        </w:rPr>
        <w:t xml:space="preserve"> </w:t>
      </w:r>
      <w:r w:rsidR="00E92486">
        <w:rPr>
          <w:iCs/>
          <w:lang w:val="en-AU"/>
        </w:rPr>
        <w:t>business</w:t>
      </w:r>
      <w:r w:rsidR="00492DF7">
        <w:rPr>
          <w:iCs/>
          <w:lang w:val="en-AU"/>
        </w:rPr>
        <w:t xml:space="preserve"> </w:t>
      </w:r>
      <w:r w:rsidR="00E92486">
        <w:rPr>
          <w:iCs/>
          <w:lang w:val="en-AU"/>
        </w:rPr>
        <w:t>to</w:t>
      </w:r>
      <w:r w:rsidR="00492DF7">
        <w:rPr>
          <w:iCs/>
          <w:lang w:val="en-AU"/>
        </w:rPr>
        <w:t xml:space="preserve"> diversif</w:t>
      </w:r>
      <w:r w:rsidR="00E92486">
        <w:rPr>
          <w:iCs/>
          <w:lang w:val="en-AU"/>
        </w:rPr>
        <w:t>y Sri Lanka’s tourism products and services and to produce new goods for export</w:t>
      </w:r>
      <w:r w:rsidR="005710BC">
        <w:rPr>
          <w:iCs/>
          <w:lang w:val="en-AU"/>
        </w:rPr>
        <w:t xml:space="preserve"> and additional income for poor men and women</w:t>
      </w:r>
      <w:r w:rsidR="00E92486">
        <w:rPr>
          <w:iCs/>
          <w:lang w:val="en-AU"/>
        </w:rPr>
        <w:t xml:space="preserve">.  </w:t>
      </w:r>
      <w:r w:rsidR="002C1948">
        <w:t>We</w:t>
      </w:r>
      <w:r w:rsidR="002C1948">
        <w:rPr>
          <w:iCs/>
          <w:lang w:val="en-AU"/>
        </w:rPr>
        <w:t xml:space="preserve"> partnered with the tourism industry to </w:t>
      </w:r>
      <w:r w:rsidR="002C1948">
        <w:rPr>
          <w:lang w:val="en-US"/>
        </w:rPr>
        <w:t>identify opportunities and new ways of delivering workforce training in Eastern Province</w:t>
      </w:r>
      <w:r w:rsidR="005C5803">
        <w:rPr>
          <w:lang w:val="en-US"/>
        </w:rPr>
        <w:t>.</w:t>
      </w:r>
      <w:r w:rsidR="002C1948">
        <w:t xml:space="preserve"> </w:t>
      </w:r>
      <w:r w:rsidR="002C1948">
        <w:rPr>
          <w:lang w:val="en-US"/>
        </w:rPr>
        <w:t xml:space="preserve"> </w:t>
      </w:r>
      <w:r w:rsidR="00E92486">
        <w:rPr>
          <w:iCs/>
          <w:lang w:val="en-AU"/>
        </w:rPr>
        <w:t>We launched a partnership with the International Finance Corporation to create quality work pathways for women</w:t>
      </w:r>
      <w:r w:rsidR="005C5803">
        <w:rPr>
          <w:iCs/>
          <w:lang w:val="en-AU"/>
        </w:rPr>
        <w:t>,</w:t>
      </w:r>
      <w:r w:rsidR="00E92486">
        <w:rPr>
          <w:iCs/>
          <w:lang w:val="en-AU"/>
        </w:rPr>
        <w:t xml:space="preserve"> and </w:t>
      </w:r>
      <w:r w:rsidR="000074AB">
        <w:t xml:space="preserve">continued to facilitate deeper links between Australian and Sri Lankan people and organisations.  </w:t>
      </w:r>
      <w:r>
        <w:rPr>
          <w:lang w:val="en-US"/>
        </w:rPr>
        <w:t>We</w:t>
      </w:r>
      <w:r>
        <w:rPr>
          <w:iCs/>
          <w:lang w:val="en-AU"/>
        </w:rPr>
        <w:t xml:space="preserve"> contributed humanitarian assistance in response to a drought which began in late 2016</w:t>
      </w:r>
      <w:r w:rsidR="00F54B0A">
        <w:rPr>
          <w:iCs/>
          <w:lang w:val="en-AU"/>
        </w:rPr>
        <w:t xml:space="preserve"> </w:t>
      </w:r>
      <w:r>
        <w:rPr>
          <w:iCs/>
          <w:lang w:val="en-AU"/>
        </w:rPr>
        <w:t>and</w:t>
      </w:r>
      <w:r w:rsidR="005710BC">
        <w:rPr>
          <w:iCs/>
          <w:lang w:val="en-AU"/>
        </w:rPr>
        <w:t xml:space="preserve"> to</w:t>
      </w:r>
      <w:r>
        <w:rPr>
          <w:iCs/>
          <w:lang w:val="en-AU"/>
        </w:rPr>
        <w:t xml:space="preserve"> floods and landslides in May 2017.</w:t>
      </w:r>
      <w:r w:rsidR="005710BC">
        <w:t xml:space="preserve"> At the request of </w:t>
      </w:r>
      <w:r w:rsidR="000B7FD8">
        <w:t>the Government of Sri Lanka</w:t>
      </w:r>
      <w:r w:rsidR="005710BC">
        <w:t xml:space="preserve">, we helped female candidates </w:t>
      </w:r>
      <w:r w:rsidR="002C1948">
        <w:t xml:space="preserve">prepare </w:t>
      </w:r>
      <w:r w:rsidR="005710BC">
        <w:t>for  upcoming local government election</w:t>
      </w:r>
      <w:r w:rsidR="005C5803">
        <w:t>s</w:t>
      </w:r>
      <w:r w:rsidR="005710BC">
        <w:t xml:space="preserve"> and funded the United Nations to provide policy advice to the Secretariat for the Coordination of Reconciliation Mechanisms.</w:t>
      </w:r>
      <w:r>
        <w:t xml:space="preserve"> Overall, t</w:t>
      </w:r>
      <w:r w:rsidR="00492DF7">
        <w:rPr>
          <w:lang w:val="en-US"/>
        </w:rPr>
        <w:t>he program is largely on track and performing as expected.</w:t>
      </w:r>
    </w:p>
    <w:p w14:paraId="2D480025" w14:textId="429852EA" w:rsidR="005710BC" w:rsidRPr="00105824" w:rsidRDefault="00702E86" w:rsidP="005710BC">
      <w:pPr>
        <w:pStyle w:val="BodyText"/>
        <w:rPr>
          <w:rFonts w:asciiTheme="majorHAnsi" w:eastAsiaTheme="majorEastAsia" w:hAnsiTheme="majorHAnsi" w:cstheme="majorBidi"/>
          <w:caps/>
          <w:color w:val="495965" w:themeColor="text2"/>
          <w:sz w:val="38"/>
          <w:szCs w:val="26"/>
          <w:lang w:val="en-GB" w:eastAsia="en-US"/>
        </w:rPr>
      </w:pPr>
      <w:r>
        <w:rPr>
          <w:rFonts w:asciiTheme="minorHAnsi" w:eastAsiaTheme="majorEastAsia" w:hAnsiTheme="minorHAnsi"/>
          <w:color w:val="495965" w:themeColor="text2"/>
          <w:sz w:val="22"/>
          <w:szCs w:val="22"/>
        </w:rPr>
        <w:t>T</w:t>
      </w:r>
      <w:r w:rsidR="005710BC">
        <w:rPr>
          <w:rFonts w:asciiTheme="minorHAnsi" w:eastAsiaTheme="majorEastAsia" w:hAnsiTheme="minorHAnsi"/>
          <w:color w:val="495965" w:themeColor="text2"/>
          <w:sz w:val="22"/>
          <w:szCs w:val="22"/>
        </w:rPr>
        <w:t xml:space="preserve">he ambition of the objectives </w:t>
      </w:r>
      <w:r w:rsidR="000074AB">
        <w:rPr>
          <w:rFonts w:asciiTheme="minorHAnsi" w:eastAsiaTheme="majorEastAsia" w:hAnsiTheme="minorHAnsi"/>
          <w:color w:val="495965" w:themeColor="text2"/>
          <w:sz w:val="22"/>
          <w:szCs w:val="22"/>
        </w:rPr>
        <w:t>we have</w:t>
      </w:r>
      <w:r w:rsidR="005710BC">
        <w:rPr>
          <w:rFonts w:asciiTheme="minorHAnsi" w:eastAsiaTheme="majorEastAsia" w:hAnsiTheme="minorHAnsi"/>
          <w:color w:val="495965" w:themeColor="text2"/>
          <w:sz w:val="22"/>
          <w:szCs w:val="22"/>
        </w:rPr>
        <w:t xml:space="preserve"> set </w:t>
      </w:r>
      <w:r w:rsidR="000074AB">
        <w:rPr>
          <w:rFonts w:asciiTheme="minorHAnsi" w:eastAsiaTheme="majorEastAsia" w:hAnsiTheme="minorHAnsi"/>
          <w:color w:val="495965" w:themeColor="text2"/>
          <w:sz w:val="22"/>
          <w:szCs w:val="22"/>
        </w:rPr>
        <w:t>for ourselves</w:t>
      </w:r>
      <w:r w:rsidR="005710BC">
        <w:rPr>
          <w:rFonts w:asciiTheme="minorHAnsi" w:eastAsiaTheme="majorEastAsia" w:hAnsiTheme="minorHAnsi"/>
          <w:color w:val="495965" w:themeColor="text2"/>
          <w:sz w:val="22"/>
          <w:szCs w:val="22"/>
        </w:rPr>
        <w:t>, and the challeng</w:t>
      </w:r>
      <w:r w:rsidR="000074AB">
        <w:rPr>
          <w:rFonts w:asciiTheme="minorHAnsi" w:eastAsiaTheme="majorEastAsia" w:hAnsiTheme="minorHAnsi"/>
          <w:color w:val="495965" w:themeColor="text2"/>
          <w:sz w:val="22"/>
          <w:szCs w:val="22"/>
        </w:rPr>
        <w:t>ing political</w:t>
      </w:r>
      <w:r w:rsidR="005C5803">
        <w:rPr>
          <w:rFonts w:asciiTheme="minorHAnsi" w:eastAsiaTheme="majorEastAsia" w:hAnsiTheme="minorHAnsi"/>
          <w:color w:val="495965" w:themeColor="text2"/>
          <w:sz w:val="22"/>
          <w:szCs w:val="22"/>
        </w:rPr>
        <w:t xml:space="preserve"> and economic</w:t>
      </w:r>
      <w:r w:rsidR="000074AB">
        <w:rPr>
          <w:rFonts w:asciiTheme="minorHAnsi" w:eastAsiaTheme="majorEastAsia" w:hAnsiTheme="minorHAnsi"/>
          <w:color w:val="495965" w:themeColor="text2"/>
          <w:sz w:val="22"/>
          <w:szCs w:val="22"/>
        </w:rPr>
        <w:t xml:space="preserve"> context </w:t>
      </w:r>
      <w:r w:rsidR="005710BC">
        <w:rPr>
          <w:rFonts w:asciiTheme="minorHAnsi" w:eastAsiaTheme="majorEastAsia" w:hAnsiTheme="minorHAnsi"/>
          <w:color w:val="495965" w:themeColor="text2"/>
          <w:sz w:val="22"/>
          <w:szCs w:val="22"/>
        </w:rPr>
        <w:t>in Sri Lanka</w:t>
      </w:r>
      <w:r w:rsidR="000074AB">
        <w:rPr>
          <w:rFonts w:asciiTheme="minorHAnsi" w:eastAsiaTheme="majorEastAsia" w:hAnsiTheme="minorHAnsi"/>
          <w:color w:val="495965" w:themeColor="text2"/>
          <w:sz w:val="22"/>
          <w:szCs w:val="22"/>
        </w:rPr>
        <w:t>,</w:t>
      </w:r>
      <w:r w:rsidR="005710BC">
        <w:rPr>
          <w:rFonts w:asciiTheme="minorHAnsi" w:eastAsiaTheme="majorEastAsia" w:hAnsiTheme="minorHAnsi"/>
          <w:color w:val="495965" w:themeColor="text2"/>
          <w:sz w:val="22"/>
          <w:szCs w:val="22"/>
        </w:rPr>
        <w:t xml:space="preserve"> combine to ensure the journey from investment inputs to achiev</w:t>
      </w:r>
      <w:r w:rsidR="000074AB">
        <w:rPr>
          <w:rFonts w:asciiTheme="minorHAnsi" w:eastAsiaTheme="majorEastAsia" w:hAnsiTheme="minorHAnsi"/>
          <w:color w:val="495965" w:themeColor="text2"/>
          <w:sz w:val="22"/>
          <w:szCs w:val="22"/>
        </w:rPr>
        <w:t>ement of</w:t>
      </w:r>
      <w:r w:rsidR="005710BC">
        <w:rPr>
          <w:rFonts w:asciiTheme="minorHAnsi" w:eastAsiaTheme="majorEastAsia" w:hAnsiTheme="minorHAnsi"/>
          <w:color w:val="495965" w:themeColor="text2"/>
          <w:sz w:val="22"/>
          <w:szCs w:val="22"/>
        </w:rPr>
        <w:t xml:space="preserve"> program objectives</w:t>
      </w:r>
      <w:r w:rsidR="000074AB">
        <w:rPr>
          <w:rFonts w:asciiTheme="minorHAnsi" w:eastAsiaTheme="majorEastAsia" w:hAnsiTheme="minorHAnsi"/>
          <w:color w:val="495965" w:themeColor="text2"/>
          <w:sz w:val="22"/>
          <w:szCs w:val="22"/>
        </w:rPr>
        <w:t xml:space="preserve"> </w:t>
      </w:r>
      <w:r w:rsidR="00B87B6F">
        <w:rPr>
          <w:rFonts w:asciiTheme="minorHAnsi" w:eastAsiaTheme="majorEastAsia" w:hAnsiTheme="minorHAnsi"/>
          <w:color w:val="495965" w:themeColor="text2"/>
          <w:sz w:val="22"/>
          <w:szCs w:val="22"/>
        </w:rPr>
        <w:t xml:space="preserve">will </w:t>
      </w:r>
      <w:r w:rsidR="005710BC">
        <w:rPr>
          <w:rFonts w:asciiTheme="minorHAnsi" w:eastAsiaTheme="majorEastAsia" w:hAnsiTheme="minorHAnsi"/>
          <w:color w:val="495965" w:themeColor="text2"/>
          <w:sz w:val="22"/>
          <w:szCs w:val="22"/>
        </w:rPr>
        <w:t xml:space="preserve">not </w:t>
      </w:r>
      <w:r w:rsidR="00B87B6F">
        <w:rPr>
          <w:rFonts w:asciiTheme="minorHAnsi" w:eastAsiaTheme="majorEastAsia" w:hAnsiTheme="minorHAnsi"/>
          <w:color w:val="495965" w:themeColor="text2"/>
          <w:sz w:val="22"/>
          <w:szCs w:val="22"/>
        </w:rPr>
        <w:t xml:space="preserve">be </w:t>
      </w:r>
      <w:r w:rsidR="000074AB">
        <w:rPr>
          <w:rFonts w:asciiTheme="minorHAnsi" w:eastAsiaTheme="majorEastAsia" w:hAnsiTheme="minorHAnsi"/>
          <w:color w:val="495965" w:themeColor="text2"/>
          <w:sz w:val="22"/>
          <w:szCs w:val="22"/>
        </w:rPr>
        <w:t>linear</w:t>
      </w:r>
      <w:r w:rsidR="005710BC">
        <w:rPr>
          <w:rFonts w:asciiTheme="minorHAnsi" w:eastAsiaTheme="majorEastAsia" w:hAnsiTheme="minorHAnsi"/>
          <w:color w:val="495965" w:themeColor="text2"/>
          <w:sz w:val="22"/>
          <w:szCs w:val="22"/>
        </w:rPr>
        <w:t xml:space="preserve">. </w:t>
      </w:r>
    </w:p>
    <w:p w14:paraId="7E04012E" w14:textId="767A5530" w:rsidR="00B87B6F" w:rsidRDefault="00616ECE" w:rsidP="00D73D2F">
      <w:pPr>
        <w:rPr>
          <w:lang w:val="en-AU"/>
        </w:rPr>
      </w:pPr>
      <w:r w:rsidRPr="00616ECE">
        <w:rPr>
          <w:lang w:val="en-AU"/>
        </w:rPr>
        <w:t>Total Australian aid to Sri Lanka</w:t>
      </w:r>
      <w:r>
        <w:rPr>
          <w:lang w:val="en-AU"/>
        </w:rPr>
        <w:t xml:space="preserve"> in 2016-17 amounted to $2</w:t>
      </w:r>
      <w:r w:rsidRPr="00616ECE">
        <w:rPr>
          <w:lang w:val="en-AU"/>
        </w:rPr>
        <w:t>9 million, with the</w:t>
      </w:r>
      <w:r>
        <w:rPr>
          <w:lang w:val="en-AU"/>
        </w:rPr>
        <w:t xml:space="preserve"> bilateral component being $20.4</w:t>
      </w:r>
      <w:r w:rsidRPr="00616ECE">
        <w:rPr>
          <w:lang w:val="en-AU"/>
        </w:rPr>
        <w:t xml:space="preserve"> million. Australia ranks </w:t>
      </w:r>
      <w:r w:rsidR="00301E9D">
        <w:rPr>
          <w:lang w:val="en-AU"/>
        </w:rPr>
        <w:t>sixth</w:t>
      </w:r>
      <w:r w:rsidRPr="00616ECE">
        <w:rPr>
          <w:lang w:val="en-AU"/>
        </w:rPr>
        <w:t xml:space="preserve"> in the list of Development Assistance Committee (DAC) of the OECD donors to Sri Lanka. </w:t>
      </w:r>
      <w:r w:rsidR="0083268A" w:rsidRPr="00616ECE">
        <w:rPr>
          <w:lang w:val="en-AU"/>
        </w:rPr>
        <w:t>Unlike most donors, Australia’s contribution is</w:t>
      </w:r>
      <w:r w:rsidR="0083268A">
        <w:rPr>
          <w:lang w:val="en-AU"/>
        </w:rPr>
        <w:t xml:space="preserve"> </w:t>
      </w:r>
      <w:r w:rsidR="0083268A" w:rsidRPr="00616ECE">
        <w:rPr>
          <w:lang w:val="en-AU"/>
        </w:rPr>
        <w:t>grant aid rather than concessional lending</w:t>
      </w:r>
      <w:r w:rsidR="00F62AF5">
        <w:rPr>
          <w:lang w:val="en-AU"/>
        </w:rPr>
        <w:t xml:space="preserve">.  </w:t>
      </w:r>
      <w:r w:rsidR="00D73D2F" w:rsidRPr="00616ECE">
        <w:rPr>
          <w:lang w:val="en-AU"/>
        </w:rPr>
        <w:t>At</w:t>
      </w:r>
      <w:r w:rsidR="00D73D2F">
        <w:rPr>
          <w:lang w:val="en-AU"/>
        </w:rPr>
        <w:t xml:space="preserve"> only</w:t>
      </w:r>
      <w:r w:rsidR="00D73D2F" w:rsidRPr="00616ECE">
        <w:rPr>
          <w:lang w:val="en-AU"/>
        </w:rPr>
        <w:t xml:space="preserve"> </w:t>
      </w:r>
      <w:r w:rsidR="00D73D2F">
        <w:rPr>
          <w:lang w:val="en-AU"/>
        </w:rPr>
        <w:t>5.4</w:t>
      </w:r>
      <w:r w:rsidR="00D73D2F" w:rsidRPr="00616ECE">
        <w:rPr>
          <w:lang w:val="en-AU"/>
        </w:rPr>
        <w:t xml:space="preserve"> per cent of total ODA to Sri Lank</w:t>
      </w:r>
      <w:r w:rsidR="00D73D2F">
        <w:rPr>
          <w:lang w:val="en-AU"/>
        </w:rPr>
        <w:t>a, Australian aid to Sri Lanka is modest.</w:t>
      </w:r>
    </w:p>
    <w:p w14:paraId="4E231184" w14:textId="77777777" w:rsidR="00B87B6F" w:rsidRDefault="00B87B6F">
      <w:pPr>
        <w:suppressAutoHyphens w:val="0"/>
        <w:spacing w:before="0" w:after="120" w:line="440" w:lineRule="atLeast"/>
        <w:rPr>
          <w:lang w:val="en-AU"/>
        </w:rPr>
      </w:pPr>
      <w:r>
        <w:rPr>
          <w:lang w:val="en-AU"/>
        </w:rPr>
        <w:br w:type="page"/>
      </w:r>
    </w:p>
    <w:p w14:paraId="656CED06" w14:textId="6074B687" w:rsidR="00184F1E" w:rsidRPr="002A51CA" w:rsidRDefault="005710BC" w:rsidP="00184F1E">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lastRenderedPageBreak/>
        <w:t>E</w:t>
      </w:r>
      <w:r w:rsidR="00184F1E" w:rsidRPr="002A51CA">
        <w:rPr>
          <w:rFonts w:asciiTheme="majorHAnsi" w:eastAsiaTheme="majorEastAsia" w:hAnsiTheme="majorHAnsi" w:cstheme="majorBidi"/>
          <w:caps/>
          <w:color w:val="495965" w:themeColor="text2"/>
          <w:sz w:val="38"/>
          <w:szCs w:val="26"/>
          <w:lang w:val="en-GB" w:eastAsia="en-US"/>
        </w:rPr>
        <w:t>xpenditure</w:t>
      </w:r>
    </w:p>
    <w:p w14:paraId="47692EA8" w14:textId="77777777" w:rsidR="00CD1652" w:rsidRDefault="00CD1652" w:rsidP="00184F1E"/>
    <w:p w14:paraId="292FAC9D" w14:textId="47CFF78C" w:rsidR="00184F1E" w:rsidRDefault="00184F1E" w:rsidP="00184F1E">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890693">
        <w:rPr>
          <w:b/>
          <w:noProof/>
          <w:sz w:val="24"/>
        </w:rPr>
        <w:t>1</w:t>
      </w:r>
      <w:r w:rsidRPr="008C2F58">
        <w:rPr>
          <w:b/>
          <w:noProof/>
          <w:sz w:val="24"/>
        </w:rPr>
        <w:fldChar w:fldCharType="end"/>
      </w:r>
      <w:r w:rsidRPr="008C2F58">
        <w:rPr>
          <w:b/>
          <w:sz w:val="24"/>
        </w:rPr>
        <w:t xml:space="preserve"> Total ODA Expenditure in FY 201</w:t>
      </w:r>
      <w:r>
        <w:rPr>
          <w:b/>
          <w:sz w:val="24"/>
        </w:rPr>
        <w:t>6</w:t>
      </w:r>
      <w:r w:rsidRPr="008C2F58">
        <w:rPr>
          <w:b/>
          <w:sz w:val="24"/>
        </w:rPr>
        <w:t>-1</w:t>
      </w:r>
      <w:r>
        <w:rPr>
          <w:b/>
          <w:sz w:val="24"/>
        </w:rPr>
        <w:t>7</w:t>
      </w:r>
    </w:p>
    <w:tbl>
      <w:tblPr>
        <w:tblStyle w:val="TableGrid"/>
        <w:tblW w:w="0" w:type="auto"/>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417"/>
      </w:tblGrid>
      <w:tr w:rsidR="00CD1652" w14:paraId="4A54AAAF" w14:textId="77777777" w:rsidTr="00CD1652">
        <w:tc>
          <w:tcPr>
            <w:tcW w:w="6374" w:type="dxa"/>
          </w:tcPr>
          <w:p w14:paraId="24FDC4C0" w14:textId="77777777" w:rsidR="00CD1652" w:rsidRPr="00020B8F" w:rsidRDefault="00CD1652" w:rsidP="009C11C8">
            <w:pPr>
              <w:rPr>
                <w:b/>
                <w:sz w:val="24"/>
              </w:rPr>
            </w:pPr>
            <w:r w:rsidRPr="00020B8F">
              <w:rPr>
                <w:b/>
                <w:sz w:val="20"/>
              </w:rPr>
              <w:t>Objective</w:t>
            </w:r>
          </w:p>
        </w:tc>
        <w:tc>
          <w:tcPr>
            <w:tcW w:w="1423" w:type="dxa"/>
          </w:tcPr>
          <w:p w14:paraId="3671B8B1" w14:textId="77777777" w:rsidR="00CD1652" w:rsidRPr="00020B8F" w:rsidRDefault="00CD1652" w:rsidP="009C11C8">
            <w:pPr>
              <w:jc w:val="center"/>
              <w:rPr>
                <w:b/>
                <w:sz w:val="24"/>
              </w:rPr>
            </w:pPr>
            <w:r w:rsidRPr="00020B8F">
              <w:rPr>
                <w:b/>
                <w:sz w:val="20"/>
              </w:rPr>
              <w:t>A$ million</w:t>
            </w:r>
          </w:p>
        </w:tc>
        <w:tc>
          <w:tcPr>
            <w:tcW w:w="1417" w:type="dxa"/>
          </w:tcPr>
          <w:p w14:paraId="43C727F5" w14:textId="77777777" w:rsidR="00CD1652" w:rsidRDefault="00CD1652" w:rsidP="009C11C8">
            <w:pPr>
              <w:jc w:val="center"/>
              <w:rPr>
                <w:b/>
                <w:sz w:val="24"/>
              </w:rPr>
            </w:pPr>
            <w:r w:rsidRPr="00020B8F">
              <w:rPr>
                <w:b/>
                <w:sz w:val="20"/>
              </w:rPr>
              <w:t>% of total</w:t>
            </w:r>
            <w:r w:rsidRPr="00BE6C6D">
              <w:rPr>
                <w:sz w:val="20"/>
              </w:rPr>
              <w:t xml:space="preserve"> </w:t>
            </w:r>
            <w:r w:rsidRPr="00020B8F">
              <w:rPr>
                <w:b/>
                <w:sz w:val="20"/>
              </w:rPr>
              <w:t>ODA</w:t>
            </w:r>
          </w:p>
        </w:tc>
      </w:tr>
      <w:tr w:rsidR="00CD1652" w14:paraId="2034EA9E" w14:textId="77777777" w:rsidTr="00CD1652">
        <w:tc>
          <w:tcPr>
            <w:tcW w:w="6374" w:type="dxa"/>
          </w:tcPr>
          <w:p w14:paraId="2D24DCC2" w14:textId="6C422C0F" w:rsidR="00CD1652" w:rsidRDefault="00CD1652" w:rsidP="009C11C8">
            <w:pPr>
              <w:rPr>
                <w:b/>
                <w:sz w:val="24"/>
              </w:rPr>
            </w:pPr>
            <w:r w:rsidRPr="00BE6C6D">
              <w:rPr>
                <w:sz w:val="20"/>
              </w:rPr>
              <w:t>Objective 1</w:t>
            </w:r>
            <w:r w:rsidR="00CD6FAF">
              <w:rPr>
                <w:sz w:val="20"/>
              </w:rPr>
              <w:t xml:space="preserve">   </w:t>
            </w:r>
            <w:r w:rsidR="00CD6FAF" w:rsidRPr="00CD6FAF">
              <w:rPr>
                <w:sz w:val="20"/>
              </w:rPr>
              <w:t>Expand economic opportunities for the poor</w:t>
            </w:r>
          </w:p>
        </w:tc>
        <w:tc>
          <w:tcPr>
            <w:tcW w:w="1423" w:type="dxa"/>
          </w:tcPr>
          <w:p w14:paraId="7A35C881" w14:textId="5CAE4E9B" w:rsidR="00CD1652" w:rsidRPr="00CD6FAF" w:rsidRDefault="00CD6FAF" w:rsidP="00020B8F">
            <w:pPr>
              <w:jc w:val="right"/>
              <w:rPr>
                <w:sz w:val="20"/>
                <w:szCs w:val="20"/>
              </w:rPr>
            </w:pPr>
            <w:r w:rsidRPr="00CD6FAF">
              <w:rPr>
                <w:sz w:val="20"/>
                <w:szCs w:val="20"/>
              </w:rPr>
              <w:t>4.47</w:t>
            </w:r>
          </w:p>
        </w:tc>
        <w:tc>
          <w:tcPr>
            <w:tcW w:w="1417" w:type="dxa"/>
          </w:tcPr>
          <w:p w14:paraId="7C59E862" w14:textId="3CB36F54" w:rsidR="00CD1652" w:rsidRPr="00020B8F" w:rsidRDefault="00020B8F" w:rsidP="00020B8F">
            <w:pPr>
              <w:jc w:val="right"/>
              <w:rPr>
                <w:sz w:val="20"/>
                <w:szCs w:val="20"/>
              </w:rPr>
            </w:pPr>
            <w:r w:rsidRPr="00020B8F">
              <w:rPr>
                <w:sz w:val="20"/>
                <w:szCs w:val="20"/>
              </w:rPr>
              <w:t>15</w:t>
            </w:r>
          </w:p>
        </w:tc>
      </w:tr>
      <w:tr w:rsidR="00CD1652" w14:paraId="60BEBF23" w14:textId="77777777" w:rsidTr="00CD1652">
        <w:tc>
          <w:tcPr>
            <w:tcW w:w="6374" w:type="dxa"/>
          </w:tcPr>
          <w:p w14:paraId="29198259" w14:textId="60A94763" w:rsidR="00CD1652" w:rsidRDefault="00CD1652" w:rsidP="00CD6FAF">
            <w:pPr>
              <w:ind w:left="1029" w:hanging="1029"/>
              <w:rPr>
                <w:b/>
                <w:sz w:val="24"/>
              </w:rPr>
            </w:pPr>
            <w:r w:rsidRPr="00BE6C6D">
              <w:rPr>
                <w:sz w:val="20"/>
              </w:rPr>
              <w:t>Objective 2</w:t>
            </w:r>
            <w:r w:rsidR="00CD6FAF">
              <w:rPr>
                <w:sz w:val="20"/>
              </w:rPr>
              <w:t xml:space="preserve">   </w:t>
            </w:r>
            <w:r w:rsidR="00CD6FAF" w:rsidRPr="00CD6FAF">
              <w:rPr>
                <w:sz w:val="20"/>
              </w:rPr>
              <w:t>Support government to be more responsive to the needs of citizens and the private sector</w:t>
            </w:r>
          </w:p>
        </w:tc>
        <w:tc>
          <w:tcPr>
            <w:tcW w:w="1423" w:type="dxa"/>
          </w:tcPr>
          <w:p w14:paraId="52AA46BB" w14:textId="0305BF89" w:rsidR="00CD1652" w:rsidRPr="00CD6FAF" w:rsidRDefault="00CD6FAF" w:rsidP="00020B8F">
            <w:pPr>
              <w:jc w:val="right"/>
              <w:rPr>
                <w:sz w:val="20"/>
                <w:szCs w:val="20"/>
              </w:rPr>
            </w:pPr>
            <w:r>
              <w:rPr>
                <w:sz w:val="20"/>
                <w:szCs w:val="20"/>
              </w:rPr>
              <w:t>10.34</w:t>
            </w:r>
          </w:p>
        </w:tc>
        <w:tc>
          <w:tcPr>
            <w:tcW w:w="1417" w:type="dxa"/>
          </w:tcPr>
          <w:p w14:paraId="696848D3" w14:textId="1B48C4C0" w:rsidR="00CD1652" w:rsidRPr="00020B8F" w:rsidRDefault="00020B8F" w:rsidP="00020B8F">
            <w:pPr>
              <w:jc w:val="right"/>
              <w:rPr>
                <w:sz w:val="20"/>
                <w:szCs w:val="20"/>
              </w:rPr>
            </w:pPr>
            <w:r>
              <w:rPr>
                <w:sz w:val="20"/>
                <w:szCs w:val="20"/>
              </w:rPr>
              <w:t>36</w:t>
            </w:r>
          </w:p>
        </w:tc>
      </w:tr>
      <w:tr w:rsidR="00CD1652" w14:paraId="04401D7D" w14:textId="77777777" w:rsidTr="00CD1652">
        <w:tc>
          <w:tcPr>
            <w:tcW w:w="6374" w:type="dxa"/>
          </w:tcPr>
          <w:p w14:paraId="10B77E8E" w14:textId="601E7723" w:rsidR="00CD1652" w:rsidRDefault="00CD1652" w:rsidP="009C11C8">
            <w:pPr>
              <w:rPr>
                <w:b/>
                <w:sz w:val="24"/>
              </w:rPr>
            </w:pPr>
            <w:r w:rsidRPr="00BE6C6D">
              <w:rPr>
                <w:sz w:val="20"/>
              </w:rPr>
              <w:t>Objective 3</w:t>
            </w:r>
            <w:r w:rsidR="00CD6FAF">
              <w:rPr>
                <w:sz w:val="20"/>
              </w:rPr>
              <w:t xml:space="preserve">   </w:t>
            </w:r>
            <w:r w:rsidR="00CD6FAF" w:rsidRPr="00CD6FAF">
              <w:rPr>
                <w:sz w:val="20"/>
                <w:szCs w:val="20"/>
              </w:rPr>
              <w:t>Increase gender equality</w:t>
            </w:r>
          </w:p>
        </w:tc>
        <w:tc>
          <w:tcPr>
            <w:tcW w:w="1423" w:type="dxa"/>
          </w:tcPr>
          <w:p w14:paraId="6A7EC315" w14:textId="4D466A1C" w:rsidR="00CD1652" w:rsidRPr="00CD6FAF" w:rsidRDefault="00CD6FAF" w:rsidP="00020B8F">
            <w:pPr>
              <w:jc w:val="right"/>
              <w:rPr>
                <w:sz w:val="20"/>
                <w:szCs w:val="20"/>
              </w:rPr>
            </w:pPr>
            <w:r>
              <w:rPr>
                <w:sz w:val="20"/>
                <w:szCs w:val="20"/>
              </w:rPr>
              <w:t>5.59</w:t>
            </w:r>
          </w:p>
        </w:tc>
        <w:tc>
          <w:tcPr>
            <w:tcW w:w="1417" w:type="dxa"/>
          </w:tcPr>
          <w:p w14:paraId="1C0EF0FF" w14:textId="023FF841" w:rsidR="00CD1652" w:rsidRPr="00020B8F" w:rsidRDefault="00020B8F" w:rsidP="00020B8F">
            <w:pPr>
              <w:jc w:val="right"/>
              <w:rPr>
                <w:sz w:val="20"/>
                <w:szCs w:val="20"/>
              </w:rPr>
            </w:pPr>
            <w:r>
              <w:rPr>
                <w:sz w:val="20"/>
                <w:szCs w:val="20"/>
              </w:rPr>
              <w:t>19</w:t>
            </w:r>
          </w:p>
        </w:tc>
      </w:tr>
      <w:tr w:rsidR="00CD1652" w14:paraId="1791270E" w14:textId="77777777" w:rsidTr="00CD1652">
        <w:tc>
          <w:tcPr>
            <w:tcW w:w="6374" w:type="dxa"/>
          </w:tcPr>
          <w:p w14:paraId="2AB7F664" w14:textId="77777777" w:rsidR="00CD1652" w:rsidRPr="00542B5A" w:rsidRDefault="00CD1652" w:rsidP="009C11C8">
            <w:pPr>
              <w:rPr>
                <w:b/>
                <w:i/>
                <w:sz w:val="24"/>
              </w:rPr>
            </w:pPr>
            <w:r w:rsidRPr="00542B5A">
              <w:rPr>
                <w:i/>
                <w:sz w:val="20"/>
              </w:rPr>
              <w:t>Sub-Total Bilateral</w:t>
            </w:r>
          </w:p>
        </w:tc>
        <w:tc>
          <w:tcPr>
            <w:tcW w:w="1423" w:type="dxa"/>
          </w:tcPr>
          <w:p w14:paraId="6E7413B8" w14:textId="6B164AA1" w:rsidR="00CD1652" w:rsidRPr="00542B5A" w:rsidRDefault="00020B8F" w:rsidP="00020B8F">
            <w:pPr>
              <w:jc w:val="right"/>
              <w:rPr>
                <w:i/>
                <w:sz w:val="20"/>
                <w:szCs w:val="20"/>
              </w:rPr>
            </w:pPr>
            <w:r w:rsidRPr="00542B5A">
              <w:rPr>
                <w:i/>
                <w:sz w:val="20"/>
                <w:szCs w:val="20"/>
              </w:rPr>
              <w:t>20.40</w:t>
            </w:r>
          </w:p>
        </w:tc>
        <w:tc>
          <w:tcPr>
            <w:tcW w:w="1417" w:type="dxa"/>
          </w:tcPr>
          <w:p w14:paraId="76257F4A" w14:textId="37724A0C" w:rsidR="00CD1652" w:rsidRPr="00542B5A" w:rsidRDefault="00020B8F" w:rsidP="00020B8F">
            <w:pPr>
              <w:jc w:val="right"/>
              <w:rPr>
                <w:i/>
                <w:sz w:val="20"/>
                <w:szCs w:val="20"/>
              </w:rPr>
            </w:pPr>
            <w:r w:rsidRPr="00542B5A">
              <w:rPr>
                <w:i/>
                <w:sz w:val="20"/>
                <w:szCs w:val="20"/>
              </w:rPr>
              <w:t>70</w:t>
            </w:r>
          </w:p>
        </w:tc>
      </w:tr>
      <w:tr w:rsidR="00CD1652" w14:paraId="19BA3524" w14:textId="77777777" w:rsidTr="00CD1652">
        <w:tc>
          <w:tcPr>
            <w:tcW w:w="6374" w:type="dxa"/>
          </w:tcPr>
          <w:p w14:paraId="36941097" w14:textId="77777777" w:rsidR="00CD1652" w:rsidRDefault="00CD1652" w:rsidP="009C11C8">
            <w:pPr>
              <w:rPr>
                <w:b/>
                <w:sz w:val="24"/>
              </w:rPr>
            </w:pPr>
            <w:r w:rsidRPr="00BE6C6D">
              <w:rPr>
                <w:sz w:val="20"/>
              </w:rPr>
              <w:t>Regional and Global</w:t>
            </w:r>
          </w:p>
        </w:tc>
        <w:tc>
          <w:tcPr>
            <w:tcW w:w="1423" w:type="dxa"/>
          </w:tcPr>
          <w:p w14:paraId="694D35CA" w14:textId="7FA936B6" w:rsidR="00CD1652" w:rsidRPr="00CD6FAF" w:rsidRDefault="00020B8F" w:rsidP="00020B8F">
            <w:pPr>
              <w:jc w:val="right"/>
              <w:rPr>
                <w:sz w:val="20"/>
                <w:szCs w:val="20"/>
              </w:rPr>
            </w:pPr>
            <w:r>
              <w:rPr>
                <w:sz w:val="20"/>
                <w:szCs w:val="20"/>
              </w:rPr>
              <w:t>8.7</w:t>
            </w:r>
          </w:p>
        </w:tc>
        <w:tc>
          <w:tcPr>
            <w:tcW w:w="1417" w:type="dxa"/>
          </w:tcPr>
          <w:p w14:paraId="5215646B" w14:textId="6802CD94" w:rsidR="00CD1652" w:rsidRPr="00CD6FAF" w:rsidRDefault="00020B8F" w:rsidP="00020B8F">
            <w:pPr>
              <w:jc w:val="right"/>
              <w:rPr>
                <w:sz w:val="20"/>
                <w:szCs w:val="20"/>
              </w:rPr>
            </w:pPr>
            <w:r>
              <w:rPr>
                <w:sz w:val="20"/>
                <w:szCs w:val="20"/>
              </w:rPr>
              <w:t>30</w:t>
            </w:r>
          </w:p>
        </w:tc>
      </w:tr>
      <w:tr w:rsidR="00CD1652" w14:paraId="43EC8889" w14:textId="77777777" w:rsidTr="00CD1652">
        <w:tc>
          <w:tcPr>
            <w:tcW w:w="6374" w:type="dxa"/>
          </w:tcPr>
          <w:p w14:paraId="17955882" w14:textId="77777777" w:rsidR="00CD1652" w:rsidRDefault="00CD1652" w:rsidP="009C11C8">
            <w:pPr>
              <w:rPr>
                <w:b/>
                <w:sz w:val="24"/>
              </w:rPr>
            </w:pPr>
            <w:r w:rsidRPr="00BE6C6D">
              <w:rPr>
                <w:sz w:val="20"/>
              </w:rPr>
              <w:t>Other Government Departments</w:t>
            </w:r>
          </w:p>
        </w:tc>
        <w:tc>
          <w:tcPr>
            <w:tcW w:w="1423" w:type="dxa"/>
          </w:tcPr>
          <w:p w14:paraId="57713011" w14:textId="3E4E3B2B" w:rsidR="00CD1652" w:rsidRPr="00CD6FAF" w:rsidRDefault="00020B8F" w:rsidP="00020B8F">
            <w:pPr>
              <w:jc w:val="right"/>
              <w:rPr>
                <w:sz w:val="20"/>
                <w:szCs w:val="20"/>
              </w:rPr>
            </w:pPr>
            <w:r>
              <w:rPr>
                <w:sz w:val="20"/>
                <w:szCs w:val="20"/>
              </w:rPr>
              <w:t>-</w:t>
            </w:r>
          </w:p>
        </w:tc>
        <w:tc>
          <w:tcPr>
            <w:tcW w:w="1417" w:type="dxa"/>
          </w:tcPr>
          <w:p w14:paraId="2C4DE8E6" w14:textId="5A40C759" w:rsidR="00CD1652" w:rsidRPr="00CD6FAF" w:rsidRDefault="00020B8F" w:rsidP="00020B8F">
            <w:pPr>
              <w:jc w:val="right"/>
              <w:rPr>
                <w:sz w:val="20"/>
                <w:szCs w:val="20"/>
              </w:rPr>
            </w:pPr>
            <w:r>
              <w:rPr>
                <w:sz w:val="20"/>
                <w:szCs w:val="20"/>
              </w:rPr>
              <w:t>-</w:t>
            </w:r>
          </w:p>
        </w:tc>
      </w:tr>
      <w:tr w:rsidR="00CD1652" w14:paraId="49F7E321" w14:textId="77777777" w:rsidTr="00CD1652">
        <w:tc>
          <w:tcPr>
            <w:tcW w:w="6374" w:type="dxa"/>
          </w:tcPr>
          <w:p w14:paraId="643EC676" w14:textId="77777777" w:rsidR="00CD1652" w:rsidRPr="00542B5A" w:rsidRDefault="00CD1652" w:rsidP="009C11C8">
            <w:pPr>
              <w:rPr>
                <w:b/>
                <w:i/>
                <w:sz w:val="24"/>
              </w:rPr>
            </w:pPr>
            <w:r w:rsidRPr="00542B5A">
              <w:rPr>
                <w:i/>
                <w:sz w:val="20"/>
              </w:rPr>
              <w:t>Total ODA Expenditure</w:t>
            </w:r>
          </w:p>
        </w:tc>
        <w:tc>
          <w:tcPr>
            <w:tcW w:w="1423" w:type="dxa"/>
          </w:tcPr>
          <w:p w14:paraId="57507CC6" w14:textId="43071B83" w:rsidR="00CD1652" w:rsidRPr="00542B5A" w:rsidRDefault="00020B8F" w:rsidP="00020B8F">
            <w:pPr>
              <w:jc w:val="right"/>
              <w:rPr>
                <w:i/>
                <w:sz w:val="20"/>
                <w:szCs w:val="20"/>
              </w:rPr>
            </w:pPr>
            <w:r w:rsidRPr="00542B5A">
              <w:rPr>
                <w:i/>
                <w:sz w:val="20"/>
                <w:szCs w:val="20"/>
              </w:rPr>
              <w:t>29</w:t>
            </w:r>
          </w:p>
        </w:tc>
        <w:tc>
          <w:tcPr>
            <w:tcW w:w="1417" w:type="dxa"/>
          </w:tcPr>
          <w:p w14:paraId="45CFA4F3" w14:textId="4A495B61" w:rsidR="00CD1652" w:rsidRPr="00542B5A" w:rsidRDefault="00020B8F" w:rsidP="00020B8F">
            <w:pPr>
              <w:jc w:val="right"/>
              <w:rPr>
                <w:i/>
                <w:sz w:val="20"/>
                <w:szCs w:val="20"/>
              </w:rPr>
            </w:pPr>
            <w:r w:rsidRPr="00542B5A">
              <w:rPr>
                <w:i/>
                <w:sz w:val="20"/>
                <w:szCs w:val="20"/>
              </w:rPr>
              <w:t>100</w:t>
            </w:r>
          </w:p>
        </w:tc>
      </w:tr>
    </w:tbl>
    <w:p w14:paraId="45D1558F" w14:textId="77777777" w:rsidR="005B5769" w:rsidRPr="008C2F58" w:rsidRDefault="005B5769" w:rsidP="002A4A0E">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8C2F58">
        <w:rPr>
          <w:rFonts w:asciiTheme="majorHAnsi" w:eastAsiaTheme="majorEastAsia" w:hAnsiTheme="majorHAnsi" w:cstheme="majorBidi"/>
          <w:caps/>
          <w:color w:val="495965" w:themeColor="text2"/>
          <w:sz w:val="36"/>
          <w:szCs w:val="26"/>
          <w:lang w:val="en-GB" w:eastAsia="en-US"/>
        </w:rPr>
        <w:t>Performance against Strategic Objectives</w:t>
      </w:r>
    </w:p>
    <w:tbl>
      <w:tblPr>
        <w:tblStyle w:val="APPR"/>
        <w:tblW w:w="5000" w:type="pct"/>
        <w:tblLook w:val="0000" w:firstRow="0" w:lastRow="0" w:firstColumn="0" w:lastColumn="0" w:noHBand="0" w:noVBand="0"/>
      </w:tblPr>
      <w:tblGrid>
        <w:gridCol w:w="5849"/>
        <w:gridCol w:w="1126"/>
        <w:gridCol w:w="430"/>
        <w:gridCol w:w="1195"/>
        <w:gridCol w:w="1038"/>
      </w:tblGrid>
      <w:tr w:rsidR="002A4A0E" w:rsidRPr="00812509" w14:paraId="5DF95582" w14:textId="77777777" w:rsidTr="00184F1E">
        <w:trPr>
          <w:cnfStyle w:val="000000010000" w:firstRow="0" w:lastRow="0" w:firstColumn="0" w:lastColumn="0" w:oddVBand="0" w:evenVBand="0" w:oddHBand="0" w:evenHBand="1" w:firstRowFirstColumn="0" w:firstRowLastColumn="0" w:lastRowFirstColumn="0" w:lastRowLastColumn="0"/>
          <w:trHeight w:val="651"/>
        </w:trPr>
        <w:tc>
          <w:tcPr>
            <w:tcW w:w="5807" w:type="dxa"/>
          </w:tcPr>
          <w:p w14:paraId="0ACC305C" w14:textId="77777777" w:rsidR="002A4A0E" w:rsidRPr="00812509" w:rsidRDefault="002A4A0E" w:rsidP="00E65105">
            <w:pPr>
              <w:pStyle w:val="TableTextColumnHeading"/>
            </w:pPr>
            <w:r w:rsidRPr="00812509">
              <w:rPr>
                <w:noProof/>
              </w:rPr>
              <w:drawing>
                <wp:anchor distT="0" distB="0" distL="114300" distR="114300" simplePos="0" relativeHeight="251674624" behindDoc="0" locked="0" layoutInCell="1" allowOverlap="1" wp14:anchorId="4CCE81ED" wp14:editId="295B4893">
                  <wp:simplePos x="0" y="0"/>
                  <wp:positionH relativeFrom="column">
                    <wp:posOffset>0</wp:posOffset>
                  </wp:positionH>
                  <wp:positionV relativeFrom="paragraph">
                    <wp:posOffset>0</wp:posOffset>
                  </wp:positionV>
                  <wp:extent cx="1857375" cy="228600"/>
                  <wp:effectExtent l="0" t="0" r="9525" b="0"/>
                  <wp:wrapNone/>
                  <wp:docPr id="20" name="Picture 2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t>Objective</w:t>
            </w:r>
          </w:p>
        </w:tc>
        <w:tc>
          <w:tcPr>
            <w:tcW w:w="1098" w:type="dxa"/>
          </w:tcPr>
          <w:p w14:paraId="5667F1FE" w14:textId="77777777" w:rsidR="002A4A0E" w:rsidRPr="00812509" w:rsidRDefault="002A4A0E" w:rsidP="00E65105">
            <w:pPr>
              <w:pStyle w:val="TableTextColumnHeading"/>
            </w:pPr>
            <w:r w:rsidRPr="00812509">
              <w:t>Previous Rating</w:t>
            </w:r>
          </w:p>
        </w:tc>
        <w:tc>
          <w:tcPr>
            <w:tcW w:w="402" w:type="dxa"/>
          </w:tcPr>
          <w:p w14:paraId="6CBB7C6E" w14:textId="77777777" w:rsidR="002A4A0E" w:rsidRPr="00812509" w:rsidRDefault="002A4A0E" w:rsidP="00E65105">
            <w:pPr>
              <w:pStyle w:val="TableTextColumnHeading"/>
            </w:pPr>
          </w:p>
        </w:tc>
        <w:tc>
          <w:tcPr>
            <w:tcW w:w="1167" w:type="dxa"/>
          </w:tcPr>
          <w:p w14:paraId="6FA17C06" w14:textId="77777777" w:rsidR="002A4A0E" w:rsidRPr="00812509" w:rsidRDefault="002A4A0E" w:rsidP="00E65105">
            <w:pPr>
              <w:pStyle w:val="TableTextColumnHeading"/>
            </w:pPr>
            <w:r w:rsidRPr="00812509">
              <w:t>Current Rating</w:t>
            </w:r>
          </w:p>
        </w:tc>
        <w:tc>
          <w:tcPr>
            <w:tcW w:w="996" w:type="dxa"/>
          </w:tcPr>
          <w:p w14:paraId="211FD9F5" w14:textId="77777777" w:rsidR="002A4A0E" w:rsidRPr="002A4A0E" w:rsidRDefault="002A4A0E" w:rsidP="00E65105">
            <w:pPr>
              <w:pStyle w:val="TableTextColumnHeading"/>
            </w:pPr>
          </w:p>
        </w:tc>
      </w:tr>
      <w:tr w:rsidR="00A341D2" w:rsidRPr="00812509" w14:paraId="3579D8AB" w14:textId="77777777" w:rsidTr="009C11C8">
        <w:trPr>
          <w:cnfStyle w:val="000000010000" w:firstRow="0" w:lastRow="0" w:firstColumn="0" w:lastColumn="0" w:oddVBand="0" w:evenVBand="0" w:oddHBand="0" w:evenHBand="1" w:firstRowFirstColumn="0" w:firstRowLastColumn="0" w:lastRowFirstColumn="0" w:lastRowLastColumn="0"/>
        </w:trPr>
        <w:tc>
          <w:tcPr>
            <w:tcW w:w="5807" w:type="dxa"/>
          </w:tcPr>
          <w:p w14:paraId="41523D55" w14:textId="73D35FC4" w:rsidR="00A341D2" w:rsidRPr="00812509" w:rsidRDefault="00A341D2" w:rsidP="00A341D2">
            <w:pPr>
              <w:pStyle w:val="TableTextEntries"/>
              <w:rPr>
                <w:rFonts w:asciiTheme="minorHAnsi" w:hAnsiTheme="minorHAnsi"/>
              </w:rPr>
            </w:pPr>
            <w:r w:rsidRPr="00812509">
              <w:rPr>
                <w:rFonts w:asciiTheme="minorHAnsi" w:hAnsiTheme="minorHAnsi"/>
              </w:rPr>
              <w:t>Objective 1</w:t>
            </w:r>
            <w:r>
              <w:rPr>
                <w:rFonts w:asciiTheme="minorHAnsi" w:hAnsiTheme="minorHAnsi"/>
              </w:rPr>
              <w:t xml:space="preserve">   </w:t>
            </w:r>
            <w:r w:rsidRPr="00020B8F">
              <w:rPr>
                <w:rFonts w:asciiTheme="minorHAnsi" w:hAnsiTheme="minorHAnsi"/>
                <w:lang w:val="en-GB"/>
              </w:rPr>
              <w:t>Expand economic opportunities for the poor</w:t>
            </w:r>
          </w:p>
        </w:tc>
        <w:tc>
          <w:tcPr>
            <w:tcW w:w="1098" w:type="dxa"/>
            <w:shd w:val="clear" w:color="auto" w:fill="E36C0A"/>
            <w:noWrap/>
          </w:tcPr>
          <w:p w14:paraId="0B07CF4E" w14:textId="299964B8" w:rsidR="00A341D2" w:rsidRPr="00812509" w:rsidRDefault="00A341D2" w:rsidP="00A341D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402" w:type="dxa"/>
          </w:tcPr>
          <w:p w14:paraId="45A8AC9E" w14:textId="77777777" w:rsidR="00A341D2" w:rsidRPr="00812509" w:rsidRDefault="00A341D2" w:rsidP="00A341D2">
            <w:pPr>
              <w:pStyle w:val="TableTextEntries"/>
              <w:jc w:val="center"/>
              <w:rPr>
                <w:rFonts w:asciiTheme="minorHAnsi" w:hAnsiTheme="minorHAnsi"/>
                <w:color w:val="FFFFFF" w:themeColor="background1"/>
              </w:rPr>
            </w:pPr>
          </w:p>
        </w:tc>
        <w:tc>
          <w:tcPr>
            <w:tcW w:w="1167" w:type="dxa"/>
            <w:shd w:val="clear" w:color="auto" w:fill="72AF2F"/>
            <w:noWrap/>
          </w:tcPr>
          <w:p w14:paraId="72F2F599" w14:textId="1C0885E1" w:rsidR="00A341D2" w:rsidRPr="00812509" w:rsidRDefault="00A341D2" w:rsidP="00A341D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6DC4E45E" w14:textId="77777777" w:rsidR="00A341D2" w:rsidRPr="002A4A0E" w:rsidRDefault="00A341D2" w:rsidP="00A341D2">
            <w:pPr>
              <w:pStyle w:val="TableTextEntries"/>
              <w:jc w:val="center"/>
              <w:rPr>
                <w:rFonts w:asciiTheme="minorHAnsi" w:hAnsiTheme="minorHAnsi"/>
                <w:color w:val="FFFFFF" w:themeColor="background1"/>
              </w:rPr>
            </w:pPr>
          </w:p>
        </w:tc>
      </w:tr>
      <w:tr w:rsidR="00A341D2" w:rsidRPr="00812509" w14:paraId="3D2B297D" w14:textId="77777777" w:rsidTr="009C11C8">
        <w:trPr>
          <w:cnfStyle w:val="000000010000" w:firstRow="0" w:lastRow="0" w:firstColumn="0" w:lastColumn="0" w:oddVBand="0" w:evenVBand="0" w:oddHBand="0" w:evenHBand="1" w:firstRowFirstColumn="0" w:firstRowLastColumn="0" w:lastRowFirstColumn="0" w:lastRowLastColumn="0"/>
        </w:trPr>
        <w:tc>
          <w:tcPr>
            <w:tcW w:w="5807" w:type="dxa"/>
          </w:tcPr>
          <w:p w14:paraId="1E79EEF7" w14:textId="36D31F86" w:rsidR="00A341D2" w:rsidRPr="00812509" w:rsidRDefault="00A341D2" w:rsidP="00A341D2">
            <w:pPr>
              <w:pStyle w:val="TableTextEntries"/>
              <w:ind w:left="858" w:hanging="858"/>
              <w:rPr>
                <w:rFonts w:asciiTheme="minorHAnsi" w:hAnsiTheme="minorHAnsi"/>
              </w:rPr>
            </w:pPr>
            <w:r w:rsidRPr="00812509">
              <w:rPr>
                <w:rFonts w:asciiTheme="minorHAnsi" w:hAnsiTheme="minorHAnsi"/>
              </w:rPr>
              <w:t>Objective 2</w:t>
            </w:r>
            <w:r>
              <w:rPr>
                <w:rFonts w:asciiTheme="minorHAnsi" w:hAnsiTheme="minorHAnsi"/>
              </w:rPr>
              <w:t xml:space="preserve">   </w:t>
            </w:r>
            <w:r w:rsidRPr="00020B8F">
              <w:rPr>
                <w:rFonts w:asciiTheme="minorHAnsi" w:hAnsiTheme="minorHAnsi"/>
                <w:lang w:val="en-GB"/>
              </w:rPr>
              <w:t>Support government to be more responsive to the needs of citizens and the private sector</w:t>
            </w:r>
          </w:p>
        </w:tc>
        <w:tc>
          <w:tcPr>
            <w:tcW w:w="1098" w:type="dxa"/>
            <w:shd w:val="clear" w:color="auto" w:fill="72AF2F"/>
            <w:noWrap/>
          </w:tcPr>
          <w:p w14:paraId="46D14136" w14:textId="0FCDA7A0" w:rsidR="00A341D2" w:rsidRPr="00812509" w:rsidRDefault="00A341D2" w:rsidP="00A341D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402" w:type="dxa"/>
          </w:tcPr>
          <w:p w14:paraId="64BF9965" w14:textId="77777777" w:rsidR="00A341D2" w:rsidRPr="00812509" w:rsidRDefault="00A341D2" w:rsidP="00A341D2">
            <w:pPr>
              <w:pStyle w:val="TableTextEntries"/>
              <w:jc w:val="center"/>
              <w:rPr>
                <w:rFonts w:asciiTheme="minorHAnsi" w:hAnsiTheme="minorHAnsi"/>
                <w:color w:val="FFFFFF" w:themeColor="background1"/>
              </w:rPr>
            </w:pPr>
          </w:p>
        </w:tc>
        <w:tc>
          <w:tcPr>
            <w:tcW w:w="1167" w:type="dxa"/>
            <w:shd w:val="clear" w:color="auto" w:fill="72AF2F"/>
            <w:noWrap/>
          </w:tcPr>
          <w:p w14:paraId="256C9D4C" w14:textId="77777777" w:rsidR="00A341D2" w:rsidRPr="00812509" w:rsidRDefault="00A341D2" w:rsidP="00A341D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52DB2BC6" w14:textId="77777777" w:rsidR="00A341D2" w:rsidRPr="002A4A0E" w:rsidRDefault="00A341D2" w:rsidP="00A341D2">
            <w:pPr>
              <w:pStyle w:val="TableTextEntries"/>
              <w:jc w:val="center"/>
              <w:rPr>
                <w:rFonts w:asciiTheme="minorHAnsi" w:hAnsiTheme="minorHAnsi"/>
                <w:color w:val="FFFFFF" w:themeColor="background1"/>
              </w:rPr>
            </w:pPr>
          </w:p>
        </w:tc>
      </w:tr>
      <w:tr w:rsidR="00A341D2" w:rsidRPr="00812509" w14:paraId="135DF938" w14:textId="77777777" w:rsidTr="009C11C8">
        <w:trPr>
          <w:cnfStyle w:val="000000010000" w:firstRow="0" w:lastRow="0" w:firstColumn="0" w:lastColumn="0" w:oddVBand="0" w:evenVBand="0" w:oddHBand="0" w:evenHBand="1" w:firstRowFirstColumn="0" w:firstRowLastColumn="0" w:lastRowFirstColumn="0" w:lastRowLastColumn="0"/>
        </w:trPr>
        <w:tc>
          <w:tcPr>
            <w:tcW w:w="5807" w:type="dxa"/>
          </w:tcPr>
          <w:p w14:paraId="3BE38317" w14:textId="5C6D289A" w:rsidR="00A341D2" w:rsidRPr="00812509" w:rsidRDefault="00A341D2" w:rsidP="00A341D2">
            <w:pPr>
              <w:pStyle w:val="TableTextEntries"/>
              <w:rPr>
                <w:rFonts w:asciiTheme="minorHAnsi" w:hAnsiTheme="minorHAnsi"/>
              </w:rPr>
            </w:pPr>
            <w:r w:rsidRPr="00812509">
              <w:rPr>
                <w:rFonts w:asciiTheme="minorHAnsi" w:hAnsiTheme="minorHAnsi"/>
              </w:rPr>
              <w:t>Objective 3</w:t>
            </w:r>
            <w:r>
              <w:rPr>
                <w:rFonts w:asciiTheme="minorHAnsi" w:hAnsiTheme="minorHAnsi"/>
              </w:rPr>
              <w:t xml:space="preserve">   </w:t>
            </w:r>
            <w:r w:rsidRPr="00020B8F">
              <w:rPr>
                <w:rFonts w:asciiTheme="minorHAnsi" w:hAnsiTheme="minorHAnsi"/>
                <w:lang w:val="en-GB"/>
              </w:rPr>
              <w:t>Increase gender equality</w:t>
            </w:r>
          </w:p>
        </w:tc>
        <w:tc>
          <w:tcPr>
            <w:tcW w:w="1098" w:type="dxa"/>
            <w:shd w:val="clear" w:color="auto" w:fill="E36C0A"/>
            <w:noWrap/>
          </w:tcPr>
          <w:p w14:paraId="2228EBAA" w14:textId="26335DE1" w:rsidR="00A341D2" w:rsidRPr="00812509" w:rsidRDefault="00A341D2" w:rsidP="00A341D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Amber</w:t>
            </w:r>
          </w:p>
        </w:tc>
        <w:tc>
          <w:tcPr>
            <w:tcW w:w="402" w:type="dxa"/>
          </w:tcPr>
          <w:p w14:paraId="16E5983A" w14:textId="77777777" w:rsidR="00A341D2" w:rsidRPr="00812509" w:rsidRDefault="00A341D2" w:rsidP="00A341D2">
            <w:pPr>
              <w:pStyle w:val="TableTextEntries"/>
              <w:jc w:val="center"/>
              <w:rPr>
                <w:rFonts w:asciiTheme="minorHAnsi" w:hAnsiTheme="minorHAnsi"/>
                <w:color w:val="FFFFFF" w:themeColor="background1"/>
              </w:rPr>
            </w:pPr>
          </w:p>
        </w:tc>
        <w:tc>
          <w:tcPr>
            <w:tcW w:w="1167" w:type="dxa"/>
            <w:shd w:val="clear" w:color="auto" w:fill="72AF2F"/>
            <w:noWrap/>
          </w:tcPr>
          <w:p w14:paraId="010D96C8" w14:textId="74568384" w:rsidR="00A341D2" w:rsidRPr="00812509" w:rsidRDefault="00A341D2" w:rsidP="00A341D2">
            <w:pPr>
              <w:pStyle w:val="TableTextEntries"/>
              <w:jc w:val="center"/>
              <w:rPr>
                <w:rFonts w:asciiTheme="minorHAnsi" w:hAnsiTheme="minorHAnsi"/>
                <w:color w:val="FFFFFF" w:themeColor="background1"/>
              </w:rPr>
            </w:pPr>
            <w:r w:rsidRPr="00812509">
              <w:rPr>
                <w:rFonts w:asciiTheme="minorHAnsi" w:hAnsiTheme="minorHAnsi"/>
                <w:color w:val="FFFFFF" w:themeColor="background1"/>
              </w:rPr>
              <w:t>Green</w:t>
            </w:r>
          </w:p>
        </w:tc>
        <w:tc>
          <w:tcPr>
            <w:tcW w:w="996" w:type="dxa"/>
            <w:shd w:val="clear" w:color="auto" w:fill="auto"/>
          </w:tcPr>
          <w:p w14:paraId="015E227E" w14:textId="77777777" w:rsidR="00A341D2" w:rsidRPr="002A4A0E" w:rsidRDefault="00A341D2" w:rsidP="00A341D2">
            <w:pPr>
              <w:pStyle w:val="TableTextEntries"/>
              <w:jc w:val="center"/>
              <w:rPr>
                <w:rFonts w:asciiTheme="minorHAnsi" w:hAnsiTheme="minorHAnsi"/>
                <w:color w:val="FFFFFF" w:themeColor="background1"/>
              </w:rPr>
            </w:pPr>
          </w:p>
        </w:tc>
      </w:tr>
    </w:tbl>
    <w:p w14:paraId="172E9639" w14:textId="77777777" w:rsidR="005B5769" w:rsidRPr="00812509" w:rsidRDefault="005B5769" w:rsidP="002A4A0E">
      <w:pPr>
        <w:pStyle w:val="Note"/>
        <w:rPr>
          <w:rFonts w:asciiTheme="minorHAnsi" w:hAnsiTheme="minorHAnsi"/>
          <w:sz w:val="16"/>
        </w:rPr>
      </w:pPr>
      <w:r w:rsidRPr="00812509">
        <w:rPr>
          <w:rFonts w:asciiTheme="minorHAnsi" w:hAnsiTheme="minorHAnsi"/>
          <w:sz w:val="16"/>
        </w:rPr>
        <w:t xml:space="preserve">Note: </w:t>
      </w:r>
    </w:p>
    <w:p w14:paraId="7145CEBA" w14:textId="77777777" w:rsidR="005B5769" w:rsidRPr="00812509" w:rsidRDefault="005B5769">
      <w:pPr>
        <w:pStyle w:val="Note"/>
        <w:rPr>
          <w:rFonts w:asciiTheme="minorHAnsi" w:hAnsiTheme="minorHAnsi"/>
          <w:sz w:val="16"/>
        </w:rPr>
      </w:pPr>
      <w:r w:rsidRPr="00812509">
        <w:rPr>
          <w:rFonts w:asciiTheme="minorHAnsi" w:hAnsiTheme="minorHAnsi"/>
          <w:color w:val="72AF2F"/>
          <w:sz w:val="16"/>
        </w:rPr>
        <w:sym w:font="Webdings" w:char="F067"/>
      </w:r>
      <w:r w:rsidRPr="00812509">
        <w:rPr>
          <w:rFonts w:asciiTheme="minorHAnsi" w:hAnsiTheme="minorHAnsi"/>
          <w:sz w:val="16"/>
        </w:rPr>
        <w:t> </w:t>
      </w:r>
      <w:r w:rsidRPr="00812509">
        <w:rPr>
          <w:rFonts w:asciiTheme="minorHAnsi" w:hAnsiTheme="minorHAnsi"/>
          <w:sz w:val="16"/>
        </w:rPr>
        <w:t xml:space="preserve"> Green. Progress is as expected at this stage of implementation and it is likely that the objective will be achieved. Standard program management practices are sufficient.</w:t>
      </w:r>
    </w:p>
    <w:p w14:paraId="1E1898BE" w14:textId="77777777" w:rsidR="005B5769" w:rsidRPr="00812509" w:rsidRDefault="005B5769">
      <w:pPr>
        <w:pStyle w:val="Note"/>
        <w:rPr>
          <w:rFonts w:asciiTheme="minorHAnsi" w:hAnsiTheme="minorHAnsi"/>
          <w:sz w:val="16"/>
        </w:rPr>
      </w:pPr>
      <w:r w:rsidRPr="00812509">
        <w:rPr>
          <w:rFonts w:asciiTheme="minorHAnsi" w:hAnsiTheme="minorHAnsi"/>
          <w:color w:val="E36C0A"/>
          <w:sz w:val="16"/>
        </w:rPr>
        <w:sym w:font="Webdings" w:char="F067"/>
      </w:r>
      <w:r w:rsidRPr="00812509">
        <w:rPr>
          <w:rFonts w:asciiTheme="minorHAnsi" w:hAnsiTheme="minorHAnsi"/>
          <w:sz w:val="16"/>
        </w:rPr>
        <w:t> </w:t>
      </w:r>
      <w:r w:rsidRPr="00812509">
        <w:rPr>
          <w:rFonts w:asciiTheme="minorHAnsi" w:hAnsiTheme="minorHAnsi"/>
          <w:sz w:val="16"/>
        </w:rPr>
        <w:t xml:space="preserve"> Amber. Progress is somewhat less than expected at this stage of implementation and restorative action will be necessary if the objective is to be achieved. Close performance monitoring is recommended.</w:t>
      </w:r>
    </w:p>
    <w:p w14:paraId="30A860C1" w14:textId="77777777" w:rsidR="005B5769" w:rsidRDefault="005B5769">
      <w:pPr>
        <w:pStyle w:val="Note"/>
        <w:rPr>
          <w:rFonts w:asciiTheme="minorHAnsi" w:hAnsiTheme="minorHAnsi"/>
          <w:sz w:val="16"/>
        </w:rPr>
      </w:pPr>
      <w:r w:rsidRPr="00812509">
        <w:rPr>
          <w:rFonts w:asciiTheme="minorHAnsi" w:hAnsiTheme="minorHAnsi"/>
          <w:color w:val="FF0000"/>
          <w:sz w:val="16"/>
        </w:rPr>
        <w:sym w:font="Webdings" w:char="F067"/>
      </w:r>
      <w:r w:rsidRPr="00812509">
        <w:rPr>
          <w:rFonts w:asciiTheme="minorHAnsi" w:hAnsiTheme="minorHAnsi"/>
          <w:sz w:val="16"/>
        </w:rPr>
        <w:t> </w:t>
      </w:r>
      <w:r w:rsidRPr="00812509">
        <w:rPr>
          <w:rFonts w:asciiTheme="minorHAnsi" w:hAnsiTheme="minorHAnsi"/>
          <w:sz w:val="16"/>
        </w:rPr>
        <w:t xml:space="preserve"> Red. Progress is significantly less than expected at this stage of implementation and the objective is not likely to be met given available resources and priorities. Recasting the objective may be required.</w:t>
      </w:r>
    </w:p>
    <w:p w14:paraId="46949AA3" w14:textId="77777777" w:rsidR="005B5769" w:rsidRPr="00C4114C" w:rsidRDefault="005B5769" w:rsidP="005B5769">
      <w:pPr>
        <w:pStyle w:val="Note"/>
      </w:pPr>
      <w:r w:rsidRPr="00C4114C">
        <w:t xml:space="preserve">  </w:t>
      </w:r>
    </w:p>
    <w:p w14:paraId="089387F7" w14:textId="4D4837C9" w:rsidR="00695730" w:rsidRDefault="00695730" w:rsidP="00C523F9">
      <w:pPr>
        <w:rPr>
          <w:rFonts w:asciiTheme="majorHAnsi" w:eastAsiaTheme="majorEastAsia" w:hAnsiTheme="majorHAnsi" w:cstheme="majorBidi"/>
          <w:caps/>
          <w:sz w:val="38"/>
          <w:szCs w:val="26"/>
        </w:rPr>
      </w:pPr>
      <w:r w:rsidRPr="002A51CA">
        <w:rPr>
          <w:rFonts w:asciiTheme="majorHAnsi" w:eastAsiaTheme="majorEastAsia" w:hAnsiTheme="majorHAnsi" w:cstheme="majorBidi"/>
          <w:caps/>
          <w:sz w:val="38"/>
          <w:szCs w:val="26"/>
        </w:rPr>
        <w:t>Objective 1</w:t>
      </w:r>
      <w:r w:rsidR="00A341D2">
        <w:rPr>
          <w:rFonts w:asciiTheme="majorHAnsi" w:eastAsiaTheme="majorEastAsia" w:hAnsiTheme="majorHAnsi" w:cstheme="majorBidi"/>
          <w:caps/>
          <w:sz w:val="38"/>
          <w:szCs w:val="26"/>
        </w:rPr>
        <w:t xml:space="preserve"> – Expand economic opportunities for the poor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524"/>
        <w:gridCol w:w="1524"/>
        <w:gridCol w:w="1525"/>
        <w:gridCol w:w="1524"/>
        <w:gridCol w:w="1525"/>
      </w:tblGrid>
      <w:tr w:rsidR="009C11C8" w:rsidRPr="00695730" w14:paraId="1C957768" w14:textId="53FFB085" w:rsidTr="009C11C8">
        <w:tc>
          <w:tcPr>
            <w:tcW w:w="2016" w:type="dxa"/>
          </w:tcPr>
          <w:p w14:paraId="1ED3CAC0" w14:textId="77777777" w:rsidR="009C11C8" w:rsidRPr="00695730" w:rsidRDefault="009C11C8" w:rsidP="00695730">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30A1445D" wp14:editId="35C87F6C">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524" w:type="dxa"/>
          </w:tcPr>
          <w:p w14:paraId="3E15EE2F" w14:textId="77777777" w:rsidR="009C11C8" w:rsidRPr="00695730" w:rsidRDefault="009C11C8" w:rsidP="00695730">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7CD31B1" wp14:editId="45F83CE0">
                  <wp:extent cx="609600"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524" w:type="dxa"/>
          </w:tcPr>
          <w:p w14:paraId="6A5F5105" w14:textId="5F813668" w:rsidR="009C11C8" w:rsidRPr="00695730" w:rsidRDefault="009C11C8" w:rsidP="00695730">
            <w:pPr>
              <w:suppressAutoHyphens w:val="0"/>
              <w:spacing w:before="160" w:after="80" w:line="240" w:lineRule="auto"/>
              <w:jc w:val="center"/>
              <w:rPr>
                <w:rFonts w:asciiTheme="majorHAnsi" w:eastAsiaTheme="majorEastAsia" w:hAnsiTheme="majorHAnsi" w:cstheme="majorBidi"/>
                <w:caps/>
                <w:sz w:val="38"/>
                <w:szCs w:val="26"/>
              </w:rPr>
            </w:pPr>
            <w:r w:rsidRPr="009C11C8">
              <w:rPr>
                <w:rFonts w:ascii="Calibri" w:eastAsia="Calibri" w:hAnsi="Calibri" w:cs="Times New Roman"/>
                <w:noProof/>
                <w:color w:val="44546A"/>
                <w:lang w:val="en-AU" w:eastAsia="en-AU"/>
              </w:rPr>
              <w:drawing>
                <wp:inline distT="0" distB="0" distL="0" distR="0" wp14:anchorId="7B111DE0" wp14:editId="5AB4225E">
                  <wp:extent cx="612000" cy="612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5" w:type="dxa"/>
          </w:tcPr>
          <w:p w14:paraId="65B425C0" w14:textId="610E45AB" w:rsidR="009C11C8" w:rsidRPr="00695730" w:rsidRDefault="009C11C8" w:rsidP="00695730">
            <w:pPr>
              <w:suppressAutoHyphens w:val="0"/>
              <w:spacing w:before="160" w:after="80" w:line="240" w:lineRule="auto"/>
              <w:jc w:val="center"/>
              <w:rPr>
                <w:rFonts w:asciiTheme="majorHAnsi" w:eastAsiaTheme="majorEastAsia" w:hAnsiTheme="majorHAnsi" w:cstheme="majorBidi"/>
                <w:caps/>
                <w:sz w:val="38"/>
                <w:szCs w:val="26"/>
              </w:rPr>
            </w:pPr>
            <w:r w:rsidRPr="009C11C8">
              <w:rPr>
                <w:rFonts w:ascii="Calibri" w:eastAsia="Calibri" w:hAnsi="Calibri" w:cs="Times New Roman"/>
                <w:noProof/>
                <w:color w:val="44546A"/>
                <w:lang w:val="en-AU" w:eastAsia="en-AU"/>
              </w:rPr>
              <w:drawing>
                <wp:inline distT="0" distB="0" distL="0" distR="0" wp14:anchorId="7B93A09C" wp14:editId="69858BA9">
                  <wp:extent cx="612000" cy="612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4" w:type="dxa"/>
          </w:tcPr>
          <w:p w14:paraId="4B191708" w14:textId="5DC8B793" w:rsidR="009C11C8" w:rsidRPr="00695730" w:rsidRDefault="009C11C8" w:rsidP="00695730">
            <w:pPr>
              <w:suppressAutoHyphens w:val="0"/>
              <w:spacing w:before="160" w:after="80" w:line="240" w:lineRule="auto"/>
              <w:jc w:val="center"/>
              <w:rPr>
                <w:rFonts w:asciiTheme="majorHAnsi" w:eastAsiaTheme="majorEastAsia" w:hAnsiTheme="majorHAnsi" w:cstheme="majorBidi"/>
                <w:caps/>
                <w:sz w:val="38"/>
                <w:szCs w:val="26"/>
              </w:rPr>
            </w:pPr>
            <w:r w:rsidRPr="009C11C8">
              <w:rPr>
                <w:rFonts w:ascii="Calibri" w:eastAsia="Calibri" w:hAnsi="Calibri" w:cs="Times New Roman"/>
                <w:noProof/>
                <w:color w:val="44546A"/>
                <w:lang w:val="en-AU" w:eastAsia="en-AU"/>
              </w:rPr>
              <w:drawing>
                <wp:inline distT="0" distB="0" distL="0" distR="0" wp14:anchorId="78376947" wp14:editId="00CEB1B2">
                  <wp:extent cx="609600" cy="609600"/>
                  <wp:effectExtent l="0" t="0" r="0" b="0"/>
                  <wp:docPr id="42" name="Picture 42"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525" w:type="dxa"/>
          </w:tcPr>
          <w:p w14:paraId="1323C5CC" w14:textId="327E0015" w:rsidR="009C11C8" w:rsidRPr="009C11C8" w:rsidRDefault="009C11C8" w:rsidP="00695730">
            <w:pPr>
              <w:suppressAutoHyphens w:val="0"/>
              <w:spacing w:before="160" w:after="80" w:line="240" w:lineRule="auto"/>
              <w:jc w:val="center"/>
              <w:rPr>
                <w:rFonts w:ascii="Calibri" w:eastAsia="Calibri" w:hAnsi="Calibri" w:cs="Times New Roman"/>
                <w:noProof/>
                <w:color w:val="44546A"/>
                <w:lang w:val="en-AU" w:eastAsia="en-AU"/>
              </w:rPr>
            </w:pPr>
            <w:r w:rsidRPr="009C11C8">
              <w:rPr>
                <w:rFonts w:ascii="Calibri" w:eastAsia="Calibri" w:hAnsi="Calibri" w:cs="Times New Roman"/>
                <w:noProof/>
                <w:color w:val="44546A"/>
                <w:lang w:val="en-AU" w:eastAsia="en-AU"/>
              </w:rPr>
              <w:drawing>
                <wp:inline distT="0" distB="0" distL="0" distR="0" wp14:anchorId="26D606AA" wp14:editId="7BCA63D9">
                  <wp:extent cx="612000" cy="6120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EB877FD" w14:textId="69A44553" w:rsidR="00CD1652" w:rsidRPr="00AE2E33" w:rsidRDefault="00CD1652" w:rsidP="00AE2E33">
      <w:pPr>
        <w:spacing w:before="240" w:line="240" w:lineRule="auto"/>
        <w:rPr>
          <w:rFonts w:eastAsia="Times New Roman"/>
        </w:rPr>
      </w:pPr>
      <w:r w:rsidRPr="00CA7DD8">
        <w:rPr>
          <w:rFonts w:eastAsia="Times New Roman"/>
        </w:rPr>
        <w:t xml:space="preserve">The </w:t>
      </w:r>
      <w:r w:rsidR="009C11C8">
        <w:rPr>
          <w:rFonts w:eastAsia="Times New Roman"/>
        </w:rPr>
        <w:t xml:space="preserve">assessment of progress towards this </w:t>
      </w:r>
      <w:r w:rsidRPr="00CA7DD8">
        <w:rPr>
          <w:rFonts w:eastAsia="Times New Roman"/>
        </w:rPr>
        <w:t xml:space="preserve">objective was </w:t>
      </w:r>
      <w:r w:rsidR="009C11C8">
        <w:rPr>
          <w:rFonts w:eastAsia="Times New Roman"/>
        </w:rPr>
        <w:t>raised to a green rating</w:t>
      </w:r>
      <w:r w:rsidR="00AE2E33">
        <w:rPr>
          <w:rFonts w:eastAsia="Times New Roman"/>
        </w:rPr>
        <w:t>,</w:t>
      </w:r>
      <w:r w:rsidR="009C11C8">
        <w:rPr>
          <w:rFonts w:eastAsia="Times New Roman"/>
        </w:rPr>
        <w:t xml:space="preserve"> following an amber rating in last year’s APPR</w:t>
      </w:r>
      <w:r w:rsidR="00606B68">
        <w:rPr>
          <w:rFonts w:eastAsia="Times New Roman"/>
        </w:rPr>
        <w:t xml:space="preserve"> as investments are performing in line with expectations, with some exceeding expectations.  </w:t>
      </w:r>
      <w:r w:rsidR="00606B68">
        <w:rPr>
          <w:rFonts w:eastAsia="Times New Roman"/>
          <w:iCs/>
          <w:szCs w:val="17"/>
        </w:rPr>
        <w:t xml:space="preserve"> </w:t>
      </w:r>
      <w:r w:rsidR="002A5763">
        <w:rPr>
          <w:rFonts w:eastAsia="Times New Roman"/>
        </w:rPr>
        <w:t xml:space="preserve"> </w:t>
      </w:r>
      <w:r w:rsidR="00606B68">
        <w:rPr>
          <w:rFonts w:eastAsia="Times New Roman"/>
          <w:iCs/>
          <w:szCs w:val="17"/>
        </w:rPr>
        <w:t>The combined impact of</w:t>
      </w:r>
      <w:r w:rsidR="004E037B">
        <w:rPr>
          <w:rFonts w:eastAsia="Times New Roman"/>
          <w:iCs/>
          <w:szCs w:val="17"/>
        </w:rPr>
        <w:t xml:space="preserve"> the</w:t>
      </w:r>
      <w:r w:rsidR="00606B68">
        <w:rPr>
          <w:rFonts w:eastAsia="Times New Roman"/>
          <w:iCs/>
          <w:szCs w:val="17"/>
        </w:rPr>
        <w:t xml:space="preserve"> N</w:t>
      </w:r>
      <w:r w:rsidR="00DF6C62">
        <w:rPr>
          <w:rFonts w:eastAsia="Times New Roman"/>
          <w:iCs/>
          <w:szCs w:val="17"/>
        </w:rPr>
        <w:t xml:space="preserve">orth </w:t>
      </w:r>
      <w:r w:rsidR="00606B68">
        <w:rPr>
          <w:rFonts w:eastAsia="Times New Roman"/>
          <w:iCs/>
          <w:szCs w:val="17"/>
        </w:rPr>
        <w:t>E</w:t>
      </w:r>
      <w:r w:rsidR="00DF6C62">
        <w:rPr>
          <w:rFonts w:eastAsia="Times New Roman"/>
          <w:iCs/>
          <w:szCs w:val="17"/>
        </w:rPr>
        <w:t xml:space="preserve">ast </w:t>
      </w:r>
      <w:r w:rsidR="00606B68">
        <w:rPr>
          <w:rFonts w:eastAsia="Times New Roman"/>
          <w:iCs/>
          <w:szCs w:val="17"/>
        </w:rPr>
        <w:t>L</w:t>
      </w:r>
      <w:r w:rsidR="00DF6C62">
        <w:rPr>
          <w:rFonts w:eastAsia="Times New Roman"/>
          <w:iCs/>
          <w:szCs w:val="17"/>
        </w:rPr>
        <w:t xml:space="preserve">ocal </w:t>
      </w:r>
      <w:r w:rsidR="00606B68">
        <w:rPr>
          <w:rFonts w:eastAsia="Times New Roman"/>
          <w:iCs/>
          <w:szCs w:val="17"/>
        </w:rPr>
        <w:t>S</w:t>
      </w:r>
      <w:r w:rsidR="00DF6C62">
        <w:rPr>
          <w:rFonts w:eastAsia="Times New Roman"/>
          <w:iCs/>
          <w:szCs w:val="17"/>
        </w:rPr>
        <w:t xml:space="preserve">ervices </w:t>
      </w:r>
      <w:r w:rsidR="00606B68">
        <w:rPr>
          <w:rFonts w:eastAsia="Times New Roman"/>
          <w:iCs/>
          <w:szCs w:val="17"/>
        </w:rPr>
        <w:t>I</w:t>
      </w:r>
      <w:r w:rsidR="00DF6C62">
        <w:rPr>
          <w:rFonts w:eastAsia="Times New Roman"/>
          <w:iCs/>
          <w:szCs w:val="17"/>
        </w:rPr>
        <w:t xml:space="preserve">mprovement </w:t>
      </w:r>
      <w:r w:rsidR="00606B68">
        <w:rPr>
          <w:rFonts w:eastAsia="Times New Roman"/>
          <w:iCs/>
          <w:szCs w:val="17"/>
        </w:rPr>
        <w:t>P</w:t>
      </w:r>
      <w:r w:rsidR="00DF6C62">
        <w:rPr>
          <w:rFonts w:eastAsia="Times New Roman"/>
          <w:iCs/>
          <w:szCs w:val="17"/>
        </w:rPr>
        <w:t>roject (NELSIP)</w:t>
      </w:r>
      <w:r w:rsidR="00606B68">
        <w:rPr>
          <w:rFonts w:eastAsia="Times New Roman"/>
          <w:iCs/>
          <w:szCs w:val="17"/>
        </w:rPr>
        <w:t>, L</w:t>
      </w:r>
      <w:r w:rsidR="00DF6C62">
        <w:rPr>
          <w:rFonts w:eastAsia="Times New Roman"/>
          <w:iCs/>
          <w:szCs w:val="17"/>
        </w:rPr>
        <w:t xml:space="preserve">ocal </w:t>
      </w:r>
      <w:r w:rsidR="00606B68">
        <w:rPr>
          <w:rFonts w:eastAsia="Times New Roman"/>
          <w:iCs/>
          <w:szCs w:val="17"/>
        </w:rPr>
        <w:t>E</w:t>
      </w:r>
      <w:r w:rsidR="00DF6C62">
        <w:rPr>
          <w:rFonts w:eastAsia="Times New Roman"/>
          <w:iCs/>
          <w:szCs w:val="17"/>
        </w:rPr>
        <w:t xml:space="preserve">mpowerment through </w:t>
      </w:r>
      <w:r w:rsidR="00606B68">
        <w:rPr>
          <w:rFonts w:eastAsia="Times New Roman"/>
          <w:iCs/>
          <w:szCs w:val="17"/>
        </w:rPr>
        <w:t>E</w:t>
      </w:r>
      <w:r w:rsidR="00DF6C62">
        <w:rPr>
          <w:rFonts w:eastAsia="Times New Roman"/>
          <w:iCs/>
          <w:szCs w:val="17"/>
        </w:rPr>
        <w:t xml:space="preserve">conomic </w:t>
      </w:r>
      <w:r w:rsidR="00606B68">
        <w:rPr>
          <w:rFonts w:eastAsia="Times New Roman"/>
          <w:iCs/>
          <w:szCs w:val="17"/>
        </w:rPr>
        <w:t>D</w:t>
      </w:r>
      <w:r w:rsidR="00DF6C62">
        <w:rPr>
          <w:rFonts w:eastAsia="Times New Roman"/>
          <w:iCs/>
          <w:szCs w:val="17"/>
        </w:rPr>
        <w:t>evelopment (LEED)</w:t>
      </w:r>
      <w:r w:rsidR="004E037B">
        <w:rPr>
          <w:rFonts w:eastAsia="Times New Roman"/>
          <w:iCs/>
          <w:szCs w:val="17"/>
        </w:rPr>
        <w:t xml:space="preserve"> program</w:t>
      </w:r>
      <w:r w:rsidR="00606B68">
        <w:rPr>
          <w:rFonts w:eastAsia="Times New Roman"/>
          <w:iCs/>
          <w:szCs w:val="17"/>
        </w:rPr>
        <w:t>, M</w:t>
      </w:r>
      <w:r w:rsidR="00DF6C62">
        <w:rPr>
          <w:rFonts w:eastAsia="Times New Roman"/>
          <w:iCs/>
          <w:szCs w:val="17"/>
        </w:rPr>
        <w:t xml:space="preserve">arket </w:t>
      </w:r>
      <w:r w:rsidR="00606B68">
        <w:rPr>
          <w:rFonts w:eastAsia="Times New Roman"/>
          <w:iCs/>
          <w:szCs w:val="17"/>
        </w:rPr>
        <w:t>D</w:t>
      </w:r>
      <w:r w:rsidR="00DF6C62">
        <w:rPr>
          <w:rFonts w:eastAsia="Times New Roman"/>
          <w:iCs/>
          <w:szCs w:val="17"/>
        </w:rPr>
        <w:t xml:space="preserve">evelopment </w:t>
      </w:r>
      <w:r w:rsidR="00606B68">
        <w:rPr>
          <w:rFonts w:eastAsia="Times New Roman"/>
          <w:iCs/>
          <w:szCs w:val="17"/>
        </w:rPr>
        <w:t>F</w:t>
      </w:r>
      <w:r w:rsidR="00DF6C62">
        <w:rPr>
          <w:rFonts w:eastAsia="Times New Roman"/>
          <w:iCs/>
          <w:szCs w:val="17"/>
        </w:rPr>
        <w:t>acility (MDF)</w:t>
      </w:r>
      <w:r w:rsidR="004E037B">
        <w:rPr>
          <w:rFonts w:eastAsia="Times New Roman"/>
          <w:iCs/>
          <w:szCs w:val="17"/>
        </w:rPr>
        <w:t xml:space="preserve"> and the </w:t>
      </w:r>
      <w:r w:rsidR="00606B68">
        <w:rPr>
          <w:rFonts w:eastAsia="Times New Roman"/>
          <w:iCs/>
          <w:szCs w:val="17"/>
        </w:rPr>
        <w:t>Community Forestry</w:t>
      </w:r>
      <w:r w:rsidR="004E037B">
        <w:rPr>
          <w:rFonts w:eastAsia="Times New Roman"/>
          <w:iCs/>
          <w:szCs w:val="17"/>
        </w:rPr>
        <w:t xml:space="preserve"> partnership</w:t>
      </w:r>
      <w:r w:rsidR="00606B68">
        <w:rPr>
          <w:rFonts w:eastAsia="Times New Roman"/>
          <w:iCs/>
          <w:szCs w:val="17"/>
        </w:rPr>
        <w:t xml:space="preserve"> (and </w:t>
      </w:r>
      <w:r w:rsidR="004E037B">
        <w:rPr>
          <w:rFonts w:eastAsia="Times New Roman"/>
          <w:iCs/>
          <w:szCs w:val="17"/>
        </w:rPr>
        <w:t xml:space="preserve">the </w:t>
      </w:r>
      <w:r w:rsidR="00606B68">
        <w:rPr>
          <w:rFonts w:eastAsia="Times New Roman"/>
          <w:iCs/>
          <w:szCs w:val="17"/>
        </w:rPr>
        <w:t xml:space="preserve">longer-term impact of </w:t>
      </w:r>
      <w:r w:rsidR="004E037B">
        <w:rPr>
          <w:rFonts w:eastAsia="Times New Roman"/>
          <w:iCs/>
          <w:szCs w:val="17"/>
        </w:rPr>
        <w:t xml:space="preserve">the now-completed </w:t>
      </w:r>
      <w:r w:rsidR="00606B68">
        <w:rPr>
          <w:rFonts w:eastAsia="Times New Roman"/>
          <w:iCs/>
          <w:szCs w:val="17"/>
        </w:rPr>
        <w:t>A</w:t>
      </w:r>
      <w:r w:rsidR="00DF6C62">
        <w:rPr>
          <w:rFonts w:eastAsia="Times New Roman"/>
          <w:iCs/>
          <w:szCs w:val="17"/>
        </w:rPr>
        <w:t xml:space="preserve">ustralian </w:t>
      </w:r>
      <w:r w:rsidR="00606B68">
        <w:rPr>
          <w:rFonts w:eastAsia="Times New Roman"/>
          <w:iCs/>
          <w:szCs w:val="17"/>
        </w:rPr>
        <w:t>C</w:t>
      </w:r>
      <w:r w:rsidR="00DF6C62">
        <w:rPr>
          <w:rFonts w:eastAsia="Times New Roman"/>
          <w:iCs/>
          <w:szCs w:val="17"/>
        </w:rPr>
        <w:t xml:space="preserve">ommunity </w:t>
      </w:r>
      <w:r w:rsidR="00606B68">
        <w:rPr>
          <w:rFonts w:eastAsia="Times New Roman"/>
          <w:iCs/>
          <w:szCs w:val="17"/>
        </w:rPr>
        <w:t>R</w:t>
      </w:r>
      <w:r w:rsidR="00DF6C62">
        <w:rPr>
          <w:rFonts w:eastAsia="Times New Roman"/>
          <w:iCs/>
          <w:szCs w:val="17"/>
        </w:rPr>
        <w:t xml:space="preserve">ehabilitation </w:t>
      </w:r>
      <w:r w:rsidR="00606B68">
        <w:rPr>
          <w:rFonts w:eastAsia="Times New Roman"/>
          <w:iCs/>
          <w:szCs w:val="17"/>
        </w:rPr>
        <w:t>P</w:t>
      </w:r>
      <w:r w:rsidR="00DF6C62">
        <w:rPr>
          <w:rFonts w:eastAsia="Times New Roman"/>
          <w:iCs/>
          <w:szCs w:val="17"/>
        </w:rPr>
        <w:t xml:space="preserve">rogram Phase </w:t>
      </w:r>
      <w:r w:rsidR="00606B68">
        <w:rPr>
          <w:rFonts w:eastAsia="Times New Roman"/>
          <w:iCs/>
          <w:szCs w:val="17"/>
        </w:rPr>
        <w:t xml:space="preserve">3) has seen an increase in the percentage of targeted populations who have </w:t>
      </w:r>
      <w:r w:rsidR="00606B68">
        <w:rPr>
          <w:rFonts w:eastAsia="Times New Roman"/>
          <w:iCs/>
          <w:szCs w:val="17"/>
        </w:rPr>
        <w:lastRenderedPageBreak/>
        <w:t>received an increase in net additional income. This increase has met the performance benchmark and was</w:t>
      </w:r>
      <w:r w:rsidR="00D5400E">
        <w:rPr>
          <w:rFonts w:eastAsia="Times New Roman"/>
        </w:rPr>
        <w:t xml:space="preserve"> driven largely by</w:t>
      </w:r>
      <w:r w:rsidR="000827AF">
        <w:rPr>
          <w:rFonts w:eastAsia="Times New Roman"/>
        </w:rPr>
        <w:t xml:space="preserve"> </w:t>
      </w:r>
      <w:r w:rsidR="00FD01FA">
        <w:rPr>
          <w:rFonts w:eastAsia="Times New Roman"/>
        </w:rPr>
        <w:t>i</w:t>
      </w:r>
      <w:r w:rsidR="00C80B55">
        <w:rPr>
          <w:rFonts w:eastAsia="Times New Roman"/>
        </w:rPr>
        <w:t>mprovements in the effectiveness and efficiency of</w:t>
      </w:r>
      <w:r w:rsidR="00AE2E33">
        <w:rPr>
          <w:rFonts w:eastAsia="Times New Roman"/>
        </w:rPr>
        <w:t xml:space="preserve"> th</w:t>
      </w:r>
      <w:r w:rsidR="00AE2E33" w:rsidRPr="00AE2E33">
        <w:rPr>
          <w:rFonts w:eastAsia="Times New Roman"/>
        </w:rPr>
        <w:t>e Economic Opportunities for the Poor (EOP)</w:t>
      </w:r>
      <w:r w:rsidR="00442226">
        <w:rPr>
          <w:rFonts w:eastAsia="Times New Roman"/>
        </w:rPr>
        <w:t xml:space="preserve"> Program,</w:t>
      </w:r>
      <w:r w:rsidR="00C80B55">
        <w:rPr>
          <w:rFonts w:eastAsia="Times New Roman"/>
        </w:rPr>
        <w:t xml:space="preserve"> the cornerstone investment for t</w:t>
      </w:r>
      <w:r w:rsidR="005860AF">
        <w:rPr>
          <w:rFonts w:eastAsia="Times New Roman"/>
        </w:rPr>
        <w:t>his objective. The EOP</w:t>
      </w:r>
      <w:r w:rsidR="00C80B55">
        <w:rPr>
          <w:rFonts w:eastAsia="Times New Roman"/>
        </w:rPr>
        <w:t xml:space="preserve"> </w:t>
      </w:r>
      <w:r w:rsidR="00442226">
        <w:rPr>
          <w:rFonts w:eastAsia="Times New Roman"/>
        </w:rPr>
        <w:t xml:space="preserve"> </w:t>
      </w:r>
      <w:r w:rsidR="005860AF">
        <w:rPr>
          <w:rFonts w:eastAsia="Times New Roman"/>
        </w:rPr>
        <w:t>funds</w:t>
      </w:r>
      <w:r w:rsidR="00442226">
        <w:rPr>
          <w:rFonts w:eastAsia="Times New Roman"/>
        </w:rPr>
        <w:t xml:space="preserve"> the following activities: </w:t>
      </w:r>
      <w:r w:rsidR="00AE2E33">
        <w:rPr>
          <w:rFonts w:eastAsia="Times New Roman"/>
        </w:rPr>
        <w:t>the Market Development Facility (MDF)</w:t>
      </w:r>
      <w:r w:rsidR="00442226">
        <w:rPr>
          <w:rFonts w:eastAsia="Times New Roman"/>
        </w:rPr>
        <w:t xml:space="preserve">, </w:t>
      </w:r>
      <w:r w:rsidR="007A4785">
        <w:rPr>
          <w:rFonts w:eastAsia="Times New Roman"/>
        </w:rPr>
        <w:t xml:space="preserve">which </w:t>
      </w:r>
      <w:r w:rsidR="00C9439C">
        <w:rPr>
          <w:rFonts w:eastAsia="Times New Roman"/>
        </w:rPr>
        <w:t>enters into business advisory</w:t>
      </w:r>
      <w:r w:rsidR="00D5400E">
        <w:rPr>
          <w:rFonts w:eastAsia="Times New Roman"/>
        </w:rPr>
        <w:t xml:space="preserve"> partnerships</w:t>
      </w:r>
      <w:r w:rsidR="00442226">
        <w:rPr>
          <w:rFonts w:eastAsia="Times New Roman"/>
        </w:rPr>
        <w:t xml:space="preserve"> with small to medium-sized businesses i</w:t>
      </w:r>
      <w:r w:rsidR="005860AF">
        <w:rPr>
          <w:rFonts w:eastAsia="Times New Roman"/>
        </w:rPr>
        <w:t xml:space="preserve">n </w:t>
      </w:r>
      <w:r w:rsidR="00C9439C">
        <w:rPr>
          <w:rFonts w:eastAsia="Times New Roman"/>
        </w:rPr>
        <w:t>tourism and related sectors</w:t>
      </w:r>
      <w:r w:rsidR="00442226">
        <w:rPr>
          <w:rFonts w:eastAsia="Times New Roman"/>
        </w:rPr>
        <w:t>;</w:t>
      </w:r>
      <w:r w:rsidR="00AE2E33">
        <w:rPr>
          <w:rFonts w:eastAsia="Times New Roman"/>
        </w:rPr>
        <w:t xml:space="preserve"> the Skills for </w:t>
      </w:r>
      <w:r w:rsidR="00000762">
        <w:rPr>
          <w:rFonts w:eastAsia="Times New Roman"/>
        </w:rPr>
        <w:t xml:space="preserve">Inclusive </w:t>
      </w:r>
      <w:r w:rsidR="00AE2E33">
        <w:rPr>
          <w:rFonts w:eastAsia="Times New Roman"/>
        </w:rPr>
        <w:t>Growth program (S4</w:t>
      </w:r>
      <w:r w:rsidR="00000762">
        <w:rPr>
          <w:rFonts w:eastAsia="Times New Roman"/>
        </w:rPr>
        <w:t>I</w:t>
      </w:r>
      <w:r w:rsidR="00AE2E33">
        <w:rPr>
          <w:rFonts w:eastAsia="Times New Roman"/>
        </w:rPr>
        <w:t>G)</w:t>
      </w:r>
      <w:r w:rsidR="00442226">
        <w:rPr>
          <w:rFonts w:eastAsia="Times New Roman"/>
        </w:rPr>
        <w:t>, which</w:t>
      </w:r>
      <w:r w:rsidR="00A878E3">
        <w:rPr>
          <w:rFonts w:eastAsia="Times New Roman"/>
        </w:rPr>
        <w:t xml:space="preserve"> builds </w:t>
      </w:r>
      <w:r w:rsidR="00442226">
        <w:rPr>
          <w:rFonts w:eastAsia="Times New Roman"/>
        </w:rPr>
        <w:t xml:space="preserve">the </w:t>
      </w:r>
      <w:r w:rsidR="00A878E3">
        <w:rPr>
          <w:rFonts w:eastAsia="Times New Roman"/>
        </w:rPr>
        <w:t>marketable skills of poor men and women in the tourism industry</w:t>
      </w:r>
      <w:r w:rsidR="00C9439C">
        <w:rPr>
          <w:rFonts w:eastAsia="Times New Roman"/>
        </w:rPr>
        <w:t xml:space="preserve"> in </w:t>
      </w:r>
      <w:r w:rsidR="002D4772">
        <w:rPr>
          <w:rFonts w:eastAsia="Times New Roman"/>
        </w:rPr>
        <w:t xml:space="preserve">conflict-affected </w:t>
      </w:r>
      <w:r w:rsidR="00C9439C">
        <w:rPr>
          <w:rFonts w:eastAsia="Times New Roman"/>
        </w:rPr>
        <w:t>Eastern Province and Polonnaruwa district</w:t>
      </w:r>
      <w:r w:rsidR="00A878E3">
        <w:rPr>
          <w:rFonts w:eastAsia="Times New Roman"/>
        </w:rPr>
        <w:t xml:space="preserve">; </w:t>
      </w:r>
      <w:r w:rsidR="00442226">
        <w:rPr>
          <w:rFonts w:eastAsia="Times New Roman"/>
        </w:rPr>
        <w:t xml:space="preserve">and the </w:t>
      </w:r>
      <w:r w:rsidR="00A878E3">
        <w:rPr>
          <w:rFonts w:eastAsia="Times New Roman"/>
        </w:rPr>
        <w:t>L</w:t>
      </w:r>
      <w:r w:rsidR="00442226">
        <w:rPr>
          <w:rFonts w:eastAsia="Times New Roman"/>
        </w:rPr>
        <w:t>ocal Empowerment through Economic Development (L</w:t>
      </w:r>
      <w:r w:rsidR="00A878E3">
        <w:rPr>
          <w:rFonts w:eastAsia="Times New Roman"/>
        </w:rPr>
        <w:t>EED</w:t>
      </w:r>
      <w:r w:rsidR="00442226">
        <w:rPr>
          <w:rFonts w:eastAsia="Times New Roman"/>
        </w:rPr>
        <w:t>) project, which</w:t>
      </w:r>
      <w:r w:rsidR="00A878E3">
        <w:rPr>
          <w:rFonts w:eastAsia="Times New Roman"/>
        </w:rPr>
        <w:t xml:space="preserve"> </w:t>
      </w:r>
      <w:r w:rsidR="00442226">
        <w:rPr>
          <w:rFonts w:eastAsia="Times New Roman"/>
        </w:rPr>
        <w:t xml:space="preserve">links fisheries and agricultural </w:t>
      </w:r>
      <w:r w:rsidR="000B7FD8">
        <w:rPr>
          <w:rFonts w:eastAsia="Times New Roman"/>
        </w:rPr>
        <w:t xml:space="preserve">primary producer groups </w:t>
      </w:r>
      <w:r w:rsidR="00442226">
        <w:rPr>
          <w:rFonts w:eastAsia="Times New Roman"/>
        </w:rPr>
        <w:t xml:space="preserve">into domestic and export supply chains. </w:t>
      </w:r>
    </w:p>
    <w:p w14:paraId="670BDE48" w14:textId="20694DA7" w:rsidR="00886B71" w:rsidRDefault="007A4785" w:rsidP="009F7A8B">
      <w:pPr>
        <w:rPr>
          <w:lang w:val="en-AU"/>
        </w:rPr>
      </w:pPr>
      <w:r>
        <w:rPr>
          <w:lang w:val="en-AU"/>
        </w:rPr>
        <w:t>LEED, the most mature of the activities, continues to meet, and in</w:t>
      </w:r>
      <w:r w:rsidR="00886B71">
        <w:rPr>
          <w:lang w:val="en-AU"/>
        </w:rPr>
        <w:t xml:space="preserve"> some cases exceed, expected progress toward its</w:t>
      </w:r>
      <w:r w:rsidR="00A00EBA">
        <w:rPr>
          <w:lang w:val="en-AU"/>
        </w:rPr>
        <w:t xml:space="preserve"> key intermediate output:</w:t>
      </w:r>
      <w:r w:rsidR="00886B71">
        <w:rPr>
          <w:lang w:val="en-AU"/>
        </w:rPr>
        <w:t xml:space="preserve"> that</w:t>
      </w:r>
      <w:r w:rsidR="00553EDA">
        <w:rPr>
          <w:lang w:val="en-AU"/>
        </w:rPr>
        <w:t xml:space="preserve"> LEED’s</w:t>
      </w:r>
      <w:r w:rsidR="00A00EBA">
        <w:rPr>
          <w:lang w:val="en-AU"/>
        </w:rPr>
        <w:t xml:space="preserve"> ta</w:t>
      </w:r>
      <w:r w:rsidR="002D4772">
        <w:rPr>
          <w:lang w:val="en-AU"/>
        </w:rPr>
        <w:t>rget producer associations and micro, small and medium e</w:t>
      </w:r>
      <w:r w:rsidR="00A00EBA">
        <w:rPr>
          <w:lang w:val="en-AU"/>
        </w:rPr>
        <w:t xml:space="preserve">nterprises in </w:t>
      </w:r>
      <w:r w:rsidR="0067095D">
        <w:rPr>
          <w:lang w:val="en-AU"/>
        </w:rPr>
        <w:t xml:space="preserve">the </w:t>
      </w:r>
      <w:r w:rsidR="00A00EBA">
        <w:rPr>
          <w:lang w:val="en-AU"/>
        </w:rPr>
        <w:t>Northern Province help drive, and have a fair share in, local economic growth</w:t>
      </w:r>
      <w:r>
        <w:rPr>
          <w:lang w:val="en-AU"/>
        </w:rPr>
        <w:t xml:space="preserve">. </w:t>
      </w:r>
      <w:r w:rsidR="00A00EBA">
        <w:rPr>
          <w:lang w:val="en-AU"/>
        </w:rPr>
        <w:t>As an example, i</w:t>
      </w:r>
      <w:r w:rsidRPr="007A4785">
        <w:rPr>
          <w:lang w:val="en-AU"/>
        </w:rPr>
        <w:t xml:space="preserve">n fisheries, 140 </w:t>
      </w:r>
      <w:r w:rsidR="002C1948">
        <w:rPr>
          <w:lang w:val="en-AU"/>
        </w:rPr>
        <w:t>fishing households</w:t>
      </w:r>
      <w:r w:rsidR="002C1948" w:rsidRPr="007A4785">
        <w:rPr>
          <w:lang w:val="en-AU"/>
        </w:rPr>
        <w:t xml:space="preserve"> </w:t>
      </w:r>
      <w:r w:rsidRPr="007A4785">
        <w:rPr>
          <w:lang w:val="en-AU"/>
        </w:rPr>
        <w:t>had their debt wiped off</w:t>
      </w:r>
      <w:r w:rsidR="00A00EBA">
        <w:rPr>
          <w:lang w:val="en-AU"/>
        </w:rPr>
        <w:t xml:space="preserve"> and annual dividends of approximately</w:t>
      </w:r>
      <w:r w:rsidRPr="007A4785">
        <w:rPr>
          <w:lang w:val="en-AU"/>
        </w:rPr>
        <w:t xml:space="preserve"> AU$400 per family were shared with 700 fisher families due to an increase in income</w:t>
      </w:r>
      <w:r w:rsidR="00A00EBA">
        <w:rPr>
          <w:lang w:val="en-AU"/>
        </w:rPr>
        <w:t xml:space="preserve">, </w:t>
      </w:r>
      <w:r w:rsidR="002077B1">
        <w:rPr>
          <w:lang w:val="en-AU"/>
        </w:rPr>
        <w:t xml:space="preserve">which was </w:t>
      </w:r>
      <w:r w:rsidR="00A00EBA">
        <w:rPr>
          <w:lang w:val="en-AU"/>
        </w:rPr>
        <w:t>in line with expectations</w:t>
      </w:r>
      <w:r w:rsidRPr="007A4785">
        <w:rPr>
          <w:lang w:val="en-AU"/>
        </w:rPr>
        <w:t xml:space="preserve">. </w:t>
      </w:r>
      <w:r w:rsidR="00A00EBA">
        <w:rPr>
          <w:lang w:val="en-AU"/>
        </w:rPr>
        <w:t>Expectations were exceeded in LEED’s work i</w:t>
      </w:r>
      <w:r w:rsidRPr="007A4785">
        <w:rPr>
          <w:lang w:val="en-AU"/>
        </w:rPr>
        <w:t xml:space="preserve">n the fruit </w:t>
      </w:r>
      <w:r w:rsidR="005860AF">
        <w:rPr>
          <w:lang w:val="en-AU"/>
        </w:rPr>
        <w:t>and</w:t>
      </w:r>
      <w:r w:rsidRPr="007A4785">
        <w:rPr>
          <w:lang w:val="en-AU"/>
        </w:rPr>
        <w:t xml:space="preserve"> veg</w:t>
      </w:r>
      <w:r w:rsidR="005860AF">
        <w:rPr>
          <w:lang w:val="en-AU"/>
        </w:rPr>
        <w:t>etable</w:t>
      </w:r>
      <w:r w:rsidRPr="007A4785">
        <w:rPr>
          <w:lang w:val="en-AU"/>
        </w:rPr>
        <w:t xml:space="preserve"> sector, with the number of farmers engaged in commercial cultivation of fruit and veg</w:t>
      </w:r>
      <w:r w:rsidR="00702E86">
        <w:rPr>
          <w:lang w:val="en-AU"/>
        </w:rPr>
        <w:t>etables</w:t>
      </w:r>
      <w:r w:rsidRPr="007A4785">
        <w:rPr>
          <w:lang w:val="en-AU"/>
        </w:rPr>
        <w:t xml:space="preserve"> increasing from 450 to 900 across </w:t>
      </w:r>
      <w:r w:rsidR="00702E86">
        <w:rPr>
          <w:lang w:val="en-AU"/>
        </w:rPr>
        <w:t>three</w:t>
      </w:r>
      <w:r w:rsidRPr="007A4785">
        <w:rPr>
          <w:lang w:val="en-AU"/>
        </w:rPr>
        <w:t xml:space="preserve"> of the largest and best established farmers' cooperatives in the program.</w:t>
      </w:r>
      <w:r w:rsidR="009F7A8B">
        <w:rPr>
          <w:lang w:val="en-AU"/>
        </w:rPr>
        <w:t xml:space="preserve"> </w:t>
      </w:r>
      <w:r w:rsidR="006E7D61">
        <w:t>This is an example of where our targeted investment is improving the resilience of farmers, helping them sustainably improve their enterprises and incomes. Households and enterprises that have better economic resilience are generally more able to cope with and recover from unexpected shocks and disasters</w:t>
      </w:r>
      <w:r w:rsidR="006E7D61" w:rsidRPr="007A4785">
        <w:rPr>
          <w:lang w:val="en-AU"/>
        </w:rPr>
        <w:t>.</w:t>
      </w:r>
      <w:r w:rsidR="006E7D61">
        <w:rPr>
          <w:lang w:val="en-AU"/>
        </w:rPr>
        <w:t xml:space="preserve"> </w:t>
      </w:r>
      <w:r w:rsidR="00A00EBA">
        <w:rPr>
          <w:lang w:val="en-AU"/>
        </w:rPr>
        <w:t>The challenge for the LEED project now is</w:t>
      </w:r>
      <w:r w:rsidR="00C9439C">
        <w:rPr>
          <w:lang w:val="en-AU"/>
        </w:rPr>
        <w:t xml:space="preserve"> to broaden its impact by communicat</w:t>
      </w:r>
      <w:r w:rsidR="00553EDA">
        <w:rPr>
          <w:lang w:val="en-AU"/>
        </w:rPr>
        <w:t>ing</w:t>
      </w:r>
      <w:r w:rsidR="00C9439C">
        <w:rPr>
          <w:lang w:val="en-AU"/>
        </w:rPr>
        <w:t xml:space="preserve"> its approach in a way that</w:t>
      </w:r>
      <w:r w:rsidR="00FD01FA">
        <w:rPr>
          <w:lang w:val="en-AU"/>
        </w:rPr>
        <w:t xml:space="preserve"> creates a demonstration effect and by starting to tackle more complex challenges like climate resilience, sustainability of fisheries</w:t>
      </w:r>
      <w:r w:rsidR="000B7FD8">
        <w:rPr>
          <w:lang w:val="en-AU"/>
        </w:rPr>
        <w:t>,</w:t>
      </w:r>
      <w:r w:rsidR="00FD01FA">
        <w:rPr>
          <w:lang w:val="en-AU"/>
        </w:rPr>
        <w:t xml:space="preserve"> cooperative governance</w:t>
      </w:r>
      <w:r w:rsidR="000B7FD8">
        <w:rPr>
          <w:lang w:val="en-AU"/>
        </w:rPr>
        <w:t>, and access to premium international markets</w:t>
      </w:r>
      <w:r w:rsidR="00FD01FA">
        <w:rPr>
          <w:lang w:val="en-AU"/>
        </w:rPr>
        <w:t>.</w:t>
      </w:r>
      <w:r w:rsidR="00D21DB1">
        <w:rPr>
          <w:rStyle w:val="FootnoteReference"/>
          <w:lang w:val="en-AU"/>
        </w:rPr>
        <w:footnoteReference w:id="2"/>
      </w:r>
      <w:r w:rsidR="00FD01FA">
        <w:rPr>
          <w:lang w:val="en-AU"/>
        </w:rPr>
        <w:t xml:space="preserve"> </w:t>
      </w:r>
      <w:r w:rsidR="00C9439C">
        <w:rPr>
          <w:lang w:val="en-AU"/>
        </w:rPr>
        <w:t xml:space="preserve"> </w:t>
      </w:r>
    </w:p>
    <w:p w14:paraId="7E52472A" w14:textId="1CFC85F0" w:rsidR="00886B71" w:rsidRDefault="009F7A8B" w:rsidP="009F7A8B">
      <w:pPr>
        <w:rPr>
          <w:lang w:val="en-AU"/>
        </w:rPr>
      </w:pPr>
      <w:r w:rsidRPr="009F7A8B">
        <w:rPr>
          <w:bCs/>
          <w:lang w:val="en-AU"/>
        </w:rPr>
        <w:t>MDF</w:t>
      </w:r>
      <w:r w:rsidRPr="009F7A8B">
        <w:rPr>
          <w:lang w:val="en-AU"/>
        </w:rPr>
        <w:t xml:space="preserve"> has produced mixed results</w:t>
      </w:r>
      <w:r>
        <w:rPr>
          <w:lang w:val="en-AU"/>
        </w:rPr>
        <w:t>,</w:t>
      </w:r>
      <w:r w:rsidR="00D5400E">
        <w:rPr>
          <w:lang w:val="en-AU"/>
        </w:rPr>
        <w:t xml:space="preserve"> </w:t>
      </w:r>
      <w:r w:rsidR="00C9439C">
        <w:rPr>
          <w:lang w:val="en-AU"/>
        </w:rPr>
        <w:t>although</w:t>
      </w:r>
      <w:r w:rsidR="00D5400E">
        <w:rPr>
          <w:lang w:val="en-AU"/>
        </w:rPr>
        <w:t xml:space="preserve">, </w:t>
      </w:r>
      <w:r>
        <w:rPr>
          <w:lang w:val="en-AU"/>
        </w:rPr>
        <w:t>following a slow start-up in the</w:t>
      </w:r>
      <w:r w:rsidR="00D5400E">
        <w:rPr>
          <w:lang w:val="en-AU"/>
        </w:rPr>
        <w:t xml:space="preserve"> previous reporting period, </w:t>
      </w:r>
      <w:r>
        <w:rPr>
          <w:lang w:val="en-AU"/>
        </w:rPr>
        <w:t>is</w:t>
      </w:r>
      <w:r w:rsidR="00553EDA">
        <w:rPr>
          <w:lang w:val="en-AU"/>
        </w:rPr>
        <w:t xml:space="preserve"> quickly</w:t>
      </w:r>
      <w:r>
        <w:rPr>
          <w:lang w:val="en-AU"/>
        </w:rPr>
        <w:t xml:space="preserve"> improving. </w:t>
      </w:r>
      <w:r w:rsidR="00F001B2">
        <w:rPr>
          <w:lang w:val="en-AU"/>
        </w:rPr>
        <w:t>By the end of 2016-17, all 17 planned partnerships were in place. However, n</w:t>
      </w:r>
      <w:r w:rsidR="00551BFB">
        <w:rPr>
          <w:lang w:val="en-AU"/>
        </w:rPr>
        <w:t>ot all outputs were met:</w:t>
      </w:r>
      <w:r w:rsidRPr="009F7A8B">
        <w:rPr>
          <w:lang w:val="en-AU"/>
        </w:rPr>
        <w:t xml:space="preserve"> 4,498 people </w:t>
      </w:r>
      <w:r>
        <w:rPr>
          <w:lang w:val="en-AU"/>
        </w:rPr>
        <w:t xml:space="preserve">gained a </w:t>
      </w:r>
      <w:r w:rsidRPr="009F7A8B">
        <w:rPr>
          <w:lang w:val="en-AU"/>
        </w:rPr>
        <w:t xml:space="preserve">net additional </w:t>
      </w:r>
      <w:r w:rsidR="00702E86">
        <w:rPr>
          <w:lang w:val="en-AU"/>
        </w:rPr>
        <w:t xml:space="preserve">shared </w:t>
      </w:r>
      <w:r w:rsidRPr="009F7A8B">
        <w:rPr>
          <w:lang w:val="en-AU"/>
        </w:rPr>
        <w:t>income of US$195,000</w:t>
      </w:r>
      <w:r>
        <w:rPr>
          <w:lang w:val="en-AU"/>
        </w:rPr>
        <w:t>,</w:t>
      </w:r>
      <w:r w:rsidRPr="009F7A8B">
        <w:rPr>
          <w:lang w:val="en-AU"/>
        </w:rPr>
        <w:t xml:space="preserve"> where the </w:t>
      </w:r>
      <w:r w:rsidR="00C9439C">
        <w:rPr>
          <w:lang w:val="en-AU"/>
        </w:rPr>
        <w:t xml:space="preserve">initial </w:t>
      </w:r>
      <w:r w:rsidRPr="009F7A8B">
        <w:rPr>
          <w:lang w:val="en-AU"/>
        </w:rPr>
        <w:t xml:space="preserve">target was to benefit 26,200 people. </w:t>
      </w:r>
      <w:r>
        <w:rPr>
          <w:lang w:val="en-AU"/>
        </w:rPr>
        <w:t xml:space="preserve">On the other hand, the </w:t>
      </w:r>
      <w:r w:rsidRPr="009F7A8B">
        <w:rPr>
          <w:lang w:val="en-AU"/>
        </w:rPr>
        <w:t>activity leveraged private funds of US$259,000 through an investment of US$74,000 which is a 1:3 ratio</w:t>
      </w:r>
      <w:r>
        <w:rPr>
          <w:lang w:val="en-AU"/>
        </w:rPr>
        <w:t xml:space="preserve">, and in line with the activity’s objectives. </w:t>
      </w:r>
      <w:r w:rsidR="00A00EBA">
        <w:rPr>
          <w:lang w:val="en-AU"/>
        </w:rPr>
        <w:t xml:space="preserve">With </w:t>
      </w:r>
      <w:r w:rsidR="00F001B2">
        <w:rPr>
          <w:lang w:val="en-AU"/>
        </w:rPr>
        <w:t xml:space="preserve">the target </w:t>
      </w:r>
      <w:r w:rsidR="00A00EBA">
        <w:rPr>
          <w:lang w:val="en-AU"/>
        </w:rPr>
        <w:t xml:space="preserve">number of new partnerships </w:t>
      </w:r>
      <w:r w:rsidR="00F001B2">
        <w:rPr>
          <w:lang w:val="en-AU"/>
        </w:rPr>
        <w:t>being reached</w:t>
      </w:r>
      <w:r w:rsidR="00A00EBA">
        <w:rPr>
          <w:lang w:val="en-AU"/>
        </w:rPr>
        <w:t xml:space="preserve"> and existing partnerships maturing quickly, the investment is tracking in the right direction.</w:t>
      </w:r>
      <w:r w:rsidR="00551BFB">
        <w:rPr>
          <w:lang w:val="en-AU"/>
        </w:rPr>
        <w:t xml:space="preserve"> </w:t>
      </w:r>
      <w:r w:rsidR="00D21C1F">
        <w:rPr>
          <w:lang w:val="en-AU"/>
        </w:rPr>
        <w:t xml:space="preserve">The </w:t>
      </w:r>
      <w:r w:rsidR="00551BFB">
        <w:rPr>
          <w:lang w:val="en-AU"/>
        </w:rPr>
        <w:t>MDF</w:t>
      </w:r>
      <w:r w:rsidR="00D21C1F">
        <w:rPr>
          <w:lang w:val="en-AU"/>
        </w:rPr>
        <w:t xml:space="preserve"> team a</w:t>
      </w:r>
      <w:r w:rsidR="00C9439C">
        <w:rPr>
          <w:lang w:val="en-AU"/>
        </w:rPr>
        <w:t>lso finalised a detailed</w:t>
      </w:r>
      <w:r w:rsidR="00D21C1F">
        <w:rPr>
          <w:lang w:val="en-AU"/>
        </w:rPr>
        <w:t xml:space="preserve"> analysis of poverty and gender in Sri Lanka that identified </w:t>
      </w:r>
      <w:r w:rsidR="002C1948">
        <w:t>how key drivers of exclusion can be tackled in partnership with the private sector</w:t>
      </w:r>
      <w:r w:rsidR="00C9439C">
        <w:rPr>
          <w:lang w:val="en-AU"/>
        </w:rPr>
        <w:t>. This is now guiding partner selection and business support.</w:t>
      </w:r>
      <w:r w:rsidR="004E037B">
        <w:rPr>
          <w:rStyle w:val="FootnoteReference"/>
          <w:lang w:val="en-AU"/>
        </w:rPr>
        <w:footnoteReference w:id="3"/>
      </w:r>
      <w:r w:rsidR="00C9439C">
        <w:rPr>
          <w:lang w:val="en-AU"/>
        </w:rPr>
        <w:t xml:space="preserve"> </w:t>
      </w:r>
      <w:r w:rsidR="00551BFB">
        <w:rPr>
          <w:lang w:val="en-AU"/>
        </w:rPr>
        <w:t xml:space="preserve"> </w:t>
      </w:r>
    </w:p>
    <w:p w14:paraId="0E637881" w14:textId="2A333635" w:rsidR="00FD01FA" w:rsidRDefault="009F7A8B" w:rsidP="00231152">
      <w:pPr>
        <w:rPr>
          <w:lang w:val="en-AU"/>
        </w:rPr>
      </w:pPr>
      <w:r w:rsidRPr="009F7A8B">
        <w:rPr>
          <w:bCs/>
          <w:lang w:val="en-AU"/>
        </w:rPr>
        <w:t>S4</w:t>
      </w:r>
      <w:r w:rsidR="00000762">
        <w:rPr>
          <w:bCs/>
          <w:lang w:val="en-AU"/>
        </w:rPr>
        <w:t>I</w:t>
      </w:r>
      <w:r w:rsidRPr="009F7A8B">
        <w:rPr>
          <w:bCs/>
          <w:lang w:val="en-AU"/>
        </w:rPr>
        <w:t>G</w:t>
      </w:r>
      <w:r w:rsidRPr="009F7A8B">
        <w:rPr>
          <w:lang w:val="en-AU"/>
        </w:rPr>
        <w:t xml:space="preserve"> commenced implementation </w:t>
      </w:r>
      <w:r>
        <w:rPr>
          <w:lang w:val="en-AU"/>
        </w:rPr>
        <w:t xml:space="preserve">as </w:t>
      </w:r>
      <w:r w:rsidR="00886B71">
        <w:rPr>
          <w:lang w:val="en-AU"/>
        </w:rPr>
        <w:t>plann</w:t>
      </w:r>
      <w:r>
        <w:rPr>
          <w:lang w:val="en-AU"/>
        </w:rPr>
        <w:t xml:space="preserve">ed </w:t>
      </w:r>
      <w:r w:rsidRPr="009F7A8B">
        <w:rPr>
          <w:lang w:val="en-AU"/>
        </w:rPr>
        <w:t>in Jan</w:t>
      </w:r>
      <w:r>
        <w:rPr>
          <w:lang w:val="en-AU"/>
        </w:rPr>
        <w:t>uary</w:t>
      </w:r>
      <w:r w:rsidRPr="009F7A8B">
        <w:rPr>
          <w:lang w:val="en-AU"/>
        </w:rPr>
        <w:t xml:space="preserve"> 2017</w:t>
      </w:r>
      <w:r w:rsidR="00A00EBA">
        <w:rPr>
          <w:lang w:val="en-AU"/>
        </w:rPr>
        <w:t xml:space="preserve">. Staff recruitment </w:t>
      </w:r>
      <w:r w:rsidRPr="009F7A8B">
        <w:rPr>
          <w:lang w:val="en-AU"/>
        </w:rPr>
        <w:t xml:space="preserve">and </w:t>
      </w:r>
      <w:r w:rsidR="00551BFB">
        <w:rPr>
          <w:lang w:val="en-AU"/>
        </w:rPr>
        <w:t xml:space="preserve">baseline and activity design </w:t>
      </w:r>
      <w:r w:rsidRPr="009F7A8B">
        <w:rPr>
          <w:lang w:val="en-AU"/>
        </w:rPr>
        <w:t>research</w:t>
      </w:r>
      <w:r w:rsidR="00551BFB">
        <w:rPr>
          <w:lang w:val="en-AU"/>
        </w:rPr>
        <w:t xml:space="preserve"> </w:t>
      </w:r>
      <w:r w:rsidR="00A00EBA">
        <w:rPr>
          <w:lang w:val="en-AU"/>
        </w:rPr>
        <w:t xml:space="preserve">are </w:t>
      </w:r>
      <w:r w:rsidR="00886B71">
        <w:rPr>
          <w:lang w:val="en-AU"/>
        </w:rPr>
        <w:t>well advanced</w:t>
      </w:r>
      <w:r w:rsidR="00551BFB">
        <w:rPr>
          <w:lang w:val="en-AU"/>
        </w:rPr>
        <w:t xml:space="preserve">, with an initial activity </w:t>
      </w:r>
      <w:r w:rsidR="00FD01FA">
        <w:rPr>
          <w:lang w:val="en-AU"/>
        </w:rPr>
        <w:t>supporting</w:t>
      </w:r>
      <w:r w:rsidR="00551BFB">
        <w:rPr>
          <w:lang w:val="en-AU"/>
        </w:rPr>
        <w:t xml:space="preserve"> local Chambers of Commerce</w:t>
      </w:r>
      <w:r w:rsidR="00FD01FA">
        <w:rPr>
          <w:lang w:val="en-AU"/>
        </w:rPr>
        <w:t xml:space="preserve"> to deliver video-based training on-the-job in basic skill</w:t>
      </w:r>
      <w:r w:rsidR="002C1948">
        <w:rPr>
          <w:lang w:val="en-AU"/>
        </w:rPr>
        <w:t>s</w:t>
      </w:r>
      <w:r w:rsidR="00F001B2">
        <w:rPr>
          <w:lang w:val="en-AU"/>
        </w:rPr>
        <w:t xml:space="preserve"> about to commence</w:t>
      </w:r>
      <w:r w:rsidR="00551BFB">
        <w:rPr>
          <w:lang w:val="en-AU"/>
        </w:rPr>
        <w:t>.</w:t>
      </w:r>
      <w:r w:rsidR="00A00EBA">
        <w:rPr>
          <w:lang w:val="en-AU"/>
        </w:rPr>
        <w:t xml:space="preserve"> The first</w:t>
      </w:r>
      <w:r w:rsidR="00231152">
        <w:rPr>
          <w:lang w:val="en-AU"/>
        </w:rPr>
        <w:t xml:space="preserve"> outputs of S4</w:t>
      </w:r>
      <w:r w:rsidR="00000762">
        <w:rPr>
          <w:lang w:val="en-AU"/>
        </w:rPr>
        <w:t>I</w:t>
      </w:r>
      <w:r w:rsidR="00231152">
        <w:rPr>
          <w:lang w:val="en-AU"/>
        </w:rPr>
        <w:t>G will be reported on in next year’s APPR.</w:t>
      </w:r>
      <w:r w:rsidR="004E037B">
        <w:rPr>
          <w:rStyle w:val="FootnoteReference"/>
          <w:lang w:val="en-AU"/>
        </w:rPr>
        <w:footnoteReference w:id="4"/>
      </w:r>
      <w:r w:rsidRPr="009F7A8B">
        <w:rPr>
          <w:lang w:val="en-AU"/>
        </w:rPr>
        <w:t xml:space="preserve"> </w:t>
      </w:r>
    </w:p>
    <w:p w14:paraId="7ED66028" w14:textId="0E4F2DAA" w:rsidR="007A4785" w:rsidRPr="00231152" w:rsidRDefault="00FD01FA" w:rsidP="00231152">
      <w:r>
        <w:rPr>
          <w:lang w:val="en-AU"/>
        </w:rPr>
        <w:t>Australia’s</w:t>
      </w:r>
      <w:r w:rsidR="0017709B" w:rsidRPr="0017709B">
        <w:t xml:space="preserve"> long-running Community Forestry </w:t>
      </w:r>
      <w:r>
        <w:t>partnership with the Forestry Department in Sri Lanka</w:t>
      </w:r>
      <w:r w:rsidR="00231152">
        <w:t xml:space="preserve"> ended in </w:t>
      </w:r>
      <w:r w:rsidR="0017709B" w:rsidRPr="0017709B">
        <w:t>December 2016</w:t>
      </w:r>
      <w:r w:rsidR="00231152">
        <w:t xml:space="preserve">. An independent completion report found </w:t>
      </w:r>
      <w:r w:rsidR="00551BFB">
        <w:t>that the investment</w:t>
      </w:r>
      <w:r w:rsidR="00C614CD">
        <w:t xml:space="preserve"> has reduced </w:t>
      </w:r>
      <w:r w:rsidR="00F001B2">
        <w:t>‘</w:t>
      </w:r>
      <w:r w:rsidR="00C614CD">
        <w:t>chena</w:t>
      </w:r>
      <w:r w:rsidR="00F001B2">
        <w:t>’</w:t>
      </w:r>
      <w:r w:rsidR="00C614CD">
        <w:t xml:space="preserve"> </w:t>
      </w:r>
      <w:r w:rsidR="006A5935">
        <w:t xml:space="preserve">or </w:t>
      </w:r>
      <w:r w:rsidR="00F001B2">
        <w:t>‘</w:t>
      </w:r>
      <w:r w:rsidR="006A5935">
        <w:t xml:space="preserve">slash and burn’ </w:t>
      </w:r>
      <w:r w:rsidR="00C614CD">
        <w:t>cultivation,</w:t>
      </w:r>
      <w:r w:rsidR="00551BFB">
        <w:t xml:space="preserve"> </w:t>
      </w:r>
      <w:r w:rsidR="00DD2B44">
        <w:t xml:space="preserve">established a network of sustainable new forest plots that could increase carbon </w:t>
      </w:r>
      <w:r w:rsidR="0067095D">
        <w:t xml:space="preserve">storage </w:t>
      </w:r>
      <w:r w:rsidR="00DD2B44">
        <w:t xml:space="preserve">and </w:t>
      </w:r>
      <w:r w:rsidR="00231152" w:rsidRPr="00231152">
        <w:t>contributed to increase</w:t>
      </w:r>
      <w:r w:rsidR="00551BFB">
        <w:t>s</w:t>
      </w:r>
      <w:r w:rsidR="00231152" w:rsidRPr="00231152">
        <w:t xml:space="preserve"> </w:t>
      </w:r>
      <w:r w:rsidR="00551BFB">
        <w:t>i</w:t>
      </w:r>
      <w:r w:rsidR="00DD2B44">
        <w:t>n i</w:t>
      </w:r>
      <w:r w:rsidR="00551BFB">
        <w:t>ncome</w:t>
      </w:r>
      <w:r w:rsidR="00C614CD">
        <w:t xml:space="preserve"> </w:t>
      </w:r>
      <w:r w:rsidR="00DD2B44">
        <w:t>for local</w:t>
      </w:r>
      <w:r w:rsidR="00C614CD">
        <w:t xml:space="preserve"> poor men and women</w:t>
      </w:r>
      <w:r w:rsidR="00DD2B44">
        <w:t>.  Additional income was generated from a combination of</w:t>
      </w:r>
      <w:r w:rsidR="00231152" w:rsidRPr="00231152">
        <w:t xml:space="preserve"> </w:t>
      </w:r>
      <w:r w:rsidR="00551BFB">
        <w:t xml:space="preserve">direct </w:t>
      </w:r>
      <w:r w:rsidR="00231152" w:rsidRPr="00231152">
        <w:t>payments for labour work</w:t>
      </w:r>
      <w:r w:rsidR="00DD2B44">
        <w:t xml:space="preserve"> and</w:t>
      </w:r>
      <w:r w:rsidR="00231152" w:rsidRPr="00231152">
        <w:t xml:space="preserve"> diversification of</w:t>
      </w:r>
      <w:r w:rsidR="00DD2B44">
        <w:t xml:space="preserve"> household economic activities </w:t>
      </w:r>
      <w:r w:rsidR="00551BFB">
        <w:t xml:space="preserve">through the </w:t>
      </w:r>
      <w:r w:rsidR="00231152" w:rsidRPr="00231152">
        <w:t>establish</w:t>
      </w:r>
      <w:r w:rsidR="00551BFB">
        <w:t xml:space="preserve">ment of </w:t>
      </w:r>
      <w:r w:rsidR="00DD2B44">
        <w:t xml:space="preserve">new </w:t>
      </w:r>
      <w:r w:rsidR="00551BFB">
        <w:t xml:space="preserve">micro enterprises </w:t>
      </w:r>
      <w:r w:rsidR="00231152" w:rsidRPr="00231152">
        <w:t>an</w:t>
      </w:r>
      <w:r w:rsidR="00551BFB">
        <w:t>d home garden</w:t>
      </w:r>
      <w:r w:rsidR="00DD2B44">
        <w:t>s</w:t>
      </w:r>
      <w:r w:rsidR="00231152" w:rsidRPr="00231152">
        <w:t>.</w:t>
      </w:r>
      <w:r w:rsidR="00D21DB1">
        <w:rPr>
          <w:rStyle w:val="FootnoteReference"/>
        </w:rPr>
        <w:footnoteReference w:id="5"/>
      </w:r>
      <w:r>
        <w:t xml:space="preserve"> </w:t>
      </w:r>
    </w:p>
    <w:p w14:paraId="3BBBAEC1" w14:textId="154C18B1" w:rsidR="005B5769" w:rsidRDefault="005B5769" w:rsidP="00015316"/>
    <w:p w14:paraId="42E3827C" w14:textId="58E4C2D9" w:rsidR="00D80E7D" w:rsidRPr="00015316" w:rsidRDefault="00D80E7D" w:rsidP="00D80E7D">
      <w:r w:rsidRPr="002A51CA">
        <w:rPr>
          <w:rFonts w:asciiTheme="majorHAnsi" w:eastAsiaTheme="majorEastAsia" w:hAnsiTheme="majorHAnsi" w:cstheme="majorBidi"/>
          <w:caps/>
          <w:sz w:val="38"/>
          <w:szCs w:val="26"/>
        </w:rPr>
        <w:t xml:space="preserve">Objective </w:t>
      </w:r>
      <w:r>
        <w:rPr>
          <w:rFonts w:asciiTheme="majorHAnsi" w:eastAsiaTheme="majorEastAsia" w:hAnsiTheme="majorHAnsi" w:cstheme="majorBidi"/>
          <w:caps/>
          <w:sz w:val="38"/>
          <w:szCs w:val="26"/>
        </w:rPr>
        <w:t>2 – Support government to be responsive to the needs of citizens and the private sector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524"/>
        <w:gridCol w:w="1524"/>
        <w:gridCol w:w="1525"/>
        <w:gridCol w:w="1524"/>
        <w:gridCol w:w="1525"/>
      </w:tblGrid>
      <w:tr w:rsidR="009C11C8" w:rsidRPr="00695730" w14:paraId="63929C6F" w14:textId="77777777" w:rsidTr="009C11C8">
        <w:tc>
          <w:tcPr>
            <w:tcW w:w="2016" w:type="dxa"/>
          </w:tcPr>
          <w:p w14:paraId="55FC686F" w14:textId="77777777" w:rsidR="009C11C8" w:rsidRPr="00695730" w:rsidRDefault="009C11C8" w:rsidP="009C11C8">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0A88458B" wp14:editId="28E0893D">
                  <wp:extent cx="1137600" cy="720000"/>
                  <wp:effectExtent l="0" t="0" r="5715"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524" w:type="dxa"/>
          </w:tcPr>
          <w:p w14:paraId="4F3F3EEB" w14:textId="77777777" w:rsidR="009C11C8" w:rsidRPr="00695730" w:rsidRDefault="009C11C8" w:rsidP="009C11C8">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48FDB549" wp14:editId="4820A057">
                  <wp:extent cx="609600" cy="6096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524" w:type="dxa"/>
          </w:tcPr>
          <w:p w14:paraId="485D99FB" w14:textId="5C5721D9" w:rsidR="009C11C8" w:rsidRPr="00695730" w:rsidRDefault="009C11C8" w:rsidP="009C11C8">
            <w:pPr>
              <w:suppressAutoHyphens w:val="0"/>
              <w:spacing w:before="160" w:after="80" w:line="240" w:lineRule="auto"/>
              <w:jc w:val="center"/>
              <w:rPr>
                <w:rFonts w:asciiTheme="majorHAnsi" w:eastAsiaTheme="majorEastAsia" w:hAnsiTheme="majorHAnsi" w:cstheme="majorBidi"/>
                <w:caps/>
                <w:sz w:val="38"/>
                <w:szCs w:val="26"/>
              </w:rPr>
            </w:pPr>
            <w:r w:rsidRPr="009C11C8">
              <w:rPr>
                <w:rFonts w:ascii="Calibri" w:eastAsia="Calibri" w:hAnsi="Calibri" w:cs="Times New Roman"/>
                <w:noProof/>
                <w:color w:val="44546A"/>
                <w:lang w:val="en-AU" w:eastAsia="en-AU"/>
              </w:rPr>
              <w:drawing>
                <wp:inline distT="0" distB="0" distL="0" distR="0" wp14:anchorId="15BA5E4C" wp14:editId="29C042A2">
                  <wp:extent cx="612000" cy="6120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5" w:type="dxa"/>
          </w:tcPr>
          <w:p w14:paraId="49E91F81" w14:textId="26353E9B" w:rsidR="009C11C8" w:rsidRPr="00695730" w:rsidRDefault="009C11C8" w:rsidP="009C11C8">
            <w:pPr>
              <w:suppressAutoHyphens w:val="0"/>
              <w:spacing w:before="160" w:after="80" w:line="240" w:lineRule="auto"/>
              <w:jc w:val="center"/>
              <w:rPr>
                <w:rFonts w:asciiTheme="majorHAnsi" w:eastAsiaTheme="majorEastAsia" w:hAnsiTheme="majorHAnsi" w:cstheme="majorBidi"/>
                <w:caps/>
                <w:sz w:val="38"/>
                <w:szCs w:val="26"/>
              </w:rPr>
            </w:pPr>
            <w:r w:rsidRPr="009C11C8">
              <w:rPr>
                <w:rFonts w:ascii="Calibri" w:eastAsia="Calibri" w:hAnsi="Calibri" w:cs="Times New Roman"/>
                <w:noProof/>
                <w:color w:val="44546A"/>
                <w:lang w:val="en-AU" w:eastAsia="en-AU"/>
              </w:rPr>
              <w:drawing>
                <wp:inline distT="0" distB="0" distL="0" distR="0" wp14:anchorId="63AF96ED" wp14:editId="623DDB09">
                  <wp:extent cx="612000" cy="6120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4" w:type="dxa"/>
          </w:tcPr>
          <w:p w14:paraId="0F6A723B" w14:textId="3C5508CA" w:rsidR="009C11C8" w:rsidRPr="00695730" w:rsidRDefault="009C11C8" w:rsidP="009C11C8">
            <w:pPr>
              <w:suppressAutoHyphens w:val="0"/>
              <w:spacing w:before="160" w:after="80" w:line="240" w:lineRule="auto"/>
              <w:jc w:val="center"/>
              <w:rPr>
                <w:rFonts w:asciiTheme="majorHAnsi" w:eastAsiaTheme="majorEastAsia" w:hAnsiTheme="majorHAnsi" w:cstheme="majorBidi"/>
                <w:caps/>
                <w:sz w:val="38"/>
                <w:szCs w:val="26"/>
              </w:rPr>
            </w:pPr>
            <w:r w:rsidRPr="009C11C8">
              <w:rPr>
                <w:rFonts w:ascii="Calibri" w:eastAsia="Calibri" w:hAnsi="Calibri" w:cs="Times New Roman"/>
                <w:noProof/>
                <w:color w:val="44546A"/>
                <w:lang w:val="en-AU" w:eastAsia="en-AU"/>
              </w:rPr>
              <w:drawing>
                <wp:inline distT="0" distB="0" distL="0" distR="0" wp14:anchorId="253EF996" wp14:editId="7BF9BEEA">
                  <wp:extent cx="608400" cy="612000"/>
                  <wp:effectExtent l="0" t="0" r="127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525" w:type="dxa"/>
          </w:tcPr>
          <w:p w14:paraId="01ACF729" w14:textId="13AEBBFF" w:rsidR="009C11C8" w:rsidRPr="009C11C8" w:rsidRDefault="009C11C8" w:rsidP="009C11C8">
            <w:pPr>
              <w:suppressAutoHyphens w:val="0"/>
              <w:spacing w:before="160" w:after="80" w:line="240" w:lineRule="auto"/>
              <w:jc w:val="center"/>
              <w:rPr>
                <w:rFonts w:ascii="Calibri" w:eastAsia="Calibri" w:hAnsi="Calibri" w:cs="Times New Roman"/>
                <w:noProof/>
                <w:color w:val="44546A"/>
                <w:lang w:val="en-AU" w:eastAsia="en-AU"/>
              </w:rPr>
            </w:pPr>
            <w:r w:rsidRPr="009C11C8">
              <w:rPr>
                <w:rFonts w:ascii="Calibri" w:eastAsia="Calibri" w:hAnsi="Calibri" w:cs="Times New Roman"/>
                <w:noProof/>
                <w:color w:val="44546A"/>
                <w:lang w:val="en-AU" w:eastAsia="en-AU"/>
              </w:rPr>
              <w:drawing>
                <wp:inline distT="0" distB="0" distL="0" distR="0" wp14:anchorId="316ECFAC" wp14:editId="0321CF82">
                  <wp:extent cx="612000" cy="61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14:paraId="3F0E6EF6" w14:textId="1A16738F" w:rsidR="0086765F" w:rsidRPr="00EA436A" w:rsidRDefault="00E80552" w:rsidP="000E6B1C">
      <w:pPr>
        <w:pStyle w:val="BodyText"/>
        <w:spacing w:before="240"/>
        <w:rPr>
          <w:rFonts w:asciiTheme="minorHAnsi" w:eastAsiaTheme="minorHAnsi" w:hAnsiTheme="minorHAnsi" w:cstheme="minorBidi"/>
          <w:color w:val="495965" w:themeColor="text2"/>
          <w:sz w:val="22"/>
          <w:szCs w:val="22"/>
          <w:lang w:val="en-GB" w:eastAsia="en-US"/>
        </w:rPr>
      </w:pPr>
      <w:r w:rsidRPr="00EA436A">
        <w:rPr>
          <w:rFonts w:asciiTheme="minorHAnsi" w:eastAsiaTheme="minorHAnsi" w:hAnsiTheme="minorHAnsi" w:cstheme="minorBidi"/>
          <w:color w:val="495965" w:themeColor="text2"/>
          <w:sz w:val="22"/>
          <w:szCs w:val="22"/>
          <w:lang w:val="en-GB" w:eastAsia="en-US"/>
        </w:rPr>
        <w:t>Progress toward this objective continues to be in line with expectations</w:t>
      </w:r>
      <w:r w:rsidR="00606B68" w:rsidRPr="00EA436A">
        <w:rPr>
          <w:rFonts w:asciiTheme="minorHAnsi" w:eastAsiaTheme="minorHAnsi" w:hAnsiTheme="minorHAnsi" w:cstheme="minorBidi"/>
          <w:color w:val="495965" w:themeColor="text2"/>
          <w:sz w:val="22"/>
          <w:szCs w:val="22"/>
          <w:lang w:val="en-GB" w:eastAsia="en-US"/>
        </w:rPr>
        <w:t xml:space="preserve">.  </w:t>
      </w:r>
      <w:r w:rsidR="00EA436A" w:rsidRPr="00EA436A">
        <w:rPr>
          <w:rFonts w:asciiTheme="minorHAnsi" w:eastAsiaTheme="minorHAnsi" w:hAnsiTheme="minorHAnsi" w:cstheme="minorBidi"/>
          <w:color w:val="495965" w:themeColor="text2"/>
          <w:sz w:val="22"/>
          <w:szCs w:val="22"/>
          <w:lang w:val="en-GB" w:eastAsia="en-US"/>
        </w:rPr>
        <w:t>However, t</w:t>
      </w:r>
      <w:r w:rsidR="00606B68" w:rsidRPr="00EA436A">
        <w:rPr>
          <w:rFonts w:asciiTheme="minorHAnsi" w:eastAsiaTheme="minorHAnsi" w:hAnsiTheme="minorHAnsi" w:cstheme="minorBidi"/>
          <w:color w:val="495965" w:themeColor="text2"/>
          <w:sz w:val="22"/>
          <w:szCs w:val="22"/>
          <w:lang w:val="en-GB" w:eastAsia="en-US"/>
        </w:rPr>
        <w:t xml:space="preserve">he performance benchmark of increased satisfaction of citizens and private sector </w:t>
      </w:r>
      <w:r w:rsidR="000E6B1C" w:rsidRPr="00EA436A">
        <w:rPr>
          <w:rFonts w:asciiTheme="minorHAnsi" w:eastAsiaTheme="minorHAnsi" w:hAnsiTheme="minorHAnsi" w:cstheme="minorBidi"/>
          <w:color w:val="495965" w:themeColor="text2"/>
          <w:sz w:val="22"/>
          <w:szCs w:val="22"/>
          <w:lang w:val="en-GB" w:eastAsia="en-US"/>
        </w:rPr>
        <w:t xml:space="preserve">with national and sub-national government performance </w:t>
      </w:r>
      <w:r w:rsidR="00606B68" w:rsidRPr="00EA436A">
        <w:rPr>
          <w:rFonts w:asciiTheme="minorHAnsi" w:eastAsiaTheme="minorHAnsi" w:hAnsiTheme="minorHAnsi" w:cstheme="minorBidi"/>
          <w:color w:val="495965" w:themeColor="text2"/>
          <w:sz w:val="22"/>
          <w:szCs w:val="22"/>
          <w:lang w:val="en-GB" w:eastAsia="en-US"/>
        </w:rPr>
        <w:t xml:space="preserve">has only been partially achieved.  </w:t>
      </w:r>
      <w:r w:rsidR="0086765F" w:rsidRPr="00EA436A">
        <w:rPr>
          <w:rFonts w:asciiTheme="minorHAnsi" w:hAnsiTheme="minorHAnsi"/>
          <w:iCs/>
          <w:color w:val="595959" w:themeColor="text1" w:themeTint="A6"/>
          <w:sz w:val="22"/>
          <w:szCs w:val="22"/>
          <w:lang w:eastAsia="en-US"/>
        </w:rPr>
        <w:t>Whilst our programs have supported the government to respond to the needs of people and business, with tangible results, satisfaction ratings were</w:t>
      </w:r>
      <w:r w:rsidR="00EA436A">
        <w:rPr>
          <w:rFonts w:asciiTheme="minorHAnsi" w:hAnsiTheme="minorHAnsi"/>
          <w:iCs/>
          <w:color w:val="595959" w:themeColor="text1" w:themeTint="A6"/>
          <w:sz w:val="22"/>
          <w:szCs w:val="22"/>
          <w:lang w:eastAsia="en-US"/>
        </w:rPr>
        <w:t xml:space="preserve"> mixed and</w:t>
      </w:r>
      <w:r w:rsidR="0086765F" w:rsidRPr="00EA436A">
        <w:rPr>
          <w:rFonts w:asciiTheme="minorHAnsi" w:hAnsiTheme="minorHAnsi"/>
          <w:iCs/>
          <w:color w:val="595959" w:themeColor="text1" w:themeTint="A6"/>
          <w:sz w:val="22"/>
          <w:szCs w:val="22"/>
          <w:lang w:eastAsia="en-US"/>
        </w:rPr>
        <w:t xml:space="preserve"> </w:t>
      </w:r>
      <w:r w:rsidR="002D4772">
        <w:rPr>
          <w:rFonts w:asciiTheme="minorHAnsi" w:hAnsiTheme="minorHAnsi"/>
          <w:iCs/>
          <w:color w:val="595959" w:themeColor="text1" w:themeTint="A6"/>
          <w:sz w:val="22"/>
          <w:szCs w:val="22"/>
          <w:lang w:eastAsia="en-US"/>
        </w:rPr>
        <w:t xml:space="preserve">affected </w:t>
      </w:r>
      <w:r w:rsidR="0086765F" w:rsidRPr="00EA436A">
        <w:rPr>
          <w:rFonts w:asciiTheme="minorHAnsi" w:hAnsiTheme="minorHAnsi"/>
          <w:iCs/>
          <w:color w:val="595959" w:themeColor="text1" w:themeTint="A6"/>
          <w:sz w:val="22"/>
          <w:szCs w:val="22"/>
          <w:lang w:eastAsia="en-US"/>
        </w:rPr>
        <w:t xml:space="preserve">by </w:t>
      </w:r>
      <w:r w:rsidR="002D4772">
        <w:rPr>
          <w:rFonts w:asciiTheme="minorHAnsi" w:hAnsiTheme="minorHAnsi"/>
          <w:iCs/>
          <w:color w:val="595959" w:themeColor="text1" w:themeTint="A6"/>
          <w:sz w:val="22"/>
          <w:szCs w:val="22"/>
          <w:lang w:eastAsia="en-US"/>
        </w:rPr>
        <w:t xml:space="preserve">broader </w:t>
      </w:r>
      <w:r w:rsidR="0086765F" w:rsidRPr="00EA436A">
        <w:rPr>
          <w:rFonts w:asciiTheme="minorHAnsi" w:hAnsiTheme="minorHAnsi"/>
          <w:iCs/>
          <w:color w:val="595959" w:themeColor="text1" w:themeTint="A6"/>
          <w:sz w:val="22"/>
          <w:szCs w:val="22"/>
          <w:lang w:eastAsia="en-US"/>
        </w:rPr>
        <w:t xml:space="preserve">perceptions of Sri Lankan government.  </w:t>
      </w:r>
    </w:p>
    <w:p w14:paraId="6615A2E0" w14:textId="7FD5EB10" w:rsidR="00AC3E6D" w:rsidRDefault="000E6B1C" w:rsidP="00E80552">
      <w:pPr>
        <w:pStyle w:val="BodyText"/>
        <w:spacing w:before="240"/>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A</w:t>
      </w:r>
      <w:r w:rsidR="00E80552">
        <w:rPr>
          <w:rFonts w:asciiTheme="minorHAnsi" w:eastAsiaTheme="minorHAnsi" w:hAnsiTheme="minorHAnsi" w:cstheme="minorBidi"/>
          <w:color w:val="495965" w:themeColor="text2"/>
          <w:sz w:val="22"/>
          <w:szCs w:val="22"/>
          <w:lang w:val="en-GB" w:eastAsia="en-US"/>
        </w:rPr>
        <w:t xml:space="preserve"> major achievement over the past year being the finalisation of the design </w:t>
      </w:r>
      <w:r w:rsidR="00DD2B44">
        <w:rPr>
          <w:rFonts w:asciiTheme="minorHAnsi" w:eastAsiaTheme="minorHAnsi" w:hAnsiTheme="minorHAnsi" w:cstheme="minorBidi"/>
          <w:color w:val="495965" w:themeColor="text2"/>
          <w:sz w:val="22"/>
          <w:szCs w:val="22"/>
          <w:lang w:val="en-GB" w:eastAsia="en-US"/>
        </w:rPr>
        <w:t>of</w:t>
      </w:r>
      <w:r w:rsidR="00E80552">
        <w:rPr>
          <w:rFonts w:asciiTheme="minorHAnsi" w:eastAsiaTheme="minorHAnsi" w:hAnsiTheme="minorHAnsi" w:cstheme="minorBidi"/>
          <w:color w:val="495965" w:themeColor="text2"/>
          <w:sz w:val="22"/>
          <w:szCs w:val="22"/>
          <w:lang w:val="en-GB" w:eastAsia="en-US"/>
        </w:rPr>
        <w:t xml:space="preserve"> a new cornerstone investment, Governance for Growth</w:t>
      </w:r>
      <w:r w:rsidR="00873A3A">
        <w:rPr>
          <w:rFonts w:asciiTheme="minorHAnsi" w:eastAsiaTheme="minorHAnsi" w:hAnsiTheme="minorHAnsi" w:cstheme="minorBidi"/>
          <w:color w:val="495965" w:themeColor="text2"/>
          <w:sz w:val="22"/>
          <w:szCs w:val="22"/>
          <w:lang w:val="en-GB" w:eastAsia="en-US"/>
        </w:rPr>
        <w:t xml:space="preserve"> (G4G)</w:t>
      </w:r>
      <w:r w:rsidR="00E80552" w:rsidRPr="00E80552">
        <w:rPr>
          <w:rFonts w:asciiTheme="minorHAnsi" w:eastAsiaTheme="minorHAnsi" w:hAnsiTheme="minorHAnsi" w:cstheme="minorBidi"/>
          <w:color w:val="495965" w:themeColor="text2"/>
          <w:sz w:val="22"/>
          <w:szCs w:val="22"/>
          <w:lang w:val="en-GB" w:eastAsia="en-US"/>
        </w:rPr>
        <w:t xml:space="preserve">. </w:t>
      </w:r>
      <w:r w:rsidR="00873A3A">
        <w:rPr>
          <w:rFonts w:asciiTheme="minorHAnsi" w:eastAsiaTheme="minorHAnsi" w:hAnsiTheme="minorHAnsi" w:cstheme="minorBidi"/>
          <w:color w:val="495965" w:themeColor="text2"/>
          <w:sz w:val="22"/>
          <w:szCs w:val="22"/>
          <w:lang w:val="en-GB" w:eastAsia="en-US"/>
        </w:rPr>
        <w:t>I</w:t>
      </w:r>
      <w:r w:rsidR="00AC3E6D">
        <w:rPr>
          <w:rFonts w:asciiTheme="minorHAnsi" w:eastAsiaTheme="minorHAnsi" w:hAnsiTheme="minorHAnsi" w:cstheme="minorBidi"/>
          <w:color w:val="495965" w:themeColor="text2"/>
          <w:sz w:val="22"/>
          <w:szCs w:val="22"/>
          <w:lang w:val="en-GB" w:eastAsia="en-US"/>
        </w:rPr>
        <w:t>mplementation of the investment will now begin over the next reporting period.</w:t>
      </w:r>
      <w:r w:rsidR="00F959FC" w:rsidRPr="00F959FC">
        <w:rPr>
          <w:rFonts w:asciiTheme="minorHAnsi" w:eastAsiaTheme="minorHAnsi" w:hAnsiTheme="minorHAnsi" w:cstheme="minorBidi"/>
          <w:color w:val="495965" w:themeColor="text2"/>
          <w:sz w:val="22"/>
          <w:szCs w:val="22"/>
          <w:lang w:val="en-GB" w:eastAsia="en-US"/>
        </w:rPr>
        <w:t xml:space="preserve"> </w:t>
      </w:r>
      <w:r w:rsidR="00C9439C">
        <w:rPr>
          <w:rFonts w:asciiTheme="minorHAnsi" w:eastAsiaTheme="minorHAnsi" w:hAnsiTheme="minorHAnsi" w:cstheme="minorBidi"/>
          <w:color w:val="495965" w:themeColor="text2"/>
          <w:sz w:val="22"/>
          <w:szCs w:val="22"/>
          <w:lang w:val="en-GB" w:eastAsia="en-US"/>
        </w:rPr>
        <w:t xml:space="preserve">The investment will establish a monitoring, evaluation and learning (MEL) system that </w:t>
      </w:r>
      <w:r w:rsidR="00DD2B44">
        <w:rPr>
          <w:rFonts w:asciiTheme="minorHAnsi" w:eastAsiaTheme="minorHAnsi" w:hAnsiTheme="minorHAnsi" w:cstheme="minorBidi"/>
          <w:color w:val="495965" w:themeColor="text2"/>
          <w:sz w:val="22"/>
          <w:szCs w:val="22"/>
          <w:lang w:val="en-GB" w:eastAsia="en-US"/>
        </w:rPr>
        <w:t>informs both G4G and other Australian</w:t>
      </w:r>
      <w:r w:rsidR="00553EDA">
        <w:rPr>
          <w:rFonts w:asciiTheme="minorHAnsi" w:eastAsiaTheme="minorHAnsi" w:hAnsiTheme="minorHAnsi" w:cstheme="minorBidi"/>
          <w:color w:val="495965" w:themeColor="text2"/>
          <w:sz w:val="22"/>
          <w:szCs w:val="22"/>
          <w:lang w:val="en-GB" w:eastAsia="en-US"/>
        </w:rPr>
        <w:t xml:space="preserve"> </w:t>
      </w:r>
      <w:r w:rsidR="00DD2B44">
        <w:rPr>
          <w:rFonts w:asciiTheme="minorHAnsi" w:eastAsiaTheme="minorHAnsi" w:hAnsiTheme="minorHAnsi" w:cstheme="minorBidi"/>
          <w:color w:val="495965" w:themeColor="text2"/>
          <w:sz w:val="22"/>
          <w:szCs w:val="22"/>
          <w:lang w:val="en-GB" w:eastAsia="en-US"/>
        </w:rPr>
        <w:t xml:space="preserve">aid </w:t>
      </w:r>
      <w:r w:rsidR="00553EDA">
        <w:rPr>
          <w:rFonts w:asciiTheme="minorHAnsi" w:eastAsiaTheme="minorHAnsi" w:hAnsiTheme="minorHAnsi" w:cstheme="minorBidi"/>
          <w:color w:val="495965" w:themeColor="text2"/>
          <w:sz w:val="22"/>
          <w:szCs w:val="22"/>
          <w:lang w:val="en-GB" w:eastAsia="en-US"/>
        </w:rPr>
        <w:t>investments</w:t>
      </w:r>
      <w:r w:rsidR="00DD2B44">
        <w:rPr>
          <w:rFonts w:asciiTheme="minorHAnsi" w:eastAsiaTheme="minorHAnsi" w:hAnsiTheme="minorHAnsi" w:cstheme="minorBidi"/>
          <w:color w:val="495965" w:themeColor="text2"/>
          <w:sz w:val="22"/>
          <w:szCs w:val="22"/>
          <w:lang w:val="en-GB" w:eastAsia="en-US"/>
        </w:rPr>
        <w:t xml:space="preserve"> in Sri Lanka.</w:t>
      </w:r>
      <w:r w:rsidR="00CE3181">
        <w:rPr>
          <w:rFonts w:asciiTheme="minorHAnsi" w:eastAsiaTheme="minorHAnsi" w:hAnsiTheme="minorHAnsi" w:cstheme="minorBidi"/>
          <w:color w:val="495965" w:themeColor="text2"/>
          <w:sz w:val="22"/>
          <w:szCs w:val="22"/>
          <w:lang w:val="en-GB" w:eastAsia="en-US"/>
        </w:rPr>
        <w:t xml:space="preserve"> </w:t>
      </w:r>
    </w:p>
    <w:p w14:paraId="5C5FC980" w14:textId="020B0B62" w:rsidR="003752FA" w:rsidRPr="003752FA" w:rsidRDefault="003752FA" w:rsidP="003752FA">
      <w:pPr>
        <w:pStyle w:val="BodyText"/>
        <w:rPr>
          <w:rFonts w:asciiTheme="minorHAnsi" w:hAnsiTheme="minorHAnsi"/>
          <w:color w:val="495965" w:themeColor="text2"/>
          <w:sz w:val="22"/>
          <w:szCs w:val="22"/>
        </w:rPr>
      </w:pPr>
      <w:r>
        <w:rPr>
          <w:rFonts w:asciiTheme="minorHAnsi" w:hAnsiTheme="minorHAnsi"/>
          <w:color w:val="495965" w:themeColor="text2"/>
          <w:sz w:val="22"/>
          <w:szCs w:val="22"/>
        </w:rPr>
        <w:t xml:space="preserve">As a precursor to G4G, </w:t>
      </w:r>
      <w:r w:rsidRPr="003752FA">
        <w:rPr>
          <w:rFonts w:asciiTheme="minorHAnsi" w:hAnsiTheme="minorHAnsi"/>
          <w:color w:val="495965" w:themeColor="text2"/>
          <w:sz w:val="22"/>
          <w:szCs w:val="22"/>
        </w:rPr>
        <w:t>DFAT</w:t>
      </w:r>
      <w:r w:rsidR="00DD2B44">
        <w:rPr>
          <w:rFonts w:asciiTheme="minorHAnsi" w:hAnsiTheme="minorHAnsi"/>
          <w:color w:val="495965" w:themeColor="text2"/>
          <w:sz w:val="22"/>
          <w:szCs w:val="22"/>
        </w:rPr>
        <w:t xml:space="preserve"> invested</w:t>
      </w:r>
      <w:r w:rsidRPr="003752FA">
        <w:rPr>
          <w:rFonts w:asciiTheme="minorHAnsi" w:hAnsiTheme="minorHAnsi"/>
          <w:color w:val="495965" w:themeColor="text2"/>
          <w:sz w:val="22"/>
          <w:szCs w:val="22"/>
        </w:rPr>
        <w:t xml:space="preserve"> $2.7 million into the World Bank's </w:t>
      </w:r>
      <w:r w:rsidRPr="003752FA">
        <w:rPr>
          <w:rFonts w:asciiTheme="minorHAnsi" w:hAnsiTheme="minorHAnsi"/>
          <w:i/>
          <w:iCs/>
          <w:color w:val="495965" w:themeColor="text2"/>
          <w:sz w:val="22"/>
          <w:szCs w:val="22"/>
        </w:rPr>
        <w:t>Unleashing the Competitiveness Potential of Sri Lankan Enterprises</w:t>
      </w:r>
      <w:r w:rsidRPr="003752FA">
        <w:rPr>
          <w:rFonts w:asciiTheme="minorHAnsi" w:hAnsiTheme="minorHAnsi"/>
          <w:color w:val="495965" w:themeColor="text2"/>
          <w:sz w:val="22"/>
          <w:szCs w:val="22"/>
        </w:rPr>
        <w:t xml:space="preserve"> program of diagnostics, advice and capacity building</w:t>
      </w:r>
      <w:r>
        <w:rPr>
          <w:rFonts w:asciiTheme="minorHAnsi" w:hAnsiTheme="minorHAnsi"/>
          <w:color w:val="495965" w:themeColor="text2"/>
          <w:sz w:val="22"/>
          <w:szCs w:val="22"/>
        </w:rPr>
        <w:t>. This</w:t>
      </w:r>
      <w:r w:rsidR="00EF69BF">
        <w:rPr>
          <w:rFonts w:asciiTheme="minorHAnsi" w:hAnsiTheme="minorHAnsi"/>
          <w:color w:val="495965" w:themeColor="text2"/>
          <w:sz w:val="22"/>
          <w:szCs w:val="22"/>
        </w:rPr>
        <w:t xml:space="preserve"> is</w:t>
      </w:r>
      <w:r>
        <w:rPr>
          <w:rFonts w:asciiTheme="minorHAnsi" w:hAnsiTheme="minorHAnsi"/>
          <w:color w:val="495965" w:themeColor="text2"/>
          <w:sz w:val="22"/>
          <w:szCs w:val="22"/>
        </w:rPr>
        <w:t xml:space="preserve"> focused</w:t>
      </w:r>
      <w:r w:rsidRPr="003752FA">
        <w:rPr>
          <w:rFonts w:asciiTheme="minorHAnsi" w:hAnsiTheme="minorHAnsi"/>
          <w:color w:val="495965" w:themeColor="text2"/>
          <w:sz w:val="22"/>
          <w:szCs w:val="22"/>
        </w:rPr>
        <w:t xml:space="preserve"> on improving the investment regime, supporting the Sri Lankan government's business environment reform agenda and strategically developing a competitive and sustainable tourism sector. Outputs have been consistent with expectations, with the most notable progress being the development of a new tourism strategy</w:t>
      </w:r>
      <w:r w:rsidR="003702D3">
        <w:rPr>
          <w:rFonts w:asciiTheme="minorHAnsi" w:hAnsiTheme="minorHAnsi"/>
          <w:color w:val="495965" w:themeColor="text2"/>
          <w:sz w:val="22"/>
          <w:szCs w:val="22"/>
        </w:rPr>
        <w:t>, a new trade policy</w:t>
      </w:r>
      <w:r w:rsidRPr="003752FA">
        <w:rPr>
          <w:rFonts w:asciiTheme="minorHAnsi" w:hAnsiTheme="minorHAnsi"/>
          <w:color w:val="495965" w:themeColor="text2"/>
          <w:sz w:val="22"/>
          <w:szCs w:val="22"/>
        </w:rPr>
        <w:t xml:space="preserve"> and </w:t>
      </w:r>
      <w:r>
        <w:rPr>
          <w:rFonts w:asciiTheme="minorHAnsi" w:hAnsiTheme="minorHAnsi"/>
          <w:color w:val="495965" w:themeColor="text2"/>
          <w:sz w:val="22"/>
          <w:szCs w:val="22"/>
        </w:rPr>
        <w:t>a</w:t>
      </w:r>
      <w:r w:rsidR="00286DD5">
        <w:rPr>
          <w:rFonts w:asciiTheme="minorHAnsi" w:hAnsiTheme="minorHAnsi"/>
          <w:color w:val="495965" w:themeColor="text2"/>
          <w:sz w:val="22"/>
          <w:szCs w:val="22"/>
        </w:rPr>
        <w:t xml:space="preserve"> Roadmap on Investment Climate</w:t>
      </w:r>
      <w:r>
        <w:rPr>
          <w:rFonts w:asciiTheme="minorHAnsi" w:hAnsiTheme="minorHAnsi"/>
          <w:color w:val="495965" w:themeColor="text2"/>
          <w:sz w:val="22"/>
          <w:szCs w:val="22"/>
        </w:rPr>
        <w:t xml:space="preserve"> </w:t>
      </w:r>
      <w:r w:rsidR="00286DD5">
        <w:rPr>
          <w:rFonts w:asciiTheme="minorHAnsi" w:hAnsiTheme="minorHAnsi"/>
          <w:color w:val="495965" w:themeColor="text2"/>
          <w:sz w:val="22"/>
          <w:szCs w:val="22"/>
        </w:rPr>
        <w:t>R</w:t>
      </w:r>
      <w:r>
        <w:rPr>
          <w:rFonts w:asciiTheme="minorHAnsi" w:hAnsiTheme="minorHAnsi"/>
          <w:color w:val="495965" w:themeColor="text2"/>
          <w:sz w:val="22"/>
          <w:szCs w:val="22"/>
        </w:rPr>
        <w:t>eform</w:t>
      </w:r>
      <w:r w:rsidRPr="003752FA">
        <w:rPr>
          <w:rFonts w:asciiTheme="minorHAnsi" w:hAnsiTheme="minorHAnsi"/>
          <w:color w:val="495965" w:themeColor="text2"/>
          <w:sz w:val="22"/>
          <w:szCs w:val="22"/>
        </w:rPr>
        <w:t xml:space="preserve">. </w:t>
      </w:r>
      <w:r w:rsidR="00225890">
        <w:rPr>
          <w:rFonts w:asciiTheme="minorHAnsi" w:hAnsiTheme="minorHAnsi"/>
          <w:color w:val="495965" w:themeColor="text2"/>
          <w:sz w:val="22"/>
          <w:szCs w:val="22"/>
        </w:rPr>
        <w:t>Toward the end of the reporting period, t</w:t>
      </w:r>
      <w:r w:rsidRPr="003752FA">
        <w:rPr>
          <w:rFonts w:asciiTheme="minorHAnsi" w:hAnsiTheme="minorHAnsi"/>
          <w:color w:val="495965" w:themeColor="text2"/>
          <w:sz w:val="22"/>
          <w:szCs w:val="22"/>
          <w:lang w:val="en-GB"/>
        </w:rPr>
        <w:t xml:space="preserve">he Sri Lanka program also entered into a new </w:t>
      </w:r>
      <w:r w:rsidR="0083553F">
        <w:rPr>
          <w:rFonts w:asciiTheme="minorHAnsi" w:hAnsiTheme="minorHAnsi"/>
          <w:color w:val="495965" w:themeColor="text2"/>
          <w:sz w:val="22"/>
          <w:szCs w:val="22"/>
          <w:lang w:val="en-GB"/>
        </w:rPr>
        <w:t xml:space="preserve">two-year </w:t>
      </w:r>
      <w:r w:rsidRPr="003752FA">
        <w:rPr>
          <w:rFonts w:asciiTheme="minorHAnsi" w:hAnsiTheme="minorHAnsi"/>
          <w:color w:val="495965" w:themeColor="text2"/>
          <w:sz w:val="22"/>
          <w:szCs w:val="22"/>
          <w:lang w:val="en-GB"/>
        </w:rPr>
        <w:t xml:space="preserve">arrangement with the World Bank to deliver a </w:t>
      </w:r>
      <w:r w:rsidR="003702D3">
        <w:rPr>
          <w:rFonts w:asciiTheme="minorHAnsi" w:hAnsiTheme="minorHAnsi"/>
          <w:color w:val="495965" w:themeColor="text2"/>
          <w:sz w:val="22"/>
          <w:szCs w:val="22"/>
          <w:lang w:val="en-GB"/>
        </w:rPr>
        <w:t xml:space="preserve">further </w:t>
      </w:r>
      <w:r w:rsidRPr="003752FA">
        <w:rPr>
          <w:rFonts w:asciiTheme="minorHAnsi" w:hAnsiTheme="minorHAnsi"/>
          <w:color w:val="495965" w:themeColor="text2"/>
          <w:sz w:val="22"/>
          <w:szCs w:val="22"/>
          <w:lang w:val="en-GB"/>
        </w:rPr>
        <w:t>$6 million program of diagnostics, advice and capacity-building focused on trade policy, strengthening export competitiveness</w:t>
      </w:r>
      <w:r w:rsidR="00B57754">
        <w:rPr>
          <w:rFonts w:asciiTheme="minorHAnsi" w:hAnsiTheme="minorHAnsi"/>
          <w:color w:val="495965" w:themeColor="text2"/>
          <w:sz w:val="22"/>
          <w:szCs w:val="22"/>
          <w:lang w:val="en-GB"/>
        </w:rPr>
        <w:t>, promoting innovation and entrepreneurships,</w:t>
      </w:r>
      <w:r w:rsidRPr="003752FA">
        <w:rPr>
          <w:rFonts w:asciiTheme="minorHAnsi" w:hAnsiTheme="minorHAnsi"/>
          <w:color w:val="495965" w:themeColor="text2"/>
          <w:sz w:val="22"/>
          <w:szCs w:val="22"/>
          <w:lang w:val="en-GB"/>
        </w:rPr>
        <w:t xml:space="preserve"> and reducing the market distortions cre</w:t>
      </w:r>
      <w:r w:rsidR="002D4772">
        <w:rPr>
          <w:rFonts w:asciiTheme="minorHAnsi" w:hAnsiTheme="minorHAnsi"/>
          <w:color w:val="495965" w:themeColor="text2"/>
          <w:sz w:val="22"/>
          <w:szCs w:val="22"/>
          <w:lang w:val="en-GB"/>
        </w:rPr>
        <w:t>ated by State Owned Enterprises.</w:t>
      </w:r>
      <w:r w:rsidR="00DF4EB7">
        <w:rPr>
          <w:rStyle w:val="FootnoteReference"/>
          <w:rFonts w:asciiTheme="minorHAnsi" w:hAnsiTheme="minorHAnsi"/>
          <w:color w:val="495965" w:themeColor="text2"/>
          <w:sz w:val="22"/>
          <w:szCs w:val="22"/>
          <w:lang w:val="en-GB"/>
        </w:rPr>
        <w:footnoteReference w:id="6"/>
      </w:r>
      <w:r w:rsidR="002D4772">
        <w:rPr>
          <w:rFonts w:asciiTheme="minorHAnsi" w:hAnsiTheme="minorHAnsi"/>
          <w:color w:val="495965" w:themeColor="text2"/>
          <w:sz w:val="22"/>
          <w:szCs w:val="22"/>
          <w:lang w:val="en-GB"/>
        </w:rPr>
        <w:t xml:space="preserve"> </w:t>
      </w:r>
      <w:r w:rsidR="00E83458">
        <w:rPr>
          <w:rFonts w:asciiTheme="minorHAnsi" w:hAnsiTheme="minorHAnsi"/>
          <w:color w:val="495965" w:themeColor="text2"/>
          <w:sz w:val="22"/>
          <w:szCs w:val="22"/>
          <w:lang w:val="en-GB"/>
        </w:rPr>
        <w:t xml:space="preserve">In addition to assisting Sri Lanka’s economic reform program, this investment </w:t>
      </w:r>
      <w:r w:rsidR="00E83458">
        <w:rPr>
          <w:rFonts w:asciiTheme="minorHAnsi" w:hAnsiTheme="minorHAnsi"/>
          <w:iCs/>
          <w:color w:val="495965" w:themeColor="text2"/>
          <w:sz w:val="22"/>
          <w:szCs w:val="22"/>
          <w:lang w:val="en-GB"/>
        </w:rPr>
        <w:t xml:space="preserve">helps Sri Lanka meet criteria that will trigger </w:t>
      </w:r>
      <w:r w:rsidR="003702D3">
        <w:rPr>
          <w:rFonts w:asciiTheme="minorHAnsi" w:hAnsiTheme="minorHAnsi"/>
          <w:iCs/>
          <w:color w:val="495965" w:themeColor="text2"/>
          <w:sz w:val="22"/>
          <w:szCs w:val="22"/>
          <w:lang w:val="en-GB"/>
        </w:rPr>
        <w:t xml:space="preserve">over </w:t>
      </w:r>
      <w:r w:rsidR="00B57754">
        <w:rPr>
          <w:rFonts w:asciiTheme="minorHAnsi" w:hAnsiTheme="minorHAnsi"/>
          <w:iCs/>
          <w:color w:val="495965" w:themeColor="text2"/>
          <w:sz w:val="22"/>
          <w:szCs w:val="22"/>
          <w:lang w:val="en-GB"/>
        </w:rPr>
        <w:t>US</w:t>
      </w:r>
      <w:r w:rsidR="003702D3">
        <w:rPr>
          <w:rFonts w:asciiTheme="minorHAnsi" w:hAnsiTheme="minorHAnsi"/>
          <w:iCs/>
          <w:color w:val="495965" w:themeColor="text2"/>
          <w:sz w:val="22"/>
          <w:szCs w:val="22"/>
          <w:lang w:val="en-GB"/>
        </w:rPr>
        <w:t xml:space="preserve">$400 million in loans and state spending from the World Bank, JICA and the Sri Lankan </w:t>
      </w:r>
      <w:r w:rsidR="00B57754">
        <w:rPr>
          <w:rFonts w:asciiTheme="minorHAnsi" w:hAnsiTheme="minorHAnsi"/>
          <w:iCs/>
          <w:color w:val="495965" w:themeColor="text2"/>
          <w:sz w:val="22"/>
          <w:szCs w:val="22"/>
          <w:lang w:val="en-GB"/>
        </w:rPr>
        <w:t>g</w:t>
      </w:r>
      <w:r w:rsidR="003702D3">
        <w:rPr>
          <w:rFonts w:asciiTheme="minorHAnsi" w:hAnsiTheme="minorHAnsi"/>
          <w:iCs/>
          <w:color w:val="495965" w:themeColor="text2"/>
          <w:sz w:val="22"/>
          <w:szCs w:val="22"/>
          <w:lang w:val="en-GB"/>
        </w:rPr>
        <w:t>overnment</w:t>
      </w:r>
      <w:r w:rsidR="00E83458">
        <w:rPr>
          <w:rFonts w:asciiTheme="minorHAnsi" w:hAnsiTheme="minorHAnsi"/>
          <w:iCs/>
          <w:color w:val="495965" w:themeColor="text2"/>
          <w:sz w:val="22"/>
          <w:szCs w:val="22"/>
          <w:lang w:val="en-GB"/>
        </w:rPr>
        <w:t xml:space="preserve"> itself</w:t>
      </w:r>
      <w:r w:rsidR="003702D3">
        <w:rPr>
          <w:rFonts w:asciiTheme="minorHAnsi" w:hAnsiTheme="minorHAnsi"/>
          <w:iCs/>
          <w:color w:val="495965" w:themeColor="text2"/>
          <w:sz w:val="22"/>
          <w:szCs w:val="22"/>
          <w:lang w:val="en-GB"/>
        </w:rPr>
        <w:t xml:space="preserve">.  </w:t>
      </w:r>
    </w:p>
    <w:p w14:paraId="6660F96E" w14:textId="6BE215E4" w:rsidR="00225890" w:rsidRDefault="002D4772" w:rsidP="003752FA">
      <w:pPr>
        <w:pStyle w:val="BodyText"/>
        <w:spacing w:before="240"/>
        <w:rPr>
          <w:rFonts w:asciiTheme="minorHAnsi" w:eastAsiaTheme="minorHAnsi" w:hAnsiTheme="minorHAnsi" w:cstheme="minorBidi"/>
          <w:color w:val="495965" w:themeColor="text2"/>
          <w:sz w:val="22"/>
          <w:szCs w:val="22"/>
          <w:lang w:val="en-GB" w:eastAsia="en-US"/>
        </w:rPr>
      </w:pPr>
      <w:r>
        <w:rPr>
          <w:rFonts w:asciiTheme="minorHAnsi" w:hAnsiTheme="minorHAnsi"/>
          <w:color w:val="495965" w:themeColor="text2"/>
          <w:sz w:val="22"/>
          <w:szCs w:val="22"/>
        </w:rPr>
        <w:t xml:space="preserve">Devolution of power is a reconciliation issue in post-war Sri Lanka and our </w:t>
      </w:r>
      <w:r w:rsidR="001269A9">
        <w:rPr>
          <w:rFonts w:asciiTheme="minorHAnsi" w:hAnsiTheme="minorHAnsi"/>
          <w:color w:val="495965" w:themeColor="text2"/>
          <w:sz w:val="22"/>
          <w:szCs w:val="22"/>
        </w:rPr>
        <w:t>Subnational Governance Program</w:t>
      </w:r>
      <w:r w:rsidR="00EF69BF">
        <w:rPr>
          <w:rFonts w:asciiTheme="minorHAnsi" w:hAnsiTheme="minorHAnsi"/>
          <w:color w:val="495965" w:themeColor="text2"/>
          <w:sz w:val="22"/>
          <w:szCs w:val="22"/>
        </w:rPr>
        <w:t xml:space="preserve"> (SNGP)</w:t>
      </w:r>
      <w:r w:rsidR="001269A9">
        <w:rPr>
          <w:rFonts w:asciiTheme="minorHAnsi" w:hAnsiTheme="minorHAnsi"/>
          <w:color w:val="495965" w:themeColor="text2"/>
          <w:sz w:val="22"/>
          <w:szCs w:val="22"/>
        </w:rPr>
        <w:t>, delivered by The Asia Foundation, performed solidly over the year. P</w:t>
      </w:r>
      <w:r w:rsidR="003752FA" w:rsidRPr="003752FA">
        <w:rPr>
          <w:rFonts w:asciiTheme="minorHAnsi" w:hAnsiTheme="minorHAnsi"/>
          <w:color w:val="495965" w:themeColor="text2"/>
          <w:sz w:val="22"/>
          <w:szCs w:val="22"/>
        </w:rPr>
        <w:t>ilot sites</w:t>
      </w:r>
      <w:r w:rsidR="001269A9">
        <w:rPr>
          <w:rFonts w:asciiTheme="minorHAnsi" w:hAnsiTheme="minorHAnsi"/>
          <w:color w:val="495965" w:themeColor="text2"/>
          <w:sz w:val="22"/>
          <w:szCs w:val="22"/>
        </w:rPr>
        <w:t xml:space="preserve"> were selected</w:t>
      </w:r>
      <w:r w:rsidR="003752FA" w:rsidRPr="003752FA">
        <w:rPr>
          <w:rFonts w:asciiTheme="minorHAnsi" w:hAnsiTheme="minorHAnsi"/>
          <w:color w:val="495965" w:themeColor="text2"/>
          <w:sz w:val="22"/>
          <w:szCs w:val="22"/>
        </w:rPr>
        <w:t>; loc</w:t>
      </w:r>
      <w:r w:rsidR="001269A9">
        <w:rPr>
          <w:rFonts w:asciiTheme="minorHAnsi" w:hAnsiTheme="minorHAnsi"/>
          <w:color w:val="495965" w:themeColor="text2"/>
          <w:sz w:val="22"/>
          <w:szCs w:val="22"/>
        </w:rPr>
        <w:t>al government resource centres were established within Provincial Councils</w:t>
      </w:r>
      <w:r w:rsidR="003752FA" w:rsidRPr="003752FA">
        <w:rPr>
          <w:rFonts w:asciiTheme="minorHAnsi" w:hAnsiTheme="minorHAnsi"/>
          <w:color w:val="495965" w:themeColor="text2"/>
          <w:sz w:val="22"/>
          <w:szCs w:val="22"/>
        </w:rPr>
        <w:t xml:space="preserve">; </w:t>
      </w:r>
      <w:r w:rsidR="001269A9">
        <w:rPr>
          <w:rFonts w:asciiTheme="minorHAnsi" w:hAnsiTheme="minorHAnsi"/>
          <w:color w:val="495965" w:themeColor="text2"/>
          <w:sz w:val="22"/>
          <w:szCs w:val="22"/>
        </w:rPr>
        <w:t xml:space="preserve">a </w:t>
      </w:r>
      <w:r w:rsidR="00B90883">
        <w:rPr>
          <w:rFonts w:asciiTheme="minorHAnsi" w:hAnsiTheme="minorHAnsi"/>
          <w:color w:val="495965" w:themeColor="text2"/>
          <w:sz w:val="22"/>
          <w:szCs w:val="22"/>
        </w:rPr>
        <w:t>Gender Equality and Social Inclusion (</w:t>
      </w:r>
      <w:r w:rsidR="001269A9">
        <w:rPr>
          <w:rFonts w:asciiTheme="minorHAnsi" w:hAnsiTheme="minorHAnsi"/>
          <w:color w:val="495965" w:themeColor="text2"/>
          <w:sz w:val="22"/>
          <w:szCs w:val="22"/>
        </w:rPr>
        <w:t>GESI</w:t>
      </w:r>
      <w:r w:rsidR="00B90883">
        <w:rPr>
          <w:rFonts w:asciiTheme="minorHAnsi" w:hAnsiTheme="minorHAnsi"/>
          <w:color w:val="495965" w:themeColor="text2"/>
          <w:sz w:val="22"/>
          <w:szCs w:val="22"/>
        </w:rPr>
        <w:t>)</w:t>
      </w:r>
      <w:r w:rsidR="001269A9">
        <w:rPr>
          <w:rFonts w:asciiTheme="minorHAnsi" w:hAnsiTheme="minorHAnsi"/>
          <w:color w:val="495965" w:themeColor="text2"/>
          <w:sz w:val="22"/>
          <w:szCs w:val="22"/>
        </w:rPr>
        <w:t xml:space="preserve"> institutional assessment was </w:t>
      </w:r>
      <w:r w:rsidR="003752FA" w:rsidRPr="003752FA">
        <w:rPr>
          <w:rFonts w:asciiTheme="minorHAnsi" w:hAnsiTheme="minorHAnsi"/>
          <w:color w:val="495965" w:themeColor="text2"/>
          <w:sz w:val="22"/>
          <w:szCs w:val="22"/>
        </w:rPr>
        <w:t>carried out in 27 L</w:t>
      </w:r>
      <w:r w:rsidR="001269A9">
        <w:rPr>
          <w:rFonts w:asciiTheme="minorHAnsi" w:hAnsiTheme="minorHAnsi"/>
          <w:color w:val="495965" w:themeColor="text2"/>
          <w:sz w:val="22"/>
          <w:szCs w:val="22"/>
        </w:rPr>
        <w:t xml:space="preserve">ocal </w:t>
      </w:r>
      <w:r w:rsidR="003752FA" w:rsidRPr="003752FA">
        <w:rPr>
          <w:rFonts w:asciiTheme="minorHAnsi" w:hAnsiTheme="minorHAnsi"/>
          <w:color w:val="495965" w:themeColor="text2"/>
          <w:sz w:val="22"/>
          <w:szCs w:val="22"/>
        </w:rPr>
        <w:t>A</w:t>
      </w:r>
      <w:r w:rsidR="001269A9">
        <w:rPr>
          <w:rFonts w:asciiTheme="minorHAnsi" w:hAnsiTheme="minorHAnsi"/>
          <w:color w:val="495965" w:themeColor="text2"/>
          <w:sz w:val="22"/>
          <w:szCs w:val="22"/>
        </w:rPr>
        <w:t>uthoritie</w:t>
      </w:r>
      <w:r w:rsidR="003752FA" w:rsidRPr="003752FA">
        <w:rPr>
          <w:rFonts w:asciiTheme="minorHAnsi" w:hAnsiTheme="minorHAnsi"/>
          <w:color w:val="495965" w:themeColor="text2"/>
          <w:sz w:val="22"/>
          <w:szCs w:val="22"/>
        </w:rPr>
        <w:t>s</w:t>
      </w:r>
      <w:r w:rsidR="001269A9">
        <w:rPr>
          <w:rFonts w:asciiTheme="minorHAnsi" w:hAnsiTheme="minorHAnsi"/>
          <w:color w:val="495965" w:themeColor="text2"/>
          <w:sz w:val="22"/>
          <w:szCs w:val="22"/>
        </w:rPr>
        <w:t xml:space="preserve"> (LAs)</w:t>
      </w:r>
      <w:r w:rsidR="003752FA" w:rsidRPr="003752FA">
        <w:rPr>
          <w:rFonts w:asciiTheme="minorHAnsi" w:hAnsiTheme="minorHAnsi"/>
          <w:color w:val="495965" w:themeColor="text2"/>
          <w:sz w:val="22"/>
          <w:szCs w:val="22"/>
        </w:rPr>
        <w:t xml:space="preserve"> to design customized gender sensitivity training and</w:t>
      </w:r>
      <w:r w:rsidR="001269A9">
        <w:rPr>
          <w:rFonts w:asciiTheme="minorHAnsi" w:hAnsiTheme="minorHAnsi"/>
          <w:color w:val="495965" w:themeColor="text2"/>
          <w:sz w:val="22"/>
          <w:szCs w:val="22"/>
        </w:rPr>
        <w:t xml:space="preserve"> inform LA resource allocations</w:t>
      </w:r>
      <w:r w:rsidR="00EF69BF">
        <w:rPr>
          <w:rFonts w:asciiTheme="minorHAnsi" w:hAnsiTheme="minorHAnsi"/>
          <w:color w:val="495965" w:themeColor="text2"/>
          <w:sz w:val="22"/>
          <w:szCs w:val="22"/>
        </w:rPr>
        <w:t xml:space="preserve"> to better align with the priorities of women and girls</w:t>
      </w:r>
      <w:r w:rsidR="001269A9">
        <w:rPr>
          <w:rFonts w:asciiTheme="minorHAnsi" w:hAnsiTheme="minorHAnsi"/>
          <w:color w:val="495965" w:themeColor="text2"/>
          <w:sz w:val="22"/>
          <w:szCs w:val="22"/>
        </w:rPr>
        <w:t>.</w:t>
      </w:r>
      <w:r w:rsidR="003752FA" w:rsidRPr="003752FA">
        <w:rPr>
          <w:rFonts w:asciiTheme="minorHAnsi" w:hAnsiTheme="minorHAnsi"/>
          <w:color w:val="495965" w:themeColor="text2"/>
          <w:sz w:val="22"/>
          <w:szCs w:val="22"/>
        </w:rPr>
        <w:t xml:space="preserve"> The e-Citizen Report Card, budget monitoring tool, and revenue management tool we</w:t>
      </w:r>
      <w:r w:rsidR="001269A9">
        <w:rPr>
          <w:rFonts w:asciiTheme="minorHAnsi" w:hAnsiTheme="minorHAnsi"/>
          <w:color w:val="495965" w:themeColor="text2"/>
          <w:sz w:val="22"/>
          <w:szCs w:val="22"/>
        </w:rPr>
        <w:t>re all implemented in pilot LAs,</w:t>
      </w:r>
      <w:r w:rsidR="003752FA" w:rsidRPr="003752FA">
        <w:rPr>
          <w:rFonts w:asciiTheme="minorHAnsi" w:hAnsiTheme="minorHAnsi"/>
          <w:color w:val="495965" w:themeColor="text2"/>
          <w:sz w:val="22"/>
          <w:szCs w:val="22"/>
        </w:rPr>
        <w:t xml:space="preserve"> with 7 out of 9 pilot LAs acknowledging inputs provided by SNGP in published budget documents. </w:t>
      </w:r>
      <w:r w:rsidR="001269A9">
        <w:rPr>
          <w:rFonts w:asciiTheme="minorHAnsi" w:hAnsiTheme="minorHAnsi"/>
          <w:color w:val="495965" w:themeColor="text2"/>
          <w:sz w:val="22"/>
          <w:szCs w:val="22"/>
        </w:rPr>
        <w:t xml:space="preserve">An independent assessment found that LAs were completing </w:t>
      </w:r>
      <w:r w:rsidR="003752FA" w:rsidRPr="003752FA">
        <w:rPr>
          <w:rFonts w:asciiTheme="minorHAnsi" w:hAnsiTheme="minorHAnsi"/>
          <w:color w:val="495965" w:themeColor="text2"/>
          <w:sz w:val="22"/>
          <w:szCs w:val="22"/>
        </w:rPr>
        <w:t>budget formulation processes</w:t>
      </w:r>
      <w:r w:rsidR="001269A9">
        <w:rPr>
          <w:rFonts w:asciiTheme="minorHAnsi" w:hAnsiTheme="minorHAnsi"/>
          <w:color w:val="495965" w:themeColor="text2"/>
          <w:sz w:val="22"/>
          <w:szCs w:val="22"/>
        </w:rPr>
        <w:t xml:space="preserve"> in days</w:t>
      </w:r>
      <w:r w:rsidR="003752FA" w:rsidRPr="003752FA">
        <w:rPr>
          <w:rFonts w:asciiTheme="minorHAnsi" w:hAnsiTheme="minorHAnsi"/>
          <w:color w:val="495965" w:themeColor="text2"/>
          <w:sz w:val="22"/>
          <w:szCs w:val="22"/>
        </w:rPr>
        <w:t xml:space="preserve"> that previously </w:t>
      </w:r>
      <w:r w:rsidR="001269A9">
        <w:rPr>
          <w:rFonts w:asciiTheme="minorHAnsi" w:hAnsiTheme="minorHAnsi"/>
          <w:color w:val="495965" w:themeColor="text2"/>
          <w:sz w:val="22"/>
          <w:szCs w:val="22"/>
        </w:rPr>
        <w:t>took weeks</w:t>
      </w:r>
      <w:r w:rsidR="003752FA" w:rsidRPr="003752FA">
        <w:rPr>
          <w:rFonts w:asciiTheme="minorHAnsi" w:hAnsiTheme="minorHAnsi"/>
          <w:color w:val="495965" w:themeColor="text2"/>
          <w:sz w:val="22"/>
          <w:szCs w:val="22"/>
        </w:rPr>
        <w:t>.</w:t>
      </w:r>
      <w:r w:rsidR="00D00E82">
        <w:rPr>
          <w:rFonts w:asciiTheme="minorHAnsi" w:hAnsiTheme="minorHAnsi"/>
          <w:color w:val="495965" w:themeColor="text2"/>
          <w:sz w:val="22"/>
          <w:szCs w:val="22"/>
        </w:rPr>
        <w:t xml:space="preserve"> </w:t>
      </w:r>
      <w:r w:rsidR="003752FA" w:rsidRPr="003752FA">
        <w:rPr>
          <w:rFonts w:asciiTheme="minorHAnsi" w:eastAsiaTheme="minorHAnsi" w:hAnsiTheme="minorHAnsi" w:cstheme="minorBidi"/>
          <w:color w:val="495965" w:themeColor="text2"/>
          <w:sz w:val="22"/>
          <w:szCs w:val="22"/>
          <w:lang w:eastAsia="en-US"/>
        </w:rPr>
        <w:t>SNGP is</w:t>
      </w:r>
      <w:r w:rsidR="00D00E82">
        <w:rPr>
          <w:rFonts w:asciiTheme="minorHAnsi" w:eastAsiaTheme="minorHAnsi" w:hAnsiTheme="minorHAnsi" w:cstheme="minorBidi"/>
          <w:color w:val="495965" w:themeColor="text2"/>
          <w:sz w:val="22"/>
          <w:szCs w:val="22"/>
          <w:lang w:eastAsia="en-US"/>
        </w:rPr>
        <w:t xml:space="preserve"> also</w:t>
      </w:r>
      <w:r w:rsidR="003752FA" w:rsidRPr="003752FA">
        <w:rPr>
          <w:rFonts w:asciiTheme="minorHAnsi" w:eastAsiaTheme="minorHAnsi" w:hAnsiTheme="minorHAnsi" w:cstheme="minorBidi"/>
          <w:color w:val="495965" w:themeColor="text2"/>
          <w:sz w:val="22"/>
          <w:szCs w:val="22"/>
          <w:lang w:eastAsia="en-US"/>
        </w:rPr>
        <w:t xml:space="preserve"> currently finalising a country-wide Business Environment Barometer Survey, </w:t>
      </w:r>
      <w:r w:rsidR="00D00E82">
        <w:rPr>
          <w:rFonts w:asciiTheme="minorHAnsi" w:eastAsiaTheme="minorHAnsi" w:hAnsiTheme="minorHAnsi" w:cstheme="minorBidi"/>
          <w:color w:val="495965" w:themeColor="text2"/>
          <w:sz w:val="22"/>
          <w:szCs w:val="22"/>
          <w:lang w:eastAsia="en-US"/>
        </w:rPr>
        <w:t>and developing</w:t>
      </w:r>
      <w:r w:rsidR="003752FA" w:rsidRPr="003752FA">
        <w:rPr>
          <w:rFonts w:asciiTheme="minorHAnsi" w:eastAsiaTheme="minorHAnsi" w:hAnsiTheme="minorHAnsi" w:cstheme="minorBidi"/>
          <w:color w:val="495965" w:themeColor="text2"/>
          <w:sz w:val="22"/>
          <w:szCs w:val="22"/>
          <w:lang w:eastAsia="en-US"/>
        </w:rPr>
        <w:t xml:space="preserve"> tools such as System for Asset Management and Revenue </w:t>
      </w:r>
      <w:r w:rsidR="003752FA" w:rsidRPr="003752FA">
        <w:rPr>
          <w:rFonts w:asciiTheme="minorHAnsi" w:eastAsiaTheme="minorHAnsi" w:hAnsiTheme="minorHAnsi" w:cstheme="minorBidi"/>
          <w:color w:val="495965" w:themeColor="text2"/>
          <w:sz w:val="22"/>
          <w:szCs w:val="22"/>
          <w:lang w:eastAsia="en-US"/>
        </w:rPr>
        <w:lastRenderedPageBreak/>
        <w:t xml:space="preserve">Generation, </w:t>
      </w:r>
      <w:r w:rsidR="00EF69BF">
        <w:rPr>
          <w:rFonts w:asciiTheme="minorHAnsi" w:eastAsiaTheme="minorHAnsi" w:hAnsiTheme="minorHAnsi" w:cstheme="minorBidi"/>
          <w:color w:val="495965" w:themeColor="text2"/>
          <w:sz w:val="22"/>
          <w:szCs w:val="22"/>
          <w:lang w:eastAsia="en-US"/>
        </w:rPr>
        <w:t xml:space="preserve">which </w:t>
      </w:r>
      <w:r w:rsidR="003752FA" w:rsidRPr="003752FA">
        <w:rPr>
          <w:rFonts w:asciiTheme="minorHAnsi" w:eastAsiaTheme="minorHAnsi" w:hAnsiTheme="minorHAnsi" w:cstheme="minorBidi"/>
          <w:color w:val="495965" w:themeColor="text2"/>
          <w:sz w:val="22"/>
          <w:szCs w:val="22"/>
          <w:lang w:eastAsia="en-US"/>
        </w:rPr>
        <w:t>should assist LAs capture hitherto unrecorded revenue and more efficiently man</w:t>
      </w:r>
      <w:r w:rsidR="00D00E82">
        <w:rPr>
          <w:rFonts w:asciiTheme="minorHAnsi" w:eastAsiaTheme="minorHAnsi" w:hAnsiTheme="minorHAnsi" w:cstheme="minorBidi"/>
          <w:color w:val="495965" w:themeColor="text2"/>
          <w:sz w:val="22"/>
          <w:szCs w:val="22"/>
          <w:lang w:eastAsia="en-US"/>
        </w:rPr>
        <w:t>age existing assets</w:t>
      </w:r>
      <w:r w:rsidR="003752FA" w:rsidRPr="003752FA">
        <w:rPr>
          <w:rFonts w:asciiTheme="minorHAnsi" w:eastAsiaTheme="minorHAnsi" w:hAnsiTheme="minorHAnsi" w:cstheme="minorBidi"/>
          <w:color w:val="495965" w:themeColor="text2"/>
          <w:sz w:val="22"/>
          <w:szCs w:val="22"/>
          <w:lang w:eastAsia="en-US"/>
        </w:rPr>
        <w:t>.</w:t>
      </w:r>
      <w:r w:rsidR="00DF4EB7">
        <w:rPr>
          <w:rStyle w:val="FootnoteReference"/>
          <w:rFonts w:asciiTheme="minorHAnsi" w:eastAsiaTheme="minorHAnsi" w:hAnsiTheme="minorHAnsi" w:cstheme="minorBidi"/>
          <w:color w:val="495965" w:themeColor="text2"/>
          <w:sz w:val="22"/>
          <w:szCs w:val="22"/>
          <w:lang w:eastAsia="en-US"/>
        </w:rPr>
        <w:footnoteReference w:id="7"/>
      </w:r>
      <w:r w:rsidR="00E80552" w:rsidRPr="00E80552">
        <w:rPr>
          <w:rFonts w:asciiTheme="minorHAnsi" w:eastAsiaTheme="minorHAnsi" w:hAnsiTheme="minorHAnsi" w:cstheme="minorBidi"/>
          <w:color w:val="495965" w:themeColor="text2"/>
          <w:sz w:val="22"/>
          <w:szCs w:val="22"/>
          <w:lang w:val="en-GB" w:eastAsia="en-US"/>
        </w:rPr>
        <w:t xml:space="preserve">  </w:t>
      </w:r>
    </w:p>
    <w:p w14:paraId="6B5011F2" w14:textId="095E15F7" w:rsidR="00E80552" w:rsidRDefault="003702D3" w:rsidP="003752FA">
      <w:pPr>
        <w:pStyle w:val="BodyText"/>
        <w:spacing w:before="240"/>
        <w:rPr>
          <w:rFonts w:asciiTheme="minorHAnsi" w:eastAsiaTheme="minorHAnsi" w:hAnsiTheme="minorHAnsi" w:cstheme="minorBidi"/>
          <w:color w:val="495965" w:themeColor="text2"/>
          <w:sz w:val="22"/>
          <w:szCs w:val="22"/>
          <w:lang w:val="en-GB" w:eastAsia="en-US"/>
        </w:rPr>
      </w:pPr>
      <w:r>
        <w:rPr>
          <w:rFonts w:asciiTheme="minorHAnsi" w:eastAsiaTheme="minorHAnsi" w:hAnsiTheme="minorHAnsi" w:cstheme="minorBidi"/>
          <w:color w:val="495965" w:themeColor="text2"/>
          <w:sz w:val="22"/>
          <w:szCs w:val="22"/>
          <w:lang w:val="en-GB" w:eastAsia="en-US"/>
        </w:rPr>
        <w:t>Older</w:t>
      </w:r>
      <w:r w:rsidR="00E80552" w:rsidRPr="00E80552">
        <w:rPr>
          <w:rFonts w:asciiTheme="minorHAnsi" w:eastAsiaTheme="minorHAnsi" w:hAnsiTheme="minorHAnsi" w:cstheme="minorBidi"/>
          <w:color w:val="495965" w:themeColor="text2"/>
          <w:sz w:val="22"/>
          <w:szCs w:val="22"/>
          <w:lang w:val="en-GB" w:eastAsia="en-US"/>
        </w:rPr>
        <w:t xml:space="preserve"> World Bank-managed projects in which DFAT invested over a number of years – the North East Local Services Improvement Project (NELSIP) and the Transforming the School Education System Project (TSEP) – </w:t>
      </w:r>
      <w:r w:rsidR="000B7243">
        <w:rPr>
          <w:rFonts w:asciiTheme="minorHAnsi" w:eastAsiaTheme="minorHAnsi" w:hAnsiTheme="minorHAnsi" w:cstheme="minorBidi"/>
          <w:color w:val="495965" w:themeColor="text2"/>
          <w:sz w:val="22"/>
          <w:szCs w:val="22"/>
          <w:lang w:val="en-GB" w:eastAsia="en-US"/>
        </w:rPr>
        <w:t xml:space="preserve">are both nearing finalisation and have achieved results in line with original expectations. In addition to delivering substantive outputs in the form of schools and local community infrastructure, they have also </w:t>
      </w:r>
      <w:r w:rsidR="00E80552" w:rsidRPr="00E80552">
        <w:rPr>
          <w:rFonts w:asciiTheme="minorHAnsi" w:eastAsiaTheme="minorHAnsi" w:hAnsiTheme="minorHAnsi" w:cstheme="minorBidi"/>
          <w:color w:val="495965" w:themeColor="text2"/>
          <w:sz w:val="22"/>
          <w:szCs w:val="22"/>
          <w:lang w:val="en-GB" w:eastAsia="en-US"/>
        </w:rPr>
        <w:t>improved the ability of natio</w:t>
      </w:r>
      <w:r w:rsidR="000B7243">
        <w:rPr>
          <w:rFonts w:asciiTheme="minorHAnsi" w:eastAsiaTheme="minorHAnsi" w:hAnsiTheme="minorHAnsi" w:cstheme="minorBidi"/>
          <w:color w:val="495965" w:themeColor="text2"/>
          <w:sz w:val="22"/>
          <w:szCs w:val="22"/>
          <w:lang w:val="en-GB" w:eastAsia="en-US"/>
        </w:rPr>
        <w:t>nal, provincial and local government</w:t>
      </w:r>
      <w:r w:rsidR="00E80552" w:rsidRPr="00E80552">
        <w:rPr>
          <w:rFonts w:asciiTheme="minorHAnsi" w:eastAsiaTheme="minorHAnsi" w:hAnsiTheme="minorHAnsi" w:cstheme="minorBidi"/>
          <w:color w:val="495965" w:themeColor="text2"/>
          <w:sz w:val="22"/>
          <w:szCs w:val="22"/>
          <w:lang w:val="en-GB" w:eastAsia="en-US"/>
        </w:rPr>
        <w:t>s</w:t>
      </w:r>
      <w:r w:rsidR="000B7243">
        <w:rPr>
          <w:rFonts w:asciiTheme="minorHAnsi" w:eastAsiaTheme="minorHAnsi" w:hAnsiTheme="minorHAnsi" w:cstheme="minorBidi"/>
          <w:color w:val="495965" w:themeColor="text2"/>
          <w:sz w:val="22"/>
          <w:szCs w:val="22"/>
          <w:lang w:val="en-GB" w:eastAsia="en-US"/>
        </w:rPr>
        <w:t xml:space="preserve"> </w:t>
      </w:r>
      <w:r w:rsidR="00E80552" w:rsidRPr="00E80552">
        <w:rPr>
          <w:rFonts w:asciiTheme="minorHAnsi" w:eastAsiaTheme="minorHAnsi" w:hAnsiTheme="minorHAnsi" w:cstheme="minorBidi"/>
          <w:color w:val="495965" w:themeColor="text2"/>
          <w:sz w:val="22"/>
          <w:szCs w:val="22"/>
          <w:lang w:val="en-GB" w:eastAsia="en-US"/>
        </w:rPr>
        <w:t>to plan, budget and deliver services</w:t>
      </w:r>
      <w:r w:rsidR="00E83458">
        <w:rPr>
          <w:rFonts w:asciiTheme="minorHAnsi" w:eastAsiaTheme="minorHAnsi" w:hAnsiTheme="minorHAnsi" w:cstheme="minorBidi"/>
          <w:color w:val="495965" w:themeColor="text2"/>
          <w:sz w:val="22"/>
          <w:szCs w:val="22"/>
          <w:lang w:val="en-GB" w:eastAsia="en-US"/>
        </w:rPr>
        <w:t>, especially in former conflict areas</w:t>
      </w:r>
      <w:r w:rsidR="00E80552" w:rsidRPr="00E80552">
        <w:rPr>
          <w:rFonts w:asciiTheme="minorHAnsi" w:eastAsiaTheme="minorHAnsi" w:hAnsiTheme="minorHAnsi" w:cstheme="minorBidi"/>
          <w:color w:val="495965" w:themeColor="text2"/>
          <w:sz w:val="22"/>
          <w:szCs w:val="22"/>
          <w:lang w:val="en-GB" w:eastAsia="en-US"/>
        </w:rPr>
        <w:t>. In the case of NELSIP, this has also involved building the capacity of local governments to engage with a broad cross-section of the community</w:t>
      </w:r>
      <w:r w:rsidR="000B7243">
        <w:rPr>
          <w:rFonts w:asciiTheme="minorHAnsi" w:eastAsiaTheme="minorHAnsi" w:hAnsiTheme="minorHAnsi" w:cstheme="minorBidi"/>
          <w:color w:val="495965" w:themeColor="text2"/>
          <w:sz w:val="22"/>
          <w:szCs w:val="22"/>
          <w:lang w:val="en-GB" w:eastAsia="en-US"/>
        </w:rPr>
        <w:t>, including women,</w:t>
      </w:r>
      <w:r w:rsidR="00E80552" w:rsidRPr="00E80552">
        <w:rPr>
          <w:rFonts w:asciiTheme="minorHAnsi" w:eastAsiaTheme="minorHAnsi" w:hAnsiTheme="minorHAnsi" w:cstheme="minorBidi"/>
          <w:color w:val="495965" w:themeColor="text2"/>
          <w:sz w:val="22"/>
          <w:szCs w:val="22"/>
          <w:lang w:val="en-GB" w:eastAsia="en-US"/>
        </w:rPr>
        <w:t xml:space="preserve"> in planning, prioritising and implementing infrastructure projects. Monitoring of both World Bank investments confirmed they met their targets for 201</w:t>
      </w:r>
      <w:r w:rsidR="000B7243">
        <w:rPr>
          <w:rFonts w:asciiTheme="minorHAnsi" w:eastAsiaTheme="minorHAnsi" w:hAnsiTheme="minorHAnsi" w:cstheme="minorBidi"/>
          <w:color w:val="495965" w:themeColor="text2"/>
          <w:sz w:val="22"/>
          <w:szCs w:val="22"/>
          <w:lang w:val="en-GB" w:eastAsia="en-US"/>
        </w:rPr>
        <w:t>6</w:t>
      </w:r>
      <w:r w:rsidR="00E80552" w:rsidRPr="00E80552">
        <w:rPr>
          <w:rFonts w:asciiTheme="minorHAnsi" w:eastAsiaTheme="minorHAnsi" w:hAnsiTheme="minorHAnsi" w:cstheme="minorBidi"/>
          <w:color w:val="495965" w:themeColor="text2"/>
          <w:sz w:val="22"/>
          <w:szCs w:val="22"/>
          <w:lang w:val="en-GB" w:eastAsia="en-US"/>
        </w:rPr>
        <w:t>-1</w:t>
      </w:r>
      <w:r w:rsidR="000B7243">
        <w:rPr>
          <w:rFonts w:asciiTheme="minorHAnsi" w:eastAsiaTheme="minorHAnsi" w:hAnsiTheme="minorHAnsi" w:cstheme="minorBidi"/>
          <w:color w:val="495965" w:themeColor="text2"/>
          <w:sz w:val="22"/>
          <w:szCs w:val="22"/>
          <w:lang w:val="en-GB" w:eastAsia="en-US"/>
        </w:rPr>
        <w:t>7.</w:t>
      </w:r>
      <w:r w:rsidR="00DF4EB7">
        <w:rPr>
          <w:rStyle w:val="FootnoteReference"/>
          <w:rFonts w:asciiTheme="minorHAnsi" w:eastAsiaTheme="minorHAnsi" w:hAnsiTheme="minorHAnsi" w:cstheme="minorBidi"/>
          <w:color w:val="495965" w:themeColor="text2"/>
          <w:sz w:val="22"/>
          <w:szCs w:val="22"/>
          <w:lang w:val="en-GB" w:eastAsia="en-US"/>
        </w:rPr>
        <w:footnoteReference w:id="8"/>
      </w:r>
    </w:p>
    <w:p w14:paraId="699C0B63" w14:textId="7D3BEF93" w:rsidR="000E6B1C" w:rsidRPr="00E83458" w:rsidRDefault="000E6B1C" w:rsidP="000E6B1C">
      <w:pPr>
        <w:pStyle w:val="BodyText"/>
        <w:spacing w:before="240"/>
        <w:rPr>
          <w:rFonts w:asciiTheme="minorHAnsi" w:eastAsiaTheme="minorHAnsi" w:hAnsiTheme="minorHAnsi" w:cstheme="minorBidi"/>
          <w:color w:val="495965" w:themeColor="text2"/>
          <w:sz w:val="22"/>
          <w:szCs w:val="22"/>
          <w:lang w:val="en-GB" w:eastAsia="en-US"/>
        </w:rPr>
      </w:pPr>
      <w:r w:rsidRPr="00E83458">
        <w:rPr>
          <w:rFonts w:asciiTheme="minorHAnsi" w:hAnsiTheme="minorHAnsi"/>
          <w:iCs/>
          <w:color w:val="495965" w:themeColor="text2"/>
          <w:szCs w:val="17"/>
          <w:lang w:eastAsia="en-US"/>
        </w:rPr>
        <w:t>For DFAT supported programs, there is evidence of satisfaction.  Surveys conducted under the NELSIP program highlight that 80 per cent of respondents are satisfied with the effectiveness of the service delivery of their resp</w:t>
      </w:r>
      <w:r w:rsidR="00851140" w:rsidRPr="00E83458">
        <w:rPr>
          <w:rFonts w:asciiTheme="minorHAnsi" w:hAnsiTheme="minorHAnsi"/>
          <w:iCs/>
          <w:color w:val="495965" w:themeColor="text2"/>
          <w:szCs w:val="17"/>
          <w:lang w:eastAsia="en-US"/>
        </w:rPr>
        <w:t>ective local authority. TAF is working with six</w:t>
      </w:r>
      <w:r w:rsidRPr="00E83458">
        <w:rPr>
          <w:rFonts w:asciiTheme="minorHAnsi" w:hAnsiTheme="minorHAnsi"/>
          <w:iCs/>
          <w:color w:val="495965" w:themeColor="text2"/>
          <w:szCs w:val="17"/>
          <w:lang w:eastAsia="en-US"/>
        </w:rPr>
        <w:t xml:space="preserve"> local authorities on full and proactive disclosure of information to citizens, however, a ‘business barom</w:t>
      </w:r>
      <w:r w:rsidR="00851140" w:rsidRPr="00E83458">
        <w:rPr>
          <w:rFonts w:asciiTheme="minorHAnsi" w:hAnsiTheme="minorHAnsi"/>
          <w:iCs/>
          <w:color w:val="495965" w:themeColor="text2"/>
          <w:szCs w:val="17"/>
          <w:lang w:eastAsia="en-US"/>
        </w:rPr>
        <w:t>eter’ survey found that out of eight</w:t>
      </w:r>
      <w:r w:rsidRPr="00E83458">
        <w:rPr>
          <w:rFonts w:asciiTheme="minorHAnsi" w:hAnsiTheme="minorHAnsi"/>
          <w:iCs/>
          <w:color w:val="495965" w:themeColor="text2"/>
          <w:szCs w:val="17"/>
          <w:lang w:eastAsia="en-US"/>
        </w:rPr>
        <w:t xml:space="preserve"> indicators, support from local institutions was the second lowest ranked indicator.  World Bank interaction with the private sector indicates that their assessment of economic reform progress is mixed. Implementation of a One-Stop- Shop for prospective business is progressing </w:t>
      </w:r>
      <w:r w:rsidR="00851140" w:rsidRPr="00E83458">
        <w:rPr>
          <w:rFonts w:asciiTheme="minorHAnsi" w:hAnsiTheme="minorHAnsi"/>
          <w:iCs/>
          <w:color w:val="495965" w:themeColor="text2"/>
          <w:szCs w:val="17"/>
          <w:lang w:eastAsia="en-US"/>
        </w:rPr>
        <w:t xml:space="preserve">more slowly </w:t>
      </w:r>
      <w:r w:rsidRPr="00E83458">
        <w:rPr>
          <w:rFonts w:asciiTheme="minorHAnsi" w:hAnsiTheme="minorHAnsi"/>
          <w:iCs/>
          <w:color w:val="495965" w:themeColor="text2"/>
          <w:szCs w:val="17"/>
          <w:lang w:eastAsia="en-US"/>
        </w:rPr>
        <w:t>than the private sector expected and Sri Lanka dropped one place on the ‘Ease of Doing Business’ Index during the reporting period. However, good progress has been made towards a national trade policy and progressing the development of a National Single Window for Trade Facilitation. A national tourism strategy was finalised in the reporting period.</w:t>
      </w:r>
    </w:p>
    <w:p w14:paraId="7A9963F1" w14:textId="77777777" w:rsidR="000E6B1C" w:rsidRDefault="000E6B1C" w:rsidP="003752FA">
      <w:pPr>
        <w:pStyle w:val="BodyText"/>
        <w:spacing w:before="240"/>
        <w:rPr>
          <w:rFonts w:asciiTheme="minorHAnsi" w:eastAsiaTheme="minorHAnsi" w:hAnsiTheme="minorHAnsi" w:cstheme="minorBidi"/>
          <w:color w:val="495965" w:themeColor="text2"/>
          <w:sz w:val="22"/>
          <w:szCs w:val="22"/>
          <w:lang w:val="en-GB" w:eastAsia="en-US"/>
        </w:rPr>
      </w:pPr>
    </w:p>
    <w:p w14:paraId="0B81CE02" w14:textId="3B26892D" w:rsidR="00CD1652" w:rsidRDefault="00D80E7D" w:rsidP="00D80E7D">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sz w:val="38"/>
          <w:szCs w:val="26"/>
        </w:rPr>
        <w:t xml:space="preserve">Objective </w:t>
      </w:r>
      <w:r>
        <w:rPr>
          <w:rFonts w:asciiTheme="majorHAnsi" w:eastAsiaTheme="majorEastAsia" w:hAnsiTheme="majorHAnsi" w:cstheme="majorBidi"/>
          <w:caps/>
          <w:sz w:val="38"/>
          <w:szCs w:val="26"/>
        </w:rPr>
        <w:t>3 – increase gender equality</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524"/>
        <w:gridCol w:w="1524"/>
        <w:gridCol w:w="1525"/>
        <w:gridCol w:w="1524"/>
        <w:gridCol w:w="1525"/>
      </w:tblGrid>
      <w:tr w:rsidR="00372CE8" w:rsidRPr="00695730" w14:paraId="0145897F" w14:textId="77777777" w:rsidTr="008606A2">
        <w:tc>
          <w:tcPr>
            <w:tcW w:w="2016" w:type="dxa"/>
          </w:tcPr>
          <w:p w14:paraId="468931F8" w14:textId="77777777" w:rsidR="00372CE8" w:rsidRPr="00695730" w:rsidRDefault="00372CE8" w:rsidP="008606A2">
            <w:pPr>
              <w:suppressAutoHyphens w:val="0"/>
              <w:spacing w:before="8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3B88D0C" wp14:editId="3A08033E">
                  <wp:extent cx="1137600" cy="720000"/>
                  <wp:effectExtent l="0" t="0" r="571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524" w:type="dxa"/>
          </w:tcPr>
          <w:p w14:paraId="184EC7F2" w14:textId="77777777" w:rsidR="00372CE8" w:rsidRPr="00695730" w:rsidRDefault="00372CE8" w:rsidP="008606A2">
            <w:pPr>
              <w:suppressAutoHyphens w:val="0"/>
              <w:spacing w:before="160" w:after="80" w:line="240" w:lineRule="auto"/>
              <w:jc w:val="center"/>
              <w:rPr>
                <w:rFonts w:asciiTheme="majorHAnsi" w:eastAsiaTheme="majorEastAsia" w:hAnsiTheme="majorHAnsi" w:cstheme="majorBidi"/>
                <w:caps/>
                <w:sz w:val="38"/>
                <w:szCs w:val="26"/>
              </w:rPr>
            </w:pPr>
            <w:r w:rsidRPr="00695730">
              <w:rPr>
                <w:rFonts w:asciiTheme="majorHAnsi" w:eastAsiaTheme="majorEastAsia" w:hAnsiTheme="majorHAnsi" w:cstheme="majorBidi"/>
                <w:caps/>
                <w:noProof/>
                <w:sz w:val="38"/>
                <w:szCs w:val="26"/>
                <w:lang w:val="en-AU" w:eastAsia="en-AU"/>
              </w:rPr>
              <w:drawing>
                <wp:inline distT="0" distB="0" distL="0" distR="0" wp14:anchorId="60712675" wp14:editId="6FDD3489">
                  <wp:extent cx="609600" cy="609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p>
        </w:tc>
        <w:tc>
          <w:tcPr>
            <w:tcW w:w="1524" w:type="dxa"/>
          </w:tcPr>
          <w:p w14:paraId="21594204" w14:textId="77777777" w:rsidR="00372CE8" w:rsidRPr="00695730" w:rsidRDefault="00372CE8" w:rsidP="008606A2">
            <w:pPr>
              <w:suppressAutoHyphens w:val="0"/>
              <w:spacing w:before="160" w:after="80" w:line="240" w:lineRule="auto"/>
              <w:jc w:val="center"/>
              <w:rPr>
                <w:rFonts w:asciiTheme="majorHAnsi" w:eastAsiaTheme="majorEastAsia" w:hAnsiTheme="majorHAnsi" w:cstheme="majorBidi"/>
                <w:caps/>
                <w:sz w:val="38"/>
                <w:szCs w:val="26"/>
              </w:rPr>
            </w:pPr>
            <w:r w:rsidRPr="009C11C8">
              <w:rPr>
                <w:rFonts w:ascii="Calibri" w:eastAsia="Calibri" w:hAnsi="Calibri" w:cs="Times New Roman"/>
                <w:noProof/>
                <w:color w:val="44546A"/>
                <w:lang w:val="en-AU" w:eastAsia="en-AU"/>
              </w:rPr>
              <w:drawing>
                <wp:inline distT="0" distB="0" distL="0" distR="0" wp14:anchorId="14356A67" wp14:editId="603FA3FE">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5" w:type="dxa"/>
          </w:tcPr>
          <w:p w14:paraId="784668A5" w14:textId="64521C00" w:rsidR="00372CE8" w:rsidRPr="00695730" w:rsidRDefault="00372CE8" w:rsidP="008606A2">
            <w:pPr>
              <w:suppressAutoHyphens w:val="0"/>
              <w:spacing w:before="160" w:after="80" w:line="240" w:lineRule="auto"/>
              <w:jc w:val="center"/>
              <w:rPr>
                <w:rFonts w:asciiTheme="majorHAnsi" w:eastAsiaTheme="majorEastAsia" w:hAnsiTheme="majorHAnsi" w:cstheme="majorBidi"/>
                <w:caps/>
                <w:sz w:val="38"/>
                <w:szCs w:val="26"/>
              </w:rPr>
            </w:pPr>
            <w:r w:rsidRPr="00372CE8">
              <w:rPr>
                <w:rFonts w:ascii="Calibri" w:eastAsia="Calibri" w:hAnsi="Calibri" w:cs="Times New Roman"/>
                <w:noProof/>
                <w:color w:val="44546A"/>
                <w:lang w:val="en-AU" w:eastAsia="en-AU"/>
              </w:rPr>
              <w:drawing>
                <wp:inline distT="0" distB="0" distL="0" distR="0" wp14:anchorId="3D09144D" wp14:editId="205CA1D2">
                  <wp:extent cx="609600" cy="609600"/>
                  <wp:effectExtent l="0" t="0" r="0" b="0"/>
                  <wp:docPr id="59" name="Picture 59"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524" w:type="dxa"/>
          </w:tcPr>
          <w:p w14:paraId="40296FF0" w14:textId="058C87C7" w:rsidR="00372CE8" w:rsidRPr="00695730" w:rsidRDefault="00372CE8" w:rsidP="008606A2">
            <w:pPr>
              <w:suppressAutoHyphens w:val="0"/>
              <w:spacing w:before="160" w:after="80" w:line="240" w:lineRule="auto"/>
              <w:jc w:val="center"/>
              <w:rPr>
                <w:rFonts w:asciiTheme="majorHAnsi" w:eastAsiaTheme="majorEastAsia" w:hAnsiTheme="majorHAnsi" w:cstheme="majorBidi"/>
                <w:caps/>
                <w:sz w:val="38"/>
                <w:szCs w:val="26"/>
              </w:rPr>
            </w:pPr>
            <w:r w:rsidRPr="00372CE8">
              <w:rPr>
                <w:rFonts w:ascii="Calibri" w:eastAsia="Calibri" w:hAnsi="Calibri" w:cs="Times New Roman"/>
                <w:noProof/>
                <w:color w:val="44546A"/>
                <w:lang w:val="en-AU" w:eastAsia="en-AU"/>
              </w:rPr>
              <w:drawing>
                <wp:inline distT="0" distB="0" distL="0" distR="0" wp14:anchorId="7B4181B4" wp14:editId="1B19E13C">
                  <wp:extent cx="612000" cy="6120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5" w:type="dxa"/>
          </w:tcPr>
          <w:p w14:paraId="10B8168B" w14:textId="2962BEA9" w:rsidR="00372CE8" w:rsidRPr="009C11C8" w:rsidRDefault="00372CE8" w:rsidP="008606A2">
            <w:pPr>
              <w:suppressAutoHyphens w:val="0"/>
              <w:spacing w:before="160" w:after="80" w:line="240" w:lineRule="auto"/>
              <w:jc w:val="center"/>
              <w:rPr>
                <w:rFonts w:ascii="Calibri" w:eastAsia="Calibri" w:hAnsi="Calibri" w:cs="Times New Roman"/>
                <w:noProof/>
                <w:color w:val="44546A"/>
                <w:lang w:val="en-AU" w:eastAsia="en-AU"/>
              </w:rPr>
            </w:pPr>
            <w:r w:rsidRPr="009C11C8">
              <w:rPr>
                <w:rFonts w:ascii="Calibri" w:eastAsia="Calibri" w:hAnsi="Calibri" w:cs="Times New Roman"/>
                <w:noProof/>
                <w:color w:val="44546A"/>
                <w:lang w:val="en-AU" w:eastAsia="en-AU"/>
              </w:rPr>
              <w:drawing>
                <wp:inline distT="0" distB="0" distL="0" distR="0" wp14:anchorId="4C391B08" wp14:editId="45CEE03E">
                  <wp:extent cx="608400" cy="612000"/>
                  <wp:effectExtent l="0" t="0" r="127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r>
    </w:tbl>
    <w:p w14:paraId="13F29ADC" w14:textId="38FF9574" w:rsidR="00EA436A" w:rsidRDefault="00222080" w:rsidP="00DC72B6">
      <w:pPr>
        <w:pStyle w:val="BodyText"/>
        <w:spacing w:before="240"/>
        <w:rPr>
          <w:rFonts w:asciiTheme="minorHAnsi" w:eastAsiaTheme="majorEastAsia" w:hAnsiTheme="minorHAnsi"/>
          <w:color w:val="495965" w:themeColor="text2"/>
          <w:sz w:val="22"/>
          <w:szCs w:val="22"/>
          <w:lang w:val="en-GB"/>
        </w:rPr>
      </w:pPr>
      <w:r>
        <w:rPr>
          <w:rFonts w:asciiTheme="minorHAnsi" w:eastAsiaTheme="majorEastAsia" w:hAnsiTheme="minorHAnsi"/>
          <w:color w:val="495965" w:themeColor="text2"/>
          <w:sz w:val="22"/>
          <w:szCs w:val="22"/>
          <w:lang w:val="en-GB"/>
        </w:rPr>
        <w:t xml:space="preserve">Progress toward this objective was on track over the reporting </w:t>
      </w:r>
      <w:r w:rsidR="00D83DCE">
        <w:rPr>
          <w:rFonts w:asciiTheme="minorHAnsi" w:eastAsiaTheme="majorEastAsia" w:hAnsiTheme="minorHAnsi"/>
          <w:color w:val="495965" w:themeColor="text2"/>
          <w:sz w:val="22"/>
          <w:szCs w:val="22"/>
          <w:lang w:val="en-GB"/>
        </w:rPr>
        <w:t>period</w:t>
      </w:r>
      <w:r w:rsidR="00AD648C">
        <w:rPr>
          <w:rFonts w:asciiTheme="minorHAnsi" w:eastAsiaTheme="majorEastAsia" w:hAnsiTheme="minorHAnsi"/>
          <w:color w:val="495965" w:themeColor="text2"/>
          <w:sz w:val="22"/>
          <w:szCs w:val="22"/>
          <w:lang w:val="en-GB"/>
        </w:rPr>
        <w:t>. T</w:t>
      </w:r>
      <w:r w:rsidR="00E83458">
        <w:rPr>
          <w:rFonts w:asciiTheme="minorHAnsi" w:eastAsiaTheme="majorEastAsia" w:hAnsiTheme="minorHAnsi"/>
          <w:color w:val="495965" w:themeColor="text2"/>
          <w:sz w:val="22"/>
          <w:szCs w:val="22"/>
          <w:lang w:val="en-GB"/>
        </w:rPr>
        <w:t>he performance</w:t>
      </w:r>
      <w:r w:rsidR="00DC72B6">
        <w:rPr>
          <w:rFonts w:asciiTheme="minorHAnsi" w:eastAsiaTheme="majorEastAsia" w:hAnsiTheme="minorHAnsi"/>
          <w:color w:val="495965" w:themeColor="text2"/>
          <w:sz w:val="22"/>
          <w:szCs w:val="22"/>
          <w:lang w:val="en-GB"/>
        </w:rPr>
        <w:t xml:space="preserve"> benchmark of increasing the percentage of women in formal and informal employment </w:t>
      </w:r>
      <w:r w:rsidR="00AD648C">
        <w:rPr>
          <w:rFonts w:asciiTheme="minorHAnsi" w:eastAsiaTheme="majorEastAsia" w:hAnsiTheme="minorHAnsi"/>
          <w:color w:val="495965" w:themeColor="text2"/>
          <w:sz w:val="22"/>
          <w:szCs w:val="22"/>
          <w:lang w:val="en-GB"/>
        </w:rPr>
        <w:t>was</w:t>
      </w:r>
      <w:r w:rsidR="00DC72B6">
        <w:rPr>
          <w:rFonts w:asciiTheme="minorHAnsi" w:eastAsiaTheme="majorEastAsia" w:hAnsiTheme="minorHAnsi"/>
          <w:color w:val="495965" w:themeColor="text2"/>
          <w:sz w:val="22"/>
          <w:szCs w:val="22"/>
          <w:lang w:val="en-GB"/>
        </w:rPr>
        <w:t xml:space="preserve"> met</w:t>
      </w:r>
      <w:r w:rsidR="00E83458">
        <w:rPr>
          <w:rFonts w:asciiTheme="minorHAnsi" w:eastAsiaTheme="majorEastAsia" w:hAnsiTheme="minorHAnsi"/>
          <w:color w:val="495965" w:themeColor="text2"/>
          <w:sz w:val="22"/>
          <w:szCs w:val="22"/>
          <w:lang w:val="en-GB"/>
        </w:rPr>
        <w:t xml:space="preserve"> primarily through</w:t>
      </w:r>
      <w:r w:rsidR="00DC72B6">
        <w:rPr>
          <w:rFonts w:asciiTheme="minorHAnsi" w:eastAsiaTheme="majorEastAsia" w:hAnsiTheme="minorHAnsi"/>
          <w:color w:val="495965" w:themeColor="text2"/>
          <w:sz w:val="22"/>
          <w:szCs w:val="22"/>
          <w:lang w:val="en-GB"/>
        </w:rPr>
        <w:t xml:space="preserve"> t</w:t>
      </w:r>
      <w:r w:rsidR="00E83458">
        <w:rPr>
          <w:rFonts w:asciiTheme="minorHAnsi" w:hAnsiTheme="minorHAnsi" w:cstheme="minorBidi"/>
          <w:color w:val="495965" w:themeColor="text2"/>
          <w:lang w:val="en-GB" w:eastAsia="en-US"/>
        </w:rPr>
        <w:t xml:space="preserve">he ILO LEED program’s success in providing jobs for women among the fishing cooperatives with which it works in </w:t>
      </w:r>
      <w:r w:rsidR="00AD648C">
        <w:rPr>
          <w:rFonts w:asciiTheme="minorHAnsi" w:hAnsiTheme="minorHAnsi" w:cstheme="minorBidi"/>
          <w:color w:val="495965" w:themeColor="text2"/>
          <w:lang w:val="en-GB" w:eastAsia="en-US"/>
        </w:rPr>
        <w:t>Sri Lanka’s n</w:t>
      </w:r>
      <w:r w:rsidR="00E83458">
        <w:rPr>
          <w:rFonts w:asciiTheme="minorHAnsi" w:hAnsiTheme="minorHAnsi" w:cstheme="minorBidi"/>
          <w:color w:val="495965" w:themeColor="text2"/>
          <w:lang w:val="en-GB" w:eastAsia="en-US"/>
        </w:rPr>
        <w:t xml:space="preserve">orth and </w:t>
      </w:r>
      <w:r w:rsidR="00AD648C">
        <w:rPr>
          <w:rFonts w:asciiTheme="minorHAnsi" w:hAnsiTheme="minorHAnsi" w:cstheme="minorBidi"/>
          <w:color w:val="495965" w:themeColor="text2"/>
          <w:lang w:val="en-GB" w:eastAsia="en-US"/>
        </w:rPr>
        <w:t>e</w:t>
      </w:r>
      <w:r w:rsidR="00E83458">
        <w:rPr>
          <w:rFonts w:asciiTheme="minorHAnsi" w:hAnsiTheme="minorHAnsi" w:cstheme="minorBidi"/>
          <w:color w:val="495965" w:themeColor="text2"/>
          <w:lang w:val="en-GB" w:eastAsia="en-US"/>
        </w:rPr>
        <w:t>ast</w:t>
      </w:r>
      <w:r w:rsidR="00DC72B6">
        <w:rPr>
          <w:rFonts w:asciiTheme="minorHAnsi" w:hAnsiTheme="minorHAnsi" w:cstheme="minorBidi"/>
          <w:color w:val="495965" w:themeColor="text2"/>
          <w:lang w:val="en-GB" w:eastAsia="en-US"/>
        </w:rPr>
        <w:t>.</w:t>
      </w:r>
      <w:r w:rsidR="00DC72B6">
        <w:rPr>
          <w:rFonts w:asciiTheme="minorHAnsi" w:eastAsiaTheme="majorEastAsia" w:hAnsiTheme="minorHAnsi"/>
          <w:color w:val="495965" w:themeColor="text2"/>
          <w:sz w:val="22"/>
          <w:szCs w:val="22"/>
          <w:lang w:val="en-GB"/>
        </w:rPr>
        <w:t xml:space="preserve"> </w:t>
      </w:r>
      <w:r w:rsidR="00E83458">
        <w:rPr>
          <w:rFonts w:asciiTheme="minorHAnsi" w:eastAsiaTheme="majorEastAsia" w:hAnsiTheme="minorHAnsi"/>
          <w:color w:val="495965" w:themeColor="text2"/>
          <w:sz w:val="22"/>
          <w:szCs w:val="22"/>
          <w:lang w:val="en-GB"/>
        </w:rPr>
        <w:t xml:space="preserve"> More broadly, t</w:t>
      </w:r>
      <w:r>
        <w:rPr>
          <w:rFonts w:asciiTheme="minorHAnsi" w:eastAsiaTheme="majorEastAsia" w:hAnsiTheme="minorHAnsi"/>
          <w:color w:val="495965" w:themeColor="text2"/>
          <w:sz w:val="22"/>
          <w:szCs w:val="22"/>
          <w:lang w:val="en-GB"/>
        </w:rPr>
        <w:t xml:space="preserve">he finalisation of the Women in Work </w:t>
      </w:r>
      <w:r w:rsidR="00D83DCE">
        <w:rPr>
          <w:rFonts w:asciiTheme="minorHAnsi" w:eastAsiaTheme="majorEastAsia" w:hAnsiTheme="minorHAnsi"/>
          <w:color w:val="495965" w:themeColor="text2"/>
          <w:sz w:val="22"/>
          <w:szCs w:val="22"/>
          <w:lang w:val="en-GB"/>
        </w:rPr>
        <w:t xml:space="preserve">investment </w:t>
      </w:r>
      <w:r>
        <w:rPr>
          <w:rFonts w:asciiTheme="minorHAnsi" w:eastAsiaTheme="majorEastAsia" w:hAnsiTheme="minorHAnsi"/>
          <w:color w:val="495965" w:themeColor="text2"/>
          <w:sz w:val="22"/>
          <w:szCs w:val="22"/>
          <w:lang w:val="en-GB"/>
        </w:rPr>
        <w:t>design and signing of an agreement with the International Finance Corporation for its implementation</w:t>
      </w:r>
      <w:r w:rsidR="00AD648C">
        <w:rPr>
          <w:rFonts w:asciiTheme="minorHAnsi" w:eastAsiaTheme="majorEastAsia" w:hAnsiTheme="minorHAnsi"/>
          <w:color w:val="495965" w:themeColor="text2"/>
          <w:sz w:val="22"/>
          <w:szCs w:val="22"/>
          <w:lang w:val="en-GB"/>
        </w:rPr>
        <w:t xml:space="preserve"> meant that a key investment which had been slightly delayed is now progressing</w:t>
      </w:r>
      <w:r>
        <w:rPr>
          <w:rFonts w:asciiTheme="minorHAnsi" w:eastAsiaTheme="majorEastAsia" w:hAnsiTheme="minorHAnsi"/>
          <w:color w:val="495965" w:themeColor="text2"/>
          <w:sz w:val="22"/>
          <w:szCs w:val="22"/>
          <w:lang w:val="en-GB"/>
        </w:rPr>
        <w:t xml:space="preserve">. </w:t>
      </w:r>
      <w:r w:rsidR="00EA436A">
        <w:rPr>
          <w:rFonts w:asciiTheme="minorHAnsi" w:eastAsiaTheme="majorEastAsia" w:hAnsiTheme="minorHAnsi"/>
          <w:color w:val="495965" w:themeColor="text2"/>
          <w:sz w:val="22"/>
          <w:szCs w:val="22"/>
          <w:lang w:val="en-GB"/>
        </w:rPr>
        <w:t xml:space="preserve"> </w:t>
      </w:r>
      <w:r w:rsidR="00F959FC">
        <w:rPr>
          <w:rFonts w:asciiTheme="minorHAnsi" w:eastAsiaTheme="majorEastAsia" w:hAnsiTheme="minorHAnsi"/>
          <w:color w:val="495965" w:themeColor="text2"/>
          <w:sz w:val="22"/>
          <w:szCs w:val="22"/>
          <w:lang w:val="en-GB"/>
        </w:rPr>
        <w:t xml:space="preserve">This </w:t>
      </w:r>
      <w:r w:rsidR="00D83DCE">
        <w:rPr>
          <w:rFonts w:asciiTheme="minorHAnsi" w:eastAsiaTheme="majorEastAsia" w:hAnsiTheme="minorHAnsi"/>
          <w:color w:val="495965" w:themeColor="text2"/>
          <w:sz w:val="22"/>
          <w:szCs w:val="22"/>
          <w:lang w:val="en-GB"/>
        </w:rPr>
        <w:t>is a</w:t>
      </w:r>
      <w:r w:rsidR="00F959FC">
        <w:rPr>
          <w:rFonts w:asciiTheme="minorHAnsi" w:eastAsiaTheme="majorEastAsia" w:hAnsiTheme="minorHAnsi"/>
          <w:color w:val="495965" w:themeColor="text2"/>
          <w:sz w:val="22"/>
          <w:szCs w:val="22"/>
          <w:lang w:val="en-GB"/>
        </w:rPr>
        <w:t xml:space="preserve"> significant</w:t>
      </w:r>
      <w:r w:rsidR="00D83DCE">
        <w:rPr>
          <w:rFonts w:asciiTheme="minorHAnsi" w:eastAsiaTheme="majorEastAsia" w:hAnsiTheme="minorHAnsi"/>
          <w:color w:val="495965" w:themeColor="text2"/>
          <w:sz w:val="22"/>
          <w:szCs w:val="22"/>
          <w:lang w:val="en-GB"/>
        </w:rPr>
        <w:t xml:space="preserve"> ($15 million)</w:t>
      </w:r>
      <w:r w:rsidR="00F959FC">
        <w:rPr>
          <w:rFonts w:asciiTheme="minorHAnsi" w:eastAsiaTheme="majorEastAsia" w:hAnsiTheme="minorHAnsi"/>
          <w:color w:val="495965" w:themeColor="text2"/>
          <w:sz w:val="22"/>
          <w:szCs w:val="22"/>
          <w:lang w:val="en-GB"/>
        </w:rPr>
        <w:t xml:space="preserve"> women’s economic empowerment project that seeks to improve the employment of women in large businesses, </w:t>
      </w:r>
      <w:r w:rsidR="00F959FC">
        <w:rPr>
          <w:rFonts w:asciiTheme="minorHAnsi" w:eastAsiaTheme="majorEastAsia" w:hAnsiTheme="minorHAnsi"/>
          <w:color w:val="495965" w:themeColor="text2"/>
          <w:sz w:val="22"/>
          <w:szCs w:val="22"/>
          <w:lang w:val="en-GB"/>
        </w:rPr>
        <w:lastRenderedPageBreak/>
        <w:t xml:space="preserve">access of female-headed enterprises to investment and inclusion in </w:t>
      </w:r>
      <w:r w:rsidR="00EF69BF">
        <w:rPr>
          <w:rFonts w:asciiTheme="minorHAnsi" w:eastAsiaTheme="majorEastAsia" w:hAnsiTheme="minorHAnsi"/>
          <w:color w:val="495965" w:themeColor="text2"/>
          <w:sz w:val="22"/>
          <w:szCs w:val="22"/>
          <w:lang w:val="en-GB"/>
        </w:rPr>
        <w:t xml:space="preserve">significant </w:t>
      </w:r>
      <w:r w:rsidR="00F959FC">
        <w:rPr>
          <w:rFonts w:asciiTheme="minorHAnsi" w:eastAsiaTheme="majorEastAsia" w:hAnsiTheme="minorHAnsi"/>
          <w:color w:val="495965" w:themeColor="text2"/>
          <w:sz w:val="22"/>
          <w:szCs w:val="22"/>
          <w:lang w:val="en-GB"/>
        </w:rPr>
        <w:t>business supply chains of female-headed/friendly enterprises.</w:t>
      </w:r>
      <w:r>
        <w:rPr>
          <w:rFonts w:asciiTheme="minorHAnsi" w:eastAsiaTheme="majorEastAsia" w:hAnsiTheme="minorHAnsi"/>
          <w:color w:val="495965" w:themeColor="text2"/>
          <w:sz w:val="22"/>
          <w:szCs w:val="22"/>
          <w:lang w:val="en-GB"/>
        </w:rPr>
        <w:t xml:space="preserve"> </w:t>
      </w:r>
      <w:r w:rsidR="00AD648C">
        <w:rPr>
          <w:rFonts w:asciiTheme="minorHAnsi" w:eastAsiaTheme="majorEastAsia" w:hAnsiTheme="minorHAnsi"/>
          <w:color w:val="495965" w:themeColor="text2"/>
          <w:sz w:val="22"/>
          <w:szCs w:val="22"/>
          <w:lang w:val="en-GB"/>
        </w:rPr>
        <w:t xml:space="preserve"> </w:t>
      </w:r>
    </w:p>
    <w:p w14:paraId="195E6969" w14:textId="7F04C7B5" w:rsidR="00222080" w:rsidRDefault="00D83DCE" w:rsidP="00AD5B08">
      <w:pPr>
        <w:pStyle w:val="BodyText"/>
        <w:spacing w:before="240"/>
        <w:rPr>
          <w:rFonts w:asciiTheme="minorHAnsi" w:eastAsiaTheme="majorEastAsia" w:hAnsiTheme="minorHAnsi"/>
          <w:color w:val="495965" w:themeColor="text2"/>
          <w:sz w:val="22"/>
          <w:szCs w:val="22"/>
          <w:lang w:val="en-GB"/>
        </w:rPr>
      </w:pPr>
      <w:r>
        <w:rPr>
          <w:rFonts w:asciiTheme="minorHAnsi" w:eastAsiaTheme="majorEastAsia" w:hAnsiTheme="minorHAnsi"/>
          <w:color w:val="495965" w:themeColor="text2"/>
          <w:sz w:val="22"/>
          <w:szCs w:val="22"/>
          <w:lang w:val="en-GB"/>
        </w:rPr>
        <w:t xml:space="preserve">Also working to leverage better outcomes for women </w:t>
      </w:r>
      <w:r w:rsidR="00EF69BF">
        <w:rPr>
          <w:rFonts w:asciiTheme="minorHAnsi" w:eastAsiaTheme="majorEastAsia" w:hAnsiTheme="minorHAnsi"/>
          <w:color w:val="495965" w:themeColor="text2"/>
          <w:sz w:val="22"/>
          <w:szCs w:val="22"/>
          <w:lang w:val="en-GB"/>
        </w:rPr>
        <w:t xml:space="preserve">in the private sector </w:t>
      </w:r>
      <w:r>
        <w:rPr>
          <w:rFonts w:asciiTheme="minorHAnsi" w:eastAsiaTheme="majorEastAsia" w:hAnsiTheme="minorHAnsi"/>
          <w:color w:val="495965" w:themeColor="text2"/>
          <w:sz w:val="22"/>
          <w:szCs w:val="22"/>
          <w:lang w:val="en-GB"/>
        </w:rPr>
        <w:t>are the MDF and S4</w:t>
      </w:r>
      <w:r w:rsidR="00000762">
        <w:rPr>
          <w:rFonts w:asciiTheme="minorHAnsi" w:eastAsiaTheme="majorEastAsia" w:hAnsiTheme="minorHAnsi"/>
          <w:color w:val="495965" w:themeColor="text2"/>
          <w:sz w:val="22"/>
          <w:szCs w:val="22"/>
          <w:lang w:val="en-GB"/>
        </w:rPr>
        <w:t>I</w:t>
      </w:r>
      <w:r>
        <w:rPr>
          <w:rFonts w:asciiTheme="minorHAnsi" w:eastAsiaTheme="majorEastAsia" w:hAnsiTheme="minorHAnsi"/>
          <w:color w:val="495965" w:themeColor="text2"/>
          <w:sz w:val="22"/>
          <w:szCs w:val="22"/>
          <w:lang w:val="en-GB"/>
        </w:rPr>
        <w:t xml:space="preserve">G activities. </w:t>
      </w:r>
      <w:r w:rsidR="000B7243">
        <w:rPr>
          <w:rFonts w:asciiTheme="minorHAnsi" w:eastAsiaTheme="majorEastAsia" w:hAnsiTheme="minorHAnsi"/>
          <w:color w:val="495965" w:themeColor="text2"/>
          <w:sz w:val="22"/>
          <w:szCs w:val="22"/>
          <w:lang w:val="en-GB"/>
        </w:rPr>
        <w:t>The</w:t>
      </w:r>
      <w:r>
        <w:rPr>
          <w:rFonts w:asciiTheme="minorHAnsi" w:eastAsiaTheme="majorEastAsia" w:hAnsiTheme="minorHAnsi"/>
          <w:color w:val="495965" w:themeColor="text2"/>
          <w:sz w:val="22"/>
          <w:szCs w:val="22"/>
          <w:lang w:val="en-GB"/>
        </w:rPr>
        <w:t xml:space="preserve"> MDF’s </w:t>
      </w:r>
      <w:r w:rsidR="000B7243">
        <w:rPr>
          <w:rFonts w:asciiTheme="minorHAnsi" w:eastAsiaTheme="majorEastAsia" w:hAnsiTheme="minorHAnsi"/>
          <w:color w:val="495965" w:themeColor="text2"/>
          <w:sz w:val="22"/>
          <w:szCs w:val="22"/>
          <w:lang w:val="en-GB"/>
        </w:rPr>
        <w:t>household</w:t>
      </w:r>
      <w:r>
        <w:rPr>
          <w:rFonts w:asciiTheme="minorHAnsi" w:eastAsiaTheme="majorEastAsia" w:hAnsiTheme="minorHAnsi"/>
          <w:color w:val="495965" w:themeColor="text2"/>
          <w:sz w:val="22"/>
          <w:szCs w:val="22"/>
          <w:lang w:val="en-GB"/>
        </w:rPr>
        <w:t>-level</w:t>
      </w:r>
      <w:r w:rsidR="000B7243">
        <w:rPr>
          <w:rFonts w:asciiTheme="minorHAnsi" w:eastAsiaTheme="majorEastAsia" w:hAnsiTheme="minorHAnsi"/>
          <w:color w:val="495965" w:themeColor="text2"/>
          <w:sz w:val="22"/>
          <w:szCs w:val="22"/>
          <w:lang w:val="en-GB"/>
        </w:rPr>
        <w:t xml:space="preserve"> analysis of poverty and gender </w:t>
      </w:r>
      <w:r>
        <w:rPr>
          <w:rFonts w:asciiTheme="minorHAnsi" w:eastAsiaTheme="majorEastAsia" w:hAnsiTheme="minorHAnsi"/>
          <w:color w:val="495965" w:themeColor="text2"/>
          <w:sz w:val="22"/>
          <w:szCs w:val="22"/>
          <w:lang w:val="en-GB"/>
        </w:rPr>
        <w:t xml:space="preserve">dynamics is improving its ability to target the right types of partners in the right sub-sectors for </w:t>
      </w:r>
      <w:r w:rsidR="00EF69BF">
        <w:rPr>
          <w:rFonts w:asciiTheme="minorHAnsi" w:eastAsiaTheme="majorEastAsia" w:hAnsiTheme="minorHAnsi"/>
          <w:color w:val="495965" w:themeColor="text2"/>
          <w:sz w:val="22"/>
          <w:szCs w:val="22"/>
          <w:lang w:val="en-GB"/>
        </w:rPr>
        <w:t xml:space="preserve">increasing women’s </w:t>
      </w:r>
      <w:r>
        <w:rPr>
          <w:rFonts w:asciiTheme="minorHAnsi" w:eastAsiaTheme="majorEastAsia" w:hAnsiTheme="minorHAnsi"/>
          <w:color w:val="495965" w:themeColor="text2"/>
          <w:sz w:val="22"/>
          <w:szCs w:val="22"/>
          <w:lang w:val="en-GB"/>
        </w:rPr>
        <w:t>employment and income-generating activities for women.</w:t>
      </w:r>
      <w:r w:rsidR="00D82BAC">
        <w:rPr>
          <w:rStyle w:val="FootnoteReference"/>
          <w:rFonts w:asciiTheme="minorHAnsi" w:eastAsiaTheme="majorEastAsia" w:hAnsiTheme="minorHAnsi"/>
          <w:color w:val="495965" w:themeColor="text2"/>
          <w:sz w:val="22"/>
          <w:szCs w:val="22"/>
          <w:lang w:val="en-GB"/>
        </w:rPr>
        <w:footnoteReference w:id="9"/>
      </w:r>
      <w:r>
        <w:rPr>
          <w:rFonts w:asciiTheme="minorHAnsi" w:eastAsiaTheme="majorEastAsia" w:hAnsiTheme="minorHAnsi"/>
          <w:color w:val="495965" w:themeColor="text2"/>
          <w:sz w:val="22"/>
          <w:szCs w:val="22"/>
          <w:lang w:val="en-GB"/>
        </w:rPr>
        <w:t xml:space="preserve"> The S4</w:t>
      </w:r>
      <w:r w:rsidR="00000762">
        <w:rPr>
          <w:rFonts w:asciiTheme="minorHAnsi" w:eastAsiaTheme="majorEastAsia" w:hAnsiTheme="minorHAnsi"/>
          <w:color w:val="495965" w:themeColor="text2"/>
          <w:sz w:val="22"/>
          <w:szCs w:val="22"/>
          <w:lang w:val="en-GB"/>
        </w:rPr>
        <w:t>I</w:t>
      </w:r>
      <w:r>
        <w:rPr>
          <w:rFonts w:asciiTheme="minorHAnsi" w:eastAsiaTheme="majorEastAsia" w:hAnsiTheme="minorHAnsi"/>
          <w:color w:val="495965" w:themeColor="text2"/>
          <w:sz w:val="22"/>
          <w:szCs w:val="22"/>
          <w:lang w:val="en-GB"/>
        </w:rPr>
        <w:t>G program is also ensuring all its preliminary analysis is gender</w:t>
      </w:r>
      <w:r w:rsidR="00EF69BF">
        <w:rPr>
          <w:rFonts w:asciiTheme="minorHAnsi" w:eastAsiaTheme="majorEastAsia" w:hAnsiTheme="minorHAnsi"/>
          <w:color w:val="495965" w:themeColor="text2"/>
          <w:sz w:val="22"/>
          <w:szCs w:val="22"/>
          <w:lang w:val="en-GB"/>
        </w:rPr>
        <w:t xml:space="preserve"> sensitive and uses sex-</w:t>
      </w:r>
      <w:r>
        <w:rPr>
          <w:rFonts w:asciiTheme="minorHAnsi" w:eastAsiaTheme="majorEastAsia" w:hAnsiTheme="minorHAnsi"/>
          <w:color w:val="495965" w:themeColor="text2"/>
          <w:sz w:val="22"/>
          <w:szCs w:val="22"/>
          <w:lang w:val="en-GB"/>
        </w:rPr>
        <w:t xml:space="preserve">disaggregated </w:t>
      </w:r>
      <w:r w:rsidR="00EF69BF">
        <w:rPr>
          <w:rFonts w:asciiTheme="minorHAnsi" w:eastAsiaTheme="majorEastAsia" w:hAnsiTheme="minorHAnsi"/>
          <w:color w:val="495965" w:themeColor="text2"/>
          <w:sz w:val="22"/>
          <w:szCs w:val="22"/>
          <w:lang w:val="en-GB"/>
        </w:rPr>
        <w:t xml:space="preserve">data </w:t>
      </w:r>
      <w:r>
        <w:rPr>
          <w:rFonts w:asciiTheme="minorHAnsi" w:eastAsiaTheme="majorEastAsia" w:hAnsiTheme="minorHAnsi"/>
          <w:color w:val="495965" w:themeColor="text2"/>
          <w:sz w:val="22"/>
          <w:szCs w:val="22"/>
          <w:lang w:val="en-GB"/>
        </w:rPr>
        <w:t xml:space="preserve">and has appointed two female district coordinators </w:t>
      </w:r>
      <w:r w:rsidR="00EF69BF">
        <w:rPr>
          <w:rFonts w:asciiTheme="minorHAnsi" w:eastAsiaTheme="majorEastAsia" w:hAnsiTheme="minorHAnsi"/>
          <w:color w:val="495965" w:themeColor="text2"/>
          <w:sz w:val="22"/>
          <w:szCs w:val="22"/>
          <w:lang w:val="en-GB"/>
        </w:rPr>
        <w:t xml:space="preserve">(out of a total of four coordinators) </w:t>
      </w:r>
      <w:r>
        <w:rPr>
          <w:rFonts w:asciiTheme="minorHAnsi" w:eastAsiaTheme="majorEastAsia" w:hAnsiTheme="minorHAnsi"/>
          <w:color w:val="495965" w:themeColor="text2"/>
          <w:sz w:val="22"/>
          <w:szCs w:val="22"/>
          <w:lang w:val="en-GB"/>
        </w:rPr>
        <w:t>to manage activity implementation.</w:t>
      </w:r>
    </w:p>
    <w:p w14:paraId="0C1142C0" w14:textId="659FFFE0" w:rsidR="00A341D2" w:rsidRDefault="006A5935" w:rsidP="00AD5B08">
      <w:pPr>
        <w:pStyle w:val="BodyText"/>
        <w:spacing w:before="240"/>
        <w:rPr>
          <w:rFonts w:asciiTheme="minorHAnsi" w:eastAsiaTheme="majorEastAsia" w:hAnsiTheme="minorHAnsi"/>
          <w:color w:val="495965" w:themeColor="text2"/>
          <w:sz w:val="22"/>
          <w:szCs w:val="22"/>
          <w:lang w:val="en-GB"/>
        </w:rPr>
      </w:pPr>
      <w:r>
        <w:rPr>
          <w:rFonts w:asciiTheme="minorHAnsi" w:eastAsiaTheme="majorEastAsia" w:hAnsiTheme="minorHAnsi"/>
          <w:color w:val="495965" w:themeColor="text2"/>
          <w:sz w:val="22"/>
          <w:szCs w:val="22"/>
          <w:lang w:val="en-GB"/>
        </w:rPr>
        <w:t>During the reporting period, the Sri Lankan government introduced an amendment to the Local Government Act, which will see the introduction of a 25 per cent quota for female representation in local authorities (</w:t>
      </w:r>
      <w:r w:rsidR="00AD648C">
        <w:rPr>
          <w:rFonts w:asciiTheme="minorHAnsi" w:eastAsiaTheme="majorEastAsia" w:hAnsiTheme="minorHAnsi"/>
          <w:color w:val="495965" w:themeColor="text2"/>
          <w:sz w:val="22"/>
          <w:szCs w:val="22"/>
          <w:lang w:val="en-GB"/>
        </w:rPr>
        <w:t xml:space="preserve">female representative sits </w:t>
      </w:r>
      <w:r>
        <w:rPr>
          <w:rFonts w:asciiTheme="minorHAnsi" w:eastAsiaTheme="majorEastAsia" w:hAnsiTheme="minorHAnsi"/>
          <w:color w:val="495965" w:themeColor="text2"/>
          <w:sz w:val="22"/>
          <w:szCs w:val="22"/>
          <w:lang w:val="en-GB"/>
        </w:rPr>
        <w:t>currently</w:t>
      </w:r>
      <w:r w:rsidR="00AD648C">
        <w:rPr>
          <w:rFonts w:asciiTheme="minorHAnsi" w:eastAsiaTheme="majorEastAsia" w:hAnsiTheme="minorHAnsi"/>
          <w:color w:val="495965" w:themeColor="text2"/>
          <w:sz w:val="22"/>
          <w:szCs w:val="22"/>
          <w:lang w:val="en-GB"/>
        </w:rPr>
        <w:t xml:space="preserve"> at</w:t>
      </w:r>
      <w:r>
        <w:rPr>
          <w:rFonts w:asciiTheme="minorHAnsi" w:eastAsiaTheme="majorEastAsia" w:hAnsiTheme="minorHAnsi"/>
          <w:color w:val="495965" w:themeColor="text2"/>
          <w:sz w:val="22"/>
          <w:szCs w:val="22"/>
          <w:lang w:val="en-GB"/>
        </w:rPr>
        <w:t xml:space="preserve"> 1.8 per cent). </w:t>
      </w:r>
      <w:r w:rsidR="00AD5B08" w:rsidRPr="00AD5B08">
        <w:rPr>
          <w:rFonts w:asciiTheme="minorHAnsi" w:eastAsiaTheme="majorEastAsia" w:hAnsiTheme="minorHAnsi"/>
          <w:color w:val="495965" w:themeColor="text2"/>
          <w:sz w:val="22"/>
          <w:szCs w:val="22"/>
          <w:lang w:val="en-GB"/>
        </w:rPr>
        <w:t>DFAT is</w:t>
      </w:r>
      <w:r w:rsidR="00F959FC">
        <w:rPr>
          <w:rFonts w:asciiTheme="minorHAnsi" w:eastAsiaTheme="majorEastAsia" w:hAnsiTheme="minorHAnsi"/>
          <w:color w:val="495965" w:themeColor="text2"/>
          <w:sz w:val="22"/>
          <w:szCs w:val="22"/>
          <w:lang w:val="en-GB"/>
        </w:rPr>
        <w:t xml:space="preserve"> </w:t>
      </w:r>
      <w:r w:rsidR="00AD5B08" w:rsidRPr="00AD5B08">
        <w:rPr>
          <w:rFonts w:asciiTheme="minorHAnsi" w:eastAsiaTheme="majorEastAsia" w:hAnsiTheme="minorHAnsi"/>
          <w:color w:val="495965" w:themeColor="text2"/>
          <w:sz w:val="22"/>
          <w:szCs w:val="22"/>
          <w:lang w:val="en-GB"/>
        </w:rPr>
        <w:t xml:space="preserve">supporting </w:t>
      </w:r>
      <w:r>
        <w:rPr>
          <w:rFonts w:asciiTheme="minorHAnsi" w:eastAsiaTheme="majorEastAsia" w:hAnsiTheme="minorHAnsi"/>
          <w:color w:val="495965" w:themeColor="text2"/>
          <w:sz w:val="22"/>
          <w:szCs w:val="22"/>
          <w:lang w:val="en-GB"/>
        </w:rPr>
        <w:t>this initiative</w:t>
      </w:r>
      <w:r w:rsidR="00AD5B08" w:rsidRPr="00AD5B08">
        <w:rPr>
          <w:rFonts w:asciiTheme="minorHAnsi" w:eastAsiaTheme="majorEastAsia" w:hAnsiTheme="minorHAnsi"/>
          <w:color w:val="495965" w:themeColor="text2"/>
          <w:sz w:val="22"/>
          <w:szCs w:val="22"/>
          <w:lang w:val="en-GB"/>
        </w:rPr>
        <w:t xml:space="preserve"> by investing into two pilot projects: the International Foundation for Electoral Systems' (IFES) Promotion of Women's Electoral Representation in Sri Lanka (POWER) program ($500,000) and the Women in Learning and Leadership (WILL) project ($650,000) delivered by Search for Common Ground. Outputs, such as support </w:t>
      </w:r>
      <w:r w:rsidR="00EF69BF">
        <w:rPr>
          <w:rFonts w:asciiTheme="minorHAnsi" w:eastAsiaTheme="majorEastAsia" w:hAnsiTheme="minorHAnsi"/>
          <w:color w:val="495965" w:themeColor="text2"/>
          <w:sz w:val="22"/>
          <w:szCs w:val="22"/>
          <w:lang w:val="en-GB"/>
        </w:rPr>
        <w:t>for</w:t>
      </w:r>
      <w:r w:rsidR="00AD5B08" w:rsidRPr="00AD5B08">
        <w:rPr>
          <w:rFonts w:asciiTheme="minorHAnsi" w:eastAsiaTheme="majorEastAsia" w:hAnsiTheme="minorHAnsi"/>
          <w:color w:val="495965" w:themeColor="text2"/>
          <w:sz w:val="22"/>
          <w:szCs w:val="22"/>
          <w:lang w:val="en-GB"/>
        </w:rPr>
        <w:t xml:space="preserve"> the Sri Lanka Electoral Commission's </w:t>
      </w:r>
      <w:r w:rsidR="00AD5B08" w:rsidRPr="006D7B40">
        <w:rPr>
          <w:rFonts w:asciiTheme="minorHAnsi" w:eastAsiaTheme="majorEastAsia" w:hAnsiTheme="minorHAnsi"/>
          <w:i/>
          <w:color w:val="495965" w:themeColor="text2"/>
          <w:sz w:val="22"/>
          <w:szCs w:val="22"/>
          <w:lang w:val="en-GB"/>
        </w:rPr>
        <w:t>She Leads Sri Lanka</w:t>
      </w:r>
      <w:r w:rsidR="00AD5B08" w:rsidRPr="00AD5B08">
        <w:rPr>
          <w:rFonts w:asciiTheme="minorHAnsi" w:eastAsiaTheme="majorEastAsia" w:hAnsiTheme="minorHAnsi"/>
          <w:color w:val="495965" w:themeColor="text2"/>
          <w:sz w:val="22"/>
          <w:szCs w:val="22"/>
          <w:lang w:val="en-GB"/>
        </w:rPr>
        <w:t xml:space="preserve"> nationwide women's leadership training (IFES) and Women Parliamentarian's Caucus events (Search for Common Ground), are being delivered in line with expectations and generating significant public diplomacy (which also contributes to the changing of attitudes which is at the heart of the pro</w:t>
      </w:r>
      <w:r w:rsidR="00EF69BF">
        <w:rPr>
          <w:rFonts w:asciiTheme="minorHAnsi" w:eastAsiaTheme="majorEastAsia" w:hAnsiTheme="minorHAnsi"/>
          <w:color w:val="495965" w:themeColor="text2"/>
          <w:sz w:val="22"/>
          <w:szCs w:val="22"/>
          <w:lang w:val="en-GB"/>
        </w:rPr>
        <w:t>jects</w:t>
      </w:r>
      <w:r w:rsidR="00AD5B08" w:rsidRPr="00AD5B08">
        <w:rPr>
          <w:rFonts w:asciiTheme="minorHAnsi" w:eastAsiaTheme="majorEastAsia" w:hAnsiTheme="minorHAnsi"/>
          <w:color w:val="495965" w:themeColor="text2"/>
          <w:sz w:val="22"/>
          <w:szCs w:val="22"/>
          <w:lang w:val="en-GB"/>
        </w:rPr>
        <w:t xml:space="preserve">' theories of change). As with the World Bank pilot project, </w:t>
      </w:r>
      <w:r w:rsidR="006A72E6">
        <w:rPr>
          <w:rFonts w:asciiTheme="minorHAnsi" w:eastAsiaTheme="majorEastAsia" w:hAnsiTheme="minorHAnsi"/>
          <w:color w:val="495965" w:themeColor="text2"/>
          <w:sz w:val="22"/>
          <w:szCs w:val="22"/>
          <w:lang w:val="en-GB"/>
        </w:rPr>
        <w:t xml:space="preserve">the impact of these activities </w:t>
      </w:r>
      <w:r w:rsidR="00AD5B08" w:rsidRPr="00AD5B08">
        <w:rPr>
          <w:rFonts w:asciiTheme="minorHAnsi" w:eastAsiaTheme="majorEastAsia" w:hAnsiTheme="minorHAnsi"/>
          <w:color w:val="495965" w:themeColor="text2"/>
          <w:sz w:val="22"/>
          <w:szCs w:val="22"/>
          <w:lang w:val="en-GB"/>
        </w:rPr>
        <w:t xml:space="preserve">will become more evident </w:t>
      </w:r>
      <w:r w:rsidR="00D82BAC">
        <w:rPr>
          <w:rFonts w:asciiTheme="minorHAnsi" w:eastAsiaTheme="majorEastAsia" w:hAnsiTheme="minorHAnsi"/>
          <w:color w:val="495965" w:themeColor="text2"/>
          <w:sz w:val="22"/>
          <w:szCs w:val="22"/>
          <w:lang w:val="en-GB"/>
        </w:rPr>
        <w:t>over the next reporting period.</w:t>
      </w:r>
      <w:r w:rsidR="00D82BAC">
        <w:rPr>
          <w:rStyle w:val="FootnoteReference"/>
          <w:rFonts w:asciiTheme="minorHAnsi" w:eastAsiaTheme="majorEastAsia" w:hAnsiTheme="minorHAnsi"/>
          <w:color w:val="495965" w:themeColor="text2"/>
          <w:sz w:val="22"/>
          <w:szCs w:val="22"/>
          <w:lang w:val="en-GB"/>
        </w:rPr>
        <w:footnoteReference w:id="10"/>
      </w:r>
    </w:p>
    <w:p w14:paraId="0BF82DD1" w14:textId="152FE4AD" w:rsidR="00AD5B08" w:rsidRDefault="00AD5B08" w:rsidP="00AD5B08">
      <w:pPr>
        <w:pStyle w:val="BodyText"/>
        <w:spacing w:before="240"/>
        <w:rPr>
          <w:rFonts w:asciiTheme="minorHAnsi" w:eastAsiaTheme="majorEastAsia" w:hAnsiTheme="minorHAnsi"/>
          <w:color w:val="495965" w:themeColor="text2"/>
          <w:sz w:val="22"/>
          <w:szCs w:val="22"/>
          <w:lang w:val="en-GB"/>
        </w:rPr>
      </w:pPr>
      <w:r w:rsidRPr="00AD5B08">
        <w:rPr>
          <w:rFonts w:asciiTheme="minorHAnsi" w:eastAsiaTheme="majorEastAsia" w:hAnsiTheme="minorHAnsi"/>
          <w:color w:val="495965" w:themeColor="text2"/>
          <w:sz w:val="22"/>
          <w:szCs w:val="22"/>
          <w:lang w:val="en-GB"/>
        </w:rPr>
        <w:t>A</w:t>
      </w:r>
      <w:r w:rsidR="00222080">
        <w:rPr>
          <w:rFonts w:asciiTheme="minorHAnsi" w:eastAsiaTheme="majorEastAsia" w:hAnsiTheme="minorHAnsi"/>
          <w:color w:val="495965" w:themeColor="text2"/>
          <w:sz w:val="22"/>
          <w:szCs w:val="22"/>
          <w:lang w:val="en-GB"/>
        </w:rPr>
        <w:t xml:space="preserve"> drag on performance against this objective was the challenge faced by </w:t>
      </w:r>
      <w:r w:rsidRPr="00AD5B08">
        <w:rPr>
          <w:rFonts w:asciiTheme="minorHAnsi" w:eastAsiaTheme="majorEastAsia" w:hAnsiTheme="minorHAnsi"/>
          <w:color w:val="495965" w:themeColor="text2"/>
          <w:sz w:val="22"/>
          <w:szCs w:val="22"/>
          <w:lang w:val="en-GB"/>
        </w:rPr>
        <w:t xml:space="preserve">NELSIP, a project with a history of low Aid Quality Check (AQC) ratings on gender equality, </w:t>
      </w:r>
      <w:r w:rsidR="00222080">
        <w:rPr>
          <w:rFonts w:asciiTheme="minorHAnsi" w:eastAsiaTheme="majorEastAsia" w:hAnsiTheme="minorHAnsi"/>
          <w:color w:val="495965" w:themeColor="text2"/>
          <w:sz w:val="22"/>
          <w:szCs w:val="22"/>
          <w:lang w:val="en-GB"/>
        </w:rPr>
        <w:t xml:space="preserve">to build on its </w:t>
      </w:r>
      <w:r w:rsidRPr="00AD5B08">
        <w:rPr>
          <w:rFonts w:asciiTheme="minorHAnsi" w:eastAsiaTheme="majorEastAsia" w:hAnsiTheme="minorHAnsi"/>
          <w:color w:val="495965" w:themeColor="text2"/>
          <w:sz w:val="22"/>
          <w:szCs w:val="22"/>
          <w:lang w:val="en-GB"/>
        </w:rPr>
        <w:t xml:space="preserve">improvements </w:t>
      </w:r>
      <w:r w:rsidR="00F959FC">
        <w:rPr>
          <w:rFonts w:asciiTheme="minorHAnsi" w:eastAsiaTheme="majorEastAsia" w:hAnsiTheme="minorHAnsi"/>
          <w:color w:val="495965" w:themeColor="text2"/>
          <w:sz w:val="22"/>
          <w:szCs w:val="22"/>
          <w:lang w:val="en-GB"/>
        </w:rPr>
        <w:t xml:space="preserve">in the previous reporting period. </w:t>
      </w:r>
      <w:r w:rsidRPr="00AD5B08">
        <w:rPr>
          <w:rFonts w:asciiTheme="minorHAnsi" w:eastAsiaTheme="majorEastAsia" w:hAnsiTheme="minorHAnsi"/>
          <w:color w:val="495965" w:themeColor="text2"/>
          <w:sz w:val="22"/>
          <w:szCs w:val="22"/>
          <w:lang w:val="en-GB"/>
        </w:rPr>
        <w:t xml:space="preserve">Female participation in NELSIP Social Audit Committees </w:t>
      </w:r>
      <w:r w:rsidR="00F959FC">
        <w:rPr>
          <w:rFonts w:asciiTheme="minorHAnsi" w:eastAsiaTheme="majorEastAsia" w:hAnsiTheme="minorHAnsi"/>
          <w:color w:val="495965" w:themeColor="text2"/>
          <w:sz w:val="22"/>
          <w:szCs w:val="22"/>
          <w:lang w:val="en-GB"/>
        </w:rPr>
        <w:t xml:space="preserve">stalled at </w:t>
      </w:r>
      <w:r w:rsidRPr="00AD5B08">
        <w:rPr>
          <w:rFonts w:asciiTheme="minorHAnsi" w:eastAsiaTheme="majorEastAsia" w:hAnsiTheme="minorHAnsi"/>
          <w:color w:val="495965" w:themeColor="text2"/>
          <w:sz w:val="22"/>
          <w:szCs w:val="22"/>
          <w:lang w:val="en-GB"/>
        </w:rPr>
        <w:t>40% in the Northern and Eastern Provin</w:t>
      </w:r>
      <w:r w:rsidR="00F959FC">
        <w:rPr>
          <w:rFonts w:asciiTheme="minorHAnsi" w:eastAsiaTheme="majorEastAsia" w:hAnsiTheme="minorHAnsi"/>
          <w:color w:val="495965" w:themeColor="text2"/>
          <w:sz w:val="22"/>
          <w:szCs w:val="22"/>
          <w:lang w:val="en-GB"/>
        </w:rPr>
        <w:t>ces respectively</w:t>
      </w:r>
      <w:r w:rsidRPr="00AD5B08">
        <w:rPr>
          <w:rFonts w:asciiTheme="minorHAnsi" w:eastAsiaTheme="majorEastAsia" w:hAnsiTheme="minorHAnsi"/>
          <w:color w:val="495965" w:themeColor="text2"/>
          <w:sz w:val="22"/>
          <w:szCs w:val="22"/>
          <w:lang w:val="en-GB"/>
        </w:rPr>
        <w:t xml:space="preserve">. </w:t>
      </w:r>
      <w:r w:rsidR="00D83DCE">
        <w:rPr>
          <w:rFonts w:asciiTheme="minorHAnsi" w:eastAsiaTheme="majorEastAsia" w:hAnsiTheme="minorHAnsi"/>
          <w:color w:val="495965" w:themeColor="text2"/>
          <w:sz w:val="22"/>
          <w:szCs w:val="22"/>
          <w:lang w:val="en-GB"/>
        </w:rPr>
        <w:t xml:space="preserve">Part of the issue has been </w:t>
      </w:r>
      <w:r w:rsidR="00EF69BF">
        <w:rPr>
          <w:rFonts w:asciiTheme="minorHAnsi" w:eastAsiaTheme="majorEastAsia" w:hAnsiTheme="minorHAnsi"/>
          <w:color w:val="495965" w:themeColor="text2"/>
          <w:sz w:val="22"/>
          <w:szCs w:val="22"/>
          <w:lang w:val="en-GB"/>
        </w:rPr>
        <w:t>the</w:t>
      </w:r>
      <w:r w:rsidR="00D83DCE">
        <w:rPr>
          <w:rFonts w:asciiTheme="minorHAnsi" w:eastAsiaTheme="majorEastAsia" w:hAnsiTheme="minorHAnsi"/>
          <w:color w:val="495965" w:themeColor="text2"/>
          <w:sz w:val="22"/>
          <w:szCs w:val="22"/>
          <w:lang w:val="en-GB"/>
        </w:rPr>
        <w:t xml:space="preserve"> weak</w:t>
      </w:r>
      <w:r w:rsidR="006D7B40">
        <w:rPr>
          <w:rFonts w:asciiTheme="minorHAnsi" w:eastAsiaTheme="majorEastAsia" w:hAnsiTheme="minorHAnsi"/>
          <w:color w:val="495965" w:themeColor="text2"/>
          <w:sz w:val="22"/>
          <w:szCs w:val="22"/>
          <w:lang w:val="en-GB"/>
        </w:rPr>
        <w:t>ness</w:t>
      </w:r>
      <w:r w:rsidR="00D83DCE">
        <w:rPr>
          <w:rFonts w:asciiTheme="minorHAnsi" w:eastAsiaTheme="majorEastAsia" w:hAnsiTheme="minorHAnsi"/>
          <w:color w:val="495965" w:themeColor="text2"/>
          <w:sz w:val="22"/>
          <w:szCs w:val="22"/>
          <w:lang w:val="en-GB"/>
        </w:rPr>
        <w:t xml:space="preserve"> of the project’s monitoring and evaluation system to provide a qualitative, gender-focused assessment of project outputs and outcomes.</w:t>
      </w:r>
      <w:r w:rsidR="00F27274">
        <w:rPr>
          <w:rFonts w:asciiTheme="minorHAnsi" w:eastAsiaTheme="majorEastAsia" w:hAnsiTheme="minorHAnsi"/>
          <w:color w:val="495965" w:themeColor="text2"/>
          <w:sz w:val="22"/>
          <w:szCs w:val="22"/>
          <w:lang w:val="en-GB"/>
        </w:rPr>
        <w:t xml:space="preserve"> DFAT has observed during field missions that the infrastructure being delivered through the project is having a positive impact on women’s lives (for example increased income generation through market-places). </w:t>
      </w:r>
      <w:r w:rsidR="004A3379">
        <w:rPr>
          <w:rFonts w:asciiTheme="minorHAnsi" w:eastAsiaTheme="majorEastAsia" w:hAnsiTheme="minorHAnsi"/>
          <w:color w:val="495965" w:themeColor="text2"/>
          <w:sz w:val="22"/>
          <w:szCs w:val="22"/>
          <w:lang w:val="en-GB"/>
        </w:rPr>
        <w:t xml:space="preserve">It is noticeable though that </w:t>
      </w:r>
      <w:r w:rsidR="00F959FC">
        <w:rPr>
          <w:rFonts w:asciiTheme="minorHAnsi" w:eastAsiaTheme="majorEastAsia" w:hAnsiTheme="minorHAnsi"/>
          <w:color w:val="495965" w:themeColor="text2"/>
          <w:sz w:val="22"/>
          <w:szCs w:val="22"/>
          <w:lang w:val="en-GB"/>
        </w:rPr>
        <w:t>the</w:t>
      </w:r>
      <w:r w:rsidRPr="00AD5B08">
        <w:rPr>
          <w:rFonts w:asciiTheme="minorHAnsi" w:eastAsiaTheme="majorEastAsia" w:hAnsiTheme="minorHAnsi"/>
          <w:color w:val="495965" w:themeColor="text2"/>
          <w:sz w:val="22"/>
          <w:szCs w:val="22"/>
          <w:lang w:val="en-GB"/>
        </w:rPr>
        <w:t xml:space="preserve"> increase in the number of women using formal complaints mechanisms, </w:t>
      </w:r>
      <w:r w:rsidR="00F959FC">
        <w:rPr>
          <w:rFonts w:asciiTheme="minorHAnsi" w:eastAsiaTheme="majorEastAsia" w:hAnsiTheme="minorHAnsi"/>
          <w:color w:val="495965" w:themeColor="text2"/>
          <w:sz w:val="22"/>
          <w:szCs w:val="22"/>
          <w:lang w:val="en-GB"/>
        </w:rPr>
        <w:t xml:space="preserve">delivery of </w:t>
      </w:r>
      <w:r w:rsidRPr="00AD5B08">
        <w:rPr>
          <w:rFonts w:asciiTheme="minorHAnsi" w:eastAsiaTheme="majorEastAsia" w:hAnsiTheme="minorHAnsi"/>
          <w:color w:val="495965" w:themeColor="text2"/>
          <w:sz w:val="22"/>
          <w:szCs w:val="22"/>
          <w:lang w:val="en-GB"/>
        </w:rPr>
        <w:t>a gender action plan, and gender training delivered to a wide variety of government agencies</w:t>
      </w:r>
      <w:r w:rsidR="00F959FC">
        <w:rPr>
          <w:rFonts w:asciiTheme="minorHAnsi" w:eastAsiaTheme="majorEastAsia" w:hAnsiTheme="minorHAnsi"/>
          <w:color w:val="495965" w:themeColor="text2"/>
          <w:sz w:val="22"/>
          <w:szCs w:val="22"/>
          <w:lang w:val="en-GB"/>
        </w:rPr>
        <w:t xml:space="preserve"> has not resulted in expected impro</w:t>
      </w:r>
      <w:r w:rsidR="00D00E82">
        <w:rPr>
          <w:rFonts w:asciiTheme="minorHAnsi" w:eastAsiaTheme="majorEastAsia" w:hAnsiTheme="minorHAnsi"/>
          <w:color w:val="495965" w:themeColor="text2"/>
          <w:sz w:val="22"/>
          <w:szCs w:val="22"/>
          <w:lang w:val="en-GB"/>
        </w:rPr>
        <w:t>vements in government capacity.</w:t>
      </w:r>
    </w:p>
    <w:p w14:paraId="3A6771F4" w14:textId="52B200F2" w:rsidR="00AD5B08" w:rsidRDefault="00AD5B08" w:rsidP="00AD5B08">
      <w:pPr>
        <w:pStyle w:val="BodyText"/>
        <w:spacing w:before="240"/>
        <w:rPr>
          <w:rFonts w:asciiTheme="minorHAnsi" w:eastAsiaTheme="majorEastAsia" w:hAnsiTheme="minorHAnsi"/>
          <w:color w:val="495965" w:themeColor="text2"/>
          <w:sz w:val="22"/>
          <w:szCs w:val="22"/>
          <w:lang w:val="en-GB"/>
        </w:rPr>
      </w:pPr>
      <w:r w:rsidRPr="00AD5B08">
        <w:rPr>
          <w:rFonts w:asciiTheme="minorHAnsi" w:eastAsiaTheme="majorEastAsia" w:hAnsiTheme="minorHAnsi"/>
          <w:color w:val="495965" w:themeColor="text2"/>
          <w:sz w:val="22"/>
          <w:szCs w:val="22"/>
          <w:lang w:val="en-GB"/>
        </w:rPr>
        <w:t>DFAT continued over the past year to use TSEP to raise gender equality considerations in education. A</w:t>
      </w:r>
      <w:r w:rsidR="005D5FB7">
        <w:rPr>
          <w:rFonts w:asciiTheme="minorHAnsi" w:eastAsiaTheme="majorEastAsia" w:hAnsiTheme="minorHAnsi"/>
          <w:color w:val="495965" w:themeColor="text2"/>
          <w:sz w:val="22"/>
          <w:szCs w:val="22"/>
          <w:lang w:val="en-GB"/>
        </w:rPr>
        <w:t>n</w:t>
      </w:r>
      <w:r w:rsidRPr="00AD5B08">
        <w:rPr>
          <w:rFonts w:asciiTheme="minorHAnsi" w:eastAsiaTheme="majorEastAsia" w:hAnsiTheme="minorHAnsi"/>
          <w:color w:val="495965" w:themeColor="text2"/>
          <w:sz w:val="22"/>
          <w:szCs w:val="22"/>
          <w:lang w:val="en-GB"/>
        </w:rPr>
        <w:t xml:space="preserve"> activity completed in 2015-16 was the DFAT-initiated, TSEP-funded study into the higher level of school drop-out rates of boys. </w:t>
      </w:r>
      <w:r w:rsidR="005D5FB7">
        <w:rPr>
          <w:rFonts w:asciiTheme="minorHAnsi" w:eastAsiaTheme="majorEastAsia" w:hAnsiTheme="minorHAnsi"/>
          <w:color w:val="495965" w:themeColor="text2"/>
          <w:sz w:val="22"/>
          <w:szCs w:val="22"/>
          <w:lang w:val="en-GB"/>
        </w:rPr>
        <w:t>This report will be published as a part of the</w:t>
      </w:r>
      <w:r w:rsidR="000E281C">
        <w:rPr>
          <w:rFonts w:asciiTheme="minorHAnsi" w:eastAsiaTheme="majorEastAsia" w:hAnsiTheme="minorHAnsi"/>
          <w:color w:val="495965" w:themeColor="text2"/>
          <w:sz w:val="22"/>
          <w:szCs w:val="22"/>
          <w:lang w:val="en-GB"/>
        </w:rPr>
        <w:t xml:space="preserve"> World Bank</w:t>
      </w:r>
      <w:r w:rsidR="005D5FB7">
        <w:rPr>
          <w:rFonts w:asciiTheme="minorHAnsi" w:eastAsiaTheme="majorEastAsia" w:hAnsiTheme="minorHAnsi"/>
          <w:color w:val="495965" w:themeColor="text2"/>
          <w:sz w:val="22"/>
          <w:szCs w:val="22"/>
          <w:lang w:val="en-GB"/>
        </w:rPr>
        <w:t xml:space="preserve">’s development series in the coming months. </w:t>
      </w:r>
      <w:r w:rsidR="000E281C">
        <w:rPr>
          <w:rFonts w:asciiTheme="minorHAnsi" w:eastAsiaTheme="majorEastAsia" w:hAnsiTheme="minorHAnsi"/>
          <w:color w:val="495965" w:themeColor="text2"/>
          <w:sz w:val="22"/>
          <w:szCs w:val="22"/>
          <w:lang w:val="en-GB"/>
        </w:rPr>
        <w:t>T</w:t>
      </w:r>
      <w:r w:rsidR="00511C0B">
        <w:rPr>
          <w:rFonts w:asciiTheme="minorHAnsi" w:eastAsiaTheme="majorEastAsia" w:hAnsiTheme="minorHAnsi"/>
          <w:color w:val="495965" w:themeColor="text2"/>
          <w:sz w:val="22"/>
          <w:szCs w:val="22"/>
          <w:lang w:val="en-GB"/>
        </w:rPr>
        <w:t>he Australia</w:t>
      </w:r>
      <w:r w:rsidR="00D00E82">
        <w:rPr>
          <w:rFonts w:asciiTheme="minorHAnsi" w:eastAsiaTheme="majorEastAsia" w:hAnsiTheme="minorHAnsi"/>
          <w:color w:val="495965" w:themeColor="text2"/>
          <w:sz w:val="22"/>
          <w:szCs w:val="22"/>
          <w:lang w:val="en-GB"/>
        </w:rPr>
        <w:t xml:space="preserve"> Awards program in Sri Lanka </w:t>
      </w:r>
      <w:r w:rsidR="00D51726">
        <w:rPr>
          <w:rFonts w:asciiTheme="minorHAnsi" w:eastAsiaTheme="majorEastAsia" w:hAnsiTheme="minorHAnsi"/>
          <w:color w:val="495965" w:themeColor="text2"/>
          <w:sz w:val="22"/>
          <w:szCs w:val="22"/>
          <w:lang w:val="en-GB"/>
        </w:rPr>
        <w:t xml:space="preserve">continued its trend in </w:t>
      </w:r>
      <w:r w:rsidR="00D00E82">
        <w:rPr>
          <w:rFonts w:asciiTheme="minorHAnsi" w:eastAsiaTheme="majorEastAsia" w:hAnsiTheme="minorHAnsi"/>
          <w:color w:val="495965" w:themeColor="text2"/>
          <w:sz w:val="22"/>
          <w:szCs w:val="22"/>
          <w:lang w:val="en-GB"/>
        </w:rPr>
        <w:t>provid</w:t>
      </w:r>
      <w:r w:rsidR="00D51726">
        <w:rPr>
          <w:rFonts w:asciiTheme="minorHAnsi" w:eastAsiaTheme="majorEastAsia" w:hAnsiTheme="minorHAnsi"/>
          <w:color w:val="495965" w:themeColor="text2"/>
          <w:sz w:val="22"/>
          <w:szCs w:val="22"/>
          <w:lang w:val="en-GB"/>
        </w:rPr>
        <w:t>ing</w:t>
      </w:r>
      <w:r w:rsidR="00D00E82">
        <w:rPr>
          <w:rFonts w:asciiTheme="minorHAnsi" w:eastAsiaTheme="majorEastAsia" w:hAnsiTheme="minorHAnsi"/>
          <w:color w:val="495965" w:themeColor="text2"/>
          <w:sz w:val="22"/>
          <w:szCs w:val="22"/>
          <w:lang w:val="en-GB"/>
        </w:rPr>
        <w:t xml:space="preserve"> more awards to women than men</w:t>
      </w:r>
      <w:r w:rsidR="00851140">
        <w:rPr>
          <w:rFonts w:asciiTheme="minorHAnsi" w:eastAsiaTheme="majorEastAsia" w:hAnsiTheme="minorHAnsi"/>
          <w:color w:val="495965" w:themeColor="text2"/>
          <w:sz w:val="22"/>
          <w:szCs w:val="22"/>
          <w:lang w:val="en-GB"/>
        </w:rPr>
        <w:t xml:space="preserve">; </w:t>
      </w:r>
      <w:r w:rsidR="00737670">
        <w:rPr>
          <w:rFonts w:asciiTheme="minorHAnsi" w:eastAsiaTheme="majorEastAsia" w:hAnsiTheme="minorHAnsi"/>
          <w:color w:val="495965" w:themeColor="text2"/>
          <w:sz w:val="22"/>
          <w:szCs w:val="22"/>
          <w:lang w:val="en-GB"/>
        </w:rPr>
        <w:t xml:space="preserve">this was </w:t>
      </w:r>
      <w:r w:rsidR="0043075B">
        <w:rPr>
          <w:rFonts w:asciiTheme="minorHAnsi" w:eastAsiaTheme="majorEastAsia" w:hAnsiTheme="minorHAnsi"/>
          <w:color w:val="495965" w:themeColor="text2"/>
          <w:sz w:val="22"/>
          <w:szCs w:val="22"/>
          <w:lang w:val="en-GB"/>
        </w:rPr>
        <w:t xml:space="preserve">a </w:t>
      </w:r>
      <w:r w:rsidR="00D51726">
        <w:rPr>
          <w:rFonts w:asciiTheme="minorHAnsi" w:eastAsiaTheme="majorEastAsia" w:hAnsiTheme="minorHAnsi"/>
          <w:color w:val="495965" w:themeColor="text2"/>
          <w:sz w:val="22"/>
          <w:szCs w:val="22"/>
          <w:lang w:val="en-GB"/>
        </w:rPr>
        <w:t xml:space="preserve">purely </w:t>
      </w:r>
      <w:r w:rsidR="0043075B">
        <w:rPr>
          <w:rFonts w:asciiTheme="minorHAnsi" w:eastAsiaTheme="majorEastAsia" w:hAnsiTheme="minorHAnsi"/>
          <w:color w:val="495965" w:themeColor="text2"/>
          <w:sz w:val="22"/>
          <w:szCs w:val="22"/>
          <w:lang w:val="en-GB"/>
        </w:rPr>
        <w:t>merit-</w:t>
      </w:r>
      <w:r w:rsidR="00D51726">
        <w:rPr>
          <w:rFonts w:asciiTheme="minorHAnsi" w:eastAsiaTheme="majorEastAsia" w:hAnsiTheme="minorHAnsi"/>
          <w:color w:val="495965" w:themeColor="text2"/>
          <w:sz w:val="22"/>
          <w:szCs w:val="22"/>
          <w:lang w:val="en-GB"/>
        </w:rPr>
        <w:t xml:space="preserve">based </w:t>
      </w:r>
      <w:r w:rsidR="0043075B">
        <w:rPr>
          <w:rFonts w:asciiTheme="minorHAnsi" w:eastAsiaTheme="majorEastAsia" w:hAnsiTheme="minorHAnsi"/>
          <w:color w:val="495965" w:themeColor="text2"/>
          <w:sz w:val="22"/>
          <w:szCs w:val="22"/>
          <w:lang w:val="en-GB"/>
        </w:rPr>
        <w:t>outcome and did not require</w:t>
      </w:r>
      <w:r w:rsidR="00D51726">
        <w:rPr>
          <w:rFonts w:asciiTheme="minorHAnsi" w:eastAsiaTheme="majorEastAsia" w:hAnsiTheme="minorHAnsi"/>
          <w:color w:val="495965" w:themeColor="text2"/>
          <w:sz w:val="22"/>
          <w:szCs w:val="22"/>
          <w:lang w:val="en-GB"/>
        </w:rPr>
        <w:t xml:space="preserve"> </w:t>
      </w:r>
      <w:r w:rsidR="0043075B">
        <w:rPr>
          <w:rFonts w:asciiTheme="minorHAnsi" w:eastAsiaTheme="majorEastAsia" w:hAnsiTheme="minorHAnsi"/>
          <w:color w:val="495965" w:themeColor="text2"/>
          <w:sz w:val="22"/>
          <w:szCs w:val="22"/>
          <w:lang w:val="en-GB"/>
        </w:rPr>
        <w:t xml:space="preserve">application of </w:t>
      </w:r>
      <w:r w:rsidR="00D51726">
        <w:rPr>
          <w:rFonts w:asciiTheme="minorHAnsi" w:eastAsiaTheme="majorEastAsia" w:hAnsiTheme="minorHAnsi"/>
          <w:color w:val="495965" w:themeColor="text2"/>
          <w:sz w:val="22"/>
          <w:szCs w:val="22"/>
          <w:lang w:val="en-GB"/>
        </w:rPr>
        <w:t xml:space="preserve">special measures or </w:t>
      </w:r>
      <w:r w:rsidR="00737670">
        <w:rPr>
          <w:rFonts w:asciiTheme="minorHAnsi" w:eastAsiaTheme="majorEastAsia" w:hAnsiTheme="minorHAnsi"/>
          <w:color w:val="495965" w:themeColor="text2"/>
          <w:sz w:val="22"/>
          <w:szCs w:val="22"/>
          <w:lang w:val="en-GB"/>
        </w:rPr>
        <w:t xml:space="preserve">a </w:t>
      </w:r>
      <w:r w:rsidR="00D51726">
        <w:rPr>
          <w:rFonts w:asciiTheme="minorHAnsi" w:eastAsiaTheme="majorEastAsia" w:hAnsiTheme="minorHAnsi"/>
          <w:color w:val="495965" w:themeColor="text2"/>
          <w:sz w:val="22"/>
          <w:szCs w:val="22"/>
          <w:lang w:val="en-GB"/>
        </w:rPr>
        <w:t xml:space="preserve">quota for women. Australia Awards also continued to follow </w:t>
      </w:r>
      <w:r w:rsidR="00D00E82">
        <w:rPr>
          <w:rFonts w:asciiTheme="minorHAnsi" w:eastAsiaTheme="majorEastAsia" w:hAnsiTheme="minorHAnsi"/>
          <w:color w:val="495965" w:themeColor="text2"/>
          <w:sz w:val="22"/>
          <w:szCs w:val="22"/>
          <w:lang w:val="en-GB"/>
        </w:rPr>
        <w:t>a disability inclusive approach to the application, decision-making and implementation process.</w:t>
      </w:r>
      <w:r w:rsidR="00D51726">
        <w:rPr>
          <w:rFonts w:asciiTheme="minorHAnsi" w:eastAsiaTheme="majorEastAsia" w:hAnsiTheme="minorHAnsi"/>
          <w:color w:val="495965" w:themeColor="text2"/>
          <w:sz w:val="22"/>
          <w:szCs w:val="22"/>
          <w:lang w:val="en-GB"/>
        </w:rPr>
        <w:t xml:space="preserve"> </w:t>
      </w:r>
      <w:r w:rsidR="00737670">
        <w:rPr>
          <w:rFonts w:asciiTheme="minorHAnsi" w:eastAsiaTheme="majorEastAsia" w:hAnsiTheme="minorHAnsi"/>
          <w:color w:val="495965" w:themeColor="text2"/>
          <w:sz w:val="22"/>
          <w:szCs w:val="22"/>
          <w:lang w:val="en-GB"/>
        </w:rPr>
        <w:t xml:space="preserve">Over the reporting period, the Australian Volunteers program placed </w:t>
      </w:r>
      <w:r w:rsidR="00FC67FC">
        <w:rPr>
          <w:rFonts w:asciiTheme="minorHAnsi" w:eastAsiaTheme="majorEastAsia" w:hAnsiTheme="minorHAnsi"/>
          <w:color w:val="495965" w:themeColor="text2"/>
          <w:sz w:val="22"/>
          <w:szCs w:val="22"/>
          <w:lang w:val="en-GB"/>
        </w:rPr>
        <w:t xml:space="preserve">four </w:t>
      </w:r>
      <w:r w:rsidR="00737670">
        <w:rPr>
          <w:rFonts w:asciiTheme="minorHAnsi" w:eastAsiaTheme="majorEastAsia" w:hAnsiTheme="minorHAnsi"/>
          <w:color w:val="495965" w:themeColor="text2"/>
          <w:sz w:val="22"/>
          <w:szCs w:val="22"/>
          <w:lang w:val="en-GB"/>
        </w:rPr>
        <w:t xml:space="preserve">volunteers into </w:t>
      </w:r>
      <w:r w:rsidR="0043075B">
        <w:rPr>
          <w:rFonts w:asciiTheme="minorHAnsi" w:eastAsiaTheme="majorEastAsia" w:hAnsiTheme="minorHAnsi"/>
          <w:color w:val="495965" w:themeColor="text2"/>
          <w:sz w:val="22"/>
          <w:szCs w:val="22"/>
          <w:lang w:val="en-GB"/>
        </w:rPr>
        <w:t>disability-related positions of high need</w:t>
      </w:r>
      <w:r w:rsidR="00737670">
        <w:rPr>
          <w:rFonts w:asciiTheme="minorHAnsi" w:eastAsiaTheme="majorEastAsia" w:hAnsiTheme="minorHAnsi"/>
          <w:color w:val="495965" w:themeColor="text2"/>
          <w:sz w:val="22"/>
          <w:szCs w:val="22"/>
          <w:lang w:val="en-GB"/>
        </w:rPr>
        <w:t xml:space="preserve">, including a </w:t>
      </w:r>
      <w:r w:rsidR="00737670" w:rsidRPr="00C6605F">
        <w:rPr>
          <w:rFonts w:asciiTheme="minorHAnsi" w:eastAsiaTheme="majorEastAsia" w:hAnsiTheme="minorHAnsi"/>
          <w:color w:val="495965" w:themeColor="text2"/>
          <w:sz w:val="22"/>
          <w:szCs w:val="22"/>
          <w:lang w:val="en-GB"/>
        </w:rPr>
        <w:t>Special Needs Education Adviser</w:t>
      </w:r>
      <w:r w:rsidR="00FC67FC" w:rsidRPr="00C6605F">
        <w:rPr>
          <w:rFonts w:asciiTheme="minorHAnsi" w:eastAsiaTheme="majorEastAsia" w:hAnsiTheme="minorHAnsi"/>
          <w:color w:val="495965" w:themeColor="text2"/>
          <w:sz w:val="22"/>
          <w:szCs w:val="22"/>
          <w:lang w:val="en-GB"/>
        </w:rPr>
        <w:t>, an Audiology Education Adviser</w:t>
      </w:r>
      <w:r w:rsidR="00737670" w:rsidRPr="00C6605F">
        <w:rPr>
          <w:rFonts w:asciiTheme="minorHAnsi" w:eastAsiaTheme="majorEastAsia" w:hAnsiTheme="minorHAnsi"/>
          <w:color w:val="495965" w:themeColor="text2"/>
          <w:sz w:val="22"/>
          <w:szCs w:val="22"/>
          <w:lang w:val="en-GB"/>
        </w:rPr>
        <w:t xml:space="preserve"> and </w:t>
      </w:r>
      <w:r w:rsidR="00FC67FC" w:rsidRPr="00C6605F">
        <w:rPr>
          <w:rFonts w:asciiTheme="minorHAnsi" w:eastAsiaTheme="majorEastAsia" w:hAnsiTheme="minorHAnsi"/>
          <w:color w:val="495965" w:themeColor="text2"/>
          <w:sz w:val="22"/>
          <w:szCs w:val="22"/>
          <w:lang w:val="en-GB"/>
        </w:rPr>
        <w:t>two</w:t>
      </w:r>
      <w:r w:rsidR="00737670" w:rsidRPr="00C6605F">
        <w:rPr>
          <w:rFonts w:asciiTheme="minorHAnsi" w:eastAsiaTheme="majorEastAsia" w:hAnsiTheme="minorHAnsi"/>
          <w:color w:val="495965" w:themeColor="text2"/>
          <w:sz w:val="22"/>
          <w:szCs w:val="22"/>
          <w:lang w:val="en-GB"/>
        </w:rPr>
        <w:t xml:space="preserve"> Speech Pathology Trainer</w:t>
      </w:r>
      <w:r w:rsidR="00FC67FC" w:rsidRPr="00C6605F">
        <w:rPr>
          <w:rFonts w:asciiTheme="minorHAnsi" w:eastAsiaTheme="majorEastAsia" w:hAnsiTheme="minorHAnsi"/>
          <w:color w:val="495965" w:themeColor="text2"/>
          <w:sz w:val="22"/>
          <w:szCs w:val="22"/>
          <w:lang w:val="en-GB"/>
        </w:rPr>
        <w:t>s</w:t>
      </w:r>
      <w:r w:rsidR="00737670" w:rsidRPr="00C6605F">
        <w:rPr>
          <w:rFonts w:asciiTheme="minorHAnsi" w:eastAsiaTheme="majorEastAsia" w:hAnsiTheme="minorHAnsi"/>
          <w:color w:val="495965" w:themeColor="text2"/>
          <w:sz w:val="22"/>
          <w:szCs w:val="22"/>
          <w:lang w:val="en-GB"/>
        </w:rPr>
        <w:t xml:space="preserve"> at two of the leading universities in Colombo.</w:t>
      </w:r>
    </w:p>
    <w:p w14:paraId="0DC8C75F" w14:textId="5128249C"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lastRenderedPageBreak/>
        <w:t>Mutual Obligations</w:t>
      </w:r>
    </w:p>
    <w:p w14:paraId="24AE4527" w14:textId="7F544B15" w:rsidR="000074AB" w:rsidRDefault="000074AB" w:rsidP="000074AB">
      <w:r>
        <w:t xml:space="preserve">Over the last year, the Sri Lankan </w:t>
      </w:r>
      <w:r w:rsidR="00FC67FC">
        <w:t>g</w:t>
      </w:r>
      <w:r>
        <w:t xml:space="preserve">overnment </w:t>
      </w:r>
      <w:r w:rsidR="00ED750D">
        <w:t xml:space="preserve">faced challenges </w:t>
      </w:r>
      <w:r>
        <w:t xml:space="preserve">in implementing its </w:t>
      </w:r>
      <w:r w:rsidR="00731C37">
        <w:t xml:space="preserve">political and </w:t>
      </w:r>
      <w:r>
        <w:t>economic reform agenda and internationally-endorsed transitional justice process. Overall, the country context has not shifted markedly since the previous reporting period and the AIP’s development logic</w:t>
      </w:r>
      <w:r w:rsidR="003702D3">
        <w:t xml:space="preserve"> and </w:t>
      </w:r>
      <w:r w:rsidR="00BE6285">
        <w:t>Australia’s</w:t>
      </w:r>
      <w:r w:rsidR="003702D3">
        <w:t xml:space="preserve"> existing government-to-government agreements</w:t>
      </w:r>
      <w:r>
        <w:t xml:space="preserve"> remain valid.  </w:t>
      </w:r>
    </w:p>
    <w:p w14:paraId="4CB5B27F" w14:textId="30F10209" w:rsidR="000E6B1C" w:rsidRDefault="00AD5B08" w:rsidP="000E6B1C">
      <w:r>
        <w:t>An</w:t>
      </w:r>
      <w:r w:rsidRPr="00AD5B08">
        <w:t xml:space="preserve"> updated Sri Lanka-Australia Development Cooperation Memorandum of Understanding </w:t>
      </w:r>
      <w:r>
        <w:t>was signed in March 2017</w:t>
      </w:r>
      <w:r w:rsidRPr="00AD5B08">
        <w:t xml:space="preserve">. The MOU </w:t>
      </w:r>
      <w:r>
        <w:t>establishes the</w:t>
      </w:r>
      <w:r w:rsidR="002F47AA">
        <w:t xml:space="preserve"> framework principles that guide the partners’ relationship. It commits the Sri Lankan </w:t>
      </w:r>
      <w:r w:rsidR="00FC67FC">
        <w:t>g</w:t>
      </w:r>
      <w:r w:rsidR="00640A67">
        <w:t>overnment to work with the Australian government to promote the achievement of the S</w:t>
      </w:r>
      <w:r w:rsidR="00851140">
        <w:t xml:space="preserve">ustainable </w:t>
      </w:r>
      <w:r w:rsidR="00640A67">
        <w:t>D</w:t>
      </w:r>
      <w:r w:rsidR="00851140">
        <w:t xml:space="preserve">evelopment </w:t>
      </w:r>
      <w:r w:rsidR="00640A67">
        <w:t>G</w:t>
      </w:r>
      <w:r w:rsidR="00851140">
        <w:t>oals</w:t>
      </w:r>
      <w:r w:rsidR="00640A67">
        <w:t>, regularly review project</w:t>
      </w:r>
      <w:r w:rsidR="006F65CF">
        <w:t>s</w:t>
      </w:r>
      <w:r w:rsidR="00640A67">
        <w:t xml:space="preserve">, ensure transparent sharing of data and assist in facilitating Australian </w:t>
      </w:r>
      <w:r w:rsidR="006F65CF">
        <w:t>projects, such as ensuring tax arrangements are in line with Australia-Sri Lanka Double Taxation Avoidance Agreement</w:t>
      </w:r>
      <w:r w:rsidR="00640A67">
        <w:t xml:space="preserve">. </w:t>
      </w:r>
      <w:r w:rsidRPr="00AD5B08">
        <w:t xml:space="preserve">More </w:t>
      </w:r>
      <w:r w:rsidR="006F65CF">
        <w:t>specific</w:t>
      </w:r>
      <w:r w:rsidRPr="00AD5B08">
        <w:t xml:space="preserve"> sets of mutual obligations </w:t>
      </w:r>
      <w:r w:rsidR="002F47AA">
        <w:t>are then established at the investment or activity level. For example, Subsidiary Arrangements are in place with the Sri Lankan Ministry of Tourism</w:t>
      </w:r>
      <w:r w:rsidR="00640A67">
        <w:t xml:space="preserve"> for the MDF and the Ministry of Skills Development for S4</w:t>
      </w:r>
      <w:r w:rsidR="00000762">
        <w:t>I</w:t>
      </w:r>
      <w:r w:rsidR="00640A67">
        <w:t>G</w:t>
      </w:r>
      <w:r w:rsidRPr="00AD5B08">
        <w:t xml:space="preserve">. </w:t>
      </w:r>
      <w:r w:rsidR="00640A67">
        <w:t xml:space="preserve">These </w:t>
      </w:r>
      <w:r w:rsidR="00D14C2C">
        <w:t>require</w:t>
      </w:r>
      <w:r w:rsidR="006F65CF">
        <w:t xml:space="preserve"> the relevant ministries to contribute to project oversight, facilitate project implementation and engage in project reporting. The Sri Lankan </w:t>
      </w:r>
      <w:r w:rsidR="00FC67FC">
        <w:t>g</w:t>
      </w:r>
      <w:r w:rsidR="006F65CF">
        <w:t xml:space="preserve">overnment </w:t>
      </w:r>
      <w:r w:rsidR="00D14C2C">
        <w:t>met</w:t>
      </w:r>
      <w:r w:rsidR="006F65CF">
        <w:t xml:space="preserve"> its commitments under these Subsidiary Arrangements over the reporting period. </w:t>
      </w:r>
      <w:r w:rsidR="000E6B1C">
        <w:t xml:space="preserve"> The Sri Lankan government has also prepared a new national tourism strategy and national trade policy, both significant pieces of work for which technical advice was funded under the Governance for Growth investment.</w:t>
      </w:r>
    </w:p>
    <w:p w14:paraId="04012E5B" w14:textId="4DA87853" w:rsidR="004A3379" w:rsidRDefault="004A3379" w:rsidP="00E65105">
      <w:r w:rsidRPr="00AD5B08">
        <w:t>Under</w:t>
      </w:r>
      <w:r>
        <w:t xml:space="preserve"> the</w:t>
      </w:r>
      <w:r w:rsidRPr="00AD5B08">
        <w:t xml:space="preserve"> TSEP</w:t>
      </w:r>
      <w:r>
        <w:t xml:space="preserve"> investment</w:t>
      </w:r>
      <w:r w:rsidRPr="00AD5B08">
        <w:t>, t</w:t>
      </w:r>
      <w:r w:rsidRPr="00AD5B08">
        <w:rPr>
          <w:lang w:val="en-AU"/>
        </w:rPr>
        <w:t xml:space="preserve">he Sri Lankan </w:t>
      </w:r>
      <w:r w:rsidR="00FC67FC">
        <w:rPr>
          <w:lang w:val="en-AU"/>
        </w:rPr>
        <w:t>g</w:t>
      </w:r>
      <w:r w:rsidRPr="00AD5B08">
        <w:rPr>
          <w:lang w:val="en-AU"/>
        </w:rPr>
        <w:t>overnment is required to achieve Disbursement Linked Indicators each year in order to receive tranche funding</w:t>
      </w:r>
      <w:r>
        <w:rPr>
          <w:lang w:val="en-AU"/>
        </w:rPr>
        <w:t>.</w:t>
      </w:r>
      <w:r w:rsidRPr="00AD5B08">
        <w:rPr>
          <w:lang w:val="en-AU"/>
        </w:rPr>
        <w:t xml:space="preserve"> </w:t>
      </w:r>
      <w:r>
        <w:rPr>
          <w:lang w:val="en-AU"/>
        </w:rPr>
        <w:t>Those indicators were met in 2016</w:t>
      </w:r>
      <w:r w:rsidRPr="00AD5B08">
        <w:rPr>
          <w:lang w:val="en-AU"/>
        </w:rPr>
        <w:t>-1</w:t>
      </w:r>
      <w:r>
        <w:rPr>
          <w:lang w:val="en-AU"/>
        </w:rPr>
        <w:t>7</w:t>
      </w:r>
      <w:r w:rsidRPr="00AD5B08">
        <w:rPr>
          <w:lang w:val="en-AU"/>
        </w:rPr>
        <w:t xml:space="preserve">, as independently verified by the Sri Lanka Association for the Advancement of Education. Under NELSIP, the majority of local authorities met agreed performance benchmarks, such as completion of audited financial statements and </w:t>
      </w:r>
      <w:r w:rsidR="006A72E6">
        <w:rPr>
          <w:lang w:val="en-AU"/>
        </w:rPr>
        <w:t>finalisation</w:t>
      </w:r>
      <w:r w:rsidR="006A72E6" w:rsidRPr="00AD5B08">
        <w:rPr>
          <w:lang w:val="en-AU"/>
        </w:rPr>
        <w:t xml:space="preserve"> </w:t>
      </w:r>
      <w:r w:rsidRPr="00AD5B08">
        <w:rPr>
          <w:lang w:val="en-AU"/>
        </w:rPr>
        <w:t xml:space="preserve">of participatory </w:t>
      </w:r>
      <w:r w:rsidR="006A72E6">
        <w:rPr>
          <w:lang w:val="en-AU"/>
        </w:rPr>
        <w:t>development plans</w:t>
      </w:r>
      <w:r w:rsidRPr="00AD5B08">
        <w:rPr>
          <w:lang w:val="en-AU"/>
        </w:rPr>
        <w:t>.</w:t>
      </w:r>
      <w:r w:rsidRPr="00AD5B08">
        <w:t xml:space="preserve"> Similarly, under the TAF projects, local authorities and the Northern Provincial Council have agreed to implement administrative and structural changes in return for project assistance. </w:t>
      </w:r>
    </w:p>
    <w:p w14:paraId="72480277" w14:textId="15C79CBE" w:rsidR="005B5769" w:rsidRPr="00015316" w:rsidRDefault="005B5769" w:rsidP="004A3379">
      <w:pPr>
        <w:pStyle w:val="ListBullet"/>
        <w:tabs>
          <w:tab w:val="clear" w:pos="284"/>
        </w:tabs>
        <w:spacing w:before="480" w:line="320" w:lineRule="exact"/>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Program Quality</w:t>
      </w:r>
    </w:p>
    <w:p w14:paraId="4B9E0CF1" w14:textId="19570ECE" w:rsidR="006F65CF" w:rsidRDefault="006F65CF" w:rsidP="006F65CF">
      <w:pPr>
        <w:pStyle w:val="ListBullet"/>
        <w:tabs>
          <w:tab w:val="clear" w:pos="284"/>
        </w:tabs>
        <w:spacing w:before="240"/>
        <w:rPr>
          <w:rFonts w:asciiTheme="minorHAnsi" w:eastAsiaTheme="minorHAnsi" w:hAnsiTheme="minorHAnsi" w:cstheme="minorBidi"/>
          <w:color w:val="495965" w:themeColor="text2"/>
          <w:sz w:val="22"/>
          <w:szCs w:val="22"/>
          <w:lang w:val="en-GB" w:eastAsia="en-US"/>
        </w:rPr>
      </w:pPr>
      <w:r w:rsidRPr="006F65CF">
        <w:rPr>
          <w:rFonts w:asciiTheme="minorHAnsi" w:eastAsiaTheme="minorHAnsi" w:hAnsiTheme="minorHAnsi" w:cstheme="minorBidi"/>
          <w:color w:val="495965" w:themeColor="text2"/>
          <w:sz w:val="22"/>
          <w:szCs w:val="22"/>
          <w:lang w:val="en-GB" w:eastAsia="en-US"/>
        </w:rPr>
        <w:t xml:space="preserve">Internal Aid Quality Check (AQC) ratings for the Sri Lanka program were satisfactory to good, indicating a </w:t>
      </w:r>
      <w:r>
        <w:rPr>
          <w:rFonts w:asciiTheme="minorHAnsi" w:eastAsiaTheme="minorHAnsi" w:hAnsiTheme="minorHAnsi" w:cstheme="minorBidi"/>
          <w:color w:val="495965" w:themeColor="text2"/>
          <w:sz w:val="22"/>
          <w:szCs w:val="22"/>
          <w:lang w:val="en-GB" w:eastAsia="en-US"/>
        </w:rPr>
        <w:t xml:space="preserve">level of </w:t>
      </w:r>
      <w:r w:rsidRPr="006F65CF">
        <w:rPr>
          <w:rFonts w:asciiTheme="minorHAnsi" w:eastAsiaTheme="minorHAnsi" w:hAnsiTheme="minorHAnsi" w:cstheme="minorBidi"/>
          <w:color w:val="495965" w:themeColor="text2"/>
          <w:sz w:val="22"/>
          <w:szCs w:val="22"/>
          <w:lang w:val="en-GB" w:eastAsia="en-US"/>
        </w:rPr>
        <w:t>investment performance</w:t>
      </w:r>
      <w:r>
        <w:rPr>
          <w:rFonts w:asciiTheme="minorHAnsi" w:eastAsiaTheme="minorHAnsi" w:hAnsiTheme="minorHAnsi" w:cstheme="minorBidi"/>
          <w:color w:val="495965" w:themeColor="text2"/>
          <w:sz w:val="22"/>
          <w:szCs w:val="22"/>
          <w:lang w:val="en-GB" w:eastAsia="en-US"/>
        </w:rPr>
        <w:t xml:space="preserve"> </w:t>
      </w:r>
      <w:r w:rsidR="003874F6">
        <w:rPr>
          <w:rFonts w:asciiTheme="minorHAnsi" w:eastAsiaTheme="minorHAnsi" w:hAnsiTheme="minorHAnsi" w:cstheme="minorBidi"/>
          <w:color w:val="495965" w:themeColor="text2"/>
          <w:sz w:val="22"/>
          <w:szCs w:val="22"/>
          <w:lang w:val="en-GB" w:eastAsia="en-US"/>
        </w:rPr>
        <w:t xml:space="preserve">consistent </w:t>
      </w:r>
      <w:r>
        <w:rPr>
          <w:rFonts w:asciiTheme="minorHAnsi" w:eastAsiaTheme="minorHAnsi" w:hAnsiTheme="minorHAnsi" w:cstheme="minorBidi"/>
          <w:color w:val="495965" w:themeColor="text2"/>
          <w:sz w:val="22"/>
          <w:szCs w:val="22"/>
          <w:lang w:val="en-GB" w:eastAsia="en-US"/>
        </w:rPr>
        <w:t>with the previous year</w:t>
      </w:r>
      <w:r w:rsidRPr="006F65CF">
        <w:rPr>
          <w:rFonts w:asciiTheme="minorHAnsi" w:eastAsiaTheme="minorHAnsi" w:hAnsiTheme="minorHAnsi" w:cstheme="minorBidi"/>
          <w:color w:val="495965" w:themeColor="text2"/>
          <w:sz w:val="22"/>
          <w:szCs w:val="22"/>
          <w:lang w:val="en-GB" w:eastAsia="en-US"/>
        </w:rPr>
        <w:t>.</w:t>
      </w:r>
      <w:r w:rsidR="008606A2">
        <w:rPr>
          <w:rFonts w:asciiTheme="minorHAnsi" w:eastAsiaTheme="minorHAnsi" w:hAnsiTheme="minorHAnsi" w:cstheme="minorBidi"/>
          <w:color w:val="495965" w:themeColor="text2"/>
          <w:sz w:val="22"/>
          <w:szCs w:val="22"/>
          <w:lang w:val="en-GB" w:eastAsia="en-US"/>
        </w:rPr>
        <w:t xml:space="preserve"> </w:t>
      </w:r>
      <w:r w:rsidR="008606A2" w:rsidRPr="006F65CF">
        <w:rPr>
          <w:rFonts w:asciiTheme="minorHAnsi" w:eastAsiaTheme="minorHAnsi" w:hAnsiTheme="minorHAnsi" w:cstheme="minorBidi"/>
          <w:color w:val="495965" w:themeColor="text2"/>
          <w:sz w:val="22"/>
          <w:szCs w:val="22"/>
          <w:lang w:val="en-GB" w:eastAsia="en-US"/>
        </w:rPr>
        <w:t xml:space="preserve">There was no significant difference between AQC and Final AQC scores. </w:t>
      </w:r>
      <w:r>
        <w:rPr>
          <w:rFonts w:asciiTheme="minorHAnsi" w:eastAsiaTheme="minorHAnsi" w:hAnsiTheme="minorHAnsi" w:cstheme="minorBidi"/>
          <w:color w:val="495965" w:themeColor="text2"/>
          <w:sz w:val="22"/>
          <w:szCs w:val="22"/>
          <w:lang w:val="en-GB" w:eastAsia="en-US"/>
        </w:rPr>
        <w:t xml:space="preserve">The </w:t>
      </w:r>
      <w:r w:rsidR="00BE6285">
        <w:rPr>
          <w:rFonts w:asciiTheme="minorHAnsi" w:eastAsiaTheme="minorHAnsi" w:hAnsiTheme="minorHAnsi" w:cstheme="minorBidi"/>
          <w:color w:val="495965" w:themeColor="text2"/>
          <w:sz w:val="22"/>
          <w:szCs w:val="22"/>
          <w:lang w:val="en-GB" w:eastAsia="en-US"/>
        </w:rPr>
        <w:t xml:space="preserve">Efficiency </w:t>
      </w:r>
      <w:r w:rsidR="004463B9">
        <w:rPr>
          <w:rFonts w:asciiTheme="minorHAnsi" w:eastAsiaTheme="minorHAnsi" w:hAnsiTheme="minorHAnsi" w:cstheme="minorBidi"/>
          <w:color w:val="495965" w:themeColor="text2"/>
          <w:sz w:val="22"/>
          <w:szCs w:val="22"/>
          <w:lang w:val="en-GB" w:eastAsia="en-US"/>
        </w:rPr>
        <w:t xml:space="preserve">rating on the </w:t>
      </w:r>
      <w:r>
        <w:rPr>
          <w:rFonts w:asciiTheme="minorHAnsi" w:eastAsiaTheme="minorHAnsi" w:hAnsiTheme="minorHAnsi" w:cstheme="minorBidi"/>
          <w:color w:val="495965" w:themeColor="text2"/>
          <w:sz w:val="22"/>
          <w:szCs w:val="22"/>
          <w:lang w:val="en-GB" w:eastAsia="en-US"/>
        </w:rPr>
        <w:t>EOP investment</w:t>
      </w:r>
      <w:r w:rsidR="008606A2">
        <w:rPr>
          <w:rFonts w:asciiTheme="minorHAnsi" w:eastAsiaTheme="minorHAnsi" w:hAnsiTheme="minorHAnsi" w:cstheme="minorBidi"/>
          <w:color w:val="495965" w:themeColor="text2"/>
          <w:sz w:val="22"/>
          <w:szCs w:val="22"/>
          <w:lang w:val="en-GB" w:eastAsia="en-US"/>
        </w:rPr>
        <w:t xml:space="preserve"> </w:t>
      </w:r>
      <w:r w:rsidR="004463B9">
        <w:rPr>
          <w:rFonts w:asciiTheme="minorHAnsi" w:eastAsiaTheme="minorHAnsi" w:hAnsiTheme="minorHAnsi" w:cstheme="minorBidi"/>
          <w:color w:val="495965" w:themeColor="text2"/>
          <w:sz w:val="22"/>
          <w:szCs w:val="22"/>
          <w:lang w:val="en-GB" w:eastAsia="en-US"/>
        </w:rPr>
        <w:t xml:space="preserve">improved </w:t>
      </w:r>
      <w:r w:rsidR="008606A2">
        <w:rPr>
          <w:rFonts w:asciiTheme="minorHAnsi" w:eastAsiaTheme="minorHAnsi" w:hAnsiTheme="minorHAnsi" w:cstheme="minorBidi"/>
          <w:color w:val="495965" w:themeColor="text2"/>
          <w:sz w:val="22"/>
          <w:szCs w:val="22"/>
          <w:lang w:val="en-GB" w:eastAsia="en-US"/>
        </w:rPr>
        <w:t>to ‘Satisfactory</w:t>
      </w:r>
      <w:r w:rsidR="00BE6285">
        <w:rPr>
          <w:rFonts w:asciiTheme="minorHAnsi" w:eastAsiaTheme="minorHAnsi" w:hAnsiTheme="minorHAnsi" w:cstheme="minorBidi"/>
          <w:color w:val="495965" w:themeColor="text2"/>
          <w:sz w:val="22"/>
          <w:szCs w:val="22"/>
          <w:lang w:val="en-GB" w:eastAsia="en-US"/>
        </w:rPr>
        <w:t>’</w:t>
      </w:r>
      <w:r w:rsidR="008606A2">
        <w:rPr>
          <w:rFonts w:asciiTheme="minorHAnsi" w:eastAsiaTheme="minorHAnsi" w:hAnsiTheme="minorHAnsi" w:cstheme="minorBidi"/>
          <w:color w:val="495965" w:themeColor="text2"/>
          <w:sz w:val="22"/>
          <w:szCs w:val="22"/>
          <w:lang w:val="en-GB" w:eastAsia="en-US"/>
        </w:rPr>
        <w:t xml:space="preserve"> largely </w:t>
      </w:r>
      <w:r w:rsidR="004463B9">
        <w:rPr>
          <w:rFonts w:asciiTheme="minorHAnsi" w:eastAsiaTheme="minorHAnsi" w:hAnsiTheme="minorHAnsi" w:cstheme="minorBidi"/>
          <w:color w:val="495965" w:themeColor="text2"/>
          <w:sz w:val="22"/>
          <w:szCs w:val="22"/>
          <w:lang w:val="en-GB" w:eastAsia="en-US"/>
        </w:rPr>
        <w:t xml:space="preserve">due to </w:t>
      </w:r>
      <w:r w:rsidR="008606A2">
        <w:rPr>
          <w:rFonts w:asciiTheme="minorHAnsi" w:eastAsiaTheme="minorHAnsi" w:hAnsiTheme="minorHAnsi" w:cstheme="minorBidi"/>
          <w:color w:val="495965" w:themeColor="text2"/>
          <w:sz w:val="22"/>
          <w:szCs w:val="22"/>
          <w:lang w:val="en-GB" w:eastAsia="en-US"/>
        </w:rPr>
        <w:t>improvements in the implementation of the MDF. Given th</w:t>
      </w:r>
      <w:r w:rsidR="00DA3E7A">
        <w:rPr>
          <w:rFonts w:asciiTheme="minorHAnsi" w:eastAsiaTheme="minorHAnsi" w:hAnsiTheme="minorHAnsi" w:cstheme="minorBidi"/>
          <w:color w:val="495965" w:themeColor="text2"/>
          <w:sz w:val="22"/>
          <w:szCs w:val="22"/>
          <w:lang w:val="en-GB" w:eastAsia="en-US"/>
        </w:rPr>
        <w:t>at</w:t>
      </w:r>
      <w:r w:rsidR="008606A2">
        <w:rPr>
          <w:rFonts w:asciiTheme="minorHAnsi" w:eastAsiaTheme="minorHAnsi" w:hAnsiTheme="minorHAnsi" w:cstheme="minorBidi"/>
          <w:color w:val="495965" w:themeColor="text2"/>
          <w:sz w:val="22"/>
          <w:szCs w:val="22"/>
          <w:lang w:val="en-GB" w:eastAsia="en-US"/>
        </w:rPr>
        <w:t xml:space="preserve"> MDF and S4</w:t>
      </w:r>
      <w:r w:rsidR="00000762">
        <w:rPr>
          <w:rFonts w:asciiTheme="minorHAnsi" w:eastAsiaTheme="minorHAnsi" w:hAnsiTheme="minorHAnsi" w:cstheme="minorBidi"/>
          <w:color w:val="495965" w:themeColor="text2"/>
          <w:sz w:val="22"/>
          <w:szCs w:val="22"/>
          <w:lang w:val="en-GB" w:eastAsia="en-US"/>
        </w:rPr>
        <w:t>I</w:t>
      </w:r>
      <w:r w:rsidR="008606A2">
        <w:rPr>
          <w:rFonts w:asciiTheme="minorHAnsi" w:eastAsiaTheme="minorHAnsi" w:hAnsiTheme="minorHAnsi" w:cstheme="minorBidi"/>
          <w:color w:val="495965" w:themeColor="text2"/>
          <w:sz w:val="22"/>
          <w:szCs w:val="22"/>
          <w:lang w:val="en-GB" w:eastAsia="en-US"/>
        </w:rPr>
        <w:t>G are both relatively complex activities implemented by managing contractors on a milestone payments basis, effective DFAT management of those contracts will be critical to the ongoing efficiency of the EOP investment</w:t>
      </w:r>
      <w:r>
        <w:rPr>
          <w:rFonts w:asciiTheme="minorHAnsi" w:eastAsiaTheme="minorHAnsi" w:hAnsiTheme="minorHAnsi" w:cstheme="minorBidi"/>
          <w:color w:val="495965" w:themeColor="text2"/>
          <w:sz w:val="22"/>
          <w:szCs w:val="22"/>
          <w:lang w:val="en-GB" w:eastAsia="en-US"/>
        </w:rPr>
        <w:t>.</w:t>
      </w:r>
      <w:r w:rsidRPr="006F65CF">
        <w:rPr>
          <w:rFonts w:asciiTheme="minorHAnsi" w:eastAsiaTheme="minorHAnsi" w:hAnsiTheme="minorHAnsi" w:cstheme="minorBidi"/>
          <w:color w:val="495965" w:themeColor="text2"/>
          <w:sz w:val="22"/>
          <w:szCs w:val="22"/>
          <w:lang w:val="en-GB" w:eastAsia="en-US"/>
        </w:rPr>
        <w:t xml:space="preserve"> </w:t>
      </w:r>
      <w:r w:rsidR="004463B9">
        <w:rPr>
          <w:rFonts w:asciiTheme="minorHAnsi" w:eastAsiaTheme="minorHAnsi" w:hAnsiTheme="minorHAnsi" w:cstheme="minorBidi"/>
          <w:color w:val="495965" w:themeColor="text2"/>
          <w:sz w:val="22"/>
          <w:szCs w:val="22"/>
          <w:lang w:val="en-GB" w:eastAsia="en-US"/>
        </w:rPr>
        <w:t>Ratings for i</w:t>
      </w:r>
      <w:r w:rsidR="0027542C">
        <w:rPr>
          <w:rFonts w:asciiTheme="minorHAnsi" w:eastAsiaTheme="minorHAnsi" w:hAnsiTheme="minorHAnsi" w:cstheme="minorBidi"/>
          <w:color w:val="495965" w:themeColor="text2"/>
          <w:sz w:val="22"/>
          <w:szCs w:val="22"/>
          <w:lang w:val="en-GB" w:eastAsia="en-US"/>
        </w:rPr>
        <w:t xml:space="preserve">ts monitoring and evaluation processes highlight another area of the relationship with the managing contractors that will need to be improved over the coming year. </w:t>
      </w:r>
      <w:r w:rsidR="008606A2">
        <w:rPr>
          <w:rFonts w:asciiTheme="minorHAnsi" w:eastAsiaTheme="minorHAnsi" w:hAnsiTheme="minorHAnsi" w:cstheme="minorBidi"/>
          <w:color w:val="495965" w:themeColor="text2"/>
          <w:sz w:val="22"/>
          <w:szCs w:val="22"/>
          <w:lang w:val="en-GB" w:eastAsia="en-US"/>
        </w:rPr>
        <w:t>T</w:t>
      </w:r>
      <w:r w:rsidRPr="006F65CF">
        <w:rPr>
          <w:rFonts w:asciiTheme="minorHAnsi" w:eastAsiaTheme="minorHAnsi" w:hAnsiTheme="minorHAnsi" w:cstheme="minorBidi"/>
          <w:color w:val="495965" w:themeColor="text2"/>
          <w:sz w:val="22"/>
          <w:szCs w:val="22"/>
          <w:lang w:val="en-GB" w:eastAsia="en-US"/>
        </w:rPr>
        <w:t>he NELSIP</w:t>
      </w:r>
      <w:r w:rsidR="008606A2">
        <w:rPr>
          <w:rFonts w:asciiTheme="minorHAnsi" w:eastAsiaTheme="minorHAnsi" w:hAnsiTheme="minorHAnsi" w:cstheme="minorBidi"/>
          <w:color w:val="495965" w:themeColor="text2"/>
          <w:sz w:val="22"/>
          <w:szCs w:val="22"/>
          <w:lang w:val="en-GB" w:eastAsia="en-US"/>
        </w:rPr>
        <w:t xml:space="preserve"> investment, having improved its gender equality rating to </w:t>
      </w:r>
      <w:r w:rsidR="00DA3E7A">
        <w:rPr>
          <w:rFonts w:asciiTheme="minorHAnsi" w:eastAsiaTheme="minorHAnsi" w:hAnsiTheme="minorHAnsi" w:cstheme="minorBidi"/>
          <w:color w:val="495965" w:themeColor="text2"/>
          <w:sz w:val="22"/>
          <w:szCs w:val="22"/>
          <w:lang w:val="en-GB" w:eastAsia="en-US"/>
        </w:rPr>
        <w:t>‘</w:t>
      </w:r>
      <w:r w:rsidR="00222080">
        <w:rPr>
          <w:rFonts w:asciiTheme="minorHAnsi" w:eastAsiaTheme="minorHAnsi" w:hAnsiTheme="minorHAnsi" w:cstheme="minorBidi"/>
          <w:color w:val="495965" w:themeColor="text2"/>
          <w:sz w:val="22"/>
          <w:szCs w:val="22"/>
          <w:lang w:val="en-GB" w:eastAsia="en-US"/>
        </w:rPr>
        <w:t>S</w:t>
      </w:r>
      <w:r w:rsidR="008606A2">
        <w:rPr>
          <w:rFonts w:asciiTheme="minorHAnsi" w:eastAsiaTheme="minorHAnsi" w:hAnsiTheme="minorHAnsi" w:cstheme="minorBidi"/>
          <w:color w:val="495965" w:themeColor="text2"/>
          <w:sz w:val="22"/>
          <w:szCs w:val="22"/>
          <w:lang w:val="en-GB" w:eastAsia="en-US"/>
        </w:rPr>
        <w:t>atisfactory</w:t>
      </w:r>
      <w:r w:rsidR="00DA3E7A">
        <w:rPr>
          <w:rFonts w:asciiTheme="minorHAnsi" w:eastAsiaTheme="minorHAnsi" w:hAnsiTheme="minorHAnsi" w:cstheme="minorBidi"/>
          <w:color w:val="495965" w:themeColor="text2"/>
          <w:sz w:val="22"/>
          <w:szCs w:val="22"/>
          <w:lang w:val="en-GB" w:eastAsia="en-US"/>
        </w:rPr>
        <w:t>’</w:t>
      </w:r>
      <w:r w:rsidR="008606A2">
        <w:rPr>
          <w:rFonts w:asciiTheme="minorHAnsi" w:eastAsiaTheme="minorHAnsi" w:hAnsiTheme="minorHAnsi" w:cstheme="minorBidi"/>
          <w:color w:val="495965" w:themeColor="text2"/>
          <w:sz w:val="22"/>
          <w:szCs w:val="22"/>
          <w:lang w:val="en-GB" w:eastAsia="en-US"/>
        </w:rPr>
        <w:t xml:space="preserve"> last year, dropped back to </w:t>
      </w:r>
      <w:r w:rsidR="00DA3E7A">
        <w:rPr>
          <w:rFonts w:asciiTheme="minorHAnsi" w:eastAsiaTheme="minorHAnsi" w:hAnsiTheme="minorHAnsi" w:cstheme="minorBidi"/>
          <w:color w:val="495965" w:themeColor="text2"/>
          <w:sz w:val="22"/>
          <w:szCs w:val="22"/>
          <w:lang w:val="en-GB" w:eastAsia="en-US"/>
        </w:rPr>
        <w:t>‘</w:t>
      </w:r>
      <w:r w:rsidR="008606A2">
        <w:rPr>
          <w:rFonts w:asciiTheme="minorHAnsi" w:eastAsiaTheme="minorHAnsi" w:hAnsiTheme="minorHAnsi" w:cstheme="minorBidi"/>
          <w:color w:val="495965" w:themeColor="text2"/>
          <w:sz w:val="22"/>
          <w:szCs w:val="22"/>
          <w:lang w:val="en-GB" w:eastAsia="en-US"/>
        </w:rPr>
        <w:t>Unsatisfactory</w:t>
      </w:r>
      <w:r w:rsidR="00DA3E7A">
        <w:rPr>
          <w:rFonts w:asciiTheme="minorHAnsi" w:eastAsiaTheme="minorHAnsi" w:hAnsiTheme="minorHAnsi" w:cstheme="minorBidi"/>
          <w:color w:val="495965" w:themeColor="text2"/>
          <w:sz w:val="22"/>
          <w:szCs w:val="22"/>
          <w:lang w:val="en-GB" w:eastAsia="en-US"/>
        </w:rPr>
        <w:t>’</w:t>
      </w:r>
      <w:r w:rsidR="008606A2">
        <w:rPr>
          <w:rFonts w:asciiTheme="minorHAnsi" w:eastAsiaTheme="minorHAnsi" w:hAnsiTheme="minorHAnsi" w:cstheme="minorBidi"/>
          <w:color w:val="495965" w:themeColor="text2"/>
          <w:sz w:val="22"/>
          <w:szCs w:val="22"/>
          <w:lang w:val="en-GB" w:eastAsia="en-US"/>
        </w:rPr>
        <w:t xml:space="preserve"> over the reporting period</w:t>
      </w:r>
      <w:r w:rsidR="00DA3E7A">
        <w:rPr>
          <w:rFonts w:asciiTheme="minorHAnsi" w:eastAsiaTheme="minorHAnsi" w:hAnsiTheme="minorHAnsi" w:cstheme="minorBidi"/>
          <w:color w:val="495965" w:themeColor="text2"/>
          <w:sz w:val="22"/>
          <w:szCs w:val="22"/>
          <w:lang w:val="en-GB" w:eastAsia="en-US"/>
        </w:rPr>
        <w:t xml:space="preserve">. This was largely due to </w:t>
      </w:r>
      <w:r w:rsidR="003874F6" w:rsidRPr="004463B9">
        <w:rPr>
          <w:rFonts w:asciiTheme="minorHAnsi" w:eastAsiaTheme="minorHAnsi" w:hAnsiTheme="minorHAnsi" w:cstheme="minorBidi"/>
          <w:color w:val="495965" w:themeColor="text2"/>
          <w:sz w:val="22"/>
          <w:szCs w:val="22"/>
          <w:lang w:val="en-GB" w:eastAsia="en-US"/>
        </w:rPr>
        <w:t>inadequate avail</w:t>
      </w:r>
      <w:r w:rsidR="00BE6285">
        <w:rPr>
          <w:rFonts w:asciiTheme="minorHAnsi" w:eastAsiaTheme="minorHAnsi" w:hAnsiTheme="minorHAnsi" w:cstheme="minorBidi"/>
          <w:color w:val="495965" w:themeColor="text2"/>
          <w:sz w:val="22"/>
          <w:szCs w:val="22"/>
          <w:lang w:val="en-GB" w:eastAsia="en-US"/>
        </w:rPr>
        <w:t>ability of sex-disaggregated monitoring and evaluation</w:t>
      </w:r>
      <w:r w:rsidR="003874F6" w:rsidRPr="004463B9">
        <w:rPr>
          <w:rFonts w:asciiTheme="minorHAnsi" w:eastAsiaTheme="minorHAnsi" w:hAnsiTheme="minorHAnsi" w:cstheme="minorBidi"/>
          <w:color w:val="495965" w:themeColor="text2"/>
          <w:sz w:val="22"/>
          <w:szCs w:val="22"/>
          <w:lang w:val="en-GB" w:eastAsia="en-US"/>
        </w:rPr>
        <w:t xml:space="preserve"> data to establish impact,</w:t>
      </w:r>
      <w:r w:rsidR="003874F6" w:rsidRPr="004463B9">
        <w:rPr>
          <w:color w:val="677370" w:themeColor="background2" w:themeShade="80"/>
        </w:rPr>
        <w:t xml:space="preserve"> </w:t>
      </w:r>
      <w:r w:rsidR="00DA3E7A">
        <w:rPr>
          <w:rFonts w:asciiTheme="minorHAnsi" w:eastAsiaTheme="minorHAnsi" w:hAnsiTheme="minorHAnsi" w:cstheme="minorBidi"/>
          <w:color w:val="495965" w:themeColor="text2"/>
          <w:sz w:val="22"/>
          <w:szCs w:val="22"/>
          <w:lang w:val="en-GB" w:eastAsia="en-US"/>
        </w:rPr>
        <w:t>but was combined with</w:t>
      </w:r>
      <w:r w:rsidR="0027542C">
        <w:rPr>
          <w:rFonts w:asciiTheme="minorHAnsi" w:eastAsiaTheme="minorHAnsi" w:hAnsiTheme="minorHAnsi" w:cstheme="minorBidi"/>
          <w:color w:val="495965" w:themeColor="text2"/>
          <w:sz w:val="22"/>
          <w:szCs w:val="22"/>
          <w:lang w:val="en-GB" w:eastAsia="en-US"/>
        </w:rPr>
        <w:t xml:space="preserve"> a lack of </w:t>
      </w:r>
      <w:r w:rsidR="00DA3E7A">
        <w:rPr>
          <w:rFonts w:asciiTheme="minorHAnsi" w:eastAsiaTheme="minorHAnsi" w:hAnsiTheme="minorHAnsi" w:cstheme="minorBidi"/>
          <w:color w:val="495965" w:themeColor="text2"/>
          <w:sz w:val="22"/>
          <w:szCs w:val="22"/>
          <w:lang w:val="en-GB" w:eastAsia="en-US"/>
        </w:rPr>
        <w:t>anticipated</w:t>
      </w:r>
      <w:r w:rsidR="0027542C">
        <w:rPr>
          <w:rFonts w:asciiTheme="minorHAnsi" w:eastAsiaTheme="minorHAnsi" w:hAnsiTheme="minorHAnsi" w:cstheme="minorBidi"/>
          <w:color w:val="495965" w:themeColor="text2"/>
          <w:sz w:val="22"/>
          <w:szCs w:val="22"/>
          <w:lang w:val="en-GB" w:eastAsia="en-US"/>
        </w:rPr>
        <w:t xml:space="preserve"> improvement in partner capacity</w:t>
      </w:r>
      <w:r w:rsidR="00DA3E7A">
        <w:rPr>
          <w:rFonts w:asciiTheme="minorHAnsi" w:eastAsiaTheme="minorHAnsi" w:hAnsiTheme="minorHAnsi" w:cstheme="minorBidi"/>
          <w:color w:val="495965" w:themeColor="text2"/>
          <w:sz w:val="22"/>
          <w:szCs w:val="22"/>
          <w:lang w:val="en-GB" w:eastAsia="en-US"/>
        </w:rPr>
        <w:t xml:space="preserve"> </w:t>
      </w:r>
      <w:r w:rsidR="003874F6">
        <w:rPr>
          <w:rFonts w:asciiTheme="minorHAnsi" w:eastAsiaTheme="minorHAnsi" w:hAnsiTheme="minorHAnsi" w:cstheme="minorBidi"/>
          <w:color w:val="495965" w:themeColor="text2"/>
          <w:sz w:val="22"/>
          <w:szCs w:val="22"/>
          <w:lang w:val="en-GB" w:eastAsia="en-US"/>
        </w:rPr>
        <w:t xml:space="preserve">in </w:t>
      </w:r>
      <w:r w:rsidR="00DA3E7A">
        <w:rPr>
          <w:rFonts w:asciiTheme="minorHAnsi" w:eastAsiaTheme="minorHAnsi" w:hAnsiTheme="minorHAnsi" w:cstheme="minorBidi"/>
          <w:color w:val="495965" w:themeColor="text2"/>
          <w:sz w:val="22"/>
          <w:szCs w:val="22"/>
          <w:lang w:val="en-GB" w:eastAsia="en-US"/>
        </w:rPr>
        <w:t>this area</w:t>
      </w:r>
      <w:r w:rsidR="0027542C">
        <w:rPr>
          <w:rFonts w:asciiTheme="minorHAnsi" w:eastAsiaTheme="minorHAnsi" w:hAnsiTheme="minorHAnsi" w:cstheme="minorBidi"/>
          <w:color w:val="495965" w:themeColor="text2"/>
          <w:sz w:val="22"/>
          <w:szCs w:val="22"/>
          <w:lang w:val="en-GB" w:eastAsia="en-US"/>
        </w:rPr>
        <w:t xml:space="preserve"> and </w:t>
      </w:r>
      <w:r w:rsidR="00DA3E7A">
        <w:rPr>
          <w:rFonts w:asciiTheme="minorHAnsi" w:eastAsiaTheme="minorHAnsi" w:hAnsiTheme="minorHAnsi" w:cstheme="minorBidi"/>
          <w:color w:val="495965" w:themeColor="text2"/>
          <w:sz w:val="22"/>
          <w:szCs w:val="22"/>
          <w:lang w:val="en-GB" w:eastAsia="en-US"/>
        </w:rPr>
        <w:t>lower than desired</w:t>
      </w:r>
      <w:r w:rsidR="0027542C">
        <w:rPr>
          <w:rFonts w:asciiTheme="minorHAnsi" w:eastAsiaTheme="minorHAnsi" w:hAnsiTheme="minorHAnsi" w:cstheme="minorBidi"/>
          <w:color w:val="495965" w:themeColor="text2"/>
          <w:sz w:val="22"/>
          <w:szCs w:val="22"/>
          <w:lang w:val="en-GB" w:eastAsia="en-US"/>
        </w:rPr>
        <w:t xml:space="preserve"> representation of women on Social Audit Committees. </w:t>
      </w:r>
      <w:r w:rsidR="004A3379">
        <w:rPr>
          <w:rFonts w:asciiTheme="minorHAnsi" w:eastAsiaTheme="minorHAnsi" w:hAnsiTheme="minorHAnsi" w:cstheme="minorBidi"/>
          <w:color w:val="495965" w:themeColor="text2"/>
          <w:sz w:val="22"/>
          <w:szCs w:val="22"/>
          <w:lang w:val="en-GB" w:eastAsia="en-US"/>
        </w:rPr>
        <w:t xml:space="preserve">Overall, the AQCs signalled that monitoring and evaluation was an </w:t>
      </w:r>
      <w:r w:rsidR="00DA3E7A">
        <w:rPr>
          <w:rFonts w:asciiTheme="minorHAnsi" w:eastAsiaTheme="minorHAnsi" w:hAnsiTheme="minorHAnsi" w:cstheme="minorBidi"/>
          <w:color w:val="495965" w:themeColor="text2"/>
          <w:sz w:val="22"/>
          <w:szCs w:val="22"/>
          <w:lang w:val="en-GB" w:eastAsia="en-US"/>
        </w:rPr>
        <w:t xml:space="preserve">area requiring greater DFAT and partner </w:t>
      </w:r>
      <w:r w:rsidR="004A3379">
        <w:rPr>
          <w:rFonts w:asciiTheme="minorHAnsi" w:eastAsiaTheme="minorHAnsi" w:hAnsiTheme="minorHAnsi" w:cstheme="minorBidi"/>
          <w:color w:val="495965" w:themeColor="text2"/>
          <w:sz w:val="22"/>
          <w:szCs w:val="22"/>
          <w:lang w:val="en-GB" w:eastAsia="en-US"/>
        </w:rPr>
        <w:t xml:space="preserve">investment </w:t>
      </w:r>
      <w:r w:rsidR="003874F6">
        <w:rPr>
          <w:rFonts w:asciiTheme="minorHAnsi" w:eastAsiaTheme="minorHAnsi" w:hAnsiTheme="minorHAnsi" w:cstheme="minorBidi"/>
          <w:color w:val="495965" w:themeColor="text2"/>
          <w:sz w:val="22"/>
          <w:szCs w:val="22"/>
          <w:lang w:val="en-GB" w:eastAsia="en-US"/>
        </w:rPr>
        <w:t>of resources</w:t>
      </w:r>
      <w:r w:rsidR="004A3379">
        <w:rPr>
          <w:rFonts w:asciiTheme="minorHAnsi" w:eastAsiaTheme="minorHAnsi" w:hAnsiTheme="minorHAnsi" w:cstheme="minorBidi"/>
          <w:color w:val="495965" w:themeColor="text2"/>
          <w:sz w:val="22"/>
          <w:szCs w:val="22"/>
          <w:lang w:val="en-GB" w:eastAsia="en-US"/>
        </w:rPr>
        <w:t xml:space="preserve"> over the coming year.</w:t>
      </w:r>
    </w:p>
    <w:p w14:paraId="69DE737C" w14:textId="2D5FB48B" w:rsidR="005B5769" w:rsidRPr="00015316" w:rsidRDefault="005B5769" w:rsidP="00015316">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015316">
        <w:rPr>
          <w:rFonts w:asciiTheme="majorHAnsi" w:eastAsiaTheme="majorEastAsia" w:hAnsiTheme="majorHAnsi" w:cstheme="majorBidi"/>
          <w:caps/>
          <w:color w:val="495965" w:themeColor="text2"/>
          <w:sz w:val="38"/>
          <w:szCs w:val="26"/>
          <w:lang w:val="en-GB" w:eastAsia="en-US"/>
        </w:rPr>
        <w:t xml:space="preserve">Management </w:t>
      </w:r>
      <w:r w:rsidR="00E65105">
        <w:rPr>
          <w:rFonts w:asciiTheme="majorHAnsi" w:eastAsiaTheme="majorEastAsia" w:hAnsiTheme="majorHAnsi" w:cstheme="majorBidi"/>
          <w:caps/>
          <w:color w:val="495965" w:themeColor="text2"/>
          <w:sz w:val="38"/>
          <w:szCs w:val="26"/>
          <w:lang w:val="en-GB" w:eastAsia="en-US"/>
        </w:rPr>
        <w:t>actions</w:t>
      </w:r>
    </w:p>
    <w:p w14:paraId="720B990C" w14:textId="1C9B6E5B" w:rsidR="00A77335" w:rsidRDefault="00A77335" w:rsidP="00A77335">
      <w:r w:rsidRPr="00C458FC">
        <w:t xml:space="preserve">This year we will focus </w:t>
      </w:r>
      <w:r>
        <w:t>on ensuring</w:t>
      </w:r>
      <w:r w:rsidRPr="00C458FC">
        <w:t xml:space="preserve"> that our </w:t>
      </w:r>
      <w:r>
        <w:t xml:space="preserve">new </w:t>
      </w:r>
      <w:r w:rsidRPr="00C458FC">
        <w:t>investments</w:t>
      </w:r>
      <w:r>
        <w:t xml:space="preserve"> are </w:t>
      </w:r>
      <w:r w:rsidR="007602A7">
        <w:t>inclusive of</w:t>
      </w:r>
      <w:r w:rsidR="00AD648C">
        <w:t>,</w:t>
      </w:r>
      <w:r w:rsidR="007602A7">
        <w:t xml:space="preserve"> </w:t>
      </w:r>
      <w:r w:rsidR="003874F6">
        <w:t>and responding to</w:t>
      </w:r>
      <w:r w:rsidR="00AD648C">
        <w:t>,</w:t>
      </w:r>
      <w:r w:rsidR="003874F6">
        <w:t xml:space="preserve"> the needs of </w:t>
      </w:r>
      <w:r w:rsidR="007602A7">
        <w:t>women and people with disability</w:t>
      </w:r>
      <w:r w:rsidR="00AD648C">
        <w:t>,</w:t>
      </w:r>
      <w:r w:rsidR="007602A7">
        <w:t xml:space="preserve"> and that we are </w:t>
      </w:r>
      <w:r>
        <w:t xml:space="preserve">providing the Sri Lankan </w:t>
      </w:r>
      <w:r w:rsidR="00622FF0">
        <w:t>g</w:t>
      </w:r>
      <w:r>
        <w:t xml:space="preserve">overnment and industry with </w:t>
      </w:r>
      <w:r w:rsidRPr="00C458FC">
        <w:lastRenderedPageBreak/>
        <w:t>quality policy a</w:t>
      </w:r>
      <w:r w:rsidR="00851140">
        <w:t xml:space="preserve">dvice and innovative ideas. Also </w:t>
      </w:r>
      <w:r w:rsidRPr="00C458FC">
        <w:t xml:space="preserve">important will be increasing our efforts to measure and communicate the results of our </w:t>
      </w:r>
      <w:r>
        <w:t xml:space="preserve">development program to </w:t>
      </w:r>
      <w:r w:rsidRPr="00C458FC">
        <w:t xml:space="preserve">Australian and </w:t>
      </w:r>
      <w:r w:rsidR="00165A7C">
        <w:t>Sri Lankan s</w:t>
      </w:r>
      <w:r w:rsidRPr="00C458FC">
        <w:t xml:space="preserve">takeholders. </w:t>
      </w:r>
      <w:r w:rsidR="005D25F7">
        <w:t xml:space="preserve"> </w:t>
      </w:r>
      <w:r w:rsidRPr="00C458FC">
        <w:t xml:space="preserve">We will: </w:t>
      </w:r>
    </w:p>
    <w:p w14:paraId="2DF7B56F" w14:textId="5544BE29" w:rsidR="005D25F7" w:rsidRDefault="00D14C2C" w:rsidP="00165A7C">
      <w:pPr>
        <w:pStyle w:val="ListParagraph"/>
        <w:numPr>
          <w:ilvl w:val="0"/>
          <w:numId w:val="39"/>
        </w:numPr>
        <w:spacing w:after="120"/>
        <w:contextualSpacing w:val="0"/>
      </w:pPr>
      <w:r>
        <w:t>Work to e</w:t>
      </w:r>
      <w:r w:rsidR="00A77335">
        <w:t xml:space="preserve">nsure that </w:t>
      </w:r>
      <w:r w:rsidR="007602A7">
        <w:t>policy advice</w:t>
      </w:r>
      <w:r w:rsidR="005D25F7">
        <w:t xml:space="preserve"> generated from our aid investments and advisers </w:t>
      </w:r>
      <w:r w:rsidR="007602A7">
        <w:t xml:space="preserve">is </w:t>
      </w:r>
      <w:r w:rsidR="00A77335">
        <w:t>of high quality</w:t>
      </w:r>
      <w:r w:rsidR="007602A7">
        <w:t xml:space="preserve"> and explore opportunities to advance trade through new technology.</w:t>
      </w:r>
    </w:p>
    <w:p w14:paraId="63505AA9" w14:textId="09085DAD" w:rsidR="007602A7" w:rsidRDefault="007602A7" w:rsidP="00165A7C">
      <w:pPr>
        <w:pStyle w:val="ListParagraph"/>
        <w:numPr>
          <w:ilvl w:val="0"/>
          <w:numId w:val="39"/>
        </w:numPr>
        <w:spacing w:after="120"/>
        <w:contextualSpacing w:val="0"/>
      </w:pPr>
      <w:r>
        <w:t xml:space="preserve">Review </w:t>
      </w:r>
      <w:r w:rsidR="00015244">
        <w:t>whole-of-program performance benchmarks and</w:t>
      </w:r>
      <w:r>
        <w:t xml:space="preserve"> monitoring and evaluation systems of all investments to ensure that they a) are providing accurate, gender</w:t>
      </w:r>
      <w:r w:rsidR="003874F6">
        <w:t>-sensitive</w:t>
      </w:r>
      <w:r>
        <w:t xml:space="preserve"> and disability-disaggregated assessments of performance, and b) are assisting DFAT managers to track shifts in the political economy effectively, enabling appropriate adjustments to investments and activities to be made</w:t>
      </w:r>
      <w:r w:rsidR="00231CE5">
        <w:t>.</w:t>
      </w:r>
    </w:p>
    <w:p w14:paraId="639A95E3" w14:textId="6D5CB24F" w:rsidR="003874F6" w:rsidRDefault="003874F6" w:rsidP="003874F6">
      <w:pPr>
        <w:pStyle w:val="ListParagraph"/>
        <w:numPr>
          <w:ilvl w:val="0"/>
          <w:numId w:val="39"/>
        </w:numPr>
        <w:spacing w:after="120"/>
        <w:contextualSpacing w:val="0"/>
      </w:pPr>
      <w:r>
        <w:t xml:space="preserve">Establish a </w:t>
      </w:r>
      <w:r w:rsidR="00AD648C">
        <w:t>contracted</w:t>
      </w:r>
      <w:r>
        <w:t xml:space="preserve"> team of technical experts (</w:t>
      </w:r>
      <w:r w:rsidR="00AD648C">
        <w:t>focusing on</w:t>
      </w:r>
      <w:r>
        <w:t xml:space="preserve"> m</w:t>
      </w:r>
      <w:r w:rsidR="00AD648C">
        <w:t>onitoring and evaluation,</w:t>
      </w:r>
      <w:r>
        <w:t xml:space="preserve"> gender </w:t>
      </w:r>
      <w:r w:rsidR="00AD648C">
        <w:t>and</w:t>
      </w:r>
      <w:r>
        <w:t xml:space="preserve"> disability inclusion,</w:t>
      </w:r>
      <w:r w:rsidR="00AD648C">
        <w:t xml:space="preserve"> and</w:t>
      </w:r>
      <w:r>
        <w:t xml:space="preserve"> private sector engagement) to provide DFAT with advice across all major investments.</w:t>
      </w:r>
    </w:p>
    <w:p w14:paraId="4BFCCAA0" w14:textId="7C771C53" w:rsidR="003874F6" w:rsidRDefault="003874F6" w:rsidP="003874F6">
      <w:pPr>
        <w:pStyle w:val="ListParagraph"/>
        <w:numPr>
          <w:ilvl w:val="0"/>
          <w:numId w:val="39"/>
        </w:numPr>
        <w:spacing w:after="120"/>
        <w:contextualSpacing w:val="0"/>
      </w:pPr>
      <w:r>
        <w:t>Establish bi-annual implementation partner forums to promote collaboration and complementarities between investments.</w:t>
      </w:r>
    </w:p>
    <w:p w14:paraId="7AA27695" w14:textId="305FBB20" w:rsidR="00A77335" w:rsidRPr="00DA3E7A" w:rsidRDefault="00A77335" w:rsidP="00A77335">
      <w:pPr>
        <w:pStyle w:val="ListParagraph"/>
        <w:numPr>
          <w:ilvl w:val="0"/>
          <w:numId w:val="39"/>
        </w:numPr>
        <w:spacing w:after="120"/>
        <w:contextualSpacing w:val="0"/>
      </w:pPr>
      <w:r>
        <w:t>C</w:t>
      </w:r>
      <w:r w:rsidRPr="00DA3E7A">
        <w:t>ontinu</w:t>
      </w:r>
      <w:r w:rsidR="007602A7">
        <w:t>e</w:t>
      </w:r>
      <w:r>
        <w:t xml:space="preserve"> to </w:t>
      </w:r>
      <w:r w:rsidRPr="00DA3E7A">
        <w:t>deepen</w:t>
      </w:r>
      <w:r>
        <w:t xml:space="preserve"> our</w:t>
      </w:r>
      <w:r w:rsidRPr="00DA3E7A">
        <w:t xml:space="preserve"> knowledge</w:t>
      </w:r>
      <w:r>
        <w:t xml:space="preserve"> and</w:t>
      </w:r>
      <w:r w:rsidRPr="00DA3E7A">
        <w:t xml:space="preserve"> implementation partnerships with government, the private sector and </w:t>
      </w:r>
      <w:r w:rsidR="005D25F7">
        <w:t>civil society</w:t>
      </w:r>
      <w:r w:rsidRPr="00DA3E7A">
        <w:t xml:space="preserve"> and to respond nimbly to the operating context. </w:t>
      </w:r>
    </w:p>
    <w:p w14:paraId="7C1834D2" w14:textId="701F6119" w:rsidR="00A77335" w:rsidRDefault="00A77335" w:rsidP="00A77335">
      <w:pPr>
        <w:pStyle w:val="ListParagraph"/>
        <w:numPr>
          <w:ilvl w:val="0"/>
          <w:numId w:val="39"/>
        </w:numPr>
        <w:suppressAutoHyphens w:val="0"/>
        <w:spacing w:before="0" w:after="0" w:line="240" w:lineRule="auto"/>
      </w:pPr>
      <w:r w:rsidRPr="00C458FC">
        <w:t>Further</w:t>
      </w:r>
      <w:r w:rsidR="007602A7">
        <w:t xml:space="preserve"> advance</w:t>
      </w:r>
      <w:r w:rsidRPr="00C458FC">
        <w:t xml:space="preserve"> gender equality</w:t>
      </w:r>
      <w:r w:rsidR="00165A7C">
        <w:t xml:space="preserve"> and disability inclusion</w:t>
      </w:r>
      <w:r w:rsidRPr="00C458FC">
        <w:t xml:space="preserve"> </w:t>
      </w:r>
      <w:r w:rsidR="007602A7">
        <w:t xml:space="preserve">through our programs and a commitment to </w:t>
      </w:r>
      <w:r w:rsidR="00851140">
        <w:t>greater engagement of disabled persons o</w:t>
      </w:r>
      <w:r w:rsidR="00165A7C">
        <w:t xml:space="preserve">rganisations in our programs and </w:t>
      </w:r>
      <w:r w:rsidR="007602A7">
        <w:t>gender equality on</w:t>
      </w:r>
      <w:r w:rsidR="005D25F7">
        <w:t xml:space="preserve"> all</w:t>
      </w:r>
      <w:r w:rsidR="007602A7">
        <w:t xml:space="preserve"> panels</w:t>
      </w:r>
      <w:r w:rsidR="005D25F7">
        <w:t xml:space="preserve"> involving DFAT staff</w:t>
      </w:r>
      <w:r w:rsidR="007602A7">
        <w:t>.</w:t>
      </w:r>
    </w:p>
    <w:p w14:paraId="033EF086" w14:textId="77777777" w:rsidR="005D5FB7" w:rsidRDefault="005D5FB7" w:rsidP="005D5FB7">
      <w:pPr>
        <w:pStyle w:val="ListParagraph"/>
        <w:suppressAutoHyphens w:val="0"/>
        <w:spacing w:before="0" w:after="0" w:line="240" w:lineRule="auto"/>
        <w:ind w:left="360"/>
      </w:pPr>
    </w:p>
    <w:p w14:paraId="1EE4B7D6" w14:textId="58F99B9B" w:rsidR="00C6605F" w:rsidRDefault="00C6605F" w:rsidP="00A77335">
      <w:pPr>
        <w:pStyle w:val="ListParagraph"/>
        <w:numPr>
          <w:ilvl w:val="0"/>
          <w:numId w:val="39"/>
        </w:numPr>
        <w:suppressAutoHyphens w:val="0"/>
        <w:spacing w:before="0" w:after="0" w:line="240" w:lineRule="auto"/>
      </w:pPr>
      <w:r>
        <w:t xml:space="preserve">Continue to explore how we can </w:t>
      </w:r>
      <w:r w:rsidR="005D5FB7">
        <w:t xml:space="preserve">more effectively support the government to plan for and respond to predictable </w:t>
      </w:r>
      <w:r w:rsidR="0067649D">
        <w:t>natural disasters, most notably droughts and floods</w:t>
      </w:r>
      <w:r w:rsidR="005D5FB7">
        <w:t>.</w:t>
      </w:r>
    </w:p>
    <w:p w14:paraId="65B9ADA2" w14:textId="77777777" w:rsidR="00231CE5" w:rsidRPr="00500A53" w:rsidRDefault="00231CE5" w:rsidP="004463B9">
      <w:pPr>
        <w:pStyle w:val="ListParagraph"/>
        <w:suppressAutoHyphens w:val="0"/>
        <w:spacing w:before="0" w:after="0" w:line="240" w:lineRule="auto"/>
        <w:ind w:left="360"/>
      </w:pPr>
    </w:p>
    <w:p w14:paraId="2FC63062" w14:textId="5BEA5D83" w:rsidR="00D00802" w:rsidRDefault="00A77335" w:rsidP="009F1F46">
      <w:pPr>
        <w:pStyle w:val="ListParagraph"/>
        <w:numPr>
          <w:ilvl w:val="0"/>
          <w:numId w:val="39"/>
        </w:numPr>
        <w:suppressAutoHyphens w:val="0"/>
        <w:spacing w:before="0" w:after="0" w:line="240" w:lineRule="auto"/>
      </w:pPr>
      <w:r w:rsidRPr="00C458FC">
        <w:t>Increase the effectiveness of our communications</w:t>
      </w:r>
      <w:r w:rsidR="005D25F7">
        <w:t xml:space="preserve"> </w:t>
      </w:r>
      <w:r w:rsidRPr="00C458FC">
        <w:t>by</w:t>
      </w:r>
      <w:r w:rsidR="005D25F7">
        <w:t xml:space="preserve"> packaging results from this APPR into a range of communication products</w:t>
      </w:r>
      <w:r w:rsidR="00165A7C">
        <w:t>.</w:t>
      </w:r>
    </w:p>
    <w:p w14:paraId="59764067" w14:textId="77777777" w:rsidR="00C6605F" w:rsidRDefault="00C6605F" w:rsidP="009F1F46">
      <w:pPr>
        <w:pStyle w:val="ListParagraph"/>
        <w:numPr>
          <w:ilvl w:val="0"/>
          <w:numId w:val="39"/>
        </w:numPr>
        <w:suppressAutoHyphens w:val="0"/>
        <w:spacing w:before="0" w:after="0" w:line="240" w:lineRule="auto"/>
        <w:sectPr w:rsidR="00C6605F" w:rsidSect="00D2653F">
          <w:headerReference w:type="default" r:id="rId25"/>
          <w:footerReference w:type="default" r:id="rId26"/>
          <w:pgSz w:w="11906" w:h="16838" w:code="9"/>
          <w:pgMar w:top="1811" w:right="1134" w:bottom="851" w:left="1134" w:header="1565" w:footer="342" w:gutter="0"/>
          <w:cols w:space="397"/>
          <w:docGrid w:linePitch="360"/>
        </w:sectPr>
      </w:pPr>
    </w:p>
    <w:p w14:paraId="613AE150" w14:textId="77777777" w:rsidR="00015316" w:rsidRDefault="00015316" w:rsidP="005B5769">
      <w:pPr>
        <w:pStyle w:val="ListBullet"/>
        <w:tabs>
          <w:tab w:val="clear" w:pos="284"/>
        </w:tabs>
      </w:pPr>
    </w:p>
    <w:p w14:paraId="2AE29F5E" w14:textId="77777777" w:rsidR="00D00802" w:rsidRDefault="00D00802" w:rsidP="005B5769">
      <w:pPr>
        <w:pStyle w:val="ListBullet"/>
        <w:tabs>
          <w:tab w:val="clear" w:pos="284"/>
        </w:tabs>
      </w:pPr>
    </w:p>
    <w:p w14:paraId="5308A2CD" w14:textId="77777777" w:rsidR="00AF1B85" w:rsidRPr="00A8197B" w:rsidRDefault="00AF1B85" w:rsidP="005E606B">
      <w:pPr>
        <w:pStyle w:val="Subtitle"/>
      </w:pPr>
      <w:r w:rsidRPr="00A8197B">
        <w:t>Annex A - Progress in Addressing Management Responses</w:t>
      </w:r>
    </w:p>
    <w:p w14:paraId="0D5A8185" w14:textId="77777777" w:rsidR="00AF1B85" w:rsidRPr="00C61187" w:rsidRDefault="00AF1B85" w:rsidP="00A8197B">
      <w:r w:rsidRPr="00C61187">
        <w:t>Describe progress made against management responses in 201</w:t>
      </w:r>
      <w:r w:rsidR="003E305C">
        <w:t>5</w:t>
      </w:r>
      <w:r w:rsidRPr="00C61187">
        <w:t>-1</w:t>
      </w:r>
      <w:r w:rsidR="003E305C">
        <w:t>6</w:t>
      </w:r>
      <w:r w:rsidRPr="00C61187">
        <w:t xml:space="preserve"> report</w:t>
      </w:r>
    </w:p>
    <w:tbl>
      <w:tblPr>
        <w:tblStyle w:val="APPR"/>
        <w:tblpPr w:leftFromText="180" w:rightFromText="180" w:vertAnchor="text" w:tblpY="1"/>
        <w:tblW w:w="5074" w:type="pct"/>
        <w:tblLayout w:type="fixed"/>
        <w:tblLook w:val="0000" w:firstRow="0" w:lastRow="0" w:firstColumn="0" w:lastColumn="0" w:noHBand="0" w:noVBand="0"/>
      </w:tblPr>
      <w:tblGrid>
        <w:gridCol w:w="6326"/>
        <w:gridCol w:w="1179"/>
        <w:gridCol w:w="6738"/>
      </w:tblGrid>
      <w:tr w:rsidR="00AF1B85" w:rsidRPr="00812509" w14:paraId="6E89016F" w14:textId="77777777" w:rsidTr="00AC3E6D">
        <w:trPr>
          <w:cnfStyle w:val="000000010000" w:firstRow="0" w:lastRow="0" w:firstColumn="0" w:lastColumn="0" w:oddVBand="0" w:evenVBand="0" w:oddHBand="0" w:evenHBand="1" w:firstRowFirstColumn="0" w:firstRowLastColumn="0" w:lastRowFirstColumn="0" w:lastRowLastColumn="0"/>
        </w:trPr>
        <w:tc>
          <w:tcPr>
            <w:tcW w:w="6284" w:type="dxa"/>
          </w:tcPr>
          <w:p w14:paraId="64278622" w14:textId="77777777" w:rsidR="00AF1B85" w:rsidRPr="00812509" w:rsidRDefault="00AF1B85" w:rsidP="003E305C">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Management responses identified in 201</w:t>
            </w:r>
            <w:r w:rsidR="003E305C">
              <w:rPr>
                <w:rFonts w:asciiTheme="minorHAnsi" w:eastAsia="Times New Roman" w:hAnsiTheme="minorHAnsi"/>
                <w:b/>
                <w:iCs/>
                <w:szCs w:val="17"/>
                <w:lang w:eastAsia="en-US"/>
              </w:rPr>
              <w:t>5</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 xml:space="preserve"> APPR</w:t>
            </w:r>
            <w:r w:rsidRPr="00812509">
              <w:rPr>
                <w:rFonts w:asciiTheme="minorHAnsi" w:eastAsia="Times New Roman" w:hAnsiTheme="minorHAnsi"/>
                <w:b/>
                <w:iCs/>
                <w:szCs w:val="17"/>
                <w:lang w:eastAsia="en-US"/>
              </w:rPr>
              <w:tab/>
            </w:r>
          </w:p>
        </w:tc>
        <w:tc>
          <w:tcPr>
            <w:tcW w:w="1151" w:type="dxa"/>
          </w:tcPr>
          <w:p w14:paraId="5B51B6BE" w14:textId="77777777" w:rsidR="00AF1B85" w:rsidRPr="00812509" w:rsidRDefault="00AF1B85" w:rsidP="00812509">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Rating</w:t>
            </w:r>
          </w:p>
        </w:tc>
        <w:tc>
          <w:tcPr>
            <w:tcW w:w="6696" w:type="dxa"/>
          </w:tcPr>
          <w:p w14:paraId="68DC828B" w14:textId="77777777" w:rsidR="00AF1B85" w:rsidRPr="00812509" w:rsidRDefault="00AF1B85" w:rsidP="003E305C">
            <w:pPr>
              <w:keepLines/>
              <w:spacing w:before="80" w:after="80" w:line="200" w:lineRule="atLeast"/>
              <w:jc w:val="center"/>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Progress made  in 201</w:t>
            </w:r>
            <w:r w:rsidR="003E305C">
              <w:rPr>
                <w:rFonts w:asciiTheme="minorHAnsi" w:eastAsia="Times New Roman" w:hAnsiTheme="minorHAnsi"/>
                <w:b/>
                <w:iCs/>
                <w:szCs w:val="17"/>
                <w:lang w:eastAsia="en-US"/>
              </w:rPr>
              <w:t>6</w:t>
            </w:r>
            <w:r w:rsidRPr="00812509">
              <w:rPr>
                <w:rFonts w:asciiTheme="minorHAnsi" w:eastAsia="Times New Roman" w:hAnsiTheme="minorHAnsi"/>
                <w:b/>
                <w:iCs/>
                <w:szCs w:val="17"/>
                <w:lang w:eastAsia="en-US"/>
              </w:rPr>
              <w:t>-1</w:t>
            </w:r>
            <w:r w:rsidR="003E305C">
              <w:rPr>
                <w:rFonts w:asciiTheme="minorHAnsi" w:eastAsia="Times New Roman" w:hAnsiTheme="minorHAnsi"/>
                <w:b/>
                <w:iCs/>
                <w:szCs w:val="17"/>
                <w:lang w:eastAsia="en-US"/>
              </w:rPr>
              <w:t>7</w:t>
            </w:r>
          </w:p>
        </w:tc>
      </w:tr>
      <w:tr w:rsidR="00AF1B85" w:rsidRPr="00812509" w14:paraId="5414D569" w14:textId="77777777" w:rsidTr="00AC3E6D">
        <w:trPr>
          <w:cnfStyle w:val="000000010000" w:firstRow="0" w:lastRow="0" w:firstColumn="0" w:lastColumn="0" w:oddVBand="0" w:evenVBand="0" w:oddHBand="0" w:evenHBand="1" w:firstRowFirstColumn="0" w:firstRowLastColumn="0" w:lastRowFirstColumn="0" w:lastRowLastColumn="0"/>
        </w:trPr>
        <w:tc>
          <w:tcPr>
            <w:tcW w:w="6284" w:type="dxa"/>
          </w:tcPr>
          <w:p w14:paraId="1908F198" w14:textId="2B9E3FD1" w:rsidR="00AF1B85" w:rsidRPr="00812509" w:rsidRDefault="00AC3E6D" w:rsidP="00D15A00">
            <w:pPr>
              <w:keepLines/>
              <w:spacing w:before="40" w:after="40" w:line="200" w:lineRule="atLeast"/>
              <w:rPr>
                <w:rFonts w:asciiTheme="minorHAnsi" w:eastAsia="Times New Roman" w:hAnsiTheme="minorHAnsi"/>
                <w:iCs/>
                <w:szCs w:val="17"/>
                <w:lang w:eastAsia="en-US"/>
              </w:rPr>
            </w:pPr>
            <w:r w:rsidRPr="00AC3E6D">
              <w:rPr>
                <w:rFonts w:asciiTheme="minorHAnsi" w:eastAsia="Times New Roman" w:hAnsiTheme="minorHAnsi"/>
                <w:iCs/>
                <w:szCs w:val="17"/>
                <w:lang w:eastAsia="en-US"/>
              </w:rPr>
              <w:t xml:space="preserve">Work with government and implementing partners to ensure </w:t>
            </w:r>
            <w:r w:rsidRPr="00AC3E6D">
              <w:rPr>
                <w:rFonts w:asciiTheme="minorHAnsi" w:eastAsia="Times New Roman" w:hAnsiTheme="minorHAnsi"/>
                <w:i/>
                <w:iCs/>
                <w:szCs w:val="17"/>
                <w:lang w:eastAsia="en-US"/>
              </w:rPr>
              <w:t>both</w:t>
            </w:r>
            <w:r w:rsidRPr="00AC3E6D">
              <w:rPr>
                <w:rFonts w:asciiTheme="minorHAnsi" w:eastAsia="Times New Roman" w:hAnsiTheme="minorHAnsi"/>
                <w:iCs/>
                <w:szCs w:val="17"/>
                <w:lang w:eastAsia="en-US"/>
              </w:rPr>
              <w:t xml:space="preserve"> the MDF and the S4</w:t>
            </w:r>
            <w:r w:rsidR="00000762">
              <w:rPr>
                <w:rFonts w:asciiTheme="minorHAnsi" w:eastAsia="Times New Roman" w:hAnsiTheme="minorHAnsi"/>
                <w:iCs/>
                <w:szCs w:val="17"/>
                <w:lang w:eastAsia="en-US"/>
              </w:rPr>
              <w:t>I</w:t>
            </w:r>
            <w:r w:rsidRPr="00AC3E6D">
              <w:rPr>
                <w:rFonts w:asciiTheme="minorHAnsi" w:eastAsia="Times New Roman" w:hAnsiTheme="minorHAnsi"/>
                <w:iCs/>
                <w:szCs w:val="17"/>
                <w:lang w:eastAsia="en-US"/>
              </w:rPr>
              <w:t>G activities align with the 2016-17 design, implementation and performance expectations set out in the EOP Results Management Framework</w:t>
            </w:r>
          </w:p>
        </w:tc>
        <w:tc>
          <w:tcPr>
            <w:tcW w:w="1151" w:type="dxa"/>
            <w:shd w:val="clear" w:color="auto" w:fill="D78307"/>
          </w:tcPr>
          <w:p w14:paraId="072907D9" w14:textId="74071C47" w:rsidR="00AF1B85" w:rsidRPr="00812509" w:rsidRDefault="00AC3E6D" w:rsidP="00D15A00">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 xml:space="preserve">Partly </w:t>
            </w:r>
            <w:r w:rsidR="00AF1B85" w:rsidRPr="00812509">
              <w:rPr>
                <w:rFonts w:asciiTheme="minorHAnsi" w:eastAsia="Times New Roman" w:hAnsiTheme="minorHAnsi"/>
                <w:iCs/>
                <w:color w:val="FFFFFF" w:themeColor="background1"/>
                <w:szCs w:val="17"/>
                <w:lang w:eastAsia="en-US"/>
              </w:rPr>
              <w:t>Achieved</w:t>
            </w:r>
          </w:p>
        </w:tc>
        <w:tc>
          <w:tcPr>
            <w:tcW w:w="6696" w:type="dxa"/>
          </w:tcPr>
          <w:p w14:paraId="4C1EC914" w14:textId="7102F7FC" w:rsidR="00AF1B85" w:rsidRPr="00B75BBC" w:rsidRDefault="00B75BBC" w:rsidP="00B75BB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The process of ensuring alignment with the EOP Results Management Framework began, but has not been completed as the S4</w:t>
            </w:r>
            <w:r w:rsidR="00000762">
              <w:rPr>
                <w:rFonts w:asciiTheme="minorHAnsi" w:eastAsia="Times New Roman" w:hAnsiTheme="minorHAnsi"/>
                <w:iCs/>
                <w:szCs w:val="17"/>
                <w:lang w:eastAsia="en-US"/>
              </w:rPr>
              <w:t>I</w:t>
            </w:r>
            <w:r>
              <w:rPr>
                <w:rFonts w:asciiTheme="minorHAnsi" w:eastAsia="Times New Roman" w:hAnsiTheme="minorHAnsi"/>
                <w:iCs/>
                <w:szCs w:val="17"/>
                <w:lang w:eastAsia="en-US"/>
              </w:rPr>
              <w:t>G M&amp;E framework is being finalised.</w:t>
            </w:r>
          </w:p>
        </w:tc>
      </w:tr>
      <w:tr w:rsidR="00AF1B85" w:rsidRPr="00812509" w14:paraId="02B8E8F1" w14:textId="77777777" w:rsidTr="00AC3E6D">
        <w:trPr>
          <w:cnfStyle w:val="000000010000" w:firstRow="0" w:lastRow="0" w:firstColumn="0" w:lastColumn="0" w:oddVBand="0" w:evenVBand="0" w:oddHBand="0" w:evenHBand="1" w:firstRowFirstColumn="0" w:firstRowLastColumn="0" w:lastRowFirstColumn="0" w:lastRowLastColumn="0"/>
        </w:trPr>
        <w:tc>
          <w:tcPr>
            <w:tcW w:w="6284" w:type="dxa"/>
          </w:tcPr>
          <w:p w14:paraId="3E4C127C" w14:textId="4A1C4442" w:rsidR="00AF1B85" w:rsidRPr="00812509" w:rsidRDefault="00AC3E6D" w:rsidP="00D15A00">
            <w:pPr>
              <w:keepLines/>
              <w:spacing w:before="40" w:after="40" w:line="200" w:lineRule="atLeast"/>
              <w:rPr>
                <w:rFonts w:asciiTheme="minorHAnsi" w:eastAsia="Times New Roman" w:hAnsiTheme="minorHAnsi"/>
                <w:iCs/>
                <w:szCs w:val="17"/>
                <w:lang w:eastAsia="en-US"/>
              </w:rPr>
            </w:pPr>
            <w:r w:rsidRPr="00AC3E6D">
              <w:rPr>
                <w:rFonts w:asciiTheme="minorHAnsi" w:eastAsia="Times New Roman" w:hAnsiTheme="minorHAnsi"/>
                <w:iCs/>
                <w:szCs w:val="17"/>
                <w:lang w:eastAsia="en-US"/>
              </w:rPr>
              <w:t>Ensure the Women In Work investment design is finalised, start-up is completed and implementation has begun</w:t>
            </w:r>
          </w:p>
        </w:tc>
        <w:tc>
          <w:tcPr>
            <w:tcW w:w="1151" w:type="dxa"/>
            <w:shd w:val="clear" w:color="auto" w:fill="72AF2F"/>
          </w:tcPr>
          <w:p w14:paraId="076DE3C3"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r w:rsidRPr="00812509">
              <w:rPr>
                <w:rFonts w:eastAsia="Times New Roman"/>
                <w:iCs/>
                <w:color w:val="FFFFFF" w:themeColor="background1"/>
                <w:szCs w:val="17"/>
              </w:rPr>
              <w:fldChar w:fldCharType="begin"/>
            </w:r>
            <w:r w:rsidRPr="00812509">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12509">
              <w:rPr>
                <w:rFonts w:eastAsia="Times New Roman"/>
                <w:iCs/>
                <w:color w:val="FFFFFF" w:themeColor="background1"/>
                <w:szCs w:val="17"/>
              </w:rPr>
              <w:fldChar w:fldCharType="end"/>
            </w:r>
          </w:p>
        </w:tc>
        <w:tc>
          <w:tcPr>
            <w:tcW w:w="6696" w:type="dxa"/>
          </w:tcPr>
          <w:p w14:paraId="1DC7529C" w14:textId="53DBBD3B" w:rsidR="00AF1B85" w:rsidRPr="00AE58BB" w:rsidRDefault="00AE58BB" w:rsidP="00D15A00">
            <w:pPr>
              <w:keepLines/>
              <w:spacing w:before="40" w:after="40" w:line="200" w:lineRule="atLeast"/>
              <w:rPr>
                <w:rFonts w:asciiTheme="minorHAnsi" w:eastAsia="Times New Roman" w:hAnsiTheme="minorHAnsi"/>
                <w:iCs/>
                <w:color w:val="auto"/>
                <w:szCs w:val="17"/>
                <w:lang w:eastAsia="en-US"/>
              </w:rPr>
            </w:pPr>
            <w:r w:rsidRPr="00B75BBC">
              <w:rPr>
                <w:rFonts w:asciiTheme="minorHAnsi" w:eastAsia="Times New Roman" w:hAnsiTheme="minorHAnsi"/>
                <w:iCs/>
                <w:szCs w:val="17"/>
                <w:lang w:eastAsia="en-US"/>
              </w:rPr>
              <w:t>Women in Work investment designed and a grant arrangement entered into with the International Finance Corporation. Implementation has commenced.</w:t>
            </w:r>
          </w:p>
        </w:tc>
      </w:tr>
      <w:tr w:rsidR="00AF1B85" w:rsidRPr="00812509" w14:paraId="604E3737" w14:textId="77777777" w:rsidTr="00AC3E6D">
        <w:trPr>
          <w:cnfStyle w:val="000000010000" w:firstRow="0" w:lastRow="0" w:firstColumn="0" w:lastColumn="0" w:oddVBand="0" w:evenVBand="0" w:oddHBand="0" w:evenHBand="1" w:firstRowFirstColumn="0" w:firstRowLastColumn="0" w:lastRowFirstColumn="0" w:lastRowLastColumn="0"/>
        </w:trPr>
        <w:tc>
          <w:tcPr>
            <w:tcW w:w="6284" w:type="dxa"/>
          </w:tcPr>
          <w:p w14:paraId="0ACD16DB" w14:textId="0F83D1BC" w:rsidR="00AF1B85" w:rsidRPr="00812509" w:rsidRDefault="00AC3E6D" w:rsidP="00D15A00">
            <w:pPr>
              <w:keepLines/>
              <w:spacing w:before="40" w:after="40" w:line="200" w:lineRule="atLeast"/>
              <w:rPr>
                <w:rFonts w:asciiTheme="minorHAnsi" w:eastAsia="Times New Roman" w:hAnsiTheme="minorHAnsi"/>
                <w:iCs/>
                <w:szCs w:val="17"/>
                <w:lang w:eastAsia="en-US"/>
              </w:rPr>
            </w:pPr>
            <w:r w:rsidRPr="00AC3E6D">
              <w:rPr>
                <w:rFonts w:asciiTheme="minorHAnsi" w:eastAsia="Times New Roman" w:hAnsiTheme="minorHAnsi"/>
                <w:iCs/>
                <w:szCs w:val="17"/>
                <w:lang w:eastAsia="en-US"/>
              </w:rPr>
              <w:t>Work collaboratively with other donors to assist the Sri Lankan Government in planning and delivering key economic and fiscal reforms</w:t>
            </w:r>
          </w:p>
        </w:tc>
        <w:tc>
          <w:tcPr>
            <w:tcW w:w="1151" w:type="dxa"/>
            <w:shd w:val="clear" w:color="auto" w:fill="72AF2F"/>
          </w:tcPr>
          <w:p w14:paraId="78F296F7" w14:textId="77777777" w:rsidR="00AF1B85" w:rsidRPr="00812509" w:rsidRDefault="00AF1B85"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14:paraId="0D96768A" w14:textId="761B7926" w:rsidR="00AF1B85" w:rsidRPr="00AE58BB" w:rsidRDefault="00AE58BB"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DFAT funded a donor coordination committee secretariat and is also working closely with the World Bank to support the Sri Lankan Government’s economic reform agenda.</w:t>
            </w:r>
          </w:p>
        </w:tc>
      </w:tr>
      <w:tr w:rsidR="00AF1B85" w:rsidRPr="00812509" w14:paraId="36EFC7BB" w14:textId="77777777" w:rsidTr="00AC3E6D">
        <w:trPr>
          <w:cnfStyle w:val="000000010000" w:firstRow="0" w:lastRow="0" w:firstColumn="0" w:lastColumn="0" w:oddVBand="0" w:evenVBand="0" w:oddHBand="0" w:evenHBand="1" w:firstRowFirstColumn="0" w:firstRowLastColumn="0" w:lastRowFirstColumn="0" w:lastRowLastColumn="0"/>
        </w:trPr>
        <w:tc>
          <w:tcPr>
            <w:tcW w:w="6284" w:type="dxa"/>
          </w:tcPr>
          <w:p w14:paraId="33A923D4" w14:textId="34C117A8" w:rsidR="00AF1B85" w:rsidRPr="00812509" w:rsidRDefault="00AC3E6D" w:rsidP="00D15A00">
            <w:pPr>
              <w:keepLines/>
              <w:spacing w:before="40" w:after="40" w:line="200" w:lineRule="atLeast"/>
              <w:rPr>
                <w:rFonts w:asciiTheme="minorHAnsi" w:eastAsia="Times New Roman" w:hAnsiTheme="minorHAnsi"/>
                <w:iCs/>
                <w:szCs w:val="17"/>
                <w:lang w:eastAsia="en-US"/>
              </w:rPr>
            </w:pPr>
            <w:r w:rsidRPr="00AC3E6D">
              <w:rPr>
                <w:rFonts w:asciiTheme="minorHAnsi" w:eastAsia="Times New Roman" w:hAnsiTheme="minorHAnsi"/>
                <w:iCs/>
                <w:szCs w:val="17"/>
                <w:lang w:eastAsia="en-US"/>
              </w:rPr>
              <w:t>Continue to monitor and engage strategically with the World Bank on the TSEP program as it enters its final phase, focusing on areas of particular interest to DFAT such as social cohesion in education</w:t>
            </w:r>
          </w:p>
        </w:tc>
        <w:tc>
          <w:tcPr>
            <w:tcW w:w="1151" w:type="dxa"/>
            <w:shd w:val="clear" w:color="auto" w:fill="7FB64D" w:themeFill="accent3" w:themeFillShade="BF"/>
          </w:tcPr>
          <w:p w14:paraId="7AD0569A" w14:textId="5982F24A" w:rsidR="00AF1B85" w:rsidRPr="00812509" w:rsidRDefault="00AC3E6D" w:rsidP="00D15A00">
            <w:pPr>
              <w:keepLines/>
              <w:spacing w:before="40" w:after="40" w:line="200" w:lineRule="atLeast"/>
              <w:jc w:val="center"/>
              <w:rPr>
                <w:rFonts w:asciiTheme="minorHAnsi" w:eastAsia="Times New Roman" w:hAnsiTheme="minorHAnsi"/>
                <w:iCs/>
                <w:color w:val="FFFFFF" w:themeColor="background1"/>
                <w:szCs w:val="17"/>
                <w:lang w:eastAsia="en-US"/>
              </w:rPr>
            </w:pPr>
            <w:r w:rsidRPr="00812509">
              <w:rPr>
                <w:rFonts w:asciiTheme="minorHAnsi" w:eastAsia="Times New Roman" w:hAnsiTheme="minorHAnsi"/>
                <w:iCs/>
                <w:color w:val="FFFFFF" w:themeColor="background1"/>
                <w:szCs w:val="17"/>
                <w:lang w:eastAsia="en-US"/>
              </w:rPr>
              <w:t>Achieved</w:t>
            </w:r>
          </w:p>
        </w:tc>
        <w:tc>
          <w:tcPr>
            <w:tcW w:w="6696" w:type="dxa"/>
          </w:tcPr>
          <w:p w14:paraId="259742F0" w14:textId="039A55C2" w:rsidR="00AF1B85" w:rsidRPr="00B75BBC" w:rsidRDefault="00622FF0" w:rsidP="004C722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DFAT continued to monitor spending of </w:t>
            </w:r>
            <w:r w:rsidR="004C7224">
              <w:rPr>
                <w:rFonts w:asciiTheme="minorHAnsi" w:eastAsia="Times New Roman" w:hAnsiTheme="minorHAnsi"/>
                <w:iCs/>
                <w:szCs w:val="17"/>
                <w:lang w:eastAsia="en-US"/>
              </w:rPr>
              <w:t>Australian Government funds</w:t>
            </w:r>
            <w:r>
              <w:rPr>
                <w:rFonts w:asciiTheme="minorHAnsi" w:eastAsia="Times New Roman" w:hAnsiTheme="minorHAnsi"/>
                <w:iCs/>
                <w:szCs w:val="17"/>
                <w:lang w:eastAsia="en-US"/>
              </w:rPr>
              <w:t xml:space="preserve">, advocate for </w:t>
            </w:r>
            <w:r w:rsidR="00015C98">
              <w:rPr>
                <w:rFonts w:asciiTheme="minorHAnsi" w:eastAsia="Times New Roman" w:hAnsiTheme="minorHAnsi"/>
                <w:iCs/>
                <w:szCs w:val="17"/>
                <w:lang w:eastAsia="en-US"/>
              </w:rPr>
              <w:t>continued application of recommendations</w:t>
            </w:r>
            <w:r>
              <w:rPr>
                <w:rFonts w:asciiTheme="minorHAnsi" w:eastAsia="Times New Roman" w:hAnsiTheme="minorHAnsi"/>
                <w:iCs/>
                <w:szCs w:val="17"/>
                <w:lang w:eastAsia="en-US"/>
              </w:rPr>
              <w:t xml:space="preserve"> </w:t>
            </w:r>
            <w:r w:rsidR="00015C98">
              <w:rPr>
                <w:rFonts w:asciiTheme="minorHAnsi" w:eastAsia="Times New Roman" w:hAnsiTheme="minorHAnsi"/>
                <w:iCs/>
                <w:szCs w:val="17"/>
                <w:lang w:eastAsia="en-US"/>
              </w:rPr>
              <w:t>from</w:t>
            </w:r>
            <w:r>
              <w:rPr>
                <w:rFonts w:asciiTheme="minorHAnsi" w:eastAsia="Times New Roman" w:hAnsiTheme="minorHAnsi"/>
                <w:iCs/>
                <w:szCs w:val="17"/>
                <w:lang w:eastAsia="en-US"/>
              </w:rPr>
              <w:t xml:space="preserve"> the DFAT ACM report, and promote attention to social cohesion</w:t>
            </w:r>
            <w:r w:rsidR="00015C98">
              <w:rPr>
                <w:rFonts w:asciiTheme="minorHAnsi" w:eastAsia="Times New Roman" w:hAnsiTheme="minorHAnsi"/>
                <w:iCs/>
                <w:szCs w:val="17"/>
                <w:lang w:eastAsia="en-US"/>
              </w:rPr>
              <w:t>, as well as</w:t>
            </w:r>
            <w:r w:rsidR="0046474E">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program alignment to the government’</w:t>
            </w:r>
            <w:r w:rsidR="0046474E">
              <w:rPr>
                <w:rFonts w:asciiTheme="minorHAnsi" w:eastAsia="Times New Roman" w:hAnsiTheme="minorHAnsi"/>
                <w:iCs/>
                <w:szCs w:val="17"/>
                <w:lang w:eastAsia="en-US"/>
              </w:rPr>
              <w:t xml:space="preserve">s </w:t>
            </w:r>
            <w:r>
              <w:rPr>
                <w:rFonts w:asciiTheme="minorHAnsi" w:eastAsia="Times New Roman" w:hAnsiTheme="minorHAnsi"/>
                <w:iCs/>
                <w:szCs w:val="17"/>
                <w:lang w:eastAsia="en-US"/>
              </w:rPr>
              <w:t>reform agenda.  The program successfully achieved all its Disbursement-Linked Indicators</w:t>
            </w:r>
            <w:r w:rsidR="0046474E">
              <w:rPr>
                <w:rFonts w:asciiTheme="minorHAnsi" w:eastAsia="Times New Roman" w:hAnsiTheme="minorHAnsi"/>
                <w:iCs/>
                <w:szCs w:val="17"/>
                <w:lang w:eastAsia="en-US"/>
              </w:rPr>
              <w:t xml:space="preserve"> in this period,</w:t>
            </w:r>
            <w:r>
              <w:rPr>
                <w:rFonts w:asciiTheme="minorHAnsi" w:eastAsia="Times New Roman" w:hAnsiTheme="minorHAnsi"/>
                <w:iCs/>
                <w:szCs w:val="17"/>
                <w:lang w:eastAsia="en-US"/>
              </w:rPr>
              <w:t xml:space="preserve"> and two studies will be conducted in 2017-18, one relating to social cohesion and a teacher study, both initiated by DFAT.</w:t>
            </w:r>
          </w:p>
        </w:tc>
      </w:tr>
    </w:tbl>
    <w:p w14:paraId="26A28E9B"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sz w:val="16"/>
          <w:szCs w:val="14"/>
        </w:rPr>
        <w:t xml:space="preserve">Note: </w:t>
      </w:r>
    </w:p>
    <w:p w14:paraId="45458522"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w:t>
      </w:r>
      <w:r w:rsidRPr="00812509">
        <w:rPr>
          <w:rFonts w:eastAsia="Times New Roman"/>
          <w:b/>
          <w:sz w:val="16"/>
          <w:szCs w:val="14"/>
        </w:rPr>
        <w:t xml:space="preserve"> Achieved.  Significant progress has been made in addressing the issue </w:t>
      </w:r>
    </w:p>
    <w:p w14:paraId="1711455E"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E36C0A"/>
          <w:sz w:val="16"/>
          <w:szCs w:val="14"/>
        </w:rPr>
        <w:sym w:font="Webdings" w:char="F067"/>
      </w:r>
      <w:r w:rsidRPr="00812509">
        <w:rPr>
          <w:rFonts w:eastAsia="Times New Roman"/>
          <w:b/>
          <w:sz w:val="16"/>
          <w:szCs w:val="14"/>
        </w:rPr>
        <w:t> </w:t>
      </w:r>
      <w:r w:rsidRPr="00812509">
        <w:rPr>
          <w:rFonts w:eastAsia="Times New Roman"/>
          <w:b/>
          <w:sz w:val="16"/>
          <w:szCs w:val="14"/>
        </w:rPr>
        <w:t xml:space="preserve"> Partly achieved.  Some progress has been made in addressing the issue, but the issue has not been resolved </w:t>
      </w:r>
    </w:p>
    <w:p w14:paraId="0C9EDCBA" w14:textId="77777777" w:rsidR="00AF1B85" w:rsidRPr="00812509" w:rsidRDefault="00AF1B85" w:rsidP="00AF1B85">
      <w:pPr>
        <w:spacing w:before="20" w:after="20" w:line="180" w:lineRule="atLeast"/>
        <w:jc w:val="both"/>
        <w:rPr>
          <w:rFonts w:eastAsia="Times New Roman"/>
          <w:b/>
          <w:sz w:val="16"/>
          <w:szCs w:val="14"/>
        </w:rPr>
      </w:pPr>
      <w:r w:rsidRPr="00812509">
        <w:rPr>
          <w:rFonts w:eastAsia="Times New Roman"/>
          <w:b/>
          <w:color w:val="FF0000"/>
          <w:sz w:val="16"/>
          <w:szCs w:val="14"/>
        </w:rPr>
        <w:sym w:font="Webdings" w:char="F067"/>
      </w:r>
      <w:r w:rsidRPr="00812509">
        <w:rPr>
          <w:rFonts w:eastAsia="Times New Roman"/>
          <w:b/>
          <w:sz w:val="16"/>
          <w:szCs w:val="14"/>
        </w:rPr>
        <w:t> </w:t>
      </w:r>
      <w:r w:rsidRPr="00812509">
        <w:rPr>
          <w:rFonts w:eastAsia="Times New Roman"/>
          <w:b/>
          <w:sz w:val="16"/>
          <w:szCs w:val="14"/>
        </w:rPr>
        <w:t xml:space="preserve"> Not achieved. Progress in addressing the issue has been significantly below expectations</w:t>
      </w:r>
    </w:p>
    <w:p w14:paraId="3E4D4667" w14:textId="77777777" w:rsidR="00D00802" w:rsidRDefault="00D00802" w:rsidP="005B5769">
      <w:pPr>
        <w:pStyle w:val="ListBullet"/>
        <w:tabs>
          <w:tab w:val="clear" w:pos="284"/>
        </w:tabs>
        <w:sectPr w:rsidR="00D00802" w:rsidSect="00D00802">
          <w:headerReference w:type="first" r:id="rId27"/>
          <w:pgSz w:w="16838" w:h="11906" w:orient="landscape" w:code="9"/>
          <w:pgMar w:top="1134" w:right="1952" w:bottom="1134" w:left="851" w:header="1107" w:footer="567" w:gutter="0"/>
          <w:cols w:space="397"/>
          <w:titlePg/>
          <w:docGrid w:linePitch="360"/>
        </w:sectPr>
      </w:pPr>
    </w:p>
    <w:p w14:paraId="3592B9A8" w14:textId="77777777" w:rsidR="00184F1E" w:rsidRDefault="00184F1E" w:rsidP="00184F1E">
      <w:pPr>
        <w:pStyle w:val="Subtitle"/>
        <w:numPr>
          <w:ilvl w:val="0"/>
          <w:numId w:val="0"/>
        </w:numPr>
      </w:pPr>
      <w:r w:rsidRPr="00400B0F">
        <w:lastRenderedPageBreak/>
        <w:t xml:space="preserve">Annex B </w:t>
      </w:r>
      <w:r>
        <w:t>–</w:t>
      </w:r>
      <w:r w:rsidRPr="00400B0F">
        <w:t xml:space="preserve"> </w:t>
      </w:r>
      <w:r>
        <w:t>PERFORMANCE BENCHMARKS</w:t>
      </w:r>
    </w:p>
    <w:p w14:paraId="58E92C82" w14:textId="77777777" w:rsidR="00184F1E" w:rsidRPr="00320251" w:rsidRDefault="00184F1E" w:rsidP="00184F1E">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2016-17</w:t>
      </w:r>
    </w:p>
    <w:p w14:paraId="045D6633" w14:textId="77777777" w:rsidR="00184F1E" w:rsidRDefault="00184F1E" w:rsidP="00184F1E">
      <w:r>
        <w:rPr>
          <w:rFonts w:ascii="Franklin Gothic Book" w:eastAsia="Times New Roman" w:hAnsi="Franklin Gothic Book"/>
          <w:sz w:val="21"/>
        </w:rPr>
        <w:t xml:space="preserve">Discussion on progress against specific </w:t>
      </w:r>
      <w:r w:rsidRPr="00C61187">
        <w:rPr>
          <w:rFonts w:ascii="Franklin Gothic Book" w:eastAsia="Times New Roman" w:hAnsi="Franklin Gothic Book"/>
          <w:sz w:val="21"/>
        </w:rPr>
        <w:t xml:space="preserve">performance benchmarks </w:t>
      </w:r>
      <w:r>
        <w:rPr>
          <w:rFonts w:ascii="Franklin Gothic Book" w:eastAsia="Times New Roman" w:hAnsi="Franklin Gothic Book"/>
          <w:sz w:val="21"/>
        </w:rPr>
        <w:t>in 2016-17 should also be included as part of the text assessing progress against individual program objectives in the main body of the APPR.</w:t>
      </w:r>
    </w:p>
    <w:p w14:paraId="0E266662" w14:textId="77777777" w:rsidR="00184F1E" w:rsidRPr="00CE5DF0" w:rsidRDefault="00184F1E" w:rsidP="00184F1E"/>
    <w:tbl>
      <w:tblPr>
        <w:tblStyle w:val="DFATTable"/>
        <w:tblW w:w="5000" w:type="pct"/>
        <w:tblLook w:val="04A0" w:firstRow="1" w:lastRow="0" w:firstColumn="1" w:lastColumn="0" w:noHBand="0" w:noVBand="1"/>
      </w:tblPr>
      <w:tblGrid>
        <w:gridCol w:w="2190"/>
        <w:gridCol w:w="2189"/>
        <w:gridCol w:w="1319"/>
        <w:gridCol w:w="8337"/>
      </w:tblGrid>
      <w:tr w:rsidR="00184F1E" w:rsidRPr="00C61187" w14:paraId="060B423F" w14:textId="77777777" w:rsidTr="009C11C8">
        <w:trPr>
          <w:tblHeader/>
        </w:trPr>
        <w:tc>
          <w:tcPr>
            <w:tcW w:w="780" w:type="pct"/>
            <w:tcMar>
              <w:top w:w="57" w:type="dxa"/>
              <w:bottom w:w="57" w:type="dxa"/>
            </w:tcMar>
          </w:tcPr>
          <w:p w14:paraId="72326563" w14:textId="77777777" w:rsidR="00184F1E" w:rsidRPr="00880004" w:rsidRDefault="00184F1E" w:rsidP="009C11C8">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780" w:type="pct"/>
          </w:tcPr>
          <w:p w14:paraId="1268721E" w14:textId="77777777" w:rsidR="00184F1E" w:rsidRPr="00880004" w:rsidRDefault="00184F1E" w:rsidP="009C11C8">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470" w:type="pct"/>
          </w:tcPr>
          <w:p w14:paraId="4BEE92C8" w14:textId="77777777" w:rsidR="00184F1E" w:rsidRPr="00880004" w:rsidRDefault="00184F1E" w:rsidP="009C11C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970" w:type="pct"/>
          </w:tcPr>
          <w:p w14:paraId="1A81F11A" w14:textId="77777777" w:rsidR="00184F1E" w:rsidRPr="00880004" w:rsidRDefault="00184F1E" w:rsidP="009C11C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Pr>
                <w:rFonts w:asciiTheme="minorHAnsi" w:eastAsia="Times New Roman" w:hAnsiTheme="minorHAnsi"/>
                <w:b/>
                <w:iCs/>
                <w:szCs w:val="17"/>
                <w:lang w:eastAsia="en-US"/>
              </w:rPr>
              <w:t>7</w:t>
            </w:r>
          </w:p>
        </w:tc>
      </w:tr>
      <w:tr w:rsidR="00184F1E" w:rsidRPr="00C61187" w14:paraId="2D349504" w14:textId="77777777" w:rsidTr="009C11C8">
        <w:tc>
          <w:tcPr>
            <w:tcW w:w="780" w:type="pct"/>
            <w:tcMar>
              <w:top w:w="57" w:type="dxa"/>
              <w:bottom w:w="57" w:type="dxa"/>
            </w:tcMar>
          </w:tcPr>
          <w:p w14:paraId="78F92F85" w14:textId="7DDED988" w:rsidR="00184F1E" w:rsidRPr="00880004" w:rsidRDefault="00E80552" w:rsidP="009C11C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Expand economic opportunities for the poor</w:t>
            </w:r>
          </w:p>
        </w:tc>
        <w:tc>
          <w:tcPr>
            <w:tcW w:w="780" w:type="pct"/>
          </w:tcPr>
          <w:p w14:paraId="0AA0E9D8" w14:textId="5906B048" w:rsidR="00184F1E" w:rsidRPr="00E80552" w:rsidRDefault="00E80552" w:rsidP="009C11C8">
            <w:pPr>
              <w:keepLines/>
              <w:spacing w:before="40" w:after="40" w:line="200" w:lineRule="atLeast"/>
              <w:rPr>
                <w:rFonts w:asciiTheme="minorHAnsi" w:eastAsia="Times New Roman" w:hAnsiTheme="minorHAnsi"/>
                <w:iCs/>
                <w:szCs w:val="17"/>
                <w:lang w:eastAsia="en-US"/>
              </w:rPr>
            </w:pPr>
            <w:r w:rsidRPr="00E80552">
              <w:rPr>
                <w:rFonts w:asciiTheme="minorHAnsi" w:eastAsia="Times New Roman" w:hAnsiTheme="minorHAnsi"/>
                <w:iCs/>
                <w:szCs w:val="17"/>
                <w:lang w:eastAsia="en-US"/>
              </w:rPr>
              <w:t>Increase the percentage of targeted populations, including women and people with a disability, who have an increase in net additional income</w:t>
            </w:r>
            <w:r>
              <w:rPr>
                <w:rFonts w:asciiTheme="minorHAnsi" w:eastAsia="Times New Roman" w:hAnsiTheme="minorHAnsi"/>
                <w:iCs/>
                <w:szCs w:val="17"/>
                <w:lang w:eastAsia="en-US"/>
              </w:rPr>
              <w:t>.</w:t>
            </w:r>
          </w:p>
        </w:tc>
        <w:tc>
          <w:tcPr>
            <w:tcW w:w="470" w:type="pct"/>
            <w:shd w:val="clear" w:color="auto" w:fill="92D050"/>
          </w:tcPr>
          <w:p w14:paraId="5A37C5EE" w14:textId="77777777" w:rsidR="00184F1E" w:rsidRPr="00880004" w:rsidRDefault="00184F1E" w:rsidP="009C11C8">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970" w:type="pct"/>
          </w:tcPr>
          <w:p w14:paraId="28B119B9" w14:textId="1AC23014" w:rsidR="00184F1E" w:rsidRPr="00880004" w:rsidRDefault="00B75BBC" w:rsidP="009C11C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The combined impact of NELSIP, LEED, MDF, Community Forestry (and longer-term impact of ACRP3) has seen an increase in the percentage of targeted populations who have received an increase in net additional income. This increase has met expectations. </w:t>
            </w:r>
          </w:p>
        </w:tc>
      </w:tr>
      <w:tr w:rsidR="00184F1E" w:rsidRPr="00C61187" w14:paraId="5135F5E1" w14:textId="77777777" w:rsidTr="00435070">
        <w:tc>
          <w:tcPr>
            <w:tcW w:w="780" w:type="pct"/>
            <w:tcMar>
              <w:top w:w="57" w:type="dxa"/>
              <w:bottom w:w="57" w:type="dxa"/>
            </w:tcMar>
          </w:tcPr>
          <w:p w14:paraId="554586E1" w14:textId="755FB09E" w:rsidR="00184F1E" w:rsidRPr="00880004" w:rsidRDefault="00E80552" w:rsidP="009C11C8">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Support government to be more responsive to the needs of citizens and the private sector</w:t>
            </w:r>
            <w:r w:rsidR="00184F1E" w:rsidRPr="00880004">
              <w:rPr>
                <w:rFonts w:asciiTheme="minorHAnsi" w:eastAsia="Times New Roman" w:hAnsiTheme="minorHAnsi"/>
                <w:iCs/>
                <w:szCs w:val="17"/>
                <w:lang w:eastAsia="en-US"/>
              </w:rPr>
              <w:t xml:space="preserve"> </w:t>
            </w:r>
          </w:p>
        </w:tc>
        <w:tc>
          <w:tcPr>
            <w:tcW w:w="780" w:type="pct"/>
          </w:tcPr>
          <w:p w14:paraId="67544A11" w14:textId="63EF638B" w:rsidR="00184F1E" w:rsidRPr="00E80552" w:rsidRDefault="00E80552" w:rsidP="009C11C8">
            <w:pPr>
              <w:keepLines/>
              <w:spacing w:before="40" w:after="40" w:line="200" w:lineRule="atLeast"/>
              <w:rPr>
                <w:rFonts w:asciiTheme="minorHAnsi" w:eastAsia="Times New Roman" w:hAnsiTheme="minorHAnsi"/>
                <w:iCs/>
                <w:szCs w:val="17"/>
                <w:lang w:eastAsia="en-US"/>
              </w:rPr>
            </w:pPr>
            <w:r w:rsidRPr="00E80552">
              <w:rPr>
                <w:rFonts w:asciiTheme="minorHAnsi" w:eastAsia="Times New Roman" w:hAnsiTheme="minorHAnsi"/>
                <w:iCs/>
                <w:szCs w:val="17"/>
                <w:lang w:eastAsia="en-US"/>
              </w:rPr>
              <w:t>Increased satisfaction of citizens and private sector with national and sub-national government performance in delivering key services</w:t>
            </w:r>
          </w:p>
        </w:tc>
        <w:tc>
          <w:tcPr>
            <w:tcW w:w="470" w:type="pct"/>
            <w:shd w:val="clear" w:color="auto" w:fill="FF9900"/>
          </w:tcPr>
          <w:p w14:paraId="27AA5055" w14:textId="77777777" w:rsidR="00184F1E" w:rsidRPr="00880004" w:rsidRDefault="00184F1E" w:rsidP="009C11C8">
            <w:pPr>
              <w:keepLines/>
              <w:spacing w:before="40" w:after="40" w:line="200" w:lineRule="atLeast"/>
              <w:jc w:val="center"/>
              <w:rPr>
                <w:rFonts w:asciiTheme="minorHAnsi" w:eastAsia="Times New Roman" w:hAnsiTheme="minorHAnsi"/>
                <w:iCs/>
                <w:szCs w:val="17"/>
                <w:lang w:eastAsia="en-US"/>
              </w:rPr>
            </w:pPr>
            <w:r w:rsidRPr="00880004">
              <w:rPr>
                <w:rFonts w:asciiTheme="minorHAnsi" w:eastAsia="Times New Roman" w:hAnsiTheme="minorHAnsi"/>
                <w:iCs/>
                <w:color w:val="FFFFFF" w:themeColor="background1"/>
                <w:szCs w:val="17"/>
                <w:lang w:eastAsia="en-US"/>
              </w:rPr>
              <w:t>Partly achieved</w:t>
            </w:r>
          </w:p>
        </w:tc>
        <w:tc>
          <w:tcPr>
            <w:tcW w:w="2970" w:type="pct"/>
          </w:tcPr>
          <w:p w14:paraId="3BAD9798" w14:textId="70C9A6F6" w:rsidR="000E6B1C" w:rsidRDefault="00E56EED" w:rsidP="004E020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Whilst our programs have supported the government to respond to the needs of people and business, with tangible results, </w:t>
            </w:r>
            <w:r w:rsidR="004E0201">
              <w:rPr>
                <w:rFonts w:asciiTheme="minorHAnsi" w:eastAsia="Times New Roman" w:hAnsiTheme="minorHAnsi"/>
                <w:iCs/>
                <w:szCs w:val="17"/>
                <w:lang w:eastAsia="en-US"/>
              </w:rPr>
              <w:t xml:space="preserve">satisfaction ratings were </w:t>
            </w:r>
            <w:r w:rsidR="000E6B1C">
              <w:rPr>
                <w:rFonts w:asciiTheme="minorHAnsi" w:eastAsia="Times New Roman" w:hAnsiTheme="minorHAnsi"/>
                <w:iCs/>
                <w:szCs w:val="17"/>
                <w:lang w:eastAsia="en-US"/>
              </w:rPr>
              <w:t xml:space="preserve">mixed and </w:t>
            </w:r>
            <w:r w:rsidR="004E0201">
              <w:rPr>
                <w:rFonts w:asciiTheme="minorHAnsi" w:eastAsia="Times New Roman" w:hAnsiTheme="minorHAnsi"/>
                <w:iCs/>
                <w:szCs w:val="17"/>
                <w:lang w:eastAsia="en-US"/>
              </w:rPr>
              <w:t xml:space="preserve">impacted by perceptions of </w:t>
            </w:r>
            <w:r>
              <w:rPr>
                <w:rFonts w:asciiTheme="minorHAnsi" w:eastAsia="Times New Roman" w:hAnsiTheme="minorHAnsi"/>
                <w:iCs/>
                <w:szCs w:val="17"/>
                <w:lang w:eastAsia="en-US"/>
              </w:rPr>
              <w:t xml:space="preserve">the broader performance of the Sri Lankan </w:t>
            </w:r>
            <w:r w:rsidR="00E263DD">
              <w:rPr>
                <w:rFonts w:asciiTheme="minorHAnsi" w:eastAsia="Times New Roman" w:hAnsiTheme="minorHAnsi"/>
                <w:iCs/>
                <w:szCs w:val="17"/>
                <w:lang w:eastAsia="en-US"/>
              </w:rPr>
              <w:t>g</w:t>
            </w:r>
            <w:r>
              <w:rPr>
                <w:rFonts w:asciiTheme="minorHAnsi" w:eastAsia="Times New Roman" w:hAnsiTheme="minorHAnsi"/>
                <w:iCs/>
                <w:szCs w:val="17"/>
                <w:lang w:eastAsia="en-US"/>
              </w:rPr>
              <w:t>overnment</w:t>
            </w:r>
            <w:r w:rsidR="004E0201">
              <w:rPr>
                <w:rFonts w:asciiTheme="minorHAnsi" w:eastAsia="Times New Roman" w:hAnsiTheme="minorHAnsi"/>
                <w:iCs/>
                <w:szCs w:val="17"/>
                <w:lang w:eastAsia="en-US"/>
              </w:rPr>
              <w:t>.</w:t>
            </w:r>
            <w:r>
              <w:rPr>
                <w:rFonts w:asciiTheme="minorHAnsi" w:eastAsia="Times New Roman" w:hAnsiTheme="minorHAnsi"/>
                <w:iCs/>
                <w:szCs w:val="17"/>
                <w:lang w:eastAsia="en-US"/>
              </w:rPr>
              <w:t xml:space="preserve">  For DFAT supported programs, there is evidence of satisfaction.  </w:t>
            </w:r>
            <w:r w:rsidR="000E6B1C">
              <w:rPr>
                <w:rFonts w:asciiTheme="minorHAnsi" w:eastAsia="Times New Roman" w:hAnsiTheme="minorHAnsi"/>
                <w:iCs/>
                <w:szCs w:val="17"/>
                <w:lang w:eastAsia="en-US"/>
              </w:rPr>
              <w:t xml:space="preserve">Surveys conducted under the NELSIP program highlight that 80 per cent of respondents are satisfied with the effectiveness of the service delivery of their respective local authority.  </w:t>
            </w:r>
            <w:r w:rsidR="00EA436A">
              <w:rPr>
                <w:rFonts w:asciiTheme="minorHAnsi" w:eastAsia="Times New Roman" w:hAnsiTheme="minorHAnsi"/>
                <w:iCs/>
                <w:szCs w:val="17"/>
                <w:lang w:eastAsia="en-US"/>
              </w:rPr>
              <w:t xml:space="preserve">World Bank interaction with the private sector indicates that their assessment of economic reform progress is mixed.  </w:t>
            </w:r>
            <w:r w:rsidR="000E6B1C">
              <w:rPr>
                <w:rFonts w:asciiTheme="minorHAnsi" w:eastAsia="Times New Roman" w:hAnsiTheme="minorHAnsi"/>
                <w:iCs/>
                <w:szCs w:val="17"/>
                <w:lang w:eastAsia="en-US"/>
              </w:rPr>
              <w:t xml:space="preserve">A revised performance benchmark better reflecting our contribution has been developed to measure future performance. </w:t>
            </w:r>
          </w:p>
          <w:p w14:paraId="4BD8A4C5" w14:textId="03170F07" w:rsidR="00184F1E" w:rsidRPr="00880004" w:rsidRDefault="00184F1E" w:rsidP="004E0201">
            <w:pPr>
              <w:keepLines/>
              <w:spacing w:before="40" w:after="40" w:line="200" w:lineRule="atLeast"/>
              <w:rPr>
                <w:rFonts w:asciiTheme="minorHAnsi" w:eastAsia="Times New Roman" w:hAnsiTheme="minorHAnsi"/>
                <w:iCs/>
                <w:szCs w:val="17"/>
                <w:lang w:eastAsia="en-US"/>
              </w:rPr>
            </w:pPr>
          </w:p>
        </w:tc>
      </w:tr>
      <w:tr w:rsidR="00E80552" w:rsidRPr="00C61187" w14:paraId="22911280" w14:textId="77777777" w:rsidTr="00E263DD">
        <w:tc>
          <w:tcPr>
            <w:tcW w:w="780" w:type="pct"/>
            <w:tcMar>
              <w:top w:w="57" w:type="dxa"/>
              <w:bottom w:w="57" w:type="dxa"/>
            </w:tcMar>
          </w:tcPr>
          <w:p w14:paraId="1E268A30" w14:textId="5F064C30" w:rsidR="00E80552" w:rsidRPr="00880004" w:rsidRDefault="00E80552" w:rsidP="00E80552">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Increase gender equality</w:t>
            </w:r>
          </w:p>
        </w:tc>
        <w:tc>
          <w:tcPr>
            <w:tcW w:w="780" w:type="pct"/>
          </w:tcPr>
          <w:p w14:paraId="479017EC" w14:textId="2386AF0E" w:rsidR="00E80552" w:rsidRPr="00E80552" w:rsidRDefault="00E80552" w:rsidP="00E80552">
            <w:pPr>
              <w:keepLines/>
              <w:spacing w:before="40" w:after="40" w:line="200" w:lineRule="atLeast"/>
              <w:rPr>
                <w:rFonts w:asciiTheme="minorHAnsi" w:eastAsia="Times New Roman" w:hAnsiTheme="minorHAnsi"/>
                <w:iCs/>
                <w:szCs w:val="17"/>
                <w:lang w:eastAsia="en-US"/>
              </w:rPr>
            </w:pPr>
            <w:r w:rsidRPr="00E80552">
              <w:rPr>
                <w:rFonts w:asciiTheme="minorHAnsi" w:eastAsia="Times New Roman" w:hAnsiTheme="minorHAnsi"/>
                <w:iCs/>
                <w:szCs w:val="17"/>
                <w:lang w:eastAsia="en-US"/>
              </w:rPr>
              <w:t>Increase the percentage of women in targeted populations in formal and informal employment</w:t>
            </w:r>
          </w:p>
        </w:tc>
        <w:tc>
          <w:tcPr>
            <w:tcW w:w="470" w:type="pct"/>
            <w:shd w:val="clear" w:color="auto" w:fill="92D050"/>
          </w:tcPr>
          <w:p w14:paraId="7DF29352" w14:textId="48712C79" w:rsidR="00E80552" w:rsidRPr="004C7224" w:rsidRDefault="004C7224" w:rsidP="004C7224">
            <w:pPr>
              <w:keepLines/>
              <w:spacing w:before="40" w:after="40" w:line="200" w:lineRule="atLeast"/>
              <w:jc w:val="center"/>
              <w:rPr>
                <w:rFonts w:asciiTheme="minorHAnsi" w:eastAsia="Times New Roman" w:hAnsiTheme="minorHAnsi"/>
                <w:iCs/>
                <w:color w:val="00B050"/>
                <w:szCs w:val="17"/>
                <w:lang w:eastAsia="en-US"/>
              </w:rPr>
            </w:pPr>
            <w:r w:rsidRPr="004C7224">
              <w:rPr>
                <w:rFonts w:asciiTheme="minorHAnsi" w:eastAsia="Times New Roman" w:hAnsiTheme="minorHAnsi"/>
                <w:iCs/>
                <w:color w:val="FFFFFF" w:themeColor="background1"/>
                <w:szCs w:val="17"/>
                <w:lang w:eastAsia="en-US"/>
              </w:rPr>
              <w:t>A</w:t>
            </w:r>
            <w:r w:rsidR="00E80552" w:rsidRPr="004C7224">
              <w:rPr>
                <w:rFonts w:asciiTheme="minorHAnsi" w:eastAsia="Times New Roman" w:hAnsiTheme="minorHAnsi"/>
                <w:iCs/>
                <w:color w:val="FFFFFF" w:themeColor="background1"/>
                <w:szCs w:val="17"/>
                <w:lang w:eastAsia="en-US"/>
              </w:rPr>
              <w:t>chieved</w:t>
            </w:r>
          </w:p>
        </w:tc>
        <w:tc>
          <w:tcPr>
            <w:tcW w:w="2970" w:type="pct"/>
          </w:tcPr>
          <w:p w14:paraId="58ED4C32" w14:textId="2A64F16E" w:rsidR="00E80552" w:rsidRPr="00880004" w:rsidRDefault="00B75BBC" w:rsidP="004E0201">
            <w:pPr>
              <w:pStyle w:val="TableTextEntries"/>
              <w:keepNext/>
              <w:rPr>
                <w:rFonts w:asciiTheme="minorHAnsi" w:hAnsiTheme="minorHAnsi"/>
                <w:lang w:eastAsia="en-US"/>
              </w:rPr>
            </w:pPr>
            <w:r>
              <w:rPr>
                <w:rFonts w:asciiTheme="minorHAnsi" w:hAnsiTheme="minorHAnsi" w:cstheme="minorBidi"/>
                <w:color w:val="495965" w:themeColor="text2"/>
                <w:lang w:val="en-GB" w:eastAsia="en-US"/>
              </w:rPr>
              <w:t>The LEED program has increased the formal employment of women in targeted populations in line with expectations. The implementation of the Women in Work program promises to increase formal employment opportunities for women. The work of the Women in Local Government activity promises to increase the political focus on women’s economic empowerment.</w:t>
            </w:r>
            <w:r w:rsidR="00777BAF">
              <w:rPr>
                <w:rFonts w:asciiTheme="minorHAnsi" w:hAnsiTheme="minorHAnsi" w:cstheme="minorBidi"/>
                <w:color w:val="495965" w:themeColor="text2"/>
                <w:lang w:val="en-GB" w:eastAsia="en-US"/>
              </w:rPr>
              <w:t xml:space="preserve"> MDF has completed a detailed study into women’s economic empowerment and has signed a number of business partnerships that have led to more jobs and increased income for women, as well as partnership with a women-owned and operated social enterprise. </w:t>
            </w:r>
          </w:p>
        </w:tc>
      </w:tr>
    </w:tbl>
    <w:p w14:paraId="327F8767"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sz w:val="16"/>
          <w:szCs w:val="14"/>
        </w:rPr>
        <w:t xml:space="preserve">Note: </w:t>
      </w:r>
    </w:p>
    <w:p w14:paraId="617A3828"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14:paraId="28C94A26"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14:paraId="4D2E51B2" w14:textId="77777777" w:rsidR="00184F1E" w:rsidRPr="00880004" w:rsidRDefault="00184F1E" w:rsidP="00184F1E">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14:paraId="6229C882" w14:textId="4FD4CCFF" w:rsidR="00BE1BEB" w:rsidRDefault="00BE1BEB" w:rsidP="00184F1E">
      <w:pPr>
        <w:rPr>
          <w:rFonts w:ascii="Franklin Gothic Book" w:eastAsia="Times New Roman" w:hAnsi="Franklin Gothic Book"/>
          <w:b/>
          <w:sz w:val="24"/>
          <w:szCs w:val="24"/>
        </w:rPr>
      </w:pPr>
    </w:p>
    <w:p w14:paraId="31C9408F" w14:textId="10BE7356" w:rsidR="00AC3E6D" w:rsidRDefault="00AC3E6D" w:rsidP="00184F1E">
      <w:pPr>
        <w:rPr>
          <w:rFonts w:ascii="Franklin Gothic Book" w:eastAsia="Times New Roman" w:hAnsi="Franklin Gothic Book"/>
          <w:b/>
          <w:sz w:val="24"/>
          <w:szCs w:val="24"/>
        </w:rPr>
      </w:pPr>
    </w:p>
    <w:p w14:paraId="755B655C" w14:textId="77777777" w:rsidR="00AC3E6D" w:rsidRDefault="00AC3E6D" w:rsidP="00184F1E">
      <w:pPr>
        <w:rPr>
          <w:rFonts w:ascii="Franklin Gothic Book" w:eastAsia="Times New Roman" w:hAnsi="Franklin Gothic Book"/>
          <w:b/>
          <w:sz w:val="24"/>
          <w:szCs w:val="24"/>
        </w:rPr>
      </w:pPr>
    </w:p>
    <w:p w14:paraId="10BE2B36" w14:textId="5F8DE8D3" w:rsidR="00184F1E" w:rsidRDefault="00184F1E" w:rsidP="00184F1E">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Performance Benchmarks for remainder of A</w:t>
      </w:r>
      <w:r>
        <w:rPr>
          <w:rFonts w:ascii="Franklin Gothic Book" w:eastAsia="Times New Roman" w:hAnsi="Franklin Gothic Book"/>
          <w:b/>
          <w:sz w:val="24"/>
          <w:szCs w:val="24"/>
        </w:rPr>
        <w:t xml:space="preserve">id </w:t>
      </w:r>
      <w:r w:rsidRPr="007B4865">
        <w:rPr>
          <w:rFonts w:ascii="Franklin Gothic Book" w:eastAsia="Times New Roman" w:hAnsi="Franklin Gothic Book"/>
          <w:b/>
          <w:sz w:val="24"/>
          <w:szCs w:val="24"/>
        </w:rPr>
        <w:t>I</w:t>
      </w:r>
      <w:r>
        <w:rPr>
          <w:rFonts w:ascii="Franklin Gothic Book" w:eastAsia="Times New Roman" w:hAnsi="Franklin Gothic Book"/>
          <w:b/>
          <w:sz w:val="24"/>
          <w:szCs w:val="24"/>
        </w:rPr>
        <w:t xml:space="preserve">nvestment </w:t>
      </w:r>
      <w:r w:rsidRPr="007B4865">
        <w:rPr>
          <w:rFonts w:ascii="Franklin Gothic Book" w:eastAsia="Times New Roman" w:hAnsi="Franklin Gothic Book"/>
          <w:b/>
          <w:sz w:val="24"/>
          <w:szCs w:val="24"/>
        </w:rPr>
        <w:t>P</w:t>
      </w:r>
      <w:r>
        <w:rPr>
          <w:rFonts w:ascii="Franklin Gothic Book" w:eastAsia="Times New Roman" w:hAnsi="Franklin Gothic Book"/>
          <w:b/>
          <w:sz w:val="24"/>
          <w:szCs w:val="24"/>
        </w:rPr>
        <w:t xml:space="preserve">lan </w:t>
      </w:r>
      <w:r w:rsidRPr="007B4865">
        <w:rPr>
          <w:rFonts w:ascii="Franklin Gothic Book" w:eastAsia="Times New Roman" w:hAnsi="Franklin Gothic Book"/>
          <w:b/>
          <w:sz w:val="24"/>
          <w:szCs w:val="24"/>
        </w:rPr>
        <w:t xml:space="preserve">  </w:t>
      </w:r>
    </w:p>
    <w:tbl>
      <w:tblPr>
        <w:tblStyle w:val="DFATTable"/>
        <w:tblW w:w="4984" w:type="pct"/>
        <w:tblLook w:val="04A0" w:firstRow="1" w:lastRow="0" w:firstColumn="1" w:lastColumn="0" w:noHBand="0" w:noVBand="1"/>
      </w:tblPr>
      <w:tblGrid>
        <w:gridCol w:w="2242"/>
        <w:gridCol w:w="4222"/>
        <w:gridCol w:w="2238"/>
        <w:gridCol w:w="2848"/>
        <w:gridCol w:w="2440"/>
      </w:tblGrid>
      <w:tr w:rsidR="00184F1E" w14:paraId="5E79E8EA" w14:textId="77777777" w:rsidTr="00CF3A13">
        <w:trPr>
          <w:trHeight w:val="245"/>
        </w:trPr>
        <w:tc>
          <w:tcPr>
            <w:tcW w:w="801" w:type="pct"/>
            <w:tcBorders>
              <w:top w:val="single" w:sz="12" w:space="0" w:color="auto"/>
              <w:left w:val="nil"/>
              <w:bottom w:val="nil"/>
              <w:right w:val="nil"/>
            </w:tcBorders>
          </w:tcPr>
          <w:p w14:paraId="281F68C5" w14:textId="77777777" w:rsidR="00184F1E" w:rsidRPr="00BE6C6D" w:rsidRDefault="00184F1E" w:rsidP="009C11C8">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509" w:type="pct"/>
            <w:tcBorders>
              <w:top w:val="single" w:sz="12" w:space="0" w:color="auto"/>
              <w:left w:val="nil"/>
              <w:bottom w:val="nil"/>
              <w:right w:val="nil"/>
            </w:tcBorders>
          </w:tcPr>
          <w:p w14:paraId="580326A8" w14:textId="77777777" w:rsidR="00184F1E" w:rsidRPr="00BE6C6D" w:rsidRDefault="00184F1E" w:rsidP="009C11C8">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800" w:type="pct"/>
            <w:tcBorders>
              <w:top w:val="single" w:sz="12" w:space="0" w:color="auto"/>
              <w:left w:val="nil"/>
              <w:bottom w:val="nil"/>
              <w:right w:val="nil"/>
            </w:tcBorders>
            <w:hideMark/>
          </w:tcPr>
          <w:p w14:paraId="0BEED3C0" w14:textId="77777777" w:rsidR="00184F1E" w:rsidRPr="00BE6C6D" w:rsidRDefault="00184F1E" w:rsidP="009C11C8">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7</w:t>
            </w:r>
            <w:r w:rsidRPr="00BE6C6D">
              <w:rPr>
                <w:rFonts w:asciiTheme="minorHAnsi" w:hAnsiTheme="minorHAnsi"/>
                <w:b/>
              </w:rPr>
              <w:t>-1</w:t>
            </w:r>
            <w:r>
              <w:rPr>
                <w:rFonts w:asciiTheme="minorHAnsi" w:hAnsiTheme="minorHAnsi"/>
                <w:b/>
              </w:rPr>
              <w:t>8</w:t>
            </w:r>
          </w:p>
        </w:tc>
        <w:tc>
          <w:tcPr>
            <w:tcW w:w="1018" w:type="pct"/>
            <w:tcBorders>
              <w:top w:val="single" w:sz="12" w:space="0" w:color="auto"/>
              <w:left w:val="nil"/>
              <w:bottom w:val="nil"/>
              <w:right w:val="nil"/>
            </w:tcBorders>
            <w:hideMark/>
          </w:tcPr>
          <w:p w14:paraId="643E229F" w14:textId="77777777" w:rsidR="00184F1E" w:rsidRPr="00BE6C6D" w:rsidRDefault="00184F1E" w:rsidP="009C11C8">
            <w:pPr>
              <w:pStyle w:val="NormalIndented"/>
              <w:ind w:left="33"/>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c>
          <w:tcPr>
            <w:tcW w:w="872" w:type="pct"/>
            <w:tcBorders>
              <w:top w:val="single" w:sz="12" w:space="0" w:color="auto"/>
              <w:left w:val="nil"/>
              <w:bottom w:val="nil"/>
              <w:right w:val="nil"/>
            </w:tcBorders>
            <w:hideMark/>
          </w:tcPr>
          <w:p w14:paraId="3EC31E9B" w14:textId="77777777" w:rsidR="00184F1E" w:rsidRPr="00BE6C6D" w:rsidRDefault="00184F1E" w:rsidP="009C11C8">
            <w:pPr>
              <w:pStyle w:val="NormalIndented"/>
              <w:ind w:left="34"/>
              <w:jc w:val="center"/>
              <w:rPr>
                <w:rFonts w:asciiTheme="minorHAnsi" w:hAnsiTheme="minorHAnsi"/>
                <w:b/>
              </w:rPr>
            </w:pPr>
            <w:r w:rsidRPr="00BE6C6D">
              <w:rPr>
                <w:rFonts w:asciiTheme="minorHAnsi" w:hAnsiTheme="minorHAnsi"/>
                <w:b/>
              </w:rPr>
              <w:t>201</w:t>
            </w:r>
            <w:r>
              <w:rPr>
                <w:rFonts w:asciiTheme="minorHAnsi" w:hAnsiTheme="minorHAnsi"/>
                <w:b/>
              </w:rPr>
              <w:t>9</w:t>
            </w:r>
            <w:r w:rsidRPr="00BE6C6D">
              <w:rPr>
                <w:rFonts w:asciiTheme="minorHAnsi" w:hAnsiTheme="minorHAnsi"/>
                <w:b/>
              </w:rPr>
              <w:t>-</w:t>
            </w:r>
            <w:r>
              <w:rPr>
                <w:rFonts w:asciiTheme="minorHAnsi" w:hAnsiTheme="minorHAnsi"/>
                <w:b/>
              </w:rPr>
              <w:t>20</w:t>
            </w:r>
          </w:p>
        </w:tc>
      </w:tr>
      <w:tr w:rsidR="00184F1E" w14:paraId="78BEBFB4" w14:textId="77777777" w:rsidTr="00BE1BEB">
        <w:trPr>
          <w:gridAfter w:val="1"/>
          <w:wAfter w:w="872" w:type="pct"/>
          <w:trHeight w:val="315"/>
        </w:trPr>
        <w:tc>
          <w:tcPr>
            <w:tcW w:w="801" w:type="pct"/>
            <w:tcBorders>
              <w:top w:val="nil"/>
              <w:left w:val="nil"/>
              <w:bottom w:val="nil"/>
              <w:right w:val="nil"/>
            </w:tcBorders>
            <w:hideMark/>
          </w:tcPr>
          <w:p w14:paraId="05E9333A" w14:textId="77777777" w:rsidR="00184F1E" w:rsidRPr="00BE6C6D" w:rsidRDefault="00184F1E" w:rsidP="009C11C8">
            <w:pPr>
              <w:pStyle w:val="NormalIndented"/>
              <w:rPr>
                <w:rFonts w:asciiTheme="minorHAnsi" w:hAnsiTheme="minorHAnsi"/>
                <w:i/>
                <w:color w:val="808080" w:themeColor="background1" w:themeShade="80"/>
                <w:sz w:val="18"/>
              </w:rPr>
            </w:pPr>
          </w:p>
        </w:tc>
        <w:tc>
          <w:tcPr>
            <w:tcW w:w="3327" w:type="pct"/>
            <w:gridSpan w:val="3"/>
            <w:tcBorders>
              <w:top w:val="nil"/>
              <w:left w:val="nil"/>
              <w:bottom w:val="nil"/>
            </w:tcBorders>
            <w:hideMark/>
          </w:tcPr>
          <w:p w14:paraId="5E5EDFDB" w14:textId="77777777" w:rsidR="00184F1E" w:rsidRPr="00BE6C6D" w:rsidRDefault="00184F1E" w:rsidP="009C11C8">
            <w:pPr>
              <w:pStyle w:val="NormalIndented"/>
              <w:rPr>
                <w:i/>
                <w:color w:val="808080" w:themeColor="background1" w:themeShade="80"/>
              </w:rPr>
            </w:pPr>
          </w:p>
        </w:tc>
      </w:tr>
      <w:tr w:rsidR="00184F1E" w14:paraId="5D7D2B41" w14:textId="77777777" w:rsidTr="00BE1BEB">
        <w:trPr>
          <w:trHeight w:val="730"/>
        </w:trPr>
        <w:tc>
          <w:tcPr>
            <w:tcW w:w="801" w:type="pct"/>
            <w:tcBorders>
              <w:top w:val="nil"/>
              <w:left w:val="nil"/>
              <w:bottom w:val="nil"/>
              <w:right w:val="nil"/>
            </w:tcBorders>
          </w:tcPr>
          <w:p w14:paraId="48CD52DA" w14:textId="257A1692" w:rsidR="00184F1E" w:rsidRPr="00BE6C6D" w:rsidRDefault="00CF3A13" w:rsidP="009C11C8">
            <w:pPr>
              <w:pStyle w:val="NormalIndented"/>
              <w:rPr>
                <w:rFonts w:asciiTheme="minorHAnsi" w:hAnsiTheme="minorHAnsi"/>
                <w:i/>
                <w:color w:val="808080" w:themeColor="background1" w:themeShade="80"/>
                <w:sz w:val="18"/>
              </w:rPr>
            </w:pPr>
            <w:r w:rsidRPr="00CF3A13">
              <w:rPr>
                <w:rFonts w:asciiTheme="minorHAnsi" w:eastAsia="Times New Roman" w:hAnsiTheme="minorHAnsi"/>
                <w:iCs/>
                <w:szCs w:val="17"/>
                <w:lang w:eastAsia="en-US"/>
              </w:rPr>
              <w:t>Expand economic opportunities for the poor</w:t>
            </w:r>
          </w:p>
        </w:tc>
        <w:tc>
          <w:tcPr>
            <w:tcW w:w="1509" w:type="pct"/>
            <w:tcBorders>
              <w:top w:val="nil"/>
              <w:left w:val="nil"/>
              <w:bottom w:val="nil"/>
              <w:right w:val="nil"/>
            </w:tcBorders>
          </w:tcPr>
          <w:p w14:paraId="07F055C8" w14:textId="5BA8192A" w:rsidR="00184F1E" w:rsidRPr="00BE6C6D" w:rsidRDefault="00CF3A13" w:rsidP="00CF3A13">
            <w:pPr>
              <w:pStyle w:val="NormalIndented"/>
              <w:rPr>
                <w:rFonts w:asciiTheme="minorHAnsi" w:hAnsiTheme="minorHAnsi"/>
                <w:i/>
                <w:color w:val="808080" w:themeColor="background1" w:themeShade="80"/>
                <w:szCs w:val="20"/>
                <w:lang w:eastAsia="en-US"/>
              </w:rPr>
            </w:pPr>
            <w:r w:rsidRPr="00CF3A13">
              <w:rPr>
                <w:rFonts w:asciiTheme="minorHAnsi" w:eastAsia="Times New Roman" w:hAnsiTheme="minorHAnsi"/>
                <w:iCs/>
                <w:szCs w:val="17"/>
                <w:lang w:eastAsia="en-US"/>
              </w:rPr>
              <w:t>Increase the percentage of targeted populations, including women and people with a disability, who have a</w:t>
            </w:r>
            <w:r w:rsidR="00AD3C12">
              <w:rPr>
                <w:rFonts w:asciiTheme="minorHAnsi" w:eastAsia="Times New Roman" w:hAnsiTheme="minorHAnsi"/>
                <w:iCs/>
                <w:szCs w:val="17"/>
                <w:lang w:eastAsia="en-US"/>
              </w:rPr>
              <w:t xml:space="preserve"> sustained </w:t>
            </w:r>
            <w:r w:rsidRPr="00CF3A13">
              <w:rPr>
                <w:rFonts w:asciiTheme="minorHAnsi" w:eastAsia="Times New Roman" w:hAnsiTheme="minorHAnsi"/>
                <w:iCs/>
                <w:szCs w:val="17"/>
                <w:lang w:eastAsia="en-US"/>
              </w:rPr>
              <w:t>increase in net additional income.</w:t>
            </w:r>
            <w:r w:rsidR="00184F1E" w:rsidRPr="00880004">
              <w:rPr>
                <w:rFonts w:asciiTheme="minorHAnsi" w:eastAsia="Times New Roman" w:hAnsiTheme="minorHAnsi"/>
                <w:iCs/>
                <w:szCs w:val="17"/>
                <w:lang w:eastAsia="en-US"/>
              </w:rPr>
              <w:t xml:space="preserve"> </w:t>
            </w:r>
          </w:p>
        </w:tc>
        <w:tc>
          <w:tcPr>
            <w:tcW w:w="800" w:type="pct"/>
            <w:tcBorders>
              <w:top w:val="nil"/>
              <w:left w:val="nil"/>
              <w:bottom w:val="nil"/>
              <w:right w:val="nil"/>
            </w:tcBorders>
            <w:hideMark/>
          </w:tcPr>
          <w:p w14:paraId="2A17924E" w14:textId="48F7F887" w:rsidR="00184F1E" w:rsidRPr="00BE6C6D" w:rsidRDefault="00CF3A13" w:rsidP="009C11C8">
            <w:pPr>
              <w:pStyle w:val="NormalIndented"/>
              <w:ind w:left="33"/>
              <w:jc w:val="center"/>
              <w:rPr>
                <w:rFonts w:asciiTheme="minorHAnsi" w:hAnsiTheme="minorHAnsi"/>
                <w:i/>
                <w:color w:val="808080" w:themeColor="background1" w:themeShade="80"/>
                <w:szCs w:val="20"/>
                <w:lang w:eastAsia="en-US"/>
              </w:rPr>
            </w:pPr>
            <w:r w:rsidRPr="00CF3A13">
              <w:rPr>
                <w:rFonts w:asciiTheme="minorHAnsi" w:hAnsiTheme="minorHAnsi"/>
                <w:i/>
                <w:color w:val="808080" w:themeColor="background1" w:themeShade="80"/>
                <w:szCs w:val="20"/>
                <w:lang w:eastAsia="en-US"/>
              </w:rPr>
              <w:t>10% increase</w:t>
            </w:r>
            <w:r>
              <w:rPr>
                <w:rFonts w:asciiTheme="minorHAnsi" w:hAnsiTheme="minorHAnsi"/>
                <w:i/>
                <w:color w:val="808080" w:themeColor="background1" w:themeShade="80"/>
                <w:szCs w:val="20"/>
                <w:lang w:eastAsia="en-US"/>
              </w:rPr>
              <w:t xml:space="preserve"> on 2015/16 baseline</w:t>
            </w:r>
          </w:p>
        </w:tc>
        <w:tc>
          <w:tcPr>
            <w:tcW w:w="1017" w:type="pct"/>
            <w:tcBorders>
              <w:top w:val="nil"/>
              <w:left w:val="nil"/>
              <w:bottom w:val="nil"/>
              <w:right w:val="nil"/>
            </w:tcBorders>
            <w:hideMark/>
          </w:tcPr>
          <w:p w14:paraId="65547A19" w14:textId="26F632C4" w:rsidR="00184F1E" w:rsidRPr="00BE6C6D" w:rsidRDefault="00CF3A13" w:rsidP="009C11C8">
            <w:pPr>
              <w:pStyle w:val="NormalIndented"/>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25% increase</w:t>
            </w:r>
          </w:p>
        </w:tc>
        <w:tc>
          <w:tcPr>
            <w:tcW w:w="873" w:type="pct"/>
            <w:tcBorders>
              <w:top w:val="nil"/>
              <w:left w:val="nil"/>
              <w:bottom w:val="nil"/>
              <w:right w:val="nil"/>
            </w:tcBorders>
            <w:hideMark/>
          </w:tcPr>
          <w:p w14:paraId="74DD0106" w14:textId="65C3E35C" w:rsidR="00184F1E" w:rsidRPr="00BE6C6D" w:rsidRDefault="00CF3A13" w:rsidP="009C11C8">
            <w:pPr>
              <w:pStyle w:val="NormalIndented"/>
              <w:ind w:left="0"/>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40% increase</w:t>
            </w:r>
          </w:p>
        </w:tc>
      </w:tr>
      <w:tr w:rsidR="00184F1E" w14:paraId="260A8DBB" w14:textId="77777777" w:rsidTr="00CF3A13">
        <w:trPr>
          <w:trHeight w:val="455"/>
        </w:trPr>
        <w:tc>
          <w:tcPr>
            <w:tcW w:w="801" w:type="pct"/>
            <w:tcBorders>
              <w:top w:val="nil"/>
              <w:left w:val="nil"/>
              <w:bottom w:val="nil"/>
              <w:right w:val="nil"/>
            </w:tcBorders>
          </w:tcPr>
          <w:p w14:paraId="25F141FE" w14:textId="45792EAB" w:rsidR="00184F1E" w:rsidRPr="00BE6C6D" w:rsidRDefault="00CF3A13" w:rsidP="009C11C8">
            <w:pPr>
              <w:pStyle w:val="NormalIndented"/>
              <w:rPr>
                <w:rFonts w:asciiTheme="minorHAnsi" w:hAnsiTheme="minorHAnsi"/>
                <w:i/>
                <w:color w:val="808080" w:themeColor="background1" w:themeShade="80"/>
                <w:sz w:val="18"/>
              </w:rPr>
            </w:pPr>
            <w:r w:rsidRPr="00CF3A13">
              <w:rPr>
                <w:rFonts w:asciiTheme="minorHAnsi" w:eastAsia="Times New Roman" w:hAnsiTheme="minorHAnsi"/>
                <w:iCs/>
                <w:szCs w:val="17"/>
                <w:lang w:eastAsia="en-US"/>
              </w:rPr>
              <w:t>Support government to be more responsive to the needs of citizens and the private sector</w:t>
            </w:r>
          </w:p>
        </w:tc>
        <w:tc>
          <w:tcPr>
            <w:tcW w:w="1509" w:type="pct"/>
            <w:tcBorders>
              <w:top w:val="nil"/>
              <w:left w:val="nil"/>
              <w:bottom w:val="nil"/>
              <w:right w:val="nil"/>
            </w:tcBorders>
          </w:tcPr>
          <w:p w14:paraId="337D7DE6" w14:textId="5249E30C" w:rsidR="00184F1E" w:rsidRPr="00BE6C6D" w:rsidRDefault="004E0201" w:rsidP="00511C0B">
            <w:pPr>
              <w:pStyle w:val="NormalIndented"/>
              <w:rPr>
                <w:rFonts w:asciiTheme="minorHAnsi" w:hAnsiTheme="minorHAnsi"/>
                <w:i/>
                <w:color w:val="808080" w:themeColor="background1" w:themeShade="80"/>
                <w:szCs w:val="20"/>
                <w:lang w:eastAsia="en-US"/>
              </w:rPr>
            </w:pPr>
            <w:r>
              <w:rPr>
                <w:rFonts w:asciiTheme="minorHAnsi" w:eastAsia="Times New Roman" w:hAnsiTheme="minorHAnsi"/>
                <w:iCs/>
                <w:szCs w:val="17"/>
                <w:lang w:eastAsia="en-US"/>
              </w:rPr>
              <w:t xml:space="preserve">Uptake of </w:t>
            </w:r>
            <w:r w:rsidR="00511C0B" w:rsidRPr="00CF3A13">
              <w:rPr>
                <w:rFonts w:asciiTheme="minorHAnsi" w:eastAsia="Times New Roman" w:hAnsiTheme="minorHAnsi"/>
                <w:iCs/>
                <w:szCs w:val="17"/>
                <w:lang w:eastAsia="en-US"/>
              </w:rPr>
              <w:t>national and sub-national</w:t>
            </w:r>
            <w:r w:rsidR="00511C0B">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government on Australian funded initiatives to improve service delivery and </w:t>
            </w:r>
            <w:r w:rsidR="00511C0B">
              <w:rPr>
                <w:rFonts w:asciiTheme="minorHAnsi" w:eastAsia="Times New Roman" w:hAnsiTheme="minorHAnsi"/>
                <w:iCs/>
                <w:szCs w:val="17"/>
                <w:lang w:eastAsia="en-US"/>
              </w:rPr>
              <w:t>reduce barriers to business for the private sector</w:t>
            </w:r>
            <w:r w:rsidR="00777BAF">
              <w:rPr>
                <w:rFonts w:asciiTheme="minorHAnsi" w:eastAsia="Times New Roman" w:hAnsiTheme="minorHAnsi"/>
                <w:iCs/>
                <w:szCs w:val="17"/>
                <w:lang w:eastAsia="en-US"/>
              </w:rPr>
              <w:t xml:space="preserve">. </w:t>
            </w:r>
          </w:p>
        </w:tc>
        <w:tc>
          <w:tcPr>
            <w:tcW w:w="800" w:type="pct"/>
            <w:tcBorders>
              <w:top w:val="nil"/>
              <w:left w:val="nil"/>
              <w:bottom w:val="nil"/>
              <w:right w:val="nil"/>
            </w:tcBorders>
          </w:tcPr>
          <w:p w14:paraId="7053A51D" w14:textId="308F92C7" w:rsidR="00184F1E" w:rsidRPr="00BE6C6D" w:rsidRDefault="00CF3A13" w:rsidP="009C11C8">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10</w:t>
            </w:r>
            <w:r w:rsidRPr="00CF3A13">
              <w:rPr>
                <w:rFonts w:asciiTheme="minorHAnsi" w:hAnsiTheme="minorHAnsi"/>
                <w:i/>
                <w:color w:val="808080" w:themeColor="background1" w:themeShade="80"/>
                <w:szCs w:val="20"/>
                <w:lang w:eastAsia="en-US"/>
              </w:rPr>
              <w:t>% increase on 2015/16 baselines</w:t>
            </w:r>
          </w:p>
        </w:tc>
        <w:tc>
          <w:tcPr>
            <w:tcW w:w="1017" w:type="pct"/>
            <w:tcBorders>
              <w:top w:val="nil"/>
              <w:left w:val="nil"/>
              <w:bottom w:val="nil"/>
              <w:right w:val="nil"/>
            </w:tcBorders>
          </w:tcPr>
          <w:p w14:paraId="53F22B17" w14:textId="5931141B" w:rsidR="00184F1E" w:rsidRPr="00BE6C6D" w:rsidRDefault="00CF3A13" w:rsidP="009C11C8">
            <w:pPr>
              <w:pStyle w:val="NormalIndented"/>
              <w:ind w:left="33"/>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15% increase</w:t>
            </w:r>
          </w:p>
        </w:tc>
        <w:tc>
          <w:tcPr>
            <w:tcW w:w="873" w:type="pct"/>
            <w:tcBorders>
              <w:top w:val="nil"/>
              <w:left w:val="nil"/>
              <w:bottom w:val="nil"/>
              <w:right w:val="nil"/>
            </w:tcBorders>
          </w:tcPr>
          <w:p w14:paraId="0C6BFE61" w14:textId="2F72EA31" w:rsidR="00184F1E" w:rsidRPr="00BE6C6D" w:rsidRDefault="00CF3A13" w:rsidP="009C11C8">
            <w:pPr>
              <w:pStyle w:val="NormalIndented"/>
              <w:ind w:left="0"/>
              <w:jc w:val="center"/>
              <w:rPr>
                <w:rFonts w:asciiTheme="minorHAnsi" w:hAnsiTheme="minorHAnsi"/>
                <w:i/>
                <w:color w:val="808080" w:themeColor="background1" w:themeShade="80"/>
                <w:szCs w:val="20"/>
                <w:lang w:eastAsia="en-US"/>
              </w:rPr>
            </w:pPr>
            <w:r>
              <w:rPr>
                <w:rFonts w:asciiTheme="minorHAnsi" w:hAnsiTheme="minorHAnsi"/>
                <w:i/>
                <w:color w:val="808080" w:themeColor="background1" w:themeShade="80"/>
                <w:szCs w:val="20"/>
                <w:lang w:eastAsia="en-US"/>
              </w:rPr>
              <w:t>20% increase</w:t>
            </w:r>
          </w:p>
        </w:tc>
      </w:tr>
      <w:tr w:rsidR="00CF3A13" w14:paraId="195179D3" w14:textId="77777777" w:rsidTr="00BE1BEB">
        <w:trPr>
          <w:trHeight w:val="455"/>
        </w:trPr>
        <w:tc>
          <w:tcPr>
            <w:tcW w:w="801" w:type="pct"/>
            <w:tcBorders>
              <w:top w:val="nil"/>
              <w:left w:val="nil"/>
              <w:bottom w:val="single" w:sz="12" w:space="0" w:color="auto"/>
              <w:right w:val="nil"/>
            </w:tcBorders>
          </w:tcPr>
          <w:p w14:paraId="078C31C5" w14:textId="0CDBE3FC" w:rsidR="00CF3A13" w:rsidRPr="00CF3A13" w:rsidRDefault="00CF3A13" w:rsidP="00CF3A13">
            <w:pPr>
              <w:pStyle w:val="NormalIndented"/>
              <w:rPr>
                <w:rFonts w:asciiTheme="minorHAnsi" w:eastAsia="Times New Roman" w:hAnsiTheme="minorHAnsi"/>
                <w:iCs/>
                <w:szCs w:val="17"/>
              </w:rPr>
            </w:pPr>
            <w:r w:rsidRPr="00CF3A13">
              <w:rPr>
                <w:rFonts w:asciiTheme="minorHAnsi" w:eastAsia="Times New Roman" w:hAnsiTheme="minorHAnsi"/>
                <w:iCs/>
                <w:szCs w:val="17"/>
              </w:rPr>
              <w:t>Increase gender equality</w:t>
            </w:r>
          </w:p>
        </w:tc>
        <w:tc>
          <w:tcPr>
            <w:tcW w:w="1509" w:type="pct"/>
            <w:tcBorders>
              <w:top w:val="nil"/>
              <w:left w:val="nil"/>
              <w:bottom w:val="single" w:sz="12" w:space="0" w:color="auto"/>
              <w:right w:val="nil"/>
            </w:tcBorders>
          </w:tcPr>
          <w:p w14:paraId="285E043F" w14:textId="5118D202" w:rsidR="00CF3A13" w:rsidRPr="00CF3A13" w:rsidRDefault="00CF3A13" w:rsidP="00CF3A13">
            <w:pPr>
              <w:pStyle w:val="NormalIndented"/>
              <w:rPr>
                <w:rFonts w:asciiTheme="minorHAnsi" w:eastAsia="Times New Roman" w:hAnsiTheme="minorHAnsi"/>
                <w:iCs/>
                <w:szCs w:val="17"/>
              </w:rPr>
            </w:pPr>
            <w:r w:rsidRPr="00CF3A13">
              <w:rPr>
                <w:rFonts w:asciiTheme="minorHAnsi" w:eastAsia="Times New Roman" w:hAnsiTheme="minorHAnsi"/>
                <w:iCs/>
                <w:szCs w:val="17"/>
              </w:rPr>
              <w:t>Increase the percentage of women in targeted populations in formal and informal employment</w:t>
            </w:r>
          </w:p>
        </w:tc>
        <w:tc>
          <w:tcPr>
            <w:tcW w:w="800" w:type="pct"/>
            <w:tcBorders>
              <w:top w:val="nil"/>
              <w:left w:val="nil"/>
              <w:bottom w:val="single" w:sz="12" w:space="0" w:color="auto"/>
              <w:right w:val="nil"/>
            </w:tcBorders>
          </w:tcPr>
          <w:p w14:paraId="39D5A8C6" w14:textId="4721E264" w:rsidR="00CF3A13" w:rsidRPr="00BE6C6D" w:rsidRDefault="00CF3A13" w:rsidP="00CF3A13">
            <w:pPr>
              <w:pStyle w:val="NormalIndented"/>
              <w:ind w:left="33"/>
              <w:jc w:val="center"/>
              <w:rPr>
                <w:i/>
                <w:color w:val="808080" w:themeColor="background1" w:themeShade="80"/>
                <w:szCs w:val="20"/>
              </w:rPr>
            </w:pPr>
            <w:r>
              <w:rPr>
                <w:rFonts w:asciiTheme="minorHAnsi" w:hAnsiTheme="minorHAnsi"/>
                <w:i/>
                <w:color w:val="808080" w:themeColor="background1" w:themeShade="80"/>
                <w:szCs w:val="20"/>
                <w:lang w:eastAsia="en-US"/>
              </w:rPr>
              <w:t>10</w:t>
            </w:r>
            <w:r w:rsidRPr="00CF3A13">
              <w:rPr>
                <w:rFonts w:asciiTheme="minorHAnsi" w:hAnsiTheme="minorHAnsi"/>
                <w:i/>
                <w:color w:val="808080" w:themeColor="background1" w:themeShade="80"/>
                <w:szCs w:val="20"/>
                <w:lang w:eastAsia="en-US"/>
              </w:rPr>
              <w:t>% increase on 2015/16 baselines</w:t>
            </w:r>
          </w:p>
        </w:tc>
        <w:tc>
          <w:tcPr>
            <w:tcW w:w="1017" w:type="pct"/>
            <w:tcBorders>
              <w:top w:val="nil"/>
              <w:left w:val="nil"/>
              <w:bottom w:val="single" w:sz="12" w:space="0" w:color="auto"/>
              <w:right w:val="nil"/>
            </w:tcBorders>
          </w:tcPr>
          <w:p w14:paraId="54B87D22" w14:textId="0725B17A" w:rsidR="00CF3A13" w:rsidRPr="00CF3A13" w:rsidRDefault="00CF3A13" w:rsidP="00CF3A13">
            <w:pPr>
              <w:pStyle w:val="NormalIndented"/>
              <w:ind w:left="33"/>
              <w:jc w:val="center"/>
              <w:rPr>
                <w:rFonts w:asciiTheme="minorHAnsi" w:hAnsiTheme="minorHAnsi"/>
                <w:i/>
                <w:color w:val="808080" w:themeColor="background1" w:themeShade="80"/>
                <w:szCs w:val="20"/>
              </w:rPr>
            </w:pPr>
            <w:r w:rsidRPr="00CF3A13">
              <w:rPr>
                <w:rFonts w:asciiTheme="minorHAnsi" w:hAnsiTheme="minorHAnsi"/>
                <w:i/>
                <w:color w:val="808080" w:themeColor="background1" w:themeShade="80"/>
                <w:szCs w:val="20"/>
              </w:rPr>
              <w:t>25%</w:t>
            </w:r>
          </w:p>
        </w:tc>
        <w:tc>
          <w:tcPr>
            <w:tcW w:w="873" w:type="pct"/>
            <w:tcBorders>
              <w:top w:val="nil"/>
              <w:left w:val="nil"/>
              <w:bottom w:val="single" w:sz="12" w:space="0" w:color="auto"/>
              <w:right w:val="nil"/>
            </w:tcBorders>
          </w:tcPr>
          <w:p w14:paraId="44A56CF3" w14:textId="4E2E22B3" w:rsidR="00CF3A13" w:rsidRPr="00CF3A13" w:rsidRDefault="00CF3A13" w:rsidP="00CF3A13">
            <w:pPr>
              <w:pStyle w:val="NormalIndented"/>
              <w:ind w:left="0"/>
              <w:jc w:val="center"/>
              <w:rPr>
                <w:rFonts w:asciiTheme="minorHAnsi" w:hAnsiTheme="minorHAnsi"/>
                <w:i/>
                <w:color w:val="808080" w:themeColor="background1" w:themeShade="80"/>
                <w:szCs w:val="20"/>
              </w:rPr>
            </w:pPr>
            <w:r>
              <w:rPr>
                <w:rFonts w:asciiTheme="minorHAnsi" w:hAnsiTheme="minorHAnsi"/>
                <w:i/>
                <w:color w:val="808080" w:themeColor="background1" w:themeShade="80"/>
                <w:szCs w:val="20"/>
              </w:rPr>
              <w:t>40% increase</w:t>
            </w:r>
          </w:p>
        </w:tc>
      </w:tr>
    </w:tbl>
    <w:p w14:paraId="7DEC0523" w14:textId="77777777" w:rsidR="00184F1E" w:rsidRDefault="00184F1E" w:rsidP="00184F1E">
      <w:pPr>
        <w:spacing w:after="120" w:line="280" w:lineRule="exact"/>
        <w:rPr>
          <w:rFonts w:ascii="Franklin Gothic Book" w:eastAsia="Times New Roman" w:hAnsi="Franklin Gothic Book"/>
          <w:sz w:val="21"/>
        </w:rPr>
      </w:pPr>
      <w:r>
        <w:rPr>
          <w:rFonts w:ascii="Franklin Gothic Book" w:eastAsia="Times New Roman" w:hAnsi="Franklin Gothic Book"/>
          <w:sz w:val="21"/>
        </w:rPr>
        <w:t>Discuss the relevance of individual benchmarks with specialist areas such as MPB and sector/thematic groups during APPR drafting as well as during APPR peer reviews.  Consider capturing indicators on gender and disability inclusive development.</w:t>
      </w:r>
    </w:p>
    <w:p w14:paraId="0027CEFC" w14:textId="6BC16E30" w:rsidR="00AF1B85" w:rsidRPr="00A8197B" w:rsidRDefault="00184F1E" w:rsidP="00BE1BEB">
      <w:pPr>
        <w:pStyle w:val="Subtitle"/>
        <w:numPr>
          <w:ilvl w:val="0"/>
          <w:numId w:val="0"/>
        </w:numPr>
      </w:pPr>
      <w:r>
        <w:br w:type="page"/>
      </w:r>
      <w:r w:rsidR="00AF1B85" w:rsidRPr="00A8197B">
        <w:lastRenderedPageBreak/>
        <w:t xml:space="preserve">Annex </w:t>
      </w:r>
      <w:r>
        <w:t>C</w:t>
      </w:r>
      <w:r w:rsidR="00AF1B85" w:rsidRPr="00A8197B">
        <w:t xml:space="preserve"> - Evaluation Planning</w:t>
      </w:r>
    </w:p>
    <w:p w14:paraId="123C5258"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evaluations completed in the reporting period </w:t>
      </w:r>
    </w:p>
    <w:tbl>
      <w:tblPr>
        <w:tblStyle w:val="APPR"/>
        <w:tblW w:w="14311" w:type="dxa"/>
        <w:tblLayout w:type="fixed"/>
        <w:tblLook w:val="04A0" w:firstRow="1" w:lastRow="0" w:firstColumn="1" w:lastColumn="0" w:noHBand="0" w:noVBand="1"/>
      </w:tblPr>
      <w:tblGrid>
        <w:gridCol w:w="3106"/>
        <w:gridCol w:w="3693"/>
        <w:gridCol w:w="1425"/>
        <w:gridCol w:w="1981"/>
        <w:gridCol w:w="1699"/>
        <w:gridCol w:w="2407"/>
      </w:tblGrid>
      <w:tr w:rsidR="00AF1B85" w:rsidRPr="00C61187" w14:paraId="10048F22"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2F2FC7A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Investment number and name </w:t>
            </w:r>
          </w:p>
          <w:p w14:paraId="570BE130" w14:textId="77777777" w:rsidR="00AF1B85" w:rsidRPr="00812509" w:rsidRDefault="00AF1B85" w:rsidP="00D15A00">
            <w:pPr>
              <w:keepLines/>
              <w:spacing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(if applicable) </w:t>
            </w:r>
          </w:p>
        </w:tc>
        <w:tc>
          <w:tcPr>
            <w:tcW w:w="3665" w:type="dxa"/>
          </w:tcPr>
          <w:p w14:paraId="7DCADA55"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Name of evaluation</w:t>
            </w:r>
          </w:p>
        </w:tc>
        <w:tc>
          <w:tcPr>
            <w:tcW w:w="1397" w:type="dxa"/>
          </w:tcPr>
          <w:p w14:paraId="6A26DE4C"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completed</w:t>
            </w:r>
          </w:p>
        </w:tc>
        <w:tc>
          <w:tcPr>
            <w:tcW w:w="1953" w:type="dxa"/>
          </w:tcPr>
          <w:p w14:paraId="702AE758"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Evaluation report Uploaded into AidWorks</w:t>
            </w:r>
          </w:p>
        </w:tc>
        <w:tc>
          <w:tcPr>
            <w:tcW w:w="1671" w:type="dxa"/>
          </w:tcPr>
          <w:p w14:paraId="38F9FDBA"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Date Management response uploaded into AidWorks</w:t>
            </w:r>
          </w:p>
        </w:tc>
        <w:tc>
          <w:tcPr>
            <w:tcW w:w="2365" w:type="dxa"/>
          </w:tcPr>
          <w:p w14:paraId="69878BA1" w14:textId="77777777" w:rsidR="00AF1B85" w:rsidRPr="00812509" w:rsidRDefault="00AF1B85" w:rsidP="00D15A00">
            <w:pPr>
              <w:keepLines/>
              <w:spacing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Published on website</w:t>
            </w:r>
          </w:p>
        </w:tc>
      </w:tr>
      <w:tr w:rsidR="00AF1B85" w:rsidRPr="003B5EE5" w14:paraId="7C909DEB" w14:textId="77777777" w:rsidTr="00AF1B85">
        <w:trPr>
          <w:cnfStyle w:val="100000000000" w:firstRow="1" w:lastRow="0" w:firstColumn="0" w:lastColumn="0" w:oddVBand="0" w:evenVBand="0" w:oddHBand="0" w:evenHBand="0" w:firstRowFirstColumn="0" w:firstRowLastColumn="0" w:lastRowFirstColumn="0" w:lastRowLastColumn="0"/>
        </w:trPr>
        <w:tc>
          <w:tcPr>
            <w:tcW w:w="3064" w:type="dxa"/>
          </w:tcPr>
          <w:p w14:paraId="19F3D78E" w14:textId="36EC9BC9" w:rsidR="00AF1B85" w:rsidRPr="00812509" w:rsidRDefault="00FB062A" w:rsidP="00FB062A">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INK103</w:t>
            </w:r>
            <w:r w:rsidR="00AF1B85" w:rsidRPr="00812509">
              <w:rPr>
                <w:rFonts w:asciiTheme="minorHAnsi" w:eastAsia="Times New Roman" w:hAnsiTheme="minorHAnsi"/>
                <w:b w:val="0"/>
                <w:iCs/>
                <w:szCs w:val="17"/>
                <w:lang w:eastAsia="en-US"/>
              </w:rPr>
              <w:t xml:space="preserve"> </w:t>
            </w:r>
            <w:r>
              <w:rPr>
                <w:rFonts w:asciiTheme="minorHAnsi" w:eastAsia="Times New Roman" w:hAnsiTheme="minorHAnsi"/>
                <w:b w:val="0"/>
                <w:iCs/>
                <w:szCs w:val="17"/>
                <w:lang w:eastAsia="en-US"/>
              </w:rPr>
              <w:t>Sri Lanka Community Forestry Program</w:t>
            </w:r>
          </w:p>
        </w:tc>
        <w:tc>
          <w:tcPr>
            <w:tcW w:w="3665" w:type="dxa"/>
          </w:tcPr>
          <w:p w14:paraId="3AA13203" w14:textId="71C51B04" w:rsidR="00AF1B85" w:rsidRPr="00812509" w:rsidRDefault="00FB062A"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Independent completion report</w:t>
            </w:r>
          </w:p>
        </w:tc>
        <w:tc>
          <w:tcPr>
            <w:tcW w:w="1397" w:type="dxa"/>
          </w:tcPr>
          <w:p w14:paraId="5508653F" w14:textId="7B12E149" w:rsidR="00AF1B85" w:rsidRPr="00812509" w:rsidRDefault="000C4E82"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April 2017</w:t>
            </w:r>
          </w:p>
        </w:tc>
        <w:tc>
          <w:tcPr>
            <w:tcW w:w="1953" w:type="dxa"/>
          </w:tcPr>
          <w:p w14:paraId="3E20F8A7" w14:textId="5F638E38" w:rsidR="00AF1B85" w:rsidRPr="00812509" w:rsidRDefault="000C4E82"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2017</w:t>
            </w:r>
            <w:r w:rsidR="00AF1B85" w:rsidRPr="00812509">
              <w:rPr>
                <w:rFonts w:asciiTheme="minorHAnsi" w:eastAsia="Times New Roman" w:hAnsiTheme="minorHAnsi"/>
                <w:b w:val="0"/>
                <w:iCs/>
                <w:szCs w:val="17"/>
                <w:lang w:eastAsia="en-US"/>
              </w:rPr>
              <w:t xml:space="preserve"> </w:t>
            </w:r>
          </w:p>
        </w:tc>
        <w:tc>
          <w:tcPr>
            <w:tcW w:w="1671" w:type="dxa"/>
          </w:tcPr>
          <w:p w14:paraId="11F0058C" w14:textId="300C2A87" w:rsidR="00AF1B85" w:rsidRPr="00812509" w:rsidRDefault="000C4E82" w:rsidP="00D15A00">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2017</w:t>
            </w:r>
          </w:p>
        </w:tc>
        <w:tc>
          <w:tcPr>
            <w:tcW w:w="2365" w:type="dxa"/>
          </w:tcPr>
          <w:p w14:paraId="40118E65" w14:textId="695339C4" w:rsidR="00AF1B85" w:rsidRPr="00812509" w:rsidRDefault="000C4E82" w:rsidP="000C4E82">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August 2017</w:t>
            </w:r>
          </w:p>
        </w:tc>
      </w:tr>
    </w:tbl>
    <w:p w14:paraId="5307296B" w14:textId="77777777" w:rsidR="00AF1B85" w:rsidRPr="005E606B" w:rsidRDefault="00AF1B85" w:rsidP="005E606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5E606B">
        <w:rPr>
          <w:rFonts w:asciiTheme="majorHAnsi" w:eastAsiaTheme="majorEastAsia" w:hAnsiTheme="majorHAnsi" w:cstheme="majorBidi"/>
          <w:caps/>
          <w:color w:val="495965" w:themeColor="text2"/>
          <w:sz w:val="38"/>
          <w:szCs w:val="26"/>
          <w:lang w:val="en-GB" w:eastAsia="en-US"/>
        </w:rPr>
        <w:t xml:space="preserve">List of program prioritised evaluations planned for the next 12 months </w:t>
      </w:r>
    </w:p>
    <w:tbl>
      <w:tblPr>
        <w:tblStyle w:val="APPR"/>
        <w:tblW w:w="14311" w:type="dxa"/>
        <w:tblLook w:val="0600" w:firstRow="0" w:lastRow="0" w:firstColumn="0" w:lastColumn="0" w:noHBand="1" w:noVBand="1"/>
      </w:tblPr>
      <w:tblGrid>
        <w:gridCol w:w="2486"/>
        <w:gridCol w:w="2384"/>
        <w:gridCol w:w="2070"/>
        <w:gridCol w:w="2236"/>
        <w:gridCol w:w="2353"/>
        <w:gridCol w:w="2782"/>
      </w:tblGrid>
      <w:tr w:rsidR="00AF1B85" w:rsidRPr="00C61187" w14:paraId="17367D7C" w14:textId="77777777" w:rsidTr="005E606B">
        <w:tc>
          <w:tcPr>
            <w:tcW w:w="2444" w:type="dxa"/>
          </w:tcPr>
          <w:p w14:paraId="54CCE12F"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title</w:t>
            </w:r>
          </w:p>
        </w:tc>
        <w:tc>
          <w:tcPr>
            <w:tcW w:w="2356" w:type="dxa"/>
          </w:tcPr>
          <w:p w14:paraId="52E7B6D1"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 xml:space="preserve">Investment number and name (if applicable) </w:t>
            </w:r>
          </w:p>
        </w:tc>
        <w:tc>
          <w:tcPr>
            <w:tcW w:w="2042" w:type="dxa"/>
          </w:tcPr>
          <w:p w14:paraId="1E5D5B9A"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commencement (month/year)</w:t>
            </w:r>
          </w:p>
        </w:tc>
        <w:tc>
          <w:tcPr>
            <w:tcW w:w="2208" w:type="dxa"/>
          </w:tcPr>
          <w:p w14:paraId="7E8FD718"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Date – planned completion (month/year)</w:t>
            </w:r>
          </w:p>
        </w:tc>
        <w:tc>
          <w:tcPr>
            <w:tcW w:w="2325" w:type="dxa"/>
          </w:tcPr>
          <w:p w14:paraId="6F3B9DBD"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Purpose of evaluation</w:t>
            </w:r>
          </w:p>
        </w:tc>
        <w:tc>
          <w:tcPr>
            <w:tcW w:w="2740" w:type="dxa"/>
          </w:tcPr>
          <w:p w14:paraId="5D1F5CC3" w14:textId="77777777" w:rsidR="00AF1B85" w:rsidRPr="00812509" w:rsidRDefault="00AF1B85"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Evaluation type</w:t>
            </w:r>
          </w:p>
        </w:tc>
      </w:tr>
      <w:tr w:rsidR="00AF1B85" w:rsidRPr="00C61187" w14:paraId="2CE5EECC" w14:textId="77777777" w:rsidTr="005E606B">
        <w:tc>
          <w:tcPr>
            <w:tcW w:w="2444" w:type="dxa"/>
          </w:tcPr>
          <w:p w14:paraId="2078ACF4" w14:textId="26ACE662" w:rsidR="00AF1B85" w:rsidRPr="00812509" w:rsidRDefault="00FB062A"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North and East Local Services Improvement Project Independent Completion Report</w:t>
            </w:r>
            <w:r w:rsidR="00AF1B85" w:rsidRPr="00812509">
              <w:rPr>
                <w:rFonts w:asciiTheme="minorHAnsi" w:eastAsia="Times New Roman" w:hAnsiTheme="minorHAnsi"/>
                <w:iCs/>
                <w:szCs w:val="17"/>
                <w:lang w:eastAsia="en-US"/>
              </w:rPr>
              <w:t xml:space="preserve"> </w:t>
            </w:r>
          </w:p>
        </w:tc>
        <w:tc>
          <w:tcPr>
            <w:tcW w:w="2356" w:type="dxa"/>
          </w:tcPr>
          <w:p w14:paraId="39DAA1C1" w14:textId="295875A8" w:rsidR="00AF1B85" w:rsidRPr="00812509" w:rsidRDefault="00FB062A" w:rsidP="00FB062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INK283 North and East Local Services Improvement Project</w:t>
            </w:r>
          </w:p>
        </w:tc>
        <w:tc>
          <w:tcPr>
            <w:tcW w:w="2042" w:type="dxa"/>
          </w:tcPr>
          <w:p w14:paraId="137C46DA" w14:textId="54345CB6" w:rsidR="00AF1B85" w:rsidRPr="00812509" w:rsidRDefault="00FB062A" w:rsidP="00FB062A">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December 2017</w:t>
            </w:r>
          </w:p>
        </w:tc>
        <w:tc>
          <w:tcPr>
            <w:tcW w:w="2208" w:type="dxa"/>
          </w:tcPr>
          <w:p w14:paraId="21B6D597" w14:textId="0AB48F21" w:rsidR="00AF1B85" w:rsidRPr="00812509" w:rsidRDefault="00FB062A"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May 2018</w:t>
            </w:r>
            <w:r w:rsidR="00AF1B85" w:rsidRPr="00812509">
              <w:rPr>
                <w:rFonts w:asciiTheme="minorHAnsi" w:eastAsia="Times New Roman" w:hAnsiTheme="minorHAnsi"/>
                <w:iCs/>
                <w:szCs w:val="17"/>
                <w:lang w:eastAsia="en-US"/>
              </w:rPr>
              <w:t xml:space="preserve"> </w:t>
            </w:r>
          </w:p>
        </w:tc>
        <w:tc>
          <w:tcPr>
            <w:tcW w:w="2325" w:type="dxa"/>
          </w:tcPr>
          <w:p w14:paraId="532EB808"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verify performance</w:t>
            </w:r>
          </w:p>
          <w:p w14:paraId="18FA176D"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examine value for money</w:t>
            </w:r>
          </w:p>
          <w:p w14:paraId="4D616D5D"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inform new/revised AIP</w:t>
            </w:r>
          </w:p>
          <w:p w14:paraId="2DAD6E8A" w14:textId="77777777"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examine a sector or theme</w:t>
            </w:r>
          </w:p>
          <w:p w14:paraId="7176713B" w14:textId="7F9240A2" w:rsidR="00AF1B85" w:rsidRPr="00812509" w:rsidRDefault="00AF1B85" w:rsidP="00D15A00">
            <w:pPr>
              <w:keepLines/>
              <w:spacing w:before="40" w:after="40" w:line="200" w:lineRule="atLeast"/>
              <w:rPr>
                <w:rFonts w:asciiTheme="minorHAnsi" w:eastAsia="Times New Roman" w:hAnsiTheme="minorHAnsi"/>
                <w:iCs/>
                <w:szCs w:val="17"/>
                <w:lang w:eastAsia="en-US"/>
              </w:rPr>
            </w:pPr>
          </w:p>
          <w:p w14:paraId="67E2E11D" w14:textId="77777777" w:rsidR="00AF1B85" w:rsidRPr="00812509" w:rsidRDefault="00AF1B85" w:rsidP="00D15A00">
            <w:pPr>
              <w:keepLines/>
              <w:spacing w:before="40" w:after="40" w:line="200" w:lineRule="atLeast"/>
              <w:rPr>
                <w:rFonts w:asciiTheme="minorHAnsi" w:eastAsia="Times New Roman" w:hAnsiTheme="minorHAnsi"/>
                <w:iCs/>
                <w:color w:val="000000" w:themeColor="text1" w:themeShade="BF"/>
                <w:szCs w:val="17"/>
                <w:lang w:eastAsia="en-US"/>
              </w:rPr>
            </w:pPr>
            <w:r w:rsidRPr="00812509">
              <w:rPr>
                <w:rFonts w:asciiTheme="minorHAnsi" w:eastAsia="Times New Roman" w:hAnsiTheme="minorHAnsi"/>
                <w:iCs/>
                <w:szCs w:val="17"/>
                <w:lang w:eastAsia="en-US"/>
              </w:rPr>
              <w:t xml:space="preserve"> </w:t>
            </w:r>
          </w:p>
        </w:tc>
        <w:tc>
          <w:tcPr>
            <w:tcW w:w="2740" w:type="dxa"/>
          </w:tcPr>
          <w:p w14:paraId="1B915142" w14:textId="280F124D"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 Partner led</w:t>
            </w:r>
            <w:r w:rsidR="009D6406">
              <w:rPr>
                <w:rFonts w:asciiTheme="minorHAnsi" w:eastAsia="Times New Roman" w:hAnsiTheme="minorHAnsi"/>
                <w:iCs/>
                <w:szCs w:val="17"/>
                <w:lang w:eastAsia="en-US"/>
              </w:rPr>
              <w:t xml:space="preserve"> (The World Bank)</w:t>
            </w:r>
          </w:p>
          <w:p w14:paraId="2957EB2D" w14:textId="3387FFC8" w:rsidR="00AF1B85" w:rsidRPr="00812509" w:rsidRDefault="00AF1B85" w:rsidP="00D15A00">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 xml:space="preserve"> </w:t>
            </w:r>
          </w:p>
        </w:tc>
      </w:tr>
    </w:tbl>
    <w:p w14:paraId="0C06CC99" w14:textId="77777777" w:rsidR="0059146A" w:rsidRPr="0059146A" w:rsidRDefault="0059146A" w:rsidP="005B5769">
      <w:pPr>
        <w:pStyle w:val="ListBullet"/>
        <w:tabs>
          <w:tab w:val="clear" w:pos="284"/>
        </w:tabs>
      </w:pPr>
    </w:p>
    <w:p w14:paraId="7BE3BDCE" w14:textId="77777777" w:rsidR="0059146A" w:rsidRDefault="0059146A" w:rsidP="005B5769">
      <w:pPr>
        <w:pStyle w:val="ListBullet"/>
        <w:tabs>
          <w:tab w:val="clear" w:pos="284"/>
        </w:tabs>
      </w:pPr>
    </w:p>
    <w:p w14:paraId="5F8006D8" w14:textId="77777777" w:rsidR="005E606B" w:rsidRDefault="005E606B" w:rsidP="005B5769">
      <w:pPr>
        <w:pStyle w:val="ListBullet"/>
        <w:tabs>
          <w:tab w:val="clear" w:pos="284"/>
        </w:tabs>
        <w:sectPr w:rsidR="005E606B" w:rsidSect="00D2653F">
          <w:headerReference w:type="default" r:id="rId28"/>
          <w:headerReference w:type="first" r:id="rId29"/>
          <w:pgSz w:w="16838" w:h="11906" w:orient="landscape" w:code="9"/>
          <w:pgMar w:top="1134" w:right="1952" w:bottom="1134" w:left="851" w:header="1107" w:footer="567" w:gutter="0"/>
          <w:cols w:space="397"/>
          <w:docGrid w:linePitch="360"/>
        </w:sectPr>
      </w:pPr>
    </w:p>
    <w:p w14:paraId="4D938075" w14:textId="77777777" w:rsidR="0059146A" w:rsidRDefault="0059146A" w:rsidP="005B5769">
      <w:pPr>
        <w:pStyle w:val="ListBullet"/>
        <w:tabs>
          <w:tab w:val="clear" w:pos="284"/>
        </w:tabs>
      </w:pPr>
    </w:p>
    <w:p w14:paraId="2EB3E93D" w14:textId="77777777" w:rsidR="005E606B" w:rsidRPr="00A8197B" w:rsidRDefault="005E606B" w:rsidP="00A8197B">
      <w:pPr>
        <w:pStyle w:val="Subtitle"/>
      </w:pPr>
      <w:r w:rsidRPr="00A8197B">
        <w:t xml:space="preserve">Annex </w:t>
      </w:r>
      <w:r w:rsidR="00184F1E">
        <w:t>D</w:t>
      </w:r>
      <w:r w:rsidRPr="00A8197B">
        <w:t xml:space="preserve"> - Aid Quality Check ratings</w:t>
      </w:r>
    </w:p>
    <w:p w14:paraId="47078FBE" w14:textId="77777777" w:rsidR="005E606B" w:rsidRPr="00A8197B" w:rsidRDefault="005E606B"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sidRPr="00A8197B">
        <w:rPr>
          <w:rFonts w:asciiTheme="majorHAnsi" w:eastAsiaTheme="majorEastAsia" w:hAnsiTheme="majorHAnsi" w:cstheme="majorBidi"/>
          <w:caps/>
          <w:color w:val="495965" w:themeColor="text2"/>
          <w:sz w:val="38"/>
          <w:szCs w:val="26"/>
          <w:lang w:val="en-GB" w:eastAsia="en-US"/>
        </w:rPr>
        <w:t>AQC ratings</w:t>
      </w:r>
    </w:p>
    <w:p w14:paraId="082249EA" w14:textId="77777777" w:rsidR="005E606B" w:rsidRPr="00C61187" w:rsidRDefault="005E606B" w:rsidP="00A8197B">
      <w:r w:rsidRPr="00C61187">
        <w:t>AQC investment performance over the previous 12 months and where available last</w:t>
      </w:r>
      <w:r>
        <w:t xml:space="preserve"> year’s AQC ratings</w:t>
      </w:r>
      <w:r w:rsidRPr="00C61187">
        <w:t>.</w:t>
      </w:r>
    </w:p>
    <w:tbl>
      <w:tblPr>
        <w:tblW w:w="10080" w:type="dxa"/>
        <w:tblLook w:val="04A0" w:firstRow="1" w:lastRow="0" w:firstColumn="1" w:lastColumn="0" w:noHBand="0" w:noVBand="1"/>
      </w:tblPr>
      <w:tblGrid>
        <w:gridCol w:w="2980"/>
        <w:gridCol w:w="960"/>
        <w:gridCol w:w="960"/>
        <w:gridCol w:w="740"/>
        <w:gridCol w:w="740"/>
        <w:gridCol w:w="740"/>
        <w:gridCol w:w="740"/>
        <w:gridCol w:w="740"/>
        <w:gridCol w:w="740"/>
        <w:gridCol w:w="740"/>
      </w:tblGrid>
      <w:tr w:rsidR="00411801" w:rsidRPr="00411801" w14:paraId="5B9AA1E4" w14:textId="77777777" w:rsidTr="00411801">
        <w:trPr>
          <w:trHeight w:val="1515"/>
        </w:trPr>
        <w:tc>
          <w:tcPr>
            <w:tcW w:w="2980" w:type="dxa"/>
            <w:tcBorders>
              <w:top w:val="single" w:sz="12" w:space="0" w:color="000000"/>
              <w:left w:val="nil"/>
              <w:bottom w:val="single" w:sz="8" w:space="0" w:color="auto"/>
              <w:right w:val="nil"/>
            </w:tcBorders>
            <w:shd w:val="clear" w:color="auto" w:fill="auto"/>
            <w:vAlign w:val="center"/>
            <w:hideMark/>
          </w:tcPr>
          <w:p w14:paraId="53382DF4" w14:textId="28BACD82"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noProof/>
                <w:color w:val="495965"/>
                <w:sz w:val="17"/>
                <w:szCs w:val="17"/>
                <w:lang w:val="en-AU" w:eastAsia="en-AU"/>
              </w:rPr>
              <w:drawing>
                <wp:anchor distT="0" distB="0" distL="114300" distR="114300" simplePos="0" relativeHeight="251676672" behindDoc="0" locked="0" layoutInCell="1" allowOverlap="1" wp14:anchorId="263ED32D" wp14:editId="266FC3E4">
                  <wp:simplePos x="0" y="0"/>
                  <wp:positionH relativeFrom="column">
                    <wp:posOffset>0</wp:posOffset>
                  </wp:positionH>
                  <wp:positionV relativeFrom="paragraph">
                    <wp:posOffset>0</wp:posOffset>
                  </wp:positionV>
                  <wp:extent cx="3133725" cy="228600"/>
                  <wp:effectExtent l="0" t="0" r="0" b="0"/>
                  <wp:wrapNone/>
                  <wp:docPr id="5" name="Picture 5" hidden="1"/>
                  <wp:cNvGraphicFramePr/>
                  <a:graphic xmlns:a="http://schemas.openxmlformats.org/drawingml/2006/main">
                    <a:graphicData uri="http://schemas.openxmlformats.org/drawingml/2006/picture">
                      <pic:pic xmlns:pic="http://schemas.openxmlformats.org/drawingml/2006/picture">
                        <pic:nvPicPr>
                          <pic:cNvPr id="2" name="Picture 26"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411801">
              <w:rPr>
                <w:rFonts w:ascii="Calibri Light" w:eastAsia="Times New Roman" w:hAnsi="Calibri Light" w:cs="Times New Roman"/>
                <w:b/>
                <w:bCs/>
                <w:iCs/>
                <w:color w:val="495965"/>
                <w:sz w:val="17"/>
                <w:szCs w:val="17"/>
                <w:lang w:eastAsia="en-AU"/>
              </w:rPr>
              <w:t>Investment name</w:t>
            </w:r>
          </w:p>
        </w:tc>
        <w:tc>
          <w:tcPr>
            <w:tcW w:w="960" w:type="dxa"/>
            <w:tcBorders>
              <w:top w:val="single" w:sz="12" w:space="0" w:color="000000"/>
              <w:left w:val="nil"/>
              <w:bottom w:val="single" w:sz="8" w:space="0" w:color="auto"/>
              <w:right w:val="nil"/>
            </w:tcBorders>
            <w:shd w:val="clear" w:color="auto" w:fill="auto"/>
            <w:vAlign w:val="center"/>
            <w:hideMark/>
          </w:tcPr>
          <w:p w14:paraId="2D47C3DB"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Approved budget and duration</w:t>
            </w:r>
          </w:p>
        </w:tc>
        <w:tc>
          <w:tcPr>
            <w:tcW w:w="960" w:type="dxa"/>
            <w:tcBorders>
              <w:top w:val="single" w:sz="12" w:space="0" w:color="000000"/>
              <w:left w:val="nil"/>
              <w:bottom w:val="single" w:sz="8" w:space="0" w:color="auto"/>
              <w:right w:val="nil"/>
            </w:tcBorders>
            <w:shd w:val="clear" w:color="auto" w:fill="auto"/>
            <w:vAlign w:val="center"/>
            <w:hideMark/>
          </w:tcPr>
          <w:p w14:paraId="353176B6"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year on year</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45A3E8E7" w14:textId="77777777"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Relevance</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3C2AB604" w14:textId="77777777"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Effectiveness</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4D9597F6" w14:textId="77777777"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Efficiency</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7EF39068" w14:textId="77777777"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Monitoring and Evaluation</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60F7D007" w14:textId="77777777"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Sustainability</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1DF48C43" w14:textId="77777777"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Gender equality</w:t>
            </w:r>
          </w:p>
        </w:tc>
        <w:tc>
          <w:tcPr>
            <w:tcW w:w="740" w:type="dxa"/>
            <w:tcBorders>
              <w:top w:val="single" w:sz="12" w:space="0" w:color="000000"/>
              <w:left w:val="nil"/>
              <w:bottom w:val="single" w:sz="8" w:space="0" w:color="auto"/>
              <w:right w:val="nil"/>
            </w:tcBorders>
            <w:shd w:val="clear" w:color="auto" w:fill="auto"/>
            <w:textDirection w:val="btLr"/>
            <w:vAlign w:val="bottom"/>
            <w:hideMark/>
          </w:tcPr>
          <w:p w14:paraId="49B5B983" w14:textId="77777777" w:rsidR="00411801" w:rsidRPr="00411801" w:rsidRDefault="00411801" w:rsidP="00411801">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411801">
              <w:rPr>
                <w:rFonts w:ascii="Calibri Light" w:eastAsia="Times New Roman" w:hAnsi="Calibri Light" w:cs="Times New Roman"/>
                <w:b/>
                <w:bCs/>
                <w:iCs/>
                <w:color w:val="495965"/>
                <w:sz w:val="17"/>
                <w:szCs w:val="17"/>
                <w:lang w:eastAsia="en-AU"/>
              </w:rPr>
              <w:t>Risks  and Safeguards</w:t>
            </w:r>
          </w:p>
        </w:tc>
      </w:tr>
      <w:tr w:rsidR="00411801" w:rsidRPr="00411801" w14:paraId="2D7B7DC7" w14:textId="77777777" w:rsidTr="00411801">
        <w:trPr>
          <w:trHeight w:val="450"/>
        </w:trPr>
        <w:tc>
          <w:tcPr>
            <w:tcW w:w="2980" w:type="dxa"/>
            <w:tcBorders>
              <w:top w:val="nil"/>
              <w:left w:val="nil"/>
              <w:bottom w:val="nil"/>
              <w:right w:val="nil"/>
            </w:tcBorders>
            <w:shd w:val="clear" w:color="auto" w:fill="auto"/>
            <w:vAlign w:val="center"/>
            <w:hideMark/>
          </w:tcPr>
          <w:p w14:paraId="564196B9"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North East Local Services Improvement Project (NELSIP)</w:t>
            </w:r>
          </w:p>
        </w:tc>
        <w:tc>
          <w:tcPr>
            <w:tcW w:w="960" w:type="dxa"/>
            <w:tcBorders>
              <w:top w:val="nil"/>
              <w:left w:val="nil"/>
              <w:bottom w:val="nil"/>
              <w:right w:val="nil"/>
            </w:tcBorders>
            <w:shd w:val="clear" w:color="auto" w:fill="auto"/>
            <w:vAlign w:val="center"/>
            <w:hideMark/>
          </w:tcPr>
          <w:p w14:paraId="2D400A74"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11801">
              <w:rPr>
                <w:rFonts w:ascii="Calibri Light" w:eastAsia="Times New Roman" w:hAnsi="Calibri Light" w:cs="Times New Roman"/>
                <w:color w:val="000000"/>
                <w:sz w:val="17"/>
                <w:szCs w:val="17"/>
                <w:lang w:eastAsia="en-AU"/>
              </w:rPr>
              <w:t xml:space="preserve">$25.37m </w:t>
            </w:r>
          </w:p>
        </w:tc>
        <w:tc>
          <w:tcPr>
            <w:tcW w:w="960" w:type="dxa"/>
            <w:tcBorders>
              <w:top w:val="nil"/>
              <w:left w:val="nil"/>
              <w:bottom w:val="nil"/>
              <w:right w:val="nil"/>
            </w:tcBorders>
            <w:shd w:val="clear" w:color="auto" w:fill="auto"/>
            <w:vAlign w:val="center"/>
            <w:hideMark/>
          </w:tcPr>
          <w:p w14:paraId="0CDDD66A"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2017 AQC</w:t>
            </w:r>
          </w:p>
        </w:tc>
        <w:tc>
          <w:tcPr>
            <w:tcW w:w="740" w:type="dxa"/>
            <w:tcBorders>
              <w:top w:val="nil"/>
              <w:left w:val="nil"/>
              <w:bottom w:val="nil"/>
              <w:right w:val="nil"/>
            </w:tcBorders>
            <w:shd w:val="clear" w:color="000000" w:fill="92D050"/>
            <w:noWrap/>
            <w:vAlign w:val="center"/>
            <w:hideMark/>
          </w:tcPr>
          <w:p w14:paraId="357764EB"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6</w:t>
            </w:r>
          </w:p>
        </w:tc>
        <w:tc>
          <w:tcPr>
            <w:tcW w:w="740" w:type="dxa"/>
            <w:tcBorders>
              <w:top w:val="nil"/>
              <w:left w:val="nil"/>
              <w:bottom w:val="nil"/>
              <w:right w:val="nil"/>
            </w:tcBorders>
            <w:shd w:val="clear" w:color="000000" w:fill="FFFF00"/>
            <w:noWrap/>
            <w:vAlign w:val="center"/>
            <w:hideMark/>
          </w:tcPr>
          <w:p w14:paraId="40675EFE"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58B40506"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0D318D5A"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92D050"/>
            <w:noWrap/>
            <w:vAlign w:val="center"/>
            <w:hideMark/>
          </w:tcPr>
          <w:p w14:paraId="410864D3"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nil"/>
              <w:right w:val="nil"/>
            </w:tcBorders>
            <w:shd w:val="clear" w:color="000000" w:fill="FFC000"/>
            <w:noWrap/>
            <w:vAlign w:val="center"/>
            <w:hideMark/>
          </w:tcPr>
          <w:p w14:paraId="7A10D62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3</w:t>
            </w:r>
          </w:p>
        </w:tc>
        <w:tc>
          <w:tcPr>
            <w:tcW w:w="740" w:type="dxa"/>
            <w:tcBorders>
              <w:top w:val="nil"/>
              <w:left w:val="nil"/>
              <w:bottom w:val="nil"/>
              <w:right w:val="nil"/>
            </w:tcBorders>
            <w:shd w:val="clear" w:color="auto" w:fill="auto"/>
            <w:vAlign w:val="center"/>
            <w:hideMark/>
          </w:tcPr>
          <w:p w14:paraId="72F49EC2"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n/a</w:t>
            </w:r>
          </w:p>
        </w:tc>
      </w:tr>
      <w:tr w:rsidR="00411801" w:rsidRPr="00411801" w14:paraId="2700F6BA" w14:textId="77777777" w:rsidTr="00411801">
        <w:trPr>
          <w:trHeight w:val="315"/>
        </w:trPr>
        <w:tc>
          <w:tcPr>
            <w:tcW w:w="2980" w:type="dxa"/>
            <w:tcBorders>
              <w:top w:val="nil"/>
              <w:left w:val="nil"/>
              <w:bottom w:val="single" w:sz="8" w:space="0" w:color="auto"/>
              <w:right w:val="nil"/>
            </w:tcBorders>
            <w:shd w:val="clear" w:color="auto" w:fill="auto"/>
            <w:vAlign w:val="center"/>
            <w:hideMark/>
          </w:tcPr>
          <w:p w14:paraId="7594F429"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6E67C3ED"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 xml:space="preserve">2011-17 </w:t>
            </w:r>
          </w:p>
        </w:tc>
        <w:tc>
          <w:tcPr>
            <w:tcW w:w="960" w:type="dxa"/>
            <w:tcBorders>
              <w:top w:val="nil"/>
              <w:left w:val="nil"/>
              <w:bottom w:val="single" w:sz="8" w:space="0" w:color="auto"/>
              <w:right w:val="nil"/>
            </w:tcBorders>
            <w:shd w:val="clear" w:color="auto" w:fill="auto"/>
            <w:vAlign w:val="center"/>
            <w:hideMark/>
          </w:tcPr>
          <w:p w14:paraId="1DD43ED4"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2016 AQC</w:t>
            </w:r>
          </w:p>
        </w:tc>
        <w:tc>
          <w:tcPr>
            <w:tcW w:w="740" w:type="dxa"/>
            <w:tcBorders>
              <w:top w:val="nil"/>
              <w:left w:val="nil"/>
              <w:bottom w:val="single" w:sz="8" w:space="0" w:color="auto"/>
              <w:right w:val="nil"/>
            </w:tcBorders>
            <w:shd w:val="clear" w:color="000000" w:fill="92D050"/>
            <w:noWrap/>
            <w:vAlign w:val="center"/>
            <w:hideMark/>
          </w:tcPr>
          <w:p w14:paraId="727B1BD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77E8C6BF"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FFFF00"/>
            <w:noWrap/>
            <w:vAlign w:val="center"/>
            <w:hideMark/>
          </w:tcPr>
          <w:p w14:paraId="381D8918"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FFFF00"/>
            <w:noWrap/>
            <w:vAlign w:val="center"/>
            <w:hideMark/>
          </w:tcPr>
          <w:p w14:paraId="6021335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92D050"/>
            <w:noWrap/>
            <w:vAlign w:val="center"/>
            <w:hideMark/>
          </w:tcPr>
          <w:p w14:paraId="74BC41D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75379545"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92D050"/>
            <w:vAlign w:val="center"/>
            <w:hideMark/>
          </w:tcPr>
          <w:p w14:paraId="70667E1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r>
      <w:tr w:rsidR="00411801" w:rsidRPr="00411801" w14:paraId="712AFB72" w14:textId="77777777" w:rsidTr="00411801">
        <w:trPr>
          <w:trHeight w:val="450"/>
        </w:trPr>
        <w:tc>
          <w:tcPr>
            <w:tcW w:w="2980" w:type="dxa"/>
            <w:tcBorders>
              <w:top w:val="nil"/>
              <w:left w:val="nil"/>
              <w:bottom w:val="nil"/>
              <w:right w:val="nil"/>
            </w:tcBorders>
            <w:shd w:val="clear" w:color="auto" w:fill="auto"/>
            <w:vAlign w:val="center"/>
            <w:hideMark/>
          </w:tcPr>
          <w:p w14:paraId="6B060F77"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Transforming Schools Education Project (TSEP)</w:t>
            </w:r>
          </w:p>
        </w:tc>
        <w:tc>
          <w:tcPr>
            <w:tcW w:w="960" w:type="dxa"/>
            <w:tcBorders>
              <w:top w:val="nil"/>
              <w:left w:val="nil"/>
              <w:bottom w:val="nil"/>
              <w:right w:val="nil"/>
            </w:tcBorders>
            <w:shd w:val="clear" w:color="auto" w:fill="auto"/>
            <w:vAlign w:val="center"/>
            <w:hideMark/>
          </w:tcPr>
          <w:p w14:paraId="628C3686"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411801">
              <w:rPr>
                <w:rFonts w:ascii="Calibri Light" w:eastAsia="Times New Roman" w:hAnsi="Calibri Light" w:cs="Times New Roman"/>
                <w:color w:val="000000"/>
                <w:sz w:val="17"/>
                <w:szCs w:val="17"/>
                <w:lang w:eastAsia="en-AU"/>
              </w:rPr>
              <w:t xml:space="preserve">$37m </w:t>
            </w:r>
          </w:p>
        </w:tc>
        <w:tc>
          <w:tcPr>
            <w:tcW w:w="960" w:type="dxa"/>
            <w:tcBorders>
              <w:top w:val="nil"/>
              <w:left w:val="nil"/>
              <w:bottom w:val="nil"/>
              <w:right w:val="nil"/>
            </w:tcBorders>
            <w:shd w:val="clear" w:color="auto" w:fill="auto"/>
            <w:vAlign w:val="center"/>
            <w:hideMark/>
          </w:tcPr>
          <w:p w14:paraId="38149AE8"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2017 AQC</w:t>
            </w:r>
          </w:p>
        </w:tc>
        <w:tc>
          <w:tcPr>
            <w:tcW w:w="740" w:type="dxa"/>
            <w:tcBorders>
              <w:top w:val="nil"/>
              <w:left w:val="nil"/>
              <w:bottom w:val="nil"/>
              <w:right w:val="nil"/>
            </w:tcBorders>
            <w:shd w:val="clear" w:color="000000" w:fill="92D050"/>
            <w:noWrap/>
            <w:vAlign w:val="center"/>
            <w:hideMark/>
          </w:tcPr>
          <w:p w14:paraId="09878329"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nil"/>
              <w:right w:val="nil"/>
            </w:tcBorders>
            <w:shd w:val="clear" w:color="000000" w:fill="92D050"/>
            <w:noWrap/>
            <w:vAlign w:val="center"/>
            <w:hideMark/>
          </w:tcPr>
          <w:p w14:paraId="2EBF7D4F"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nil"/>
              <w:right w:val="nil"/>
            </w:tcBorders>
            <w:shd w:val="clear" w:color="000000" w:fill="92D050"/>
            <w:noWrap/>
            <w:vAlign w:val="center"/>
            <w:hideMark/>
          </w:tcPr>
          <w:p w14:paraId="03370922"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nil"/>
              <w:right w:val="nil"/>
            </w:tcBorders>
            <w:shd w:val="clear" w:color="000000" w:fill="FFFF00"/>
            <w:noWrap/>
            <w:vAlign w:val="center"/>
            <w:hideMark/>
          </w:tcPr>
          <w:p w14:paraId="71661120"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92D050"/>
            <w:noWrap/>
            <w:vAlign w:val="center"/>
            <w:hideMark/>
          </w:tcPr>
          <w:p w14:paraId="73ABE62B"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nil"/>
              <w:right w:val="nil"/>
            </w:tcBorders>
            <w:shd w:val="clear" w:color="000000" w:fill="FFFF00"/>
            <w:noWrap/>
            <w:vAlign w:val="center"/>
            <w:hideMark/>
          </w:tcPr>
          <w:p w14:paraId="24AA05F8"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FF"/>
            <w:vAlign w:val="center"/>
            <w:hideMark/>
          </w:tcPr>
          <w:p w14:paraId="29B3C8C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n/a</w:t>
            </w:r>
          </w:p>
        </w:tc>
      </w:tr>
      <w:tr w:rsidR="00411801" w:rsidRPr="00411801" w14:paraId="11BDBC47" w14:textId="77777777" w:rsidTr="00411801">
        <w:trPr>
          <w:trHeight w:val="315"/>
        </w:trPr>
        <w:tc>
          <w:tcPr>
            <w:tcW w:w="2980" w:type="dxa"/>
            <w:tcBorders>
              <w:top w:val="nil"/>
              <w:left w:val="nil"/>
              <w:bottom w:val="single" w:sz="8" w:space="0" w:color="auto"/>
              <w:right w:val="nil"/>
            </w:tcBorders>
            <w:shd w:val="clear" w:color="auto" w:fill="auto"/>
            <w:vAlign w:val="center"/>
            <w:hideMark/>
          </w:tcPr>
          <w:p w14:paraId="18FD2D3E"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43BD5B7F"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 xml:space="preserve">2011-17 </w:t>
            </w:r>
          </w:p>
        </w:tc>
        <w:tc>
          <w:tcPr>
            <w:tcW w:w="960" w:type="dxa"/>
            <w:tcBorders>
              <w:top w:val="nil"/>
              <w:left w:val="nil"/>
              <w:bottom w:val="single" w:sz="8" w:space="0" w:color="auto"/>
              <w:right w:val="nil"/>
            </w:tcBorders>
            <w:shd w:val="clear" w:color="auto" w:fill="auto"/>
            <w:vAlign w:val="center"/>
            <w:hideMark/>
          </w:tcPr>
          <w:p w14:paraId="526BE4E9"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2016 AQC</w:t>
            </w:r>
          </w:p>
        </w:tc>
        <w:tc>
          <w:tcPr>
            <w:tcW w:w="740" w:type="dxa"/>
            <w:tcBorders>
              <w:top w:val="nil"/>
              <w:left w:val="nil"/>
              <w:bottom w:val="single" w:sz="8" w:space="0" w:color="auto"/>
              <w:right w:val="nil"/>
            </w:tcBorders>
            <w:shd w:val="clear" w:color="000000" w:fill="92D050"/>
            <w:noWrap/>
            <w:vAlign w:val="center"/>
            <w:hideMark/>
          </w:tcPr>
          <w:p w14:paraId="1039AD5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0FBABAC5"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92D050"/>
            <w:noWrap/>
            <w:vAlign w:val="center"/>
            <w:hideMark/>
          </w:tcPr>
          <w:p w14:paraId="099BCFD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39812E64"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92D050"/>
            <w:noWrap/>
            <w:vAlign w:val="center"/>
            <w:hideMark/>
          </w:tcPr>
          <w:p w14:paraId="2BDD9084"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6DFDD7CA"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92D050"/>
            <w:vAlign w:val="center"/>
            <w:hideMark/>
          </w:tcPr>
          <w:p w14:paraId="3E4C574B"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r>
      <w:tr w:rsidR="00411801" w:rsidRPr="00411801" w14:paraId="345E160A" w14:textId="77777777" w:rsidTr="00411801">
        <w:trPr>
          <w:trHeight w:val="450"/>
        </w:trPr>
        <w:tc>
          <w:tcPr>
            <w:tcW w:w="2980" w:type="dxa"/>
            <w:tcBorders>
              <w:top w:val="nil"/>
              <w:left w:val="nil"/>
              <w:bottom w:val="nil"/>
              <w:right w:val="nil"/>
            </w:tcBorders>
            <w:shd w:val="clear" w:color="auto" w:fill="auto"/>
            <w:vAlign w:val="center"/>
            <w:hideMark/>
          </w:tcPr>
          <w:p w14:paraId="36ECB614"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Sri Lanka Subnational Governance Program</w:t>
            </w:r>
          </w:p>
        </w:tc>
        <w:tc>
          <w:tcPr>
            <w:tcW w:w="960" w:type="dxa"/>
            <w:tcBorders>
              <w:top w:val="nil"/>
              <w:left w:val="nil"/>
              <w:bottom w:val="nil"/>
              <w:right w:val="nil"/>
            </w:tcBorders>
            <w:shd w:val="clear" w:color="auto" w:fill="auto"/>
            <w:vAlign w:val="center"/>
            <w:hideMark/>
          </w:tcPr>
          <w:p w14:paraId="3211DF4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$6.2m</w:t>
            </w:r>
          </w:p>
        </w:tc>
        <w:tc>
          <w:tcPr>
            <w:tcW w:w="960" w:type="dxa"/>
            <w:tcBorders>
              <w:top w:val="nil"/>
              <w:left w:val="nil"/>
              <w:bottom w:val="nil"/>
              <w:right w:val="nil"/>
            </w:tcBorders>
            <w:shd w:val="clear" w:color="auto" w:fill="auto"/>
            <w:vAlign w:val="center"/>
            <w:hideMark/>
          </w:tcPr>
          <w:p w14:paraId="72AF819A"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2017 AQC</w:t>
            </w:r>
          </w:p>
        </w:tc>
        <w:tc>
          <w:tcPr>
            <w:tcW w:w="740" w:type="dxa"/>
            <w:tcBorders>
              <w:top w:val="nil"/>
              <w:left w:val="nil"/>
              <w:bottom w:val="nil"/>
              <w:right w:val="nil"/>
            </w:tcBorders>
            <w:shd w:val="clear" w:color="000000" w:fill="92D050"/>
            <w:noWrap/>
            <w:vAlign w:val="center"/>
            <w:hideMark/>
          </w:tcPr>
          <w:p w14:paraId="520BF6D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nil"/>
              <w:right w:val="nil"/>
            </w:tcBorders>
            <w:shd w:val="clear" w:color="000000" w:fill="FFFF00"/>
            <w:noWrap/>
            <w:vAlign w:val="center"/>
            <w:hideMark/>
          </w:tcPr>
          <w:p w14:paraId="300986B9"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78824145"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380EDAA5"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000000" w:fill="92D050"/>
            <w:noWrap/>
            <w:vAlign w:val="center"/>
            <w:hideMark/>
          </w:tcPr>
          <w:p w14:paraId="2CE6B90B"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nil"/>
              <w:right w:val="nil"/>
            </w:tcBorders>
            <w:shd w:val="clear" w:color="000000" w:fill="FFFF00"/>
            <w:noWrap/>
            <w:vAlign w:val="center"/>
            <w:hideMark/>
          </w:tcPr>
          <w:p w14:paraId="2A55B15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nil"/>
              <w:right w:val="nil"/>
            </w:tcBorders>
            <w:shd w:val="clear" w:color="auto" w:fill="auto"/>
            <w:vAlign w:val="center"/>
            <w:hideMark/>
          </w:tcPr>
          <w:p w14:paraId="34802D7E"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n/a</w:t>
            </w:r>
          </w:p>
        </w:tc>
      </w:tr>
      <w:tr w:rsidR="00411801" w:rsidRPr="00411801" w14:paraId="6916EE60" w14:textId="77777777" w:rsidTr="00411801">
        <w:trPr>
          <w:trHeight w:val="315"/>
        </w:trPr>
        <w:tc>
          <w:tcPr>
            <w:tcW w:w="2980" w:type="dxa"/>
            <w:tcBorders>
              <w:top w:val="nil"/>
              <w:left w:val="nil"/>
              <w:bottom w:val="single" w:sz="8" w:space="0" w:color="auto"/>
              <w:right w:val="nil"/>
            </w:tcBorders>
            <w:shd w:val="clear" w:color="auto" w:fill="auto"/>
            <w:vAlign w:val="center"/>
            <w:hideMark/>
          </w:tcPr>
          <w:p w14:paraId="18803A41"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0A478112"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742F3E84"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2016 AQC</w:t>
            </w:r>
          </w:p>
        </w:tc>
        <w:tc>
          <w:tcPr>
            <w:tcW w:w="740" w:type="dxa"/>
            <w:tcBorders>
              <w:top w:val="nil"/>
              <w:left w:val="nil"/>
              <w:bottom w:val="single" w:sz="8" w:space="0" w:color="auto"/>
              <w:right w:val="nil"/>
            </w:tcBorders>
            <w:shd w:val="clear" w:color="000000" w:fill="92D050"/>
            <w:noWrap/>
            <w:vAlign w:val="center"/>
            <w:hideMark/>
          </w:tcPr>
          <w:p w14:paraId="537E49E2"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2EE54DBA"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FFFF00"/>
            <w:noWrap/>
            <w:vAlign w:val="center"/>
            <w:hideMark/>
          </w:tcPr>
          <w:p w14:paraId="2DE39E4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FFFF00"/>
            <w:noWrap/>
            <w:vAlign w:val="center"/>
            <w:hideMark/>
          </w:tcPr>
          <w:p w14:paraId="103AFA9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FFFF00"/>
            <w:noWrap/>
            <w:vAlign w:val="center"/>
            <w:hideMark/>
          </w:tcPr>
          <w:p w14:paraId="41ACE1BA"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FFFF00"/>
            <w:noWrap/>
            <w:vAlign w:val="center"/>
            <w:hideMark/>
          </w:tcPr>
          <w:p w14:paraId="205C791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c>
          <w:tcPr>
            <w:tcW w:w="740" w:type="dxa"/>
            <w:tcBorders>
              <w:top w:val="nil"/>
              <w:left w:val="nil"/>
              <w:bottom w:val="single" w:sz="8" w:space="0" w:color="auto"/>
              <w:right w:val="nil"/>
            </w:tcBorders>
            <w:shd w:val="clear" w:color="000000" w:fill="FFFF00"/>
            <w:vAlign w:val="center"/>
            <w:hideMark/>
          </w:tcPr>
          <w:p w14:paraId="169EE72A"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4</w:t>
            </w:r>
          </w:p>
        </w:tc>
      </w:tr>
      <w:tr w:rsidR="00411801" w:rsidRPr="00411801" w14:paraId="5EE90144" w14:textId="77777777" w:rsidTr="00411801">
        <w:trPr>
          <w:trHeight w:val="300"/>
        </w:trPr>
        <w:tc>
          <w:tcPr>
            <w:tcW w:w="2980" w:type="dxa"/>
            <w:tcBorders>
              <w:top w:val="nil"/>
              <w:left w:val="nil"/>
              <w:bottom w:val="nil"/>
              <w:right w:val="nil"/>
            </w:tcBorders>
            <w:shd w:val="clear" w:color="auto" w:fill="auto"/>
            <w:vAlign w:val="center"/>
            <w:hideMark/>
          </w:tcPr>
          <w:p w14:paraId="2FC3DAF4"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Economic Opportunities Program (EOP</w:t>
            </w:r>
          </w:p>
        </w:tc>
        <w:tc>
          <w:tcPr>
            <w:tcW w:w="960" w:type="dxa"/>
            <w:tcBorders>
              <w:top w:val="nil"/>
              <w:left w:val="nil"/>
              <w:bottom w:val="nil"/>
              <w:right w:val="nil"/>
            </w:tcBorders>
            <w:shd w:val="clear" w:color="auto" w:fill="auto"/>
            <w:vAlign w:val="center"/>
            <w:hideMark/>
          </w:tcPr>
          <w:p w14:paraId="07B382B5"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$33m</w:t>
            </w:r>
          </w:p>
        </w:tc>
        <w:tc>
          <w:tcPr>
            <w:tcW w:w="960" w:type="dxa"/>
            <w:tcBorders>
              <w:top w:val="nil"/>
              <w:left w:val="nil"/>
              <w:bottom w:val="nil"/>
              <w:right w:val="nil"/>
            </w:tcBorders>
            <w:shd w:val="clear" w:color="auto" w:fill="auto"/>
            <w:vAlign w:val="center"/>
            <w:hideMark/>
          </w:tcPr>
          <w:p w14:paraId="0CAA18D9"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2017 AQC</w:t>
            </w:r>
          </w:p>
        </w:tc>
        <w:tc>
          <w:tcPr>
            <w:tcW w:w="740" w:type="dxa"/>
            <w:tcBorders>
              <w:top w:val="nil"/>
              <w:left w:val="nil"/>
              <w:bottom w:val="nil"/>
              <w:right w:val="nil"/>
            </w:tcBorders>
            <w:shd w:val="clear" w:color="000000" w:fill="92D050"/>
            <w:noWrap/>
            <w:vAlign w:val="center"/>
            <w:hideMark/>
          </w:tcPr>
          <w:p w14:paraId="7487EE0F"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5</w:t>
            </w:r>
          </w:p>
        </w:tc>
        <w:tc>
          <w:tcPr>
            <w:tcW w:w="740" w:type="dxa"/>
            <w:tcBorders>
              <w:top w:val="nil"/>
              <w:left w:val="nil"/>
              <w:bottom w:val="nil"/>
              <w:right w:val="nil"/>
            </w:tcBorders>
            <w:shd w:val="clear" w:color="000000" w:fill="FFFF00"/>
            <w:noWrap/>
            <w:vAlign w:val="center"/>
            <w:hideMark/>
          </w:tcPr>
          <w:p w14:paraId="1DC49C4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1AAB252F"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000000" w:fill="FFC000"/>
            <w:noWrap/>
            <w:vAlign w:val="center"/>
            <w:hideMark/>
          </w:tcPr>
          <w:p w14:paraId="32BE3F10"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3</w:t>
            </w:r>
          </w:p>
        </w:tc>
        <w:tc>
          <w:tcPr>
            <w:tcW w:w="740" w:type="dxa"/>
            <w:tcBorders>
              <w:top w:val="nil"/>
              <w:left w:val="nil"/>
              <w:bottom w:val="nil"/>
              <w:right w:val="nil"/>
            </w:tcBorders>
            <w:shd w:val="clear" w:color="000000" w:fill="FFFF00"/>
            <w:noWrap/>
            <w:vAlign w:val="center"/>
            <w:hideMark/>
          </w:tcPr>
          <w:p w14:paraId="47860B20"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7C659AF2"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auto" w:fill="auto"/>
            <w:vAlign w:val="center"/>
            <w:hideMark/>
          </w:tcPr>
          <w:p w14:paraId="60F62B53"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r>
      <w:tr w:rsidR="00411801" w:rsidRPr="00411801" w14:paraId="2EE764DC" w14:textId="77777777" w:rsidTr="00411801">
        <w:trPr>
          <w:trHeight w:val="315"/>
        </w:trPr>
        <w:tc>
          <w:tcPr>
            <w:tcW w:w="2980" w:type="dxa"/>
            <w:tcBorders>
              <w:top w:val="nil"/>
              <w:left w:val="nil"/>
              <w:bottom w:val="single" w:sz="8" w:space="0" w:color="auto"/>
              <w:right w:val="nil"/>
            </w:tcBorders>
            <w:shd w:val="clear" w:color="auto" w:fill="auto"/>
            <w:vAlign w:val="center"/>
            <w:hideMark/>
          </w:tcPr>
          <w:p w14:paraId="2BE2800C"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2B5706E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8" w:space="0" w:color="auto"/>
              <w:right w:val="nil"/>
            </w:tcBorders>
            <w:shd w:val="clear" w:color="auto" w:fill="auto"/>
            <w:vAlign w:val="center"/>
            <w:hideMark/>
          </w:tcPr>
          <w:p w14:paraId="44AFBA42"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2016 AQC</w:t>
            </w:r>
          </w:p>
        </w:tc>
        <w:tc>
          <w:tcPr>
            <w:tcW w:w="740" w:type="dxa"/>
            <w:tcBorders>
              <w:top w:val="nil"/>
              <w:left w:val="nil"/>
              <w:bottom w:val="single" w:sz="8" w:space="0" w:color="auto"/>
              <w:right w:val="nil"/>
            </w:tcBorders>
            <w:shd w:val="clear" w:color="000000" w:fill="92D050"/>
            <w:noWrap/>
            <w:vAlign w:val="center"/>
            <w:hideMark/>
          </w:tcPr>
          <w:p w14:paraId="24894B9F"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4226DDD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single" w:sz="8" w:space="0" w:color="auto"/>
              <w:right w:val="nil"/>
            </w:tcBorders>
            <w:shd w:val="clear" w:color="000000" w:fill="FFC000"/>
            <w:noWrap/>
            <w:vAlign w:val="center"/>
            <w:hideMark/>
          </w:tcPr>
          <w:p w14:paraId="68195B18"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3</w:t>
            </w:r>
          </w:p>
        </w:tc>
        <w:tc>
          <w:tcPr>
            <w:tcW w:w="740" w:type="dxa"/>
            <w:tcBorders>
              <w:top w:val="nil"/>
              <w:left w:val="nil"/>
              <w:bottom w:val="single" w:sz="8" w:space="0" w:color="auto"/>
              <w:right w:val="nil"/>
            </w:tcBorders>
            <w:shd w:val="clear" w:color="000000" w:fill="92D050"/>
            <w:noWrap/>
            <w:vAlign w:val="center"/>
            <w:hideMark/>
          </w:tcPr>
          <w:p w14:paraId="2FC88754"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5</w:t>
            </w:r>
          </w:p>
        </w:tc>
        <w:tc>
          <w:tcPr>
            <w:tcW w:w="740" w:type="dxa"/>
            <w:tcBorders>
              <w:top w:val="nil"/>
              <w:left w:val="nil"/>
              <w:bottom w:val="single" w:sz="8" w:space="0" w:color="auto"/>
              <w:right w:val="nil"/>
            </w:tcBorders>
            <w:shd w:val="clear" w:color="000000" w:fill="FFFF00"/>
            <w:noWrap/>
            <w:vAlign w:val="center"/>
            <w:hideMark/>
          </w:tcPr>
          <w:p w14:paraId="3AFC72AA"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single" w:sz="8" w:space="0" w:color="auto"/>
              <w:right w:val="nil"/>
            </w:tcBorders>
            <w:shd w:val="clear" w:color="000000" w:fill="FFC000"/>
            <w:noWrap/>
            <w:vAlign w:val="center"/>
            <w:hideMark/>
          </w:tcPr>
          <w:p w14:paraId="01C7B2BD"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3</w:t>
            </w:r>
          </w:p>
        </w:tc>
        <w:tc>
          <w:tcPr>
            <w:tcW w:w="740" w:type="dxa"/>
            <w:tcBorders>
              <w:top w:val="nil"/>
              <w:left w:val="nil"/>
              <w:bottom w:val="single" w:sz="8" w:space="0" w:color="auto"/>
              <w:right w:val="nil"/>
            </w:tcBorders>
            <w:shd w:val="clear" w:color="000000" w:fill="FFFF00"/>
            <w:vAlign w:val="center"/>
            <w:hideMark/>
          </w:tcPr>
          <w:p w14:paraId="65209B0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r>
      <w:tr w:rsidR="00411801" w:rsidRPr="00411801" w14:paraId="38109164" w14:textId="77777777" w:rsidTr="00411801">
        <w:trPr>
          <w:trHeight w:val="300"/>
        </w:trPr>
        <w:tc>
          <w:tcPr>
            <w:tcW w:w="2980" w:type="dxa"/>
            <w:tcBorders>
              <w:top w:val="nil"/>
              <w:left w:val="nil"/>
              <w:bottom w:val="nil"/>
              <w:right w:val="nil"/>
            </w:tcBorders>
            <w:shd w:val="clear" w:color="auto" w:fill="auto"/>
            <w:vAlign w:val="center"/>
            <w:hideMark/>
          </w:tcPr>
          <w:p w14:paraId="7E152130"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Governance for Growth</w:t>
            </w:r>
          </w:p>
        </w:tc>
        <w:tc>
          <w:tcPr>
            <w:tcW w:w="960" w:type="dxa"/>
            <w:tcBorders>
              <w:top w:val="nil"/>
              <w:left w:val="nil"/>
              <w:bottom w:val="nil"/>
              <w:right w:val="nil"/>
            </w:tcBorders>
            <w:shd w:val="clear" w:color="auto" w:fill="auto"/>
            <w:vAlign w:val="center"/>
            <w:hideMark/>
          </w:tcPr>
          <w:p w14:paraId="0BA7236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$25m</w:t>
            </w:r>
          </w:p>
        </w:tc>
        <w:tc>
          <w:tcPr>
            <w:tcW w:w="960" w:type="dxa"/>
            <w:tcBorders>
              <w:top w:val="nil"/>
              <w:left w:val="nil"/>
              <w:bottom w:val="nil"/>
              <w:right w:val="nil"/>
            </w:tcBorders>
            <w:shd w:val="clear" w:color="auto" w:fill="auto"/>
            <w:vAlign w:val="center"/>
            <w:hideMark/>
          </w:tcPr>
          <w:p w14:paraId="2605EEBA"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2017 AQC</w:t>
            </w:r>
          </w:p>
        </w:tc>
        <w:tc>
          <w:tcPr>
            <w:tcW w:w="740" w:type="dxa"/>
            <w:tcBorders>
              <w:top w:val="nil"/>
              <w:left w:val="nil"/>
              <w:bottom w:val="nil"/>
              <w:right w:val="nil"/>
            </w:tcBorders>
            <w:shd w:val="clear" w:color="000000" w:fill="92D050"/>
            <w:noWrap/>
            <w:vAlign w:val="center"/>
            <w:hideMark/>
          </w:tcPr>
          <w:p w14:paraId="4CA413E9"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5</w:t>
            </w:r>
          </w:p>
        </w:tc>
        <w:tc>
          <w:tcPr>
            <w:tcW w:w="740" w:type="dxa"/>
            <w:tcBorders>
              <w:top w:val="nil"/>
              <w:left w:val="nil"/>
              <w:bottom w:val="nil"/>
              <w:right w:val="nil"/>
            </w:tcBorders>
            <w:shd w:val="clear" w:color="000000" w:fill="FFFF00"/>
            <w:noWrap/>
            <w:vAlign w:val="center"/>
            <w:hideMark/>
          </w:tcPr>
          <w:p w14:paraId="4D9CB04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0F237D72"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000000" w:fill="FFFF00"/>
            <w:noWrap/>
            <w:vAlign w:val="center"/>
            <w:hideMark/>
          </w:tcPr>
          <w:p w14:paraId="5F90363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000000" w:fill="92D050"/>
            <w:noWrap/>
            <w:vAlign w:val="center"/>
            <w:hideMark/>
          </w:tcPr>
          <w:p w14:paraId="3A7D8200"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5</w:t>
            </w:r>
          </w:p>
        </w:tc>
        <w:tc>
          <w:tcPr>
            <w:tcW w:w="740" w:type="dxa"/>
            <w:tcBorders>
              <w:top w:val="nil"/>
              <w:left w:val="nil"/>
              <w:bottom w:val="nil"/>
              <w:right w:val="nil"/>
            </w:tcBorders>
            <w:shd w:val="clear" w:color="000000" w:fill="FFFF00"/>
            <w:noWrap/>
            <w:vAlign w:val="center"/>
            <w:hideMark/>
          </w:tcPr>
          <w:p w14:paraId="7BF10A8B"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4</w:t>
            </w:r>
          </w:p>
        </w:tc>
        <w:tc>
          <w:tcPr>
            <w:tcW w:w="740" w:type="dxa"/>
            <w:tcBorders>
              <w:top w:val="nil"/>
              <w:left w:val="nil"/>
              <w:bottom w:val="nil"/>
              <w:right w:val="nil"/>
            </w:tcBorders>
            <w:shd w:val="clear" w:color="auto" w:fill="auto"/>
            <w:vAlign w:val="center"/>
            <w:hideMark/>
          </w:tcPr>
          <w:p w14:paraId="692E80D0"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r>
      <w:tr w:rsidR="00411801" w:rsidRPr="00411801" w14:paraId="39E6E8BF" w14:textId="77777777" w:rsidTr="00411801">
        <w:trPr>
          <w:trHeight w:val="315"/>
        </w:trPr>
        <w:tc>
          <w:tcPr>
            <w:tcW w:w="2980" w:type="dxa"/>
            <w:tcBorders>
              <w:top w:val="nil"/>
              <w:left w:val="nil"/>
              <w:bottom w:val="single" w:sz="12" w:space="0" w:color="000000"/>
              <w:right w:val="nil"/>
            </w:tcBorders>
            <w:shd w:val="clear" w:color="auto" w:fill="auto"/>
            <w:vAlign w:val="center"/>
            <w:hideMark/>
          </w:tcPr>
          <w:p w14:paraId="6EA67D65" w14:textId="77777777" w:rsidR="00411801" w:rsidRPr="00411801" w:rsidRDefault="00411801" w:rsidP="00411801">
            <w:pPr>
              <w:suppressAutoHyphens w:val="0"/>
              <w:spacing w:before="0" w:after="0" w:line="240" w:lineRule="auto"/>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14:paraId="0425844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val="en-AU" w:eastAsia="en-AU"/>
              </w:rPr>
              <w:t> </w:t>
            </w:r>
          </w:p>
        </w:tc>
        <w:tc>
          <w:tcPr>
            <w:tcW w:w="960" w:type="dxa"/>
            <w:tcBorders>
              <w:top w:val="nil"/>
              <w:left w:val="nil"/>
              <w:bottom w:val="single" w:sz="12" w:space="0" w:color="000000"/>
              <w:right w:val="nil"/>
            </w:tcBorders>
            <w:shd w:val="clear" w:color="auto" w:fill="auto"/>
            <w:vAlign w:val="center"/>
            <w:hideMark/>
          </w:tcPr>
          <w:p w14:paraId="2E4F6F21" w14:textId="77777777" w:rsidR="00411801" w:rsidRPr="00411801" w:rsidRDefault="00411801" w:rsidP="00411801">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iCs/>
                <w:color w:val="495965"/>
                <w:sz w:val="17"/>
                <w:szCs w:val="17"/>
                <w:lang w:eastAsia="en-AU"/>
              </w:rPr>
              <w:t>2016 AQC</w:t>
            </w:r>
          </w:p>
        </w:tc>
        <w:tc>
          <w:tcPr>
            <w:tcW w:w="740" w:type="dxa"/>
            <w:tcBorders>
              <w:top w:val="nil"/>
              <w:left w:val="nil"/>
              <w:bottom w:val="single" w:sz="12" w:space="0" w:color="000000"/>
              <w:right w:val="nil"/>
            </w:tcBorders>
            <w:shd w:val="clear" w:color="auto" w:fill="auto"/>
            <w:noWrap/>
            <w:vAlign w:val="center"/>
            <w:hideMark/>
          </w:tcPr>
          <w:p w14:paraId="386723B3"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c>
          <w:tcPr>
            <w:tcW w:w="740" w:type="dxa"/>
            <w:tcBorders>
              <w:top w:val="nil"/>
              <w:left w:val="nil"/>
              <w:bottom w:val="single" w:sz="12" w:space="0" w:color="000000"/>
              <w:right w:val="nil"/>
            </w:tcBorders>
            <w:shd w:val="clear" w:color="auto" w:fill="auto"/>
            <w:noWrap/>
            <w:vAlign w:val="center"/>
            <w:hideMark/>
          </w:tcPr>
          <w:p w14:paraId="67D15447"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c>
          <w:tcPr>
            <w:tcW w:w="740" w:type="dxa"/>
            <w:tcBorders>
              <w:top w:val="nil"/>
              <w:left w:val="nil"/>
              <w:bottom w:val="single" w:sz="12" w:space="0" w:color="000000"/>
              <w:right w:val="nil"/>
            </w:tcBorders>
            <w:shd w:val="clear" w:color="auto" w:fill="auto"/>
            <w:noWrap/>
            <w:vAlign w:val="center"/>
            <w:hideMark/>
          </w:tcPr>
          <w:p w14:paraId="649B2838"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c>
          <w:tcPr>
            <w:tcW w:w="740" w:type="dxa"/>
            <w:tcBorders>
              <w:top w:val="nil"/>
              <w:left w:val="nil"/>
              <w:bottom w:val="single" w:sz="12" w:space="0" w:color="000000"/>
              <w:right w:val="nil"/>
            </w:tcBorders>
            <w:shd w:val="clear" w:color="auto" w:fill="auto"/>
            <w:noWrap/>
            <w:vAlign w:val="center"/>
            <w:hideMark/>
          </w:tcPr>
          <w:p w14:paraId="2F62D2EC"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c>
          <w:tcPr>
            <w:tcW w:w="740" w:type="dxa"/>
            <w:tcBorders>
              <w:top w:val="nil"/>
              <w:left w:val="nil"/>
              <w:bottom w:val="single" w:sz="12" w:space="0" w:color="000000"/>
              <w:right w:val="nil"/>
            </w:tcBorders>
            <w:shd w:val="clear" w:color="auto" w:fill="auto"/>
            <w:noWrap/>
            <w:vAlign w:val="center"/>
            <w:hideMark/>
          </w:tcPr>
          <w:p w14:paraId="7D4274C2"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c>
          <w:tcPr>
            <w:tcW w:w="740" w:type="dxa"/>
            <w:tcBorders>
              <w:top w:val="nil"/>
              <w:left w:val="nil"/>
              <w:bottom w:val="single" w:sz="12" w:space="0" w:color="000000"/>
              <w:right w:val="nil"/>
            </w:tcBorders>
            <w:shd w:val="clear" w:color="auto" w:fill="auto"/>
            <w:noWrap/>
            <w:vAlign w:val="center"/>
            <w:hideMark/>
          </w:tcPr>
          <w:p w14:paraId="79862C30"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c>
          <w:tcPr>
            <w:tcW w:w="740" w:type="dxa"/>
            <w:tcBorders>
              <w:top w:val="nil"/>
              <w:left w:val="nil"/>
              <w:bottom w:val="single" w:sz="12" w:space="0" w:color="000000"/>
              <w:right w:val="nil"/>
            </w:tcBorders>
            <w:shd w:val="clear" w:color="auto" w:fill="auto"/>
            <w:noWrap/>
            <w:vAlign w:val="center"/>
            <w:hideMark/>
          </w:tcPr>
          <w:p w14:paraId="2B5A1511" w14:textId="77777777" w:rsidR="00411801" w:rsidRPr="00411801" w:rsidRDefault="00411801" w:rsidP="00411801">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411801">
              <w:rPr>
                <w:rFonts w:ascii="Calibri Light" w:eastAsia="Times New Roman" w:hAnsi="Calibri Light" w:cs="Times New Roman"/>
                <w:color w:val="495965"/>
                <w:sz w:val="17"/>
                <w:szCs w:val="17"/>
                <w:lang w:eastAsia="en-AU"/>
              </w:rPr>
              <w:t>n/a</w:t>
            </w:r>
          </w:p>
        </w:tc>
      </w:tr>
    </w:tbl>
    <w:p w14:paraId="61C1B7CF" w14:textId="77777777" w:rsidR="005E606B" w:rsidRPr="00C61187" w:rsidRDefault="005E606B" w:rsidP="005E606B">
      <w:pPr>
        <w:rPr>
          <w:iCs/>
        </w:rPr>
      </w:pPr>
    </w:p>
    <w:p w14:paraId="688B02C8" w14:textId="1569B644" w:rsidR="00A8197B" w:rsidRPr="00A8197B" w:rsidRDefault="000C4E82" w:rsidP="00A8197B">
      <w:pPr>
        <w:pStyle w:val="ListBullet"/>
        <w:tabs>
          <w:tab w:val="clear" w:pos="284"/>
        </w:tabs>
        <w:spacing w:before="400"/>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color w:val="495965" w:themeColor="text2"/>
          <w:sz w:val="38"/>
          <w:szCs w:val="26"/>
          <w:lang w:val="en-GB" w:eastAsia="en-US"/>
        </w:rPr>
        <w:t>FAQC ratings</w:t>
      </w:r>
    </w:p>
    <w:p w14:paraId="37F6AB5E" w14:textId="77777777" w:rsidR="00A8197B" w:rsidRPr="00C61187" w:rsidRDefault="00A8197B" w:rsidP="00A8197B">
      <w:r w:rsidRPr="00C61187">
        <w:t>Final AQCs assess performance over the lifetime of the investment (ratings are not compared to previous years).</w:t>
      </w:r>
    </w:p>
    <w:tbl>
      <w:tblPr>
        <w:tblStyle w:val="APPR"/>
        <w:tblW w:w="5000" w:type="pct"/>
        <w:tblLook w:val="0000" w:firstRow="0" w:lastRow="0" w:firstColumn="0" w:lastColumn="0" w:noHBand="0" w:noVBand="0"/>
      </w:tblPr>
      <w:tblGrid>
        <w:gridCol w:w="1769"/>
        <w:gridCol w:w="1285"/>
        <w:gridCol w:w="824"/>
        <w:gridCol w:w="821"/>
        <w:gridCol w:w="823"/>
        <w:gridCol w:w="821"/>
        <w:gridCol w:w="823"/>
        <w:gridCol w:w="821"/>
        <w:gridCol w:w="823"/>
        <w:gridCol w:w="828"/>
      </w:tblGrid>
      <w:tr w:rsidR="00A8197B" w:rsidRPr="00812509" w14:paraId="3F4754CA" w14:textId="77777777" w:rsidTr="00D15A00">
        <w:trPr>
          <w:cnfStyle w:val="000000010000" w:firstRow="0" w:lastRow="0" w:firstColumn="0" w:lastColumn="0" w:oddVBand="0" w:evenVBand="0" w:oddHBand="0" w:evenHBand="1" w:firstRowFirstColumn="0" w:firstRowLastColumn="0" w:lastRowFirstColumn="0" w:lastRowLastColumn="0"/>
          <w:trHeight w:val="1505"/>
        </w:trPr>
        <w:tc>
          <w:tcPr>
            <w:tcW w:w="905" w:type="pct"/>
          </w:tcPr>
          <w:p w14:paraId="0D19008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eastAsia="Times New Roman"/>
                <w:b/>
                <w:iCs/>
                <w:noProof/>
                <w:szCs w:val="17"/>
                <w:lang w:val="en-AU"/>
              </w:rPr>
              <w:drawing>
                <wp:anchor distT="0" distB="0" distL="114300" distR="114300" simplePos="0" relativeHeight="251672576" behindDoc="0" locked="0" layoutInCell="1" allowOverlap="1" wp14:anchorId="3D540645" wp14:editId="5B816772">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b/>
                <w:iCs/>
                <w:szCs w:val="17"/>
                <w:lang w:eastAsia="en-US"/>
              </w:rPr>
              <w:t>Investment name</w:t>
            </w:r>
          </w:p>
        </w:tc>
        <w:tc>
          <w:tcPr>
            <w:tcW w:w="658" w:type="pct"/>
            <w:textDirection w:val="btLr"/>
          </w:tcPr>
          <w:p w14:paraId="13360A8C"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Approved budget and duration</w:t>
            </w:r>
          </w:p>
        </w:tc>
        <w:tc>
          <w:tcPr>
            <w:tcW w:w="417" w:type="pct"/>
            <w:noWrap/>
            <w:textDirection w:val="btLr"/>
          </w:tcPr>
          <w:p w14:paraId="1B3F459F"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Overall rating</w:t>
            </w:r>
          </w:p>
        </w:tc>
        <w:tc>
          <w:tcPr>
            <w:tcW w:w="416" w:type="pct"/>
            <w:noWrap/>
            <w:textDirection w:val="btLr"/>
          </w:tcPr>
          <w:p w14:paraId="655EB768"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Relevance</w:t>
            </w:r>
          </w:p>
        </w:tc>
        <w:tc>
          <w:tcPr>
            <w:tcW w:w="417" w:type="pct"/>
            <w:noWrap/>
            <w:textDirection w:val="btLr"/>
          </w:tcPr>
          <w:p w14:paraId="7DAEF80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Effectiveness</w:t>
            </w:r>
          </w:p>
        </w:tc>
        <w:tc>
          <w:tcPr>
            <w:tcW w:w="416" w:type="pct"/>
            <w:noWrap/>
            <w:textDirection w:val="btLr"/>
          </w:tcPr>
          <w:p w14:paraId="3C6E304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Efficiency</w:t>
            </w:r>
          </w:p>
        </w:tc>
        <w:tc>
          <w:tcPr>
            <w:tcW w:w="417" w:type="pct"/>
            <w:noWrap/>
            <w:textDirection w:val="btLr"/>
          </w:tcPr>
          <w:p w14:paraId="6A3F3137"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Monitoring and Evaluation</w:t>
            </w:r>
          </w:p>
        </w:tc>
        <w:tc>
          <w:tcPr>
            <w:tcW w:w="416" w:type="pct"/>
            <w:noWrap/>
            <w:textDirection w:val="btLr"/>
          </w:tcPr>
          <w:p w14:paraId="154FFCE0"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Sustainability</w:t>
            </w:r>
          </w:p>
        </w:tc>
        <w:tc>
          <w:tcPr>
            <w:tcW w:w="417" w:type="pct"/>
            <w:textDirection w:val="btLr"/>
          </w:tcPr>
          <w:p w14:paraId="38A4D473"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Gender equality</w:t>
            </w:r>
          </w:p>
        </w:tc>
        <w:tc>
          <w:tcPr>
            <w:tcW w:w="412" w:type="pct"/>
            <w:textDirection w:val="btLr"/>
          </w:tcPr>
          <w:p w14:paraId="267706A9" w14:textId="77777777" w:rsidR="00A8197B" w:rsidRPr="00812509" w:rsidRDefault="00A8197B" w:rsidP="00D15A00">
            <w:pPr>
              <w:keepLines/>
              <w:spacing w:before="80" w:after="80" w:line="200" w:lineRule="atLeast"/>
              <w:rPr>
                <w:rFonts w:asciiTheme="minorHAnsi" w:eastAsia="Times New Roman" w:hAnsiTheme="minorHAnsi"/>
                <w:b/>
                <w:iCs/>
                <w:szCs w:val="17"/>
                <w:lang w:eastAsia="en-US"/>
              </w:rPr>
            </w:pPr>
            <w:r w:rsidRPr="00812509">
              <w:rPr>
                <w:rFonts w:asciiTheme="minorHAnsi" w:eastAsia="Times New Roman" w:hAnsiTheme="minorHAnsi"/>
                <w:b/>
                <w:iCs/>
                <w:szCs w:val="17"/>
                <w:lang w:eastAsia="en-US"/>
              </w:rPr>
              <w:t>Risks  and Safeguards</w:t>
            </w:r>
          </w:p>
        </w:tc>
      </w:tr>
      <w:tr w:rsidR="00A8197B" w:rsidRPr="00812509" w14:paraId="68EB55B4" w14:textId="77777777" w:rsidTr="000C4E82">
        <w:trPr>
          <w:cnfStyle w:val="000000010000" w:firstRow="0" w:lastRow="0" w:firstColumn="0" w:lastColumn="0" w:oddVBand="0" w:evenVBand="0" w:oddHBand="0" w:evenHBand="1" w:firstRowFirstColumn="0" w:firstRowLastColumn="0" w:lastRowFirstColumn="0" w:lastRowLastColumn="0"/>
          <w:trHeight w:val="284"/>
        </w:trPr>
        <w:tc>
          <w:tcPr>
            <w:tcW w:w="905" w:type="pct"/>
          </w:tcPr>
          <w:p w14:paraId="2E8CA998" w14:textId="2FF0D583" w:rsidR="00A8197B" w:rsidRPr="00812509" w:rsidRDefault="000C4E82" w:rsidP="00D15A00">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Sri Lanka Community Forestry Program</w:t>
            </w:r>
          </w:p>
        </w:tc>
        <w:tc>
          <w:tcPr>
            <w:tcW w:w="658" w:type="pct"/>
          </w:tcPr>
          <w:p w14:paraId="6552E862" w14:textId="16D82662" w:rsidR="00A8197B" w:rsidRPr="00812509" w:rsidRDefault="000C4E82" w:rsidP="00D15A00">
            <w:pPr>
              <w:autoSpaceDE w:val="0"/>
              <w:autoSpaceDN w:val="0"/>
              <w:adjustRightInd w:val="0"/>
              <w:rPr>
                <w:rFonts w:asciiTheme="minorHAnsi" w:hAnsiTheme="minorHAnsi" w:cs="Franklin Gothic Book"/>
                <w:color w:val="000000"/>
                <w:szCs w:val="17"/>
              </w:rPr>
            </w:pPr>
            <w:r>
              <w:rPr>
                <w:rFonts w:asciiTheme="minorHAnsi" w:hAnsiTheme="minorHAnsi" w:cs="Franklin Gothic Book"/>
                <w:color w:val="000000"/>
                <w:szCs w:val="17"/>
              </w:rPr>
              <w:t>$4.9</w:t>
            </w:r>
            <w:r w:rsidR="00A8197B" w:rsidRPr="00812509">
              <w:rPr>
                <w:rFonts w:asciiTheme="minorHAnsi" w:hAnsiTheme="minorHAnsi" w:cs="Franklin Gothic Book"/>
                <w:color w:val="000000"/>
                <w:szCs w:val="17"/>
              </w:rPr>
              <w:t xml:space="preserve">m </w:t>
            </w:r>
          </w:p>
          <w:p w14:paraId="38A9F256" w14:textId="2A6CD5B8" w:rsidR="00A8197B" w:rsidRPr="00812509" w:rsidRDefault="00A8197B" w:rsidP="000C4E82">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sidR="000C4E82">
              <w:rPr>
                <w:rFonts w:asciiTheme="minorHAnsi" w:eastAsia="Times New Roman" w:hAnsiTheme="minorHAnsi"/>
                <w:iCs/>
                <w:szCs w:val="17"/>
                <w:lang w:eastAsia="en-US"/>
              </w:rPr>
              <w:t>1</w:t>
            </w:r>
            <w:r w:rsidRPr="00812509">
              <w:rPr>
                <w:rFonts w:asciiTheme="minorHAnsi" w:eastAsia="Times New Roman" w:hAnsiTheme="minorHAnsi"/>
                <w:iCs/>
                <w:szCs w:val="17"/>
                <w:lang w:eastAsia="en-US"/>
              </w:rPr>
              <w:t>-1</w:t>
            </w:r>
            <w:r w:rsidR="000C4E82">
              <w:rPr>
                <w:rFonts w:asciiTheme="minorHAnsi" w:eastAsia="Times New Roman" w:hAnsiTheme="minorHAnsi"/>
                <w:iCs/>
                <w:szCs w:val="17"/>
                <w:lang w:eastAsia="en-US"/>
              </w:rPr>
              <w:t>7</w:t>
            </w:r>
            <w:r w:rsidRPr="00812509">
              <w:rPr>
                <w:rFonts w:asciiTheme="minorHAnsi" w:eastAsia="Times New Roman" w:hAnsiTheme="minorHAnsi"/>
                <w:iCs/>
                <w:szCs w:val="17"/>
                <w:lang w:eastAsia="en-US"/>
              </w:rPr>
              <w:t xml:space="preserve"> </w:t>
            </w:r>
          </w:p>
        </w:tc>
        <w:tc>
          <w:tcPr>
            <w:tcW w:w="417" w:type="pct"/>
            <w:shd w:val="clear" w:color="auto" w:fill="FFFF00"/>
            <w:noWrap/>
          </w:tcPr>
          <w:p w14:paraId="6AC294F2"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6" w:type="pct"/>
            <w:shd w:val="clear" w:color="auto" w:fill="92D050"/>
            <w:noWrap/>
          </w:tcPr>
          <w:p w14:paraId="45D90199"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5</w:t>
            </w:r>
          </w:p>
        </w:tc>
        <w:tc>
          <w:tcPr>
            <w:tcW w:w="417" w:type="pct"/>
            <w:shd w:val="clear" w:color="auto" w:fill="FFFF00"/>
            <w:noWrap/>
          </w:tcPr>
          <w:p w14:paraId="311F23D3"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6" w:type="pct"/>
            <w:shd w:val="clear" w:color="auto" w:fill="FFFF00"/>
            <w:noWrap/>
          </w:tcPr>
          <w:p w14:paraId="12AE15F2" w14:textId="34000031" w:rsidR="00A8197B" w:rsidRPr="00812509" w:rsidRDefault="000C4E8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7" w:type="pct"/>
            <w:shd w:val="clear" w:color="auto" w:fill="FFFF00"/>
            <w:noWrap/>
          </w:tcPr>
          <w:p w14:paraId="3B8C928C" w14:textId="48E8B973" w:rsidR="00A8197B" w:rsidRPr="00812509" w:rsidRDefault="000C4E8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416" w:type="pct"/>
            <w:shd w:val="clear" w:color="auto" w:fill="92D050"/>
            <w:noWrap/>
          </w:tcPr>
          <w:p w14:paraId="1ADED017" w14:textId="3DE255C8" w:rsidR="00A8197B" w:rsidRPr="00812509" w:rsidRDefault="000C4E8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417" w:type="pct"/>
            <w:shd w:val="clear" w:color="auto" w:fill="FFFF00"/>
          </w:tcPr>
          <w:p w14:paraId="70E1C3EA" w14:textId="77777777" w:rsidR="00A8197B" w:rsidRPr="00812509" w:rsidRDefault="00A8197B" w:rsidP="00D15A00">
            <w:pPr>
              <w:keepLines/>
              <w:spacing w:before="40" w:after="40" w:line="200" w:lineRule="atLeast"/>
              <w:jc w:val="center"/>
              <w:rPr>
                <w:rFonts w:asciiTheme="minorHAnsi" w:eastAsia="Times New Roman" w:hAnsiTheme="minorHAnsi"/>
                <w:iCs/>
                <w:szCs w:val="17"/>
                <w:lang w:eastAsia="en-US"/>
              </w:rPr>
            </w:pPr>
            <w:r w:rsidRPr="00812509">
              <w:rPr>
                <w:rFonts w:asciiTheme="minorHAnsi" w:eastAsia="Times New Roman" w:hAnsiTheme="minorHAnsi"/>
                <w:iCs/>
                <w:szCs w:val="17"/>
                <w:lang w:eastAsia="en-US"/>
              </w:rPr>
              <w:t>4</w:t>
            </w:r>
          </w:p>
        </w:tc>
        <w:tc>
          <w:tcPr>
            <w:tcW w:w="412" w:type="pct"/>
            <w:shd w:val="clear" w:color="auto" w:fill="auto"/>
          </w:tcPr>
          <w:p w14:paraId="2025E5BD" w14:textId="5377BE41" w:rsidR="00A8197B" w:rsidRPr="00812509" w:rsidRDefault="000C4E82" w:rsidP="00D15A00">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bl>
    <w:p w14:paraId="2743D6A0" w14:textId="77777777" w:rsidR="00A8197B" w:rsidRPr="00812509" w:rsidRDefault="00A8197B" w:rsidP="00A8197B">
      <w:pPr>
        <w:spacing w:before="20" w:after="20" w:line="180" w:lineRule="atLeast"/>
        <w:jc w:val="both"/>
        <w:rPr>
          <w:rFonts w:eastAsia="Times New Roman"/>
          <w:b/>
          <w:sz w:val="14"/>
          <w:szCs w:val="14"/>
        </w:rPr>
      </w:pPr>
    </w:p>
    <w:p w14:paraId="708D71BE"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D517A02" w14:textId="77777777" w:rsidR="00A8197B" w:rsidRPr="00812509" w:rsidRDefault="00A8197B" w:rsidP="00A8197B">
      <w:pPr>
        <w:spacing w:before="20" w:after="20" w:line="180" w:lineRule="atLeast"/>
        <w:jc w:val="both"/>
        <w:rPr>
          <w:rFonts w:eastAsia="Times New Roman"/>
          <w:b/>
          <w:sz w:val="16"/>
          <w:szCs w:val="14"/>
        </w:rPr>
      </w:pPr>
      <w:r w:rsidRPr="00812509">
        <w:rPr>
          <w:rFonts w:eastAsia="Times New Roman"/>
          <w:b/>
          <w:sz w:val="16"/>
          <w:szCs w:val="14"/>
        </w:rPr>
        <w:t>Satisfactory (4, 5 and 6)</w:t>
      </w:r>
    </w:p>
    <w:p w14:paraId="39C2A5D3" w14:textId="2AC07F17" w:rsidR="00A8197B" w:rsidRPr="00812509" w:rsidRDefault="00A8197B" w:rsidP="00812509">
      <w:pPr>
        <w:spacing w:before="20" w:after="20" w:line="180" w:lineRule="atLeast"/>
        <w:rPr>
          <w:rFonts w:eastAsia="Times New Roman"/>
          <w:b/>
          <w:sz w:val="16"/>
          <w:szCs w:val="14"/>
        </w:rPr>
      </w:pPr>
      <w:r w:rsidRPr="00812509">
        <w:rPr>
          <w:rFonts w:eastAsia="Times New Roman"/>
          <w:b/>
          <w:color w:val="72AF2F"/>
          <w:sz w:val="16"/>
          <w:szCs w:val="14"/>
        </w:rPr>
        <w:sym w:font="Webdings" w:char="F067"/>
      </w:r>
      <w:r w:rsidRPr="00812509">
        <w:rPr>
          <w:rFonts w:eastAsia="Times New Roman"/>
          <w:b/>
          <w:sz w:val="16"/>
          <w:szCs w:val="14"/>
        </w:rPr>
        <w:t xml:space="preserve"> 6 = Very good; satisfies criteria in all areas. </w:t>
      </w:r>
      <w:r w:rsidR="00435070">
        <w:rPr>
          <w:rFonts w:eastAsia="Times New Roman"/>
          <w:b/>
          <w:sz w:val="16"/>
          <w:szCs w:val="14"/>
        </w:rPr>
        <w:br/>
      </w:r>
      <w:r w:rsidRPr="00812509">
        <w:rPr>
          <w:rFonts w:eastAsia="Times New Roman"/>
          <w:b/>
          <w:color w:val="72AF2F"/>
          <w:sz w:val="16"/>
          <w:szCs w:val="14"/>
        </w:rPr>
        <w:sym w:font="Webdings" w:char="F067"/>
      </w:r>
      <w:r w:rsidRPr="00812509">
        <w:rPr>
          <w:rFonts w:eastAsia="Times New Roman"/>
          <w:b/>
          <w:sz w:val="16"/>
          <w:szCs w:val="14"/>
        </w:rPr>
        <w:t xml:space="preserve"> 5 = Good; satisfies criteria in almost all areas.</w:t>
      </w:r>
    </w:p>
    <w:p w14:paraId="7B60564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FFFF00"/>
          <w:sz w:val="16"/>
          <w:szCs w:val="14"/>
        </w:rPr>
        <w:sym w:font="Webdings" w:char="F067"/>
      </w:r>
      <w:r w:rsidRPr="00812509">
        <w:rPr>
          <w:rFonts w:eastAsia="Times New Roman"/>
          <w:b/>
          <w:sz w:val="16"/>
          <w:szCs w:val="14"/>
        </w:rPr>
        <w:t xml:space="preserve"> 4 = Adequate; on balance, satisfies criteria; does not fail in any major area.</w:t>
      </w:r>
    </w:p>
    <w:p w14:paraId="39DBF98E"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sz w:val="16"/>
          <w:szCs w:val="14"/>
        </w:rPr>
        <w:t>Less than satisfactory (1, 2 and 3)</w:t>
      </w:r>
    </w:p>
    <w:p w14:paraId="470182F2" w14:textId="77777777" w:rsidR="00A8197B" w:rsidRPr="00812509" w:rsidRDefault="00A8197B" w:rsidP="00812509">
      <w:pPr>
        <w:spacing w:before="20" w:after="20" w:line="180" w:lineRule="atLeast"/>
        <w:rPr>
          <w:rFonts w:eastAsia="Times New Roman"/>
          <w:b/>
          <w:sz w:val="16"/>
          <w:szCs w:val="14"/>
        </w:rPr>
      </w:pPr>
      <w:r w:rsidRPr="00812509">
        <w:rPr>
          <w:rFonts w:eastAsia="Times New Roman"/>
          <w:b/>
          <w:color w:val="E36C0A"/>
          <w:sz w:val="16"/>
          <w:szCs w:val="14"/>
        </w:rPr>
        <w:sym w:font="Webdings" w:char="F067"/>
      </w: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CEB3CBF" w14:textId="35D86947" w:rsidR="00184F1E" w:rsidRDefault="00A8197B" w:rsidP="000A7D63">
      <w:pPr>
        <w:spacing w:before="20" w:after="20" w:line="180" w:lineRule="atLeast"/>
        <w:rPr>
          <w:rFonts w:ascii="Franklin Gothic Book" w:eastAsia="Times New Roman" w:hAnsi="Franklin Gothic Book" w:cs="Times New Roman"/>
          <w:color w:val="auto"/>
          <w:sz w:val="21"/>
          <w:szCs w:val="24"/>
          <w:lang w:val="en-AU" w:eastAsia="en-AU"/>
        </w:rPr>
      </w:pPr>
      <w:r w:rsidRPr="00812509">
        <w:rPr>
          <w:rFonts w:eastAsia="Times New Roman"/>
          <w:b/>
          <w:color w:val="FF0000"/>
          <w:sz w:val="16"/>
          <w:szCs w:val="14"/>
        </w:rPr>
        <w:sym w:font="Webdings" w:char="F067"/>
      </w:r>
      <w:r w:rsidRPr="00812509">
        <w:rPr>
          <w:rFonts w:eastAsia="Times New Roman"/>
          <w:b/>
          <w:sz w:val="16"/>
          <w:szCs w:val="14"/>
        </w:rPr>
        <w:t xml:space="preserve"> 2 = Poor; does not satisfy criteria in major areas.  </w:t>
      </w:r>
      <w:r w:rsidR="00435070">
        <w:rPr>
          <w:rFonts w:eastAsia="Times New Roman"/>
          <w:b/>
          <w:sz w:val="16"/>
          <w:szCs w:val="14"/>
        </w:rPr>
        <w:br/>
      </w:r>
      <w:r w:rsidRPr="00812509">
        <w:rPr>
          <w:rFonts w:eastAsia="Times New Roman"/>
          <w:b/>
          <w:color w:val="FF0000"/>
          <w:sz w:val="16"/>
          <w:szCs w:val="14"/>
        </w:rPr>
        <w:sym w:font="Webdings" w:char="F067"/>
      </w:r>
      <w:r w:rsidRPr="00812509">
        <w:rPr>
          <w:rFonts w:eastAsia="Times New Roman"/>
          <w:b/>
          <w:sz w:val="16"/>
          <w:szCs w:val="14"/>
        </w:rPr>
        <w:t xml:space="preserve"> 1 = Very poor; does not satisfy criteria in many major area.</w:t>
      </w:r>
    </w:p>
    <w:sectPr w:rsidR="00184F1E" w:rsidSect="004839E3">
      <w:headerReference w:type="default" r:id="rId30"/>
      <w:pgSz w:w="11906" w:h="16838" w:code="9"/>
      <w:pgMar w:top="1527" w:right="1134" w:bottom="851" w:left="1134" w:header="1418" w:footer="192"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85335" w14:textId="77777777" w:rsidR="0067649D" w:rsidRDefault="0067649D" w:rsidP="00EF4574">
      <w:pPr>
        <w:spacing w:before="0" w:after="0" w:line="240" w:lineRule="auto"/>
      </w:pPr>
      <w:r>
        <w:separator/>
      </w:r>
    </w:p>
  </w:endnote>
  <w:endnote w:type="continuationSeparator" w:id="0">
    <w:p w14:paraId="4C4E3D84" w14:textId="77777777" w:rsidR="0067649D" w:rsidRDefault="0067649D" w:rsidP="00EF4574">
      <w:pPr>
        <w:spacing w:before="0" w:after="0" w:line="240" w:lineRule="auto"/>
      </w:pPr>
      <w:r>
        <w:continuationSeparator/>
      </w:r>
    </w:p>
  </w:endnote>
  <w:endnote w:type="continuationNotice" w:id="1">
    <w:p w14:paraId="4849F52B" w14:textId="77777777" w:rsidR="0067649D" w:rsidRDefault="006764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A29C2" w14:textId="77777777" w:rsidR="00C76765" w:rsidRDefault="00C76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C315" w14:textId="77777777" w:rsidR="0067649D" w:rsidRDefault="0067649D" w:rsidP="004839E3">
    <w:pPr>
      <w:pStyle w:val="Footer"/>
      <w:rPr>
        <w:lang w:val="en-AU"/>
      </w:rPr>
    </w:pPr>
  </w:p>
  <w:p w14:paraId="6E63B07A" w14:textId="77777777" w:rsidR="0067649D" w:rsidRDefault="0067649D" w:rsidP="004839E3">
    <w:pPr>
      <w:pStyle w:val="Footer"/>
    </w:pPr>
  </w:p>
  <w:p w14:paraId="01762CD7" w14:textId="77777777" w:rsidR="0067649D" w:rsidRPr="00CD0E4B" w:rsidRDefault="0067649D" w:rsidP="004839E3">
    <w:pPr>
      <w:pStyle w:val="Footer"/>
    </w:pPr>
    <w:r w:rsidRPr="00CD0E4B">
      <w:rPr>
        <w:noProof/>
        <w:lang w:val="en-AU" w:eastAsia="en-AU"/>
      </w:rPr>
      <w:drawing>
        <wp:inline distT="0" distB="0" distL="0" distR="0" wp14:anchorId="16CE16C9" wp14:editId="7B4CCA93">
          <wp:extent cx="90000" cy="74520"/>
          <wp:effectExtent l="0" t="0" r="5715"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2DA2D29A" w14:textId="77777777" w:rsidR="0067649D" w:rsidRPr="00CD0E4B" w:rsidRDefault="0067649D" w:rsidP="004839E3">
    <w:pPr>
      <w:pStyle w:val="Footer"/>
      <w:rPr>
        <w:color w:val="ACD08C" w:themeColor="accent3"/>
      </w:rPr>
    </w:pPr>
    <w:r w:rsidRPr="00CD0E4B">
      <w:rPr>
        <w:color w:val="ACD08C" w:themeColor="accent3"/>
      </w:rPr>
      <w:t>DFAT.GOV.AU</w:t>
    </w:r>
  </w:p>
  <w:p w14:paraId="5A763503" w14:textId="77777777" w:rsidR="0067649D" w:rsidRPr="004839E3" w:rsidRDefault="0067649D" w:rsidP="004839E3">
    <w:pPr>
      <w:pStyle w:val="Footer"/>
      <w:rPr>
        <w:lang w:val="en-A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FE437" w14:textId="77777777" w:rsidR="0067649D" w:rsidRPr="004839E3" w:rsidRDefault="0067649D" w:rsidP="004839E3">
    <w:pPr>
      <w:spacing w:before="0" w:after="0" w:line="240" w:lineRule="exact"/>
      <w:ind w:right="284"/>
      <w:jc w:val="right"/>
      <w:rPr>
        <w:color w:val="FFFFFF" w:themeColor="background1"/>
      </w:rPr>
    </w:pPr>
    <w:r w:rsidRPr="004839E3">
      <w:rPr>
        <w:noProof/>
        <w:color w:val="FFFFFF" w:themeColor="background1"/>
        <w:lang w:val="en-AU" w:eastAsia="en-AU"/>
      </w:rPr>
      <w:drawing>
        <wp:inline distT="0" distB="0" distL="0" distR="0" wp14:anchorId="09B3A5F0" wp14:editId="4BF1931F">
          <wp:extent cx="90000" cy="74520"/>
          <wp:effectExtent l="0" t="0" r="571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4839E3">
      <w:rPr>
        <w:color w:val="FFFFFF" w:themeColor="background1"/>
      </w:rPr>
      <w:t>@DFAT</w:t>
    </w:r>
  </w:p>
  <w:p w14:paraId="25B2D5CB" w14:textId="77777777" w:rsidR="0067649D" w:rsidRDefault="0067649D" w:rsidP="004839E3">
    <w:pPr>
      <w:spacing w:before="0" w:after="0" w:line="240" w:lineRule="exact"/>
      <w:ind w:right="284"/>
      <w:jc w:val="right"/>
    </w:pPr>
    <w:r w:rsidRPr="004839E3">
      <w:rPr>
        <w:color w:val="ACD08C" w:themeColor="accent3"/>
      </w:rPr>
      <w:t>DFAT.GOV.AU</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70D0B" w14:textId="77777777" w:rsidR="0067649D" w:rsidRDefault="0067649D" w:rsidP="004839E3">
    <w:pPr>
      <w:pStyle w:val="Footer"/>
      <w:rPr>
        <w:lang w:val="en-AU"/>
      </w:rPr>
    </w:pPr>
  </w:p>
  <w:p w14:paraId="407C2E45" w14:textId="77777777" w:rsidR="0067649D" w:rsidRDefault="0067649D" w:rsidP="004839E3">
    <w:pPr>
      <w:pStyle w:val="Footer"/>
    </w:pPr>
  </w:p>
  <w:p w14:paraId="7707EDA5" w14:textId="77777777" w:rsidR="0067649D" w:rsidRPr="00CD0E4B" w:rsidRDefault="0067649D" w:rsidP="004839E3">
    <w:pPr>
      <w:pStyle w:val="Footer"/>
    </w:pPr>
    <w:r w:rsidRPr="00CD0E4B">
      <w:rPr>
        <w:noProof/>
        <w:lang w:val="en-AU" w:eastAsia="en-AU"/>
      </w:rPr>
      <w:drawing>
        <wp:inline distT="0" distB="0" distL="0" distR="0" wp14:anchorId="629D54FA" wp14:editId="48D1EF42">
          <wp:extent cx="90000" cy="74520"/>
          <wp:effectExtent l="0" t="0" r="571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14:paraId="0634D851" w14:textId="77777777" w:rsidR="0067649D" w:rsidRPr="00CD0E4B" w:rsidRDefault="0067649D" w:rsidP="004839E3">
    <w:pPr>
      <w:pStyle w:val="Footer"/>
      <w:rPr>
        <w:color w:val="ACD08C" w:themeColor="accent3"/>
      </w:rPr>
    </w:pPr>
    <w:r w:rsidRPr="00CD0E4B">
      <w:rPr>
        <w:color w:val="ACD08C" w:themeColor="accent3"/>
      </w:rPr>
      <w:t>DFAT.GOV.AU</w:t>
    </w:r>
  </w:p>
  <w:p w14:paraId="345B5B31" w14:textId="77777777" w:rsidR="0067649D" w:rsidRPr="004839E3" w:rsidRDefault="0067649D" w:rsidP="004839E3">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A24A" w14:textId="77777777" w:rsidR="0067649D" w:rsidRPr="008C5A0E" w:rsidRDefault="0067649D" w:rsidP="001D663E">
      <w:pPr>
        <w:pStyle w:val="Footer"/>
        <w:pBdr>
          <w:top w:val="single" w:sz="4" w:space="1" w:color="495965" w:themeColor="text2"/>
        </w:pBdr>
      </w:pPr>
    </w:p>
  </w:footnote>
  <w:footnote w:type="continuationSeparator" w:id="0">
    <w:p w14:paraId="3BDE07E4" w14:textId="77777777" w:rsidR="0067649D" w:rsidRDefault="0067649D" w:rsidP="00EF4574">
      <w:pPr>
        <w:spacing w:before="0" w:after="0" w:line="240" w:lineRule="auto"/>
      </w:pPr>
      <w:r>
        <w:continuationSeparator/>
      </w:r>
    </w:p>
  </w:footnote>
  <w:footnote w:type="continuationNotice" w:id="1">
    <w:p w14:paraId="7EB6BBA4" w14:textId="77777777" w:rsidR="0067649D" w:rsidRDefault="0067649D">
      <w:pPr>
        <w:spacing w:before="0" w:after="0" w:line="240" w:lineRule="auto"/>
      </w:pPr>
    </w:p>
  </w:footnote>
  <w:footnote w:id="2">
    <w:p w14:paraId="02D4C20F" w14:textId="1FAFF5F2" w:rsidR="00D21DB1" w:rsidRPr="00D21DB1" w:rsidRDefault="00D21DB1">
      <w:pPr>
        <w:pStyle w:val="FootnoteText"/>
        <w:rPr>
          <w:lang w:val="en-AU"/>
        </w:rPr>
      </w:pPr>
      <w:r w:rsidRPr="00D21DB1">
        <w:rPr>
          <w:rStyle w:val="FootnoteReference"/>
          <w:sz w:val="16"/>
        </w:rPr>
        <w:footnoteRef/>
      </w:r>
      <w:r w:rsidRPr="00D21DB1">
        <w:rPr>
          <w:sz w:val="16"/>
        </w:rPr>
        <w:t xml:space="preserve"> </w:t>
      </w:r>
      <w:r w:rsidR="004E037B">
        <w:rPr>
          <w:sz w:val="16"/>
        </w:rPr>
        <w:t>Local Empowerment through Economic Development (LEED) Project, Impact Study Series: #4. Summary Report. July 2016.</w:t>
      </w:r>
    </w:p>
  </w:footnote>
  <w:footnote w:id="3">
    <w:p w14:paraId="1EAB04A8" w14:textId="1C3CDDB9" w:rsidR="004E037B" w:rsidRPr="004E037B" w:rsidRDefault="004E037B">
      <w:pPr>
        <w:pStyle w:val="FootnoteText"/>
        <w:rPr>
          <w:sz w:val="16"/>
          <w:lang w:val="en-AU"/>
        </w:rPr>
      </w:pPr>
      <w:r w:rsidRPr="004E037B">
        <w:rPr>
          <w:rStyle w:val="FootnoteReference"/>
          <w:sz w:val="16"/>
        </w:rPr>
        <w:footnoteRef/>
      </w:r>
      <w:r w:rsidRPr="004E037B">
        <w:rPr>
          <w:sz w:val="16"/>
        </w:rPr>
        <w:t xml:space="preserve"> </w:t>
      </w:r>
      <w:r>
        <w:rPr>
          <w:sz w:val="16"/>
        </w:rPr>
        <w:t>Sourced from Market Development Facility Monthly Donor Updates.</w:t>
      </w:r>
    </w:p>
  </w:footnote>
  <w:footnote w:id="4">
    <w:p w14:paraId="09B3492D" w14:textId="04DBB5B4" w:rsidR="004E037B" w:rsidRPr="004E037B" w:rsidRDefault="004E037B">
      <w:pPr>
        <w:pStyle w:val="FootnoteText"/>
        <w:rPr>
          <w:lang w:val="en-AU"/>
        </w:rPr>
      </w:pPr>
      <w:r w:rsidRPr="004E037B">
        <w:rPr>
          <w:rStyle w:val="FootnoteReference"/>
          <w:sz w:val="16"/>
        </w:rPr>
        <w:footnoteRef/>
      </w:r>
      <w:r w:rsidRPr="004E037B">
        <w:rPr>
          <w:sz w:val="16"/>
        </w:rPr>
        <w:t xml:space="preserve"> </w:t>
      </w:r>
      <w:r>
        <w:rPr>
          <w:sz w:val="16"/>
        </w:rPr>
        <w:t xml:space="preserve">See Skills for Inclusive Growth Design Concept at </w:t>
      </w:r>
      <w:hyperlink r:id="rId1" w:history="1">
        <w:r w:rsidRPr="00D1589E">
          <w:rPr>
            <w:rStyle w:val="Hyperlink"/>
            <w:rFonts w:cstheme="minorBidi"/>
            <w:sz w:val="16"/>
          </w:rPr>
          <w:t>http://dfat.gov.au/about-us/business-opportunities/tenders/Pages/sri-lanka-skills-for-growth-program-design.aspx</w:t>
        </w:r>
      </w:hyperlink>
      <w:r>
        <w:rPr>
          <w:sz w:val="16"/>
        </w:rPr>
        <w:t xml:space="preserve"> </w:t>
      </w:r>
    </w:p>
  </w:footnote>
  <w:footnote w:id="5">
    <w:p w14:paraId="0E978A82" w14:textId="0E93811E" w:rsidR="00D21DB1" w:rsidRPr="00D21DB1" w:rsidRDefault="00D21DB1">
      <w:pPr>
        <w:pStyle w:val="FootnoteText"/>
        <w:rPr>
          <w:sz w:val="16"/>
          <w:szCs w:val="16"/>
          <w:lang w:val="en-AU"/>
        </w:rPr>
      </w:pPr>
      <w:r w:rsidRPr="00D21DB1">
        <w:rPr>
          <w:rStyle w:val="FootnoteReference"/>
          <w:sz w:val="16"/>
          <w:szCs w:val="16"/>
        </w:rPr>
        <w:footnoteRef/>
      </w:r>
      <w:r w:rsidRPr="00D21DB1">
        <w:rPr>
          <w:sz w:val="16"/>
          <w:szCs w:val="16"/>
        </w:rPr>
        <w:t xml:space="preserve"> </w:t>
      </w:r>
      <w:r w:rsidRPr="00D21DB1">
        <w:rPr>
          <w:sz w:val="16"/>
          <w:szCs w:val="16"/>
          <w:lang w:val="en-AU"/>
        </w:rPr>
        <w:t>Sri Lanka C</w:t>
      </w:r>
      <w:r>
        <w:rPr>
          <w:sz w:val="16"/>
          <w:szCs w:val="16"/>
          <w:lang w:val="en-AU"/>
        </w:rPr>
        <w:t>ommunity Forestry Program (SLCFP) Independent Completion Report April 2017.</w:t>
      </w:r>
    </w:p>
  </w:footnote>
  <w:footnote w:id="6">
    <w:p w14:paraId="7CC05A0E" w14:textId="3709157C" w:rsidR="00DF4EB7" w:rsidRPr="00DF4EB7" w:rsidRDefault="00DF4EB7">
      <w:pPr>
        <w:pStyle w:val="FootnoteText"/>
        <w:rPr>
          <w:lang w:val="en-AU"/>
        </w:rPr>
      </w:pPr>
      <w:r w:rsidRPr="00DF4EB7">
        <w:rPr>
          <w:rStyle w:val="FootnoteReference"/>
          <w:sz w:val="16"/>
        </w:rPr>
        <w:footnoteRef/>
      </w:r>
      <w:r w:rsidRPr="00DF4EB7">
        <w:rPr>
          <w:sz w:val="16"/>
        </w:rPr>
        <w:t xml:space="preserve"> </w:t>
      </w:r>
      <w:r>
        <w:rPr>
          <w:sz w:val="16"/>
        </w:rPr>
        <w:t xml:space="preserve">See Program Launch: Enhancing the Trade and Competitiveness Potential of Sri Lanka’s Private Sector at </w:t>
      </w:r>
      <w:hyperlink r:id="rId2" w:history="1">
        <w:r w:rsidRPr="00D1589E">
          <w:rPr>
            <w:rStyle w:val="Hyperlink"/>
            <w:rFonts w:cstheme="minorBidi"/>
            <w:sz w:val="16"/>
          </w:rPr>
          <w:t>http://www.worldbank.org/en/news/press-release/2017/03/24/program-launch-enhancing-trade-competitiveness-potential-sri-lanka-private-sector</w:t>
        </w:r>
      </w:hyperlink>
      <w:r>
        <w:rPr>
          <w:sz w:val="16"/>
        </w:rPr>
        <w:t xml:space="preserve"> </w:t>
      </w:r>
    </w:p>
  </w:footnote>
  <w:footnote w:id="7">
    <w:p w14:paraId="5B6EC2AA" w14:textId="2A5A8BF0" w:rsidR="00DF4EB7" w:rsidRPr="00DF4EB7" w:rsidRDefault="00DF4EB7">
      <w:pPr>
        <w:pStyle w:val="FootnoteText"/>
        <w:rPr>
          <w:lang w:val="en-AU"/>
        </w:rPr>
      </w:pPr>
      <w:r w:rsidRPr="00DF4EB7">
        <w:rPr>
          <w:rStyle w:val="FootnoteReference"/>
          <w:sz w:val="16"/>
        </w:rPr>
        <w:footnoteRef/>
      </w:r>
      <w:r w:rsidRPr="00DF4EB7">
        <w:rPr>
          <w:sz w:val="16"/>
        </w:rPr>
        <w:t xml:space="preserve"> </w:t>
      </w:r>
      <w:r>
        <w:rPr>
          <w:sz w:val="16"/>
        </w:rPr>
        <w:t>Sri Lanka Subnational Governance Program Annual Report, January 27, 2017; Sri Lanka Subnational Governance Program Bi-Annual Report, July 31, 2017.</w:t>
      </w:r>
    </w:p>
  </w:footnote>
  <w:footnote w:id="8">
    <w:p w14:paraId="797D5B33" w14:textId="0673E7BC" w:rsidR="00DF4EB7" w:rsidRPr="00DF4EB7" w:rsidRDefault="00DF4EB7">
      <w:pPr>
        <w:pStyle w:val="FootnoteText"/>
        <w:rPr>
          <w:lang w:val="en-AU"/>
        </w:rPr>
      </w:pPr>
      <w:r w:rsidRPr="00DF4EB7">
        <w:rPr>
          <w:rStyle w:val="FootnoteReference"/>
          <w:sz w:val="16"/>
        </w:rPr>
        <w:footnoteRef/>
      </w:r>
      <w:r w:rsidRPr="00DF4EB7">
        <w:rPr>
          <w:sz w:val="16"/>
        </w:rPr>
        <w:t xml:space="preserve"> </w:t>
      </w:r>
      <w:r>
        <w:rPr>
          <w:sz w:val="16"/>
        </w:rPr>
        <w:t>Sri Lanka North East Local Services Improvement Project 15</w:t>
      </w:r>
      <w:r w:rsidRPr="00DF4EB7">
        <w:rPr>
          <w:sz w:val="16"/>
          <w:vertAlign w:val="superscript"/>
        </w:rPr>
        <w:t>th</w:t>
      </w:r>
      <w:r>
        <w:rPr>
          <w:sz w:val="16"/>
        </w:rPr>
        <w:t xml:space="preserve"> Implementation Review and Support Mission Aide Memoire, May 2017; Sri Lanka Transforming the School Education System as the Foundation of a Knowledge Hub (TSEP), Annual Progress Report – 2016, The World Bank, December 2016.</w:t>
      </w:r>
    </w:p>
  </w:footnote>
  <w:footnote w:id="9">
    <w:p w14:paraId="756E75F8" w14:textId="0832FCD2" w:rsidR="00D82BAC" w:rsidRPr="00D82BAC" w:rsidRDefault="00D82BAC">
      <w:pPr>
        <w:pStyle w:val="FootnoteText"/>
        <w:rPr>
          <w:lang w:val="en-AU"/>
        </w:rPr>
      </w:pPr>
      <w:r w:rsidRPr="00D82BAC">
        <w:rPr>
          <w:rStyle w:val="FootnoteReference"/>
          <w:sz w:val="16"/>
        </w:rPr>
        <w:footnoteRef/>
      </w:r>
      <w:r w:rsidRPr="00D82BAC">
        <w:rPr>
          <w:sz w:val="16"/>
        </w:rPr>
        <w:t xml:space="preserve"> </w:t>
      </w:r>
      <w:r>
        <w:rPr>
          <w:sz w:val="16"/>
        </w:rPr>
        <w:t xml:space="preserve">Household Analysis of Poverty and Gender Dynamics in Sri Lanka: Drivers of Exclusions. Market Development Facility, March 2017, available at </w:t>
      </w:r>
      <w:hyperlink r:id="rId3" w:history="1">
        <w:r w:rsidRPr="00D1589E">
          <w:rPr>
            <w:rStyle w:val="Hyperlink"/>
            <w:rFonts w:cstheme="minorBidi"/>
            <w:sz w:val="16"/>
          </w:rPr>
          <w:t>http://marketdevelopmentfacility.org/?type=publication&amp;posting_id=7714</w:t>
        </w:r>
      </w:hyperlink>
      <w:r>
        <w:rPr>
          <w:sz w:val="16"/>
        </w:rPr>
        <w:t xml:space="preserve"> </w:t>
      </w:r>
    </w:p>
  </w:footnote>
  <w:footnote w:id="10">
    <w:p w14:paraId="46282D02" w14:textId="5D6B997F" w:rsidR="00D82BAC" w:rsidRPr="00D82BAC" w:rsidRDefault="00D82BAC">
      <w:pPr>
        <w:pStyle w:val="FootnoteText"/>
        <w:rPr>
          <w:lang w:val="en-AU"/>
        </w:rPr>
      </w:pPr>
      <w:r w:rsidRPr="00D82BAC">
        <w:rPr>
          <w:rStyle w:val="FootnoteReference"/>
          <w:sz w:val="16"/>
        </w:rPr>
        <w:footnoteRef/>
      </w:r>
      <w:r w:rsidRPr="00D82BAC">
        <w:rPr>
          <w:sz w:val="16"/>
        </w:rPr>
        <w:t xml:space="preserve"> </w:t>
      </w:r>
      <w:r>
        <w:rPr>
          <w:sz w:val="16"/>
        </w:rPr>
        <w:t xml:space="preserve">See IFES Launches POWER Program to Promote Women’s Political Participation in Sri Lanka at </w:t>
      </w:r>
      <w:hyperlink r:id="rId4" w:history="1">
        <w:r w:rsidRPr="00D1589E">
          <w:rPr>
            <w:rStyle w:val="Hyperlink"/>
            <w:rFonts w:cstheme="minorBidi"/>
            <w:sz w:val="16"/>
          </w:rPr>
          <w:t>http://www.ifes.org/news/ifes-launches-power-program-promote-womens-political-participation-sri-lanka</w:t>
        </w:r>
      </w:hyperlink>
      <w:r>
        <w:rPr>
          <w:sz w:val="16"/>
        </w:rPr>
        <w:t xml:space="preserve">; WILL – Women in Learning and Leadership at </w:t>
      </w:r>
      <w:hyperlink r:id="rId5" w:history="1">
        <w:r w:rsidRPr="00D1589E">
          <w:rPr>
            <w:rStyle w:val="Hyperlink"/>
            <w:rFonts w:cstheme="minorBidi"/>
            <w:sz w:val="16"/>
          </w:rPr>
          <w:t>https://www.sfcg.org/will-women-learning-leadership/</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DF3B4" w14:textId="77777777" w:rsidR="00C76765" w:rsidRDefault="00C76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2B3" w14:textId="77777777" w:rsidR="0067649D" w:rsidRPr="00333501" w:rsidRDefault="0067649D" w:rsidP="008F56A8">
    <w:pPr>
      <w:pStyle w:val="Header"/>
      <w:jc w:val="left"/>
    </w:pPr>
    <w:r>
      <w:rPr>
        <w:noProof/>
        <w:lang w:val="en-AU" w:eastAsia="en-AU"/>
      </w:rPr>
      <w:drawing>
        <wp:anchor distT="0" distB="0" distL="114300" distR="114300" simplePos="0" relativeHeight="251671552" behindDoc="1" locked="1" layoutInCell="1" allowOverlap="1" wp14:anchorId="58320DC1" wp14:editId="13469BA7">
          <wp:simplePos x="0" y="0"/>
          <wp:positionH relativeFrom="page">
            <wp:posOffset>1378585</wp:posOffset>
          </wp:positionH>
          <wp:positionV relativeFrom="page">
            <wp:posOffset>272415</wp:posOffset>
          </wp:positionV>
          <wp:extent cx="10248900" cy="102355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8900" cy="102355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8ACEC" w14:textId="77777777" w:rsidR="0067649D" w:rsidRPr="003D352D" w:rsidRDefault="0067649D" w:rsidP="003D352D">
    <w:pPr>
      <w:pStyle w:val="Header"/>
      <w:jc w:val="left"/>
    </w:pPr>
    <w:r>
      <w:rPr>
        <w:noProof/>
        <w:lang w:val="en-AU" w:eastAsia="en-AU"/>
      </w:rPr>
      <w:drawing>
        <wp:anchor distT="0" distB="0" distL="114300" distR="114300" simplePos="0" relativeHeight="251669504" behindDoc="1" locked="1" layoutInCell="1" allowOverlap="1" wp14:anchorId="4C045406" wp14:editId="5D18564D">
          <wp:simplePos x="0" y="0"/>
          <wp:positionH relativeFrom="page">
            <wp:posOffset>-23495</wp:posOffset>
          </wp:positionH>
          <wp:positionV relativeFrom="page">
            <wp:posOffset>15875</wp:posOffset>
          </wp:positionV>
          <wp:extent cx="7734935" cy="108292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734935" cy="10829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F4CA" w14:textId="77777777" w:rsidR="0067649D" w:rsidRPr="00333501" w:rsidRDefault="0067649D" w:rsidP="008F56A8">
    <w:pPr>
      <w:pStyle w:val="Header"/>
      <w:jc w:val="left"/>
    </w:pPr>
    <w:r>
      <w:rPr>
        <w:noProof/>
        <w:lang w:val="en-AU" w:eastAsia="en-AU"/>
      </w:rPr>
      <w:drawing>
        <wp:anchor distT="0" distB="0" distL="114300" distR="114300" simplePos="0" relativeHeight="251685888" behindDoc="1" locked="1" layoutInCell="1" allowOverlap="1" wp14:anchorId="4F5121C0" wp14:editId="7688A2E1">
          <wp:simplePos x="0" y="0"/>
          <wp:positionH relativeFrom="margin">
            <wp:posOffset>-652145</wp:posOffset>
          </wp:positionH>
          <wp:positionV relativeFrom="page">
            <wp:posOffset>122555</wp:posOffset>
          </wp:positionV>
          <wp:extent cx="7409815" cy="10589895"/>
          <wp:effectExtent l="0" t="0" r="635" b="19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409815" cy="10589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E970" w14:textId="77777777" w:rsidR="0067649D" w:rsidRPr="003D352D" w:rsidRDefault="0067649D" w:rsidP="003D352D">
    <w:pPr>
      <w:pStyle w:val="Header"/>
      <w:jc w:val="left"/>
    </w:pPr>
    <w:r>
      <w:rPr>
        <w:noProof/>
        <w:lang w:val="en-AU" w:eastAsia="en-AU"/>
      </w:rPr>
      <w:drawing>
        <wp:anchor distT="0" distB="0" distL="114300" distR="114300" simplePos="0" relativeHeight="251673600" behindDoc="1" locked="1" layoutInCell="1" allowOverlap="1" wp14:anchorId="0F596B3B" wp14:editId="747382A2">
          <wp:simplePos x="0" y="0"/>
          <wp:positionH relativeFrom="page">
            <wp:posOffset>0</wp:posOffset>
          </wp:positionH>
          <wp:positionV relativeFrom="page">
            <wp:posOffset>0</wp:posOffset>
          </wp:positionV>
          <wp:extent cx="10694035" cy="7465695"/>
          <wp:effectExtent l="0" t="0" r="0" b="1905"/>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94035" cy="746569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338E" w14:textId="77777777" w:rsidR="0067649D" w:rsidRPr="00333501" w:rsidRDefault="0067649D" w:rsidP="008F56A8">
    <w:pPr>
      <w:pStyle w:val="Header"/>
      <w:jc w:val="left"/>
    </w:pPr>
    <w:r>
      <w:rPr>
        <w:noProof/>
        <w:lang w:val="en-AU" w:eastAsia="en-AU"/>
      </w:rPr>
      <w:drawing>
        <wp:anchor distT="0" distB="0" distL="114300" distR="114300" simplePos="0" relativeHeight="251687936" behindDoc="1" locked="1" layoutInCell="1" allowOverlap="1" wp14:anchorId="3976B966" wp14:editId="1AB35367">
          <wp:simplePos x="0" y="0"/>
          <wp:positionH relativeFrom="page">
            <wp:posOffset>40640</wp:posOffset>
          </wp:positionH>
          <wp:positionV relativeFrom="margin">
            <wp:posOffset>-721995</wp:posOffset>
          </wp:positionV>
          <wp:extent cx="10754360" cy="7082790"/>
          <wp:effectExtent l="0" t="0" r="8890" b="38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754360" cy="708279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DFA81" w14:textId="77777777" w:rsidR="0067649D" w:rsidRPr="003D352D" w:rsidRDefault="0067649D" w:rsidP="003D352D">
    <w:pPr>
      <w:pStyle w:val="Header"/>
      <w:jc w:val="left"/>
    </w:pPr>
    <w:r>
      <w:rPr>
        <w:noProof/>
        <w:lang w:val="en-AU" w:eastAsia="en-AU"/>
      </w:rPr>
      <w:drawing>
        <wp:anchor distT="0" distB="0" distL="114300" distR="114300" simplePos="0" relativeHeight="251675648" behindDoc="1" locked="1" layoutInCell="1" allowOverlap="1" wp14:anchorId="614F969B" wp14:editId="45519658">
          <wp:simplePos x="0" y="0"/>
          <wp:positionH relativeFrom="page">
            <wp:posOffset>-15875</wp:posOffset>
          </wp:positionH>
          <wp:positionV relativeFrom="page">
            <wp:posOffset>0</wp:posOffset>
          </wp:positionV>
          <wp:extent cx="10702290" cy="7458075"/>
          <wp:effectExtent l="0" t="0" r="3810" b="9525"/>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702290" cy="7458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2E11" w14:textId="77777777" w:rsidR="0067649D" w:rsidRPr="00333501" w:rsidRDefault="0067649D" w:rsidP="008F56A8">
    <w:pPr>
      <w:pStyle w:val="Header"/>
      <w:jc w:val="left"/>
    </w:pPr>
    <w:r>
      <w:rPr>
        <w:noProof/>
        <w:lang w:val="en-AU" w:eastAsia="en-AU"/>
      </w:rPr>
      <w:drawing>
        <wp:anchor distT="0" distB="0" distL="114300" distR="114300" simplePos="0" relativeHeight="251683840" behindDoc="1" locked="1" layoutInCell="1" allowOverlap="1" wp14:anchorId="20F242BB" wp14:editId="08F6C47F">
          <wp:simplePos x="0" y="0"/>
          <wp:positionH relativeFrom="page">
            <wp:posOffset>46990</wp:posOffset>
          </wp:positionH>
          <wp:positionV relativeFrom="page">
            <wp:posOffset>95250</wp:posOffset>
          </wp:positionV>
          <wp:extent cx="7561580" cy="10757535"/>
          <wp:effectExtent l="0" t="0" r="1270" b="5715"/>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61580" cy="107575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2E26"/>
    <w:multiLevelType w:val="hybridMultilevel"/>
    <w:tmpl w:val="E26CC786"/>
    <w:lvl w:ilvl="0" w:tplc="256AB89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30A869D6"/>
    <w:multiLevelType w:val="hybridMultilevel"/>
    <w:tmpl w:val="20A813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BC41F3"/>
    <w:multiLevelType w:val="hybridMultilevel"/>
    <w:tmpl w:val="798EE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3B5900"/>
    <w:multiLevelType w:val="hybridMultilevel"/>
    <w:tmpl w:val="1EF8602C"/>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3C1EA7"/>
    <w:multiLevelType w:val="multilevel"/>
    <w:tmpl w:val="43428892"/>
    <w:numStyleLink w:val="BulletsList"/>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1"/>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2"/>
  </w:num>
  <w:num w:numId="22">
    <w:abstractNumId w:val="14"/>
  </w:num>
  <w:num w:numId="23">
    <w:abstractNumId w:val="14"/>
  </w:num>
  <w:num w:numId="24">
    <w:abstractNumId w:val="22"/>
  </w:num>
  <w:num w:numId="25">
    <w:abstractNumId w:val="22"/>
  </w:num>
  <w:num w:numId="26">
    <w:abstractNumId w:val="22"/>
  </w:num>
  <w:num w:numId="27">
    <w:abstractNumId w:val="21"/>
  </w:num>
  <w:num w:numId="28">
    <w:abstractNumId w:val="11"/>
  </w:num>
  <w:num w:numId="29">
    <w:abstractNumId w:val="11"/>
  </w:num>
  <w:num w:numId="30">
    <w:abstractNumId w:val="11"/>
  </w:num>
  <w:num w:numId="31">
    <w:abstractNumId w:val="16"/>
  </w:num>
  <w:num w:numId="32">
    <w:abstractNumId w:val="20"/>
  </w:num>
  <w:num w:numId="33">
    <w:abstractNumId w:val="25"/>
  </w:num>
  <w:num w:numId="34">
    <w:abstractNumId w:val="19"/>
  </w:num>
  <w:num w:numId="35">
    <w:abstractNumId w:val="13"/>
  </w:num>
  <w:num w:numId="36">
    <w:abstractNumId w:val="18"/>
  </w:num>
  <w:num w:numId="37">
    <w:abstractNumId w:val="17"/>
  </w:num>
  <w:num w:numId="38">
    <w:abstractNumId w:val="10"/>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0762"/>
    <w:rsid w:val="00001DA8"/>
    <w:rsid w:val="000074AB"/>
    <w:rsid w:val="00015244"/>
    <w:rsid w:val="00015316"/>
    <w:rsid w:val="0001536C"/>
    <w:rsid w:val="00015C98"/>
    <w:rsid w:val="0002080A"/>
    <w:rsid w:val="00020B8F"/>
    <w:rsid w:val="0002782F"/>
    <w:rsid w:val="00031512"/>
    <w:rsid w:val="00052758"/>
    <w:rsid w:val="00052802"/>
    <w:rsid w:val="00054E4D"/>
    <w:rsid w:val="00057C66"/>
    <w:rsid w:val="00060073"/>
    <w:rsid w:val="00060268"/>
    <w:rsid w:val="00076806"/>
    <w:rsid w:val="000827AF"/>
    <w:rsid w:val="00084483"/>
    <w:rsid w:val="000A7D63"/>
    <w:rsid w:val="000B071D"/>
    <w:rsid w:val="000B7243"/>
    <w:rsid w:val="000B7FD8"/>
    <w:rsid w:val="000C4E82"/>
    <w:rsid w:val="000D22D3"/>
    <w:rsid w:val="000D66D6"/>
    <w:rsid w:val="000E1E2C"/>
    <w:rsid w:val="000E281C"/>
    <w:rsid w:val="000E2AE6"/>
    <w:rsid w:val="000E314A"/>
    <w:rsid w:val="000E6B1C"/>
    <w:rsid w:val="00105824"/>
    <w:rsid w:val="00121EB3"/>
    <w:rsid w:val="001269A9"/>
    <w:rsid w:val="00132F63"/>
    <w:rsid w:val="00141AA1"/>
    <w:rsid w:val="001541EA"/>
    <w:rsid w:val="00156294"/>
    <w:rsid w:val="00162DE2"/>
    <w:rsid w:val="00165A7C"/>
    <w:rsid w:val="00166DDA"/>
    <w:rsid w:val="0017709B"/>
    <w:rsid w:val="001827E8"/>
    <w:rsid w:val="00184F1E"/>
    <w:rsid w:val="001A6554"/>
    <w:rsid w:val="001D663E"/>
    <w:rsid w:val="001E1DC0"/>
    <w:rsid w:val="002077B1"/>
    <w:rsid w:val="00207C81"/>
    <w:rsid w:val="00222080"/>
    <w:rsid w:val="00225890"/>
    <w:rsid w:val="00231152"/>
    <w:rsid w:val="00231CE5"/>
    <w:rsid w:val="00236A53"/>
    <w:rsid w:val="002373DF"/>
    <w:rsid w:val="00256839"/>
    <w:rsid w:val="002572F6"/>
    <w:rsid w:val="0027542C"/>
    <w:rsid w:val="00275DB7"/>
    <w:rsid w:val="00284957"/>
    <w:rsid w:val="00284CB4"/>
    <w:rsid w:val="0028602A"/>
    <w:rsid w:val="00286DD5"/>
    <w:rsid w:val="002A3845"/>
    <w:rsid w:val="002A4A0E"/>
    <w:rsid w:val="002A51CA"/>
    <w:rsid w:val="002A5763"/>
    <w:rsid w:val="002A62C8"/>
    <w:rsid w:val="002B202C"/>
    <w:rsid w:val="002B3E95"/>
    <w:rsid w:val="002B5E10"/>
    <w:rsid w:val="002C1948"/>
    <w:rsid w:val="002D4772"/>
    <w:rsid w:val="002F47AA"/>
    <w:rsid w:val="003002C0"/>
    <w:rsid w:val="00301144"/>
    <w:rsid w:val="00301E9D"/>
    <w:rsid w:val="003148B7"/>
    <w:rsid w:val="003158C3"/>
    <w:rsid w:val="00326B9F"/>
    <w:rsid w:val="003274CD"/>
    <w:rsid w:val="00333501"/>
    <w:rsid w:val="003457C4"/>
    <w:rsid w:val="0035119D"/>
    <w:rsid w:val="00353365"/>
    <w:rsid w:val="00355299"/>
    <w:rsid w:val="00362E34"/>
    <w:rsid w:val="003660E6"/>
    <w:rsid w:val="003702D3"/>
    <w:rsid w:val="00372CE8"/>
    <w:rsid w:val="003752FA"/>
    <w:rsid w:val="00375CA1"/>
    <w:rsid w:val="00380104"/>
    <w:rsid w:val="003838CA"/>
    <w:rsid w:val="003874F6"/>
    <w:rsid w:val="003B3EC1"/>
    <w:rsid w:val="003B4F12"/>
    <w:rsid w:val="003C14B0"/>
    <w:rsid w:val="003D29B6"/>
    <w:rsid w:val="003D352D"/>
    <w:rsid w:val="003E305C"/>
    <w:rsid w:val="003E7AB0"/>
    <w:rsid w:val="00400B0F"/>
    <w:rsid w:val="00401124"/>
    <w:rsid w:val="00402ACC"/>
    <w:rsid w:val="00411801"/>
    <w:rsid w:val="004120EC"/>
    <w:rsid w:val="00423F31"/>
    <w:rsid w:val="0043075B"/>
    <w:rsid w:val="00431899"/>
    <w:rsid w:val="00435070"/>
    <w:rsid w:val="00442226"/>
    <w:rsid w:val="004463B9"/>
    <w:rsid w:val="0046474E"/>
    <w:rsid w:val="004674D8"/>
    <w:rsid w:val="00467FFC"/>
    <w:rsid w:val="00480422"/>
    <w:rsid w:val="00480CF2"/>
    <w:rsid w:val="0048288F"/>
    <w:rsid w:val="004839E3"/>
    <w:rsid w:val="00486804"/>
    <w:rsid w:val="00492DF7"/>
    <w:rsid w:val="004977A1"/>
    <w:rsid w:val="004A3379"/>
    <w:rsid w:val="004B3775"/>
    <w:rsid w:val="004C4B7C"/>
    <w:rsid w:val="004C7224"/>
    <w:rsid w:val="004C7EB7"/>
    <w:rsid w:val="004D0BA0"/>
    <w:rsid w:val="004E0201"/>
    <w:rsid w:val="004E0264"/>
    <w:rsid w:val="004E037B"/>
    <w:rsid w:val="004E058F"/>
    <w:rsid w:val="004E3B87"/>
    <w:rsid w:val="004E498B"/>
    <w:rsid w:val="00510921"/>
    <w:rsid w:val="00510AD3"/>
    <w:rsid w:val="0051140B"/>
    <w:rsid w:val="00511C0B"/>
    <w:rsid w:val="00513348"/>
    <w:rsid w:val="00533B5D"/>
    <w:rsid w:val="00542B5A"/>
    <w:rsid w:val="005511BF"/>
    <w:rsid w:val="00551BFB"/>
    <w:rsid w:val="00553EDA"/>
    <w:rsid w:val="005710BC"/>
    <w:rsid w:val="00577416"/>
    <w:rsid w:val="005860AF"/>
    <w:rsid w:val="0058767A"/>
    <w:rsid w:val="0059146A"/>
    <w:rsid w:val="005B5769"/>
    <w:rsid w:val="005B6CF8"/>
    <w:rsid w:val="005C0178"/>
    <w:rsid w:val="005C4428"/>
    <w:rsid w:val="005C5803"/>
    <w:rsid w:val="005C78DB"/>
    <w:rsid w:val="005D25F7"/>
    <w:rsid w:val="005D3655"/>
    <w:rsid w:val="005D5FB7"/>
    <w:rsid w:val="005E606B"/>
    <w:rsid w:val="00606B68"/>
    <w:rsid w:val="00616ECE"/>
    <w:rsid w:val="00622FF0"/>
    <w:rsid w:val="00623BA1"/>
    <w:rsid w:val="006346BC"/>
    <w:rsid w:val="00637AA2"/>
    <w:rsid w:val="00640A67"/>
    <w:rsid w:val="006426D6"/>
    <w:rsid w:val="006459E8"/>
    <w:rsid w:val="0066652A"/>
    <w:rsid w:val="0067095D"/>
    <w:rsid w:val="0067649D"/>
    <w:rsid w:val="00680522"/>
    <w:rsid w:val="00681F08"/>
    <w:rsid w:val="00682167"/>
    <w:rsid w:val="00695730"/>
    <w:rsid w:val="006A5935"/>
    <w:rsid w:val="006A72E6"/>
    <w:rsid w:val="006C42AF"/>
    <w:rsid w:val="006D7B40"/>
    <w:rsid w:val="006E7D61"/>
    <w:rsid w:val="006F27B1"/>
    <w:rsid w:val="006F65CF"/>
    <w:rsid w:val="00702BFF"/>
    <w:rsid w:val="00702E86"/>
    <w:rsid w:val="00711D8E"/>
    <w:rsid w:val="00712672"/>
    <w:rsid w:val="00731C37"/>
    <w:rsid w:val="0073344C"/>
    <w:rsid w:val="00733ADE"/>
    <w:rsid w:val="00734E3F"/>
    <w:rsid w:val="00736985"/>
    <w:rsid w:val="00737670"/>
    <w:rsid w:val="00745DF5"/>
    <w:rsid w:val="00754691"/>
    <w:rsid w:val="007602A7"/>
    <w:rsid w:val="0076250F"/>
    <w:rsid w:val="00771B53"/>
    <w:rsid w:val="007749F7"/>
    <w:rsid w:val="00777BAF"/>
    <w:rsid w:val="00784031"/>
    <w:rsid w:val="007A4785"/>
    <w:rsid w:val="007A6119"/>
    <w:rsid w:val="007A61AD"/>
    <w:rsid w:val="007B6200"/>
    <w:rsid w:val="007B7B0D"/>
    <w:rsid w:val="007F1900"/>
    <w:rsid w:val="007F3395"/>
    <w:rsid w:val="00801B9F"/>
    <w:rsid w:val="008057FD"/>
    <w:rsid w:val="00812509"/>
    <w:rsid w:val="0082331A"/>
    <w:rsid w:val="0083268A"/>
    <w:rsid w:val="0083553F"/>
    <w:rsid w:val="008475F0"/>
    <w:rsid w:val="00851140"/>
    <w:rsid w:val="008606A2"/>
    <w:rsid w:val="00863D8C"/>
    <w:rsid w:val="00864210"/>
    <w:rsid w:val="0086765F"/>
    <w:rsid w:val="008736EA"/>
    <w:rsid w:val="00873A3A"/>
    <w:rsid w:val="00886B71"/>
    <w:rsid w:val="00890693"/>
    <w:rsid w:val="008A0702"/>
    <w:rsid w:val="008A5AFE"/>
    <w:rsid w:val="008B68D7"/>
    <w:rsid w:val="008C2F58"/>
    <w:rsid w:val="008C5A0E"/>
    <w:rsid w:val="008D4779"/>
    <w:rsid w:val="008F05D4"/>
    <w:rsid w:val="008F56A8"/>
    <w:rsid w:val="00916FB1"/>
    <w:rsid w:val="009903F3"/>
    <w:rsid w:val="00992C76"/>
    <w:rsid w:val="009A423A"/>
    <w:rsid w:val="009B4D3B"/>
    <w:rsid w:val="009C11C8"/>
    <w:rsid w:val="009D6406"/>
    <w:rsid w:val="009D7407"/>
    <w:rsid w:val="009E0866"/>
    <w:rsid w:val="009E38F7"/>
    <w:rsid w:val="009F1F46"/>
    <w:rsid w:val="009F5488"/>
    <w:rsid w:val="009F6423"/>
    <w:rsid w:val="009F7A8B"/>
    <w:rsid w:val="00A00EBA"/>
    <w:rsid w:val="00A06B3A"/>
    <w:rsid w:val="00A2015E"/>
    <w:rsid w:val="00A20B68"/>
    <w:rsid w:val="00A24A62"/>
    <w:rsid w:val="00A31C9F"/>
    <w:rsid w:val="00A341D2"/>
    <w:rsid w:val="00A4144F"/>
    <w:rsid w:val="00A56F14"/>
    <w:rsid w:val="00A77335"/>
    <w:rsid w:val="00A80F95"/>
    <w:rsid w:val="00A8197B"/>
    <w:rsid w:val="00A84162"/>
    <w:rsid w:val="00A878E3"/>
    <w:rsid w:val="00A92CF2"/>
    <w:rsid w:val="00A94E8A"/>
    <w:rsid w:val="00A96CB4"/>
    <w:rsid w:val="00AA2AD2"/>
    <w:rsid w:val="00AA7BE3"/>
    <w:rsid w:val="00AB5E7F"/>
    <w:rsid w:val="00AC164A"/>
    <w:rsid w:val="00AC3E6D"/>
    <w:rsid w:val="00AD3C12"/>
    <w:rsid w:val="00AD5B08"/>
    <w:rsid w:val="00AD648C"/>
    <w:rsid w:val="00AE04CA"/>
    <w:rsid w:val="00AE2E33"/>
    <w:rsid w:val="00AE58BB"/>
    <w:rsid w:val="00AF0F3F"/>
    <w:rsid w:val="00AF1B85"/>
    <w:rsid w:val="00AF2050"/>
    <w:rsid w:val="00AF688D"/>
    <w:rsid w:val="00B00807"/>
    <w:rsid w:val="00B03CA8"/>
    <w:rsid w:val="00B043B3"/>
    <w:rsid w:val="00B12980"/>
    <w:rsid w:val="00B331DC"/>
    <w:rsid w:val="00B438D3"/>
    <w:rsid w:val="00B55E19"/>
    <w:rsid w:val="00B57754"/>
    <w:rsid w:val="00B61592"/>
    <w:rsid w:val="00B754C8"/>
    <w:rsid w:val="00B75BBC"/>
    <w:rsid w:val="00B8197B"/>
    <w:rsid w:val="00B81B8E"/>
    <w:rsid w:val="00B82E1E"/>
    <w:rsid w:val="00B8475C"/>
    <w:rsid w:val="00B87B6F"/>
    <w:rsid w:val="00B907C7"/>
    <w:rsid w:val="00B90883"/>
    <w:rsid w:val="00BA4B6D"/>
    <w:rsid w:val="00BB26C5"/>
    <w:rsid w:val="00BC3B18"/>
    <w:rsid w:val="00BD2F07"/>
    <w:rsid w:val="00BE1BEB"/>
    <w:rsid w:val="00BE6285"/>
    <w:rsid w:val="00BF3260"/>
    <w:rsid w:val="00BF4DE6"/>
    <w:rsid w:val="00C033B3"/>
    <w:rsid w:val="00C42CDE"/>
    <w:rsid w:val="00C5182A"/>
    <w:rsid w:val="00C523F9"/>
    <w:rsid w:val="00C614CD"/>
    <w:rsid w:val="00C63EE9"/>
    <w:rsid w:val="00C6605F"/>
    <w:rsid w:val="00C6626C"/>
    <w:rsid w:val="00C7139B"/>
    <w:rsid w:val="00C73D65"/>
    <w:rsid w:val="00C76765"/>
    <w:rsid w:val="00C80B55"/>
    <w:rsid w:val="00C93F9F"/>
    <w:rsid w:val="00C9439C"/>
    <w:rsid w:val="00C95CCE"/>
    <w:rsid w:val="00CA37B1"/>
    <w:rsid w:val="00CB0E81"/>
    <w:rsid w:val="00CB1959"/>
    <w:rsid w:val="00CB220B"/>
    <w:rsid w:val="00CB29E3"/>
    <w:rsid w:val="00CC4767"/>
    <w:rsid w:val="00CD0E4B"/>
    <w:rsid w:val="00CD0F9D"/>
    <w:rsid w:val="00CD1652"/>
    <w:rsid w:val="00CD6FAF"/>
    <w:rsid w:val="00CE0155"/>
    <w:rsid w:val="00CE3181"/>
    <w:rsid w:val="00CF3A13"/>
    <w:rsid w:val="00CF670F"/>
    <w:rsid w:val="00D00802"/>
    <w:rsid w:val="00D00E82"/>
    <w:rsid w:val="00D0296C"/>
    <w:rsid w:val="00D146A2"/>
    <w:rsid w:val="00D14C2C"/>
    <w:rsid w:val="00D15A00"/>
    <w:rsid w:val="00D21C1F"/>
    <w:rsid w:val="00D21DB1"/>
    <w:rsid w:val="00D2207A"/>
    <w:rsid w:val="00D2653F"/>
    <w:rsid w:val="00D5094A"/>
    <w:rsid w:val="00D51726"/>
    <w:rsid w:val="00D5400E"/>
    <w:rsid w:val="00D64BD1"/>
    <w:rsid w:val="00D72760"/>
    <w:rsid w:val="00D73D2F"/>
    <w:rsid w:val="00D76186"/>
    <w:rsid w:val="00D80E7D"/>
    <w:rsid w:val="00D82BAC"/>
    <w:rsid w:val="00D83DCE"/>
    <w:rsid w:val="00D86F71"/>
    <w:rsid w:val="00DA3E7A"/>
    <w:rsid w:val="00DC72B6"/>
    <w:rsid w:val="00DD08BF"/>
    <w:rsid w:val="00DD1986"/>
    <w:rsid w:val="00DD2B44"/>
    <w:rsid w:val="00DD3FAF"/>
    <w:rsid w:val="00DE084C"/>
    <w:rsid w:val="00DF4EB7"/>
    <w:rsid w:val="00DF6C62"/>
    <w:rsid w:val="00E01003"/>
    <w:rsid w:val="00E1290C"/>
    <w:rsid w:val="00E14706"/>
    <w:rsid w:val="00E263DD"/>
    <w:rsid w:val="00E357B7"/>
    <w:rsid w:val="00E53800"/>
    <w:rsid w:val="00E56EED"/>
    <w:rsid w:val="00E6081F"/>
    <w:rsid w:val="00E65105"/>
    <w:rsid w:val="00E80552"/>
    <w:rsid w:val="00E819F3"/>
    <w:rsid w:val="00E83458"/>
    <w:rsid w:val="00E92486"/>
    <w:rsid w:val="00E94E06"/>
    <w:rsid w:val="00EA04B2"/>
    <w:rsid w:val="00EA20F3"/>
    <w:rsid w:val="00EA436A"/>
    <w:rsid w:val="00EA7562"/>
    <w:rsid w:val="00ED1CD6"/>
    <w:rsid w:val="00ED2831"/>
    <w:rsid w:val="00ED43D1"/>
    <w:rsid w:val="00ED750D"/>
    <w:rsid w:val="00EE4EE1"/>
    <w:rsid w:val="00EF3B7C"/>
    <w:rsid w:val="00EF4574"/>
    <w:rsid w:val="00EF4AD9"/>
    <w:rsid w:val="00EF69BF"/>
    <w:rsid w:val="00F001B2"/>
    <w:rsid w:val="00F06182"/>
    <w:rsid w:val="00F2684E"/>
    <w:rsid w:val="00F27274"/>
    <w:rsid w:val="00F4140A"/>
    <w:rsid w:val="00F5404C"/>
    <w:rsid w:val="00F54B0A"/>
    <w:rsid w:val="00F62AF5"/>
    <w:rsid w:val="00F729EF"/>
    <w:rsid w:val="00F77CAE"/>
    <w:rsid w:val="00F82271"/>
    <w:rsid w:val="00F83428"/>
    <w:rsid w:val="00F83A24"/>
    <w:rsid w:val="00F959FC"/>
    <w:rsid w:val="00F96BB9"/>
    <w:rsid w:val="00FB062A"/>
    <w:rsid w:val="00FB4F75"/>
    <w:rsid w:val="00FC67FC"/>
    <w:rsid w:val="00FD01FA"/>
    <w:rsid w:val="00FD3F09"/>
    <w:rsid w:val="00FE6D51"/>
    <w:rsid w:val="00FF09F3"/>
    <w:rsid w:val="00FF0C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94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E65105"/>
    <w:pPr>
      <w:keepLines/>
      <w:suppressAutoHyphens w:val="0"/>
      <w:spacing w:before="80" w:after="80" w:line="200" w:lineRule="atLeast"/>
      <w:ind w:left="125"/>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table" w:customStyle="1" w:styleId="TableGrid1">
    <w:name w:val="Table Grid1"/>
    <w:basedOn w:val="TableNormal"/>
    <w:next w:val="TableGrid"/>
    <w:uiPriority w:val="39"/>
    <w:rsid w:val="00695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E82"/>
    <w:pPr>
      <w:ind w:left="720"/>
      <w:contextualSpacing/>
    </w:pPr>
  </w:style>
  <w:style w:type="character" w:styleId="CommentReference">
    <w:name w:val="annotation reference"/>
    <w:basedOn w:val="DefaultParagraphFont"/>
    <w:uiPriority w:val="99"/>
    <w:semiHidden/>
    <w:unhideWhenUsed/>
    <w:rsid w:val="009F1F46"/>
    <w:rPr>
      <w:sz w:val="16"/>
      <w:szCs w:val="16"/>
    </w:rPr>
  </w:style>
  <w:style w:type="paragraph" w:styleId="CommentText">
    <w:name w:val="annotation text"/>
    <w:basedOn w:val="Normal"/>
    <w:link w:val="CommentTextChar"/>
    <w:uiPriority w:val="99"/>
    <w:semiHidden/>
    <w:unhideWhenUsed/>
    <w:rsid w:val="009F1F46"/>
    <w:pPr>
      <w:spacing w:line="240" w:lineRule="auto"/>
    </w:pPr>
    <w:rPr>
      <w:sz w:val="20"/>
      <w:szCs w:val="20"/>
    </w:rPr>
  </w:style>
  <w:style w:type="character" w:customStyle="1" w:styleId="CommentTextChar">
    <w:name w:val="Comment Text Char"/>
    <w:basedOn w:val="DefaultParagraphFont"/>
    <w:link w:val="CommentText"/>
    <w:uiPriority w:val="99"/>
    <w:semiHidden/>
    <w:rsid w:val="009F1F46"/>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9F1F46"/>
    <w:rPr>
      <w:b/>
      <w:bCs/>
    </w:rPr>
  </w:style>
  <w:style w:type="character" w:customStyle="1" w:styleId="CommentSubjectChar">
    <w:name w:val="Comment Subject Char"/>
    <w:basedOn w:val="CommentTextChar"/>
    <w:link w:val="CommentSubject"/>
    <w:uiPriority w:val="99"/>
    <w:semiHidden/>
    <w:rsid w:val="009F1F46"/>
    <w:rPr>
      <w:b/>
      <w:bCs/>
      <w:color w:val="495965" w:themeColor="text2"/>
      <w:sz w:val="20"/>
      <w:szCs w:val="20"/>
      <w:lang w:val="en-GB"/>
    </w:rPr>
  </w:style>
  <w:style w:type="paragraph" w:styleId="Revision">
    <w:name w:val="Revision"/>
    <w:hidden/>
    <w:uiPriority w:val="99"/>
    <w:semiHidden/>
    <w:rsid w:val="00ED750D"/>
    <w:pPr>
      <w:spacing w:after="0" w:line="240" w:lineRule="auto"/>
    </w:pPr>
    <w:rPr>
      <w:color w:val="495965" w:themeColor="text2"/>
      <w:lang w:val="en-GB"/>
    </w:rPr>
  </w:style>
  <w:style w:type="paragraph" w:styleId="NormalWeb">
    <w:name w:val="Normal (Web)"/>
    <w:basedOn w:val="Normal"/>
    <w:uiPriority w:val="99"/>
    <w:unhideWhenUsed/>
    <w:rsid w:val="00284CB4"/>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3855">
      <w:bodyDiv w:val="1"/>
      <w:marLeft w:val="0"/>
      <w:marRight w:val="0"/>
      <w:marTop w:val="0"/>
      <w:marBottom w:val="0"/>
      <w:divBdr>
        <w:top w:val="none" w:sz="0" w:space="0" w:color="auto"/>
        <w:left w:val="none" w:sz="0" w:space="0" w:color="auto"/>
        <w:bottom w:val="none" w:sz="0" w:space="0" w:color="auto"/>
        <w:right w:val="none" w:sz="0" w:space="0" w:color="auto"/>
      </w:divBdr>
    </w:div>
    <w:div w:id="1218516876">
      <w:bodyDiv w:val="1"/>
      <w:marLeft w:val="0"/>
      <w:marRight w:val="0"/>
      <w:marTop w:val="0"/>
      <w:marBottom w:val="0"/>
      <w:divBdr>
        <w:top w:val="none" w:sz="0" w:space="0" w:color="auto"/>
        <w:left w:val="none" w:sz="0" w:space="0" w:color="auto"/>
        <w:bottom w:val="none" w:sz="0" w:space="0" w:color="auto"/>
        <w:right w:val="none" w:sz="0" w:space="0" w:color="auto"/>
      </w:divBdr>
    </w:div>
    <w:div w:id="1272280438">
      <w:bodyDiv w:val="1"/>
      <w:marLeft w:val="0"/>
      <w:marRight w:val="0"/>
      <w:marTop w:val="0"/>
      <w:marBottom w:val="0"/>
      <w:divBdr>
        <w:top w:val="none" w:sz="0" w:space="0" w:color="auto"/>
        <w:left w:val="none" w:sz="0" w:space="0" w:color="auto"/>
        <w:bottom w:val="none" w:sz="0" w:space="0" w:color="auto"/>
        <w:right w:val="none" w:sz="0" w:space="0" w:color="auto"/>
      </w:divBdr>
    </w:div>
    <w:div w:id="1672218181">
      <w:bodyDiv w:val="1"/>
      <w:marLeft w:val="0"/>
      <w:marRight w:val="0"/>
      <w:marTop w:val="0"/>
      <w:marBottom w:val="0"/>
      <w:divBdr>
        <w:top w:val="none" w:sz="0" w:space="0" w:color="auto"/>
        <w:left w:val="none" w:sz="0" w:space="0" w:color="auto"/>
        <w:bottom w:val="none" w:sz="0" w:space="0" w:color="auto"/>
        <w:right w:val="none" w:sz="0" w:space="0" w:color="auto"/>
      </w:divBdr>
      <w:divsChild>
        <w:div w:id="1961304779">
          <w:marLeft w:val="0"/>
          <w:marRight w:val="0"/>
          <w:marTop w:val="0"/>
          <w:marBottom w:val="0"/>
          <w:divBdr>
            <w:top w:val="none" w:sz="0" w:space="0" w:color="auto"/>
            <w:left w:val="none" w:sz="0" w:space="0" w:color="auto"/>
            <w:bottom w:val="none" w:sz="0" w:space="0" w:color="auto"/>
            <w:right w:val="none" w:sz="0" w:space="0" w:color="auto"/>
          </w:divBdr>
          <w:divsChild>
            <w:div w:id="1783378894">
              <w:marLeft w:val="0"/>
              <w:marRight w:val="0"/>
              <w:marTop w:val="0"/>
              <w:marBottom w:val="0"/>
              <w:divBdr>
                <w:top w:val="none" w:sz="0" w:space="0" w:color="auto"/>
                <w:left w:val="none" w:sz="0" w:space="0" w:color="auto"/>
                <w:bottom w:val="none" w:sz="0" w:space="0" w:color="auto"/>
                <w:right w:val="none" w:sz="0" w:space="0" w:color="auto"/>
              </w:divBdr>
              <w:divsChild>
                <w:div w:id="2113083560">
                  <w:marLeft w:val="0"/>
                  <w:marRight w:val="0"/>
                  <w:marTop w:val="0"/>
                  <w:marBottom w:val="0"/>
                  <w:divBdr>
                    <w:top w:val="none" w:sz="0" w:space="0" w:color="auto"/>
                    <w:left w:val="none" w:sz="0" w:space="0" w:color="auto"/>
                    <w:bottom w:val="none" w:sz="0" w:space="0" w:color="auto"/>
                    <w:right w:val="none" w:sz="0" w:space="0" w:color="auto"/>
                  </w:divBdr>
                  <w:divsChild>
                    <w:div w:id="1873568384">
                      <w:marLeft w:val="0"/>
                      <w:marRight w:val="0"/>
                      <w:marTop w:val="0"/>
                      <w:marBottom w:val="0"/>
                      <w:divBdr>
                        <w:top w:val="none" w:sz="0" w:space="0" w:color="auto"/>
                        <w:left w:val="none" w:sz="0" w:space="0" w:color="auto"/>
                        <w:bottom w:val="none" w:sz="0" w:space="0" w:color="auto"/>
                        <w:right w:val="none" w:sz="0" w:space="0" w:color="auto"/>
                      </w:divBdr>
                      <w:divsChild>
                        <w:div w:id="1635910225">
                          <w:marLeft w:val="0"/>
                          <w:marRight w:val="0"/>
                          <w:marTop w:val="0"/>
                          <w:marBottom w:val="0"/>
                          <w:divBdr>
                            <w:top w:val="none" w:sz="0" w:space="0" w:color="auto"/>
                            <w:left w:val="none" w:sz="0" w:space="0" w:color="auto"/>
                            <w:bottom w:val="none" w:sz="0" w:space="0" w:color="auto"/>
                            <w:right w:val="none" w:sz="0" w:space="0" w:color="auto"/>
                          </w:divBdr>
                          <w:divsChild>
                            <w:div w:id="2108622307">
                              <w:marLeft w:val="0"/>
                              <w:marRight w:val="0"/>
                              <w:marTop w:val="0"/>
                              <w:marBottom w:val="0"/>
                              <w:divBdr>
                                <w:top w:val="none" w:sz="0" w:space="0" w:color="auto"/>
                                <w:left w:val="none" w:sz="0" w:space="0" w:color="auto"/>
                                <w:bottom w:val="none" w:sz="0" w:space="0" w:color="auto"/>
                                <w:right w:val="none" w:sz="0" w:space="0" w:color="auto"/>
                              </w:divBdr>
                              <w:divsChild>
                                <w:div w:id="1673993375">
                                  <w:marLeft w:val="0"/>
                                  <w:marRight w:val="0"/>
                                  <w:marTop w:val="0"/>
                                  <w:marBottom w:val="0"/>
                                  <w:divBdr>
                                    <w:top w:val="none" w:sz="0" w:space="0" w:color="auto"/>
                                    <w:left w:val="none" w:sz="0" w:space="0" w:color="auto"/>
                                    <w:bottom w:val="none" w:sz="0" w:space="0" w:color="auto"/>
                                    <w:right w:val="none" w:sz="0" w:space="0" w:color="auto"/>
                                  </w:divBdr>
                                  <w:divsChild>
                                    <w:div w:id="945312363">
                                      <w:marLeft w:val="0"/>
                                      <w:marRight w:val="0"/>
                                      <w:marTop w:val="0"/>
                                      <w:marBottom w:val="0"/>
                                      <w:divBdr>
                                        <w:top w:val="none" w:sz="0" w:space="0" w:color="auto"/>
                                        <w:left w:val="none" w:sz="0" w:space="0" w:color="auto"/>
                                        <w:bottom w:val="none" w:sz="0" w:space="0" w:color="auto"/>
                                        <w:right w:val="none" w:sz="0" w:space="0" w:color="auto"/>
                                      </w:divBdr>
                                      <w:divsChild>
                                        <w:div w:id="1669600309">
                                          <w:marLeft w:val="0"/>
                                          <w:marRight w:val="0"/>
                                          <w:marTop w:val="0"/>
                                          <w:marBottom w:val="0"/>
                                          <w:divBdr>
                                            <w:top w:val="none" w:sz="0" w:space="0" w:color="auto"/>
                                            <w:left w:val="none" w:sz="0" w:space="0" w:color="auto"/>
                                            <w:bottom w:val="none" w:sz="0" w:space="0" w:color="auto"/>
                                            <w:right w:val="none" w:sz="0" w:space="0" w:color="auto"/>
                                          </w:divBdr>
                                          <w:divsChild>
                                            <w:div w:id="13797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header" Target="header4.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jpe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2.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customXml" Target="../customXml/item4.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marketdevelopmentfacility.org/?type=publication&amp;posting_id=7714" TargetMode="External"/><Relationship Id="rId2" Type="http://schemas.openxmlformats.org/officeDocument/2006/relationships/hyperlink" Target="http://www.worldbank.org/en/news/press-release/2017/03/24/program-launch-enhancing-trade-competitiveness-potential-sri-lanka-private-sector" TargetMode="External"/><Relationship Id="rId1" Type="http://schemas.openxmlformats.org/officeDocument/2006/relationships/hyperlink" Target="http://dfat.gov.au/about-us/business-opportunities/tenders/Pages/sri-lanka-skills-for-growth-program-design.aspx" TargetMode="External"/><Relationship Id="rId5" Type="http://schemas.openxmlformats.org/officeDocument/2006/relationships/hyperlink" Target="https://www.sfcg.org/will-women-learning-leadership/" TargetMode="External"/><Relationship Id="rId4" Type="http://schemas.openxmlformats.org/officeDocument/2006/relationships/hyperlink" Target="http://www.ifes.org/news/ifes-launches-power-program-promote-womens-political-participation-sri-lank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BB7269-F402-45D0-BDC8-1CC93FC70802}"/>
</file>

<file path=customXml/itemProps2.xml><?xml version="1.0" encoding="utf-8"?>
<ds:datastoreItem xmlns:ds="http://schemas.openxmlformats.org/officeDocument/2006/customXml" ds:itemID="{E07D1722-70B4-4F12-B486-8FDA99EA54DA}"/>
</file>

<file path=customXml/itemProps3.xml><?xml version="1.0" encoding="utf-8"?>
<ds:datastoreItem xmlns:ds="http://schemas.openxmlformats.org/officeDocument/2006/customXml" ds:itemID="{2DAF2B9A-33A6-4E00-854F-A4E63F3C891E}"/>
</file>

<file path=customXml/itemProps4.xml><?xml version="1.0" encoding="utf-8"?>
<ds:datastoreItem xmlns:ds="http://schemas.openxmlformats.org/officeDocument/2006/customXml" ds:itemID="{B7566C5D-18C2-421C-AF80-C8F6E808768E}"/>
</file>

<file path=docProps/app.xml><?xml version="1.0" encoding="utf-8"?>
<Properties xmlns="http://schemas.openxmlformats.org/officeDocument/2006/extended-properties" xmlns:vt="http://schemas.openxmlformats.org/officeDocument/2006/docPropsVTypes">
  <Template>Normal.dotm</Template>
  <TotalTime>0</TotalTime>
  <Pages>14</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Sri Lanka Aid Program Performance Report 2016-17</vt:lpstr>
    </vt:vector>
  </TitlesOfParts>
  <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Lanka Aid Program Performance Report 2016-17</dc:title>
  <dc:creator/>
  <cp:lastModifiedBy/>
  <cp:revision>1</cp:revision>
  <dcterms:created xsi:type="dcterms:W3CDTF">2017-09-21T03:57:00Z</dcterms:created>
  <dcterms:modified xsi:type="dcterms:W3CDTF">2017-09-21T03:57:00Z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6fed4471-f461-4483-8242-65b4d636d8c4</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1126000</vt:r8>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