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52D" w:rsidRDefault="00A56F14" w:rsidP="00D146A2">
      <w:r>
        <w:rPr>
          <w:noProof/>
          <w:lang w:val="en-AU" w:eastAsia="en-AU"/>
        </w:rPr>
        <w:drawing>
          <wp:anchor distT="0" distB="0" distL="114300" distR="114300" simplePos="0" relativeHeight="251661312" behindDoc="1" locked="1" layoutInCell="1" allowOverlap="1" wp14:anchorId="5DD58185" wp14:editId="62D6B304">
            <wp:simplePos x="0" y="0"/>
            <wp:positionH relativeFrom="page">
              <wp:posOffset>872490</wp:posOffset>
            </wp:positionH>
            <wp:positionV relativeFrom="page">
              <wp:posOffset>1561465</wp:posOffset>
            </wp:positionV>
            <wp:extent cx="3167380" cy="5543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9264" behindDoc="1" locked="1" layoutInCell="1" allowOverlap="1" wp14:anchorId="619E8947" wp14:editId="1A05470E">
            <wp:simplePos x="0" y="0"/>
            <wp:positionH relativeFrom="page">
              <wp:posOffset>-22860</wp:posOffset>
            </wp:positionH>
            <wp:positionV relativeFrom="page">
              <wp:posOffset>15875</wp:posOffset>
            </wp:positionV>
            <wp:extent cx="7585075" cy="106940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12">
                      <a:extLst>
                        <a:ext uri="{28A0092B-C50C-407E-A947-70E740481C1C}">
                          <a14:useLocalDpi xmlns:a14="http://schemas.microsoft.com/office/drawing/2010/main" val="0"/>
                        </a:ext>
                      </a:extLst>
                    </a:blip>
                    <a:stretch>
                      <a:fillRect/>
                    </a:stretch>
                  </pic:blipFill>
                  <pic:spPr>
                    <a:xfrm>
                      <a:off x="0" y="0"/>
                      <a:ext cx="7585075" cy="10694035"/>
                    </a:xfrm>
                    <a:prstGeom prst="rect">
                      <a:avLst/>
                    </a:prstGeom>
                  </pic:spPr>
                </pic:pic>
              </a:graphicData>
            </a:graphic>
            <wp14:sizeRelH relativeFrom="margin">
              <wp14:pctWidth>0</wp14:pctWidth>
            </wp14:sizeRelH>
            <wp14:sizeRelV relativeFrom="margin">
              <wp14:pctHeight>0</wp14:pctHeight>
            </wp14:sizeRelV>
          </wp:anchor>
        </w:drawing>
      </w:r>
    </w:p>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Pr="0059146A" w:rsidRDefault="003D352D" w:rsidP="0059146A"/>
    <w:p w:rsidR="003D352D" w:rsidRPr="0059146A" w:rsidRDefault="003D352D" w:rsidP="0059146A"/>
    <w:p w:rsidR="003D352D" w:rsidRPr="0059146A" w:rsidRDefault="003D352D" w:rsidP="0059146A"/>
    <w:p w:rsidR="003D352D" w:rsidRPr="0059146A" w:rsidRDefault="003D352D" w:rsidP="0059146A"/>
    <w:p w:rsidR="003D352D" w:rsidRPr="0059146A" w:rsidRDefault="003D352D" w:rsidP="0059146A"/>
    <w:p w:rsidR="003D352D" w:rsidRPr="0059146A" w:rsidRDefault="003D352D" w:rsidP="0059146A"/>
    <w:p w:rsidR="00A56F14" w:rsidRPr="0059146A" w:rsidRDefault="00A56F14" w:rsidP="00A56F14"/>
    <w:p w:rsidR="00A56F14" w:rsidRPr="0059146A" w:rsidRDefault="00A56F14" w:rsidP="0059146A"/>
    <w:p w:rsidR="00A56F14" w:rsidRDefault="00A56F14" w:rsidP="0059146A"/>
    <w:p w:rsidR="0059146A" w:rsidRDefault="0059146A" w:rsidP="0059146A"/>
    <w:p w:rsidR="0059146A" w:rsidRDefault="0059146A" w:rsidP="0059146A"/>
    <w:p w:rsidR="0059146A" w:rsidRDefault="0059146A" w:rsidP="0059146A"/>
    <w:p w:rsidR="0059146A" w:rsidRPr="0059146A" w:rsidRDefault="0059146A" w:rsidP="0059146A"/>
    <w:p w:rsidR="003D352D" w:rsidRDefault="00A56F14" w:rsidP="003D352D">
      <w:pPr>
        <w:pStyle w:val="Title"/>
        <w:spacing w:after="120" w:line="600" w:lineRule="exact"/>
        <w:rPr>
          <w:spacing w:val="-20"/>
          <w:sz w:val="60"/>
        </w:rPr>
      </w:pPr>
      <w:r>
        <w:rPr>
          <w:spacing w:val="-20"/>
          <w:sz w:val="60"/>
        </w:rPr>
        <w:t>Aid program performance</w:t>
      </w:r>
      <w:r w:rsidR="003D352D" w:rsidRPr="003D352D">
        <w:rPr>
          <w:spacing w:val="-20"/>
          <w:sz w:val="60"/>
        </w:rPr>
        <w:t xml:space="preserve"> </w:t>
      </w:r>
      <w:r>
        <w:rPr>
          <w:spacing w:val="-20"/>
          <w:sz w:val="60"/>
        </w:rPr>
        <w:t>report 2015-16</w:t>
      </w:r>
    </w:p>
    <w:p w:rsidR="0059146A" w:rsidRDefault="009C42D6" w:rsidP="00A56F14">
      <w:pPr>
        <w:rPr>
          <w:sz w:val="24"/>
        </w:rPr>
        <w:sectPr w:rsidR="0059146A" w:rsidSect="00A56F14">
          <w:headerReference w:type="default" r:id="rId13"/>
          <w:footerReference w:type="default" r:id="rId14"/>
          <w:headerReference w:type="first" r:id="rId15"/>
          <w:footerReference w:type="first" r:id="rId16"/>
          <w:pgSz w:w="11906" w:h="16838" w:code="9"/>
          <w:pgMar w:top="1952" w:right="1134" w:bottom="851" w:left="1134" w:header="1814" w:footer="567" w:gutter="0"/>
          <w:cols w:space="397"/>
          <w:titlePg/>
          <w:docGrid w:linePitch="360"/>
        </w:sectPr>
      </w:pPr>
      <w:r>
        <w:rPr>
          <w:sz w:val="40"/>
        </w:rPr>
        <w:t>Sri Lanka</w:t>
      </w:r>
      <w:r w:rsidR="0059146A">
        <w:rPr>
          <w:sz w:val="40"/>
        </w:rPr>
        <w:br/>
      </w:r>
      <w:r w:rsidR="0059146A" w:rsidRPr="0059146A">
        <w:rPr>
          <w:sz w:val="24"/>
        </w:rPr>
        <w:t>September 2016</w:t>
      </w:r>
    </w:p>
    <w:p w:rsidR="005B5769" w:rsidRPr="00B438D3" w:rsidRDefault="009C42D6" w:rsidP="00B438D3">
      <w:pPr>
        <w:pStyle w:val="Title"/>
      </w:pPr>
      <w:r>
        <w:lastRenderedPageBreak/>
        <w:t>SRI LANKA</w:t>
      </w:r>
      <w:r w:rsidR="005B5769" w:rsidRPr="00B438D3">
        <w:t xml:space="preserve"> Aid Program Performance Information 2015</w:t>
      </w:r>
      <w:r w:rsidR="006C7E5B">
        <w:noBreakHyphen/>
      </w:r>
      <w:r w:rsidR="005B5769" w:rsidRPr="00B438D3">
        <w:t>16</w:t>
      </w:r>
    </w:p>
    <w:p w:rsidR="005B5769" w:rsidRPr="00C4114C" w:rsidRDefault="005B5769" w:rsidP="00B438D3">
      <w:pPr>
        <w:pStyle w:val="Subtitle"/>
      </w:pPr>
      <w:r w:rsidRPr="00C4114C">
        <w:t>Summary</w:t>
      </w:r>
    </w:p>
    <w:p w:rsidR="00D23100" w:rsidRDefault="003C043F" w:rsidP="00015316">
      <w:r>
        <w:t>Australia’s aid program to Sri Lanka is guided by the Sri Lanka</w:t>
      </w:r>
      <w:r w:rsidR="005B5769" w:rsidRPr="00015316">
        <w:t xml:space="preserve"> Aid Investment Plan (AIP)</w:t>
      </w:r>
      <w:r w:rsidR="00775AF6">
        <w:t xml:space="preserve"> 2015-19</w:t>
      </w:r>
      <w:r w:rsidR="00526B30">
        <w:t>.</w:t>
      </w:r>
      <w:r w:rsidR="00775AF6">
        <w:t xml:space="preserve"> </w:t>
      </w:r>
      <w:r w:rsidR="00B07112">
        <w:t>The</w:t>
      </w:r>
      <w:r w:rsidR="00CC6E5F">
        <w:t xml:space="preserve"> A</w:t>
      </w:r>
      <w:r w:rsidR="002B4986">
        <w:t xml:space="preserve">id </w:t>
      </w:r>
      <w:r w:rsidR="00CC6E5F">
        <w:t>P</w:t>
      </w:r>
      <w:r w:rsidR="002B4986">
        <w:t xml:space="preserve">rogram </w:t>
      </w:r>
      <w:r w:rsidR="00CC6E5F">
        <w:t>P</w:t>
      </w:r>
      <w:r w:rsidR="002B4986">
        <w:t xml:space="preserve">erformance </w:t>
      </w:r>
      <w:r w:rsidR="00CC6E5F">
        <w:t>R</w:t>
      </w:r>
      <w:r w:rsidR="002B4986">
        <w:t>eport (APPR)</w:t>
      </w:r>
      <w:r w:rsidR="00CC6E5F">
        <w:t xml:space="preserve"> </w:t>
      </w:r>
      <w:r w:rsidR="00526B30">
        <w:t xml:space="preserve">reporting period (July 2015 – July 2016) </w:t>
      </w:r>
      <w:r w:rsidR="00CC6E5F">
        <w:t>encompasses the finalisation of the previous country strategy and th</w:t>
      </w:r>
      <w:r w:rsidR="00D23100">
        <w:t>e initiation of the AIP</w:t>
      </w:r>
      <w:r w:rsidR="00526B30" w:rsidRPr="00526B30">
        <w:t>, which came into effect in October 2015</w:t>
      </w:r>
      <w:r w:rsidR="00D23100">
        <w:t>.</w:t>
      </w:r>
      <w:r w:rsidR="00CC6E5F">
        <w:t xml:space="preserve"> </w:t>
      </w:r>
    </w:p>
    <w:p w:rsidR="005B5769" w:rsidRDefault="00775AF6" w:rsidP="00015316">
      <w:r>
        <w:t>B</w:t>
      </w:r>
      <w:r w:rsidR="00DE4300">
        <w:t>uilding</w:t>
      </w:r>
      <w:r w:rsidR="006117B8">
        <w:t xml:space="preserve"> on</w:t>
      </w:r>
      <w:r w:rsidR="00E316EC">
        <w:t xml:space="preserve"> the program’s</w:t>
      </w:r>
      <w:r w:rsidR="006117B8">
        <w:t xml:space="preserve"> </w:t>
      </w:r>
      <w:r w:rsidR="006117B8" w:rsidRPr="006117B8">
        <w:rPr>
          <w:lang w:val="en-US"/>
        </w:rPr>
        <w:t xml:space="preserve">successful </w:t>
      </w:r>
      <w:r w:rsidR="005C0FC9">
        <w:rPr>
          <w:lang w:val="en-US"/>
        </w:rPr>
        <w:t xml:space="preserve">earlier </w:t>
      </w:r>
      <w:r w:rsidR="006117B8" w:rsidRPr="006117B8">
        <w:rPr>
          <w:lang w:val="en-US"/>
        </w:rPr>
        <w:t>work in post-conflict reconstruction, livelihoods, market development and education</w:t>
      </w:r>
      <w:r w:rsidR="005B5769" w:rsidRPr="00015316">
        <w:t xml:space="preserve">, </w:t>
      </w:r>
      <w:r w:rsidR="00CC6E5F">
        <w:t xml:space="preserve">the </w:t>
      </w:r>
      <w:r w:rsidR="00D23100">
        <w:t>AIP</w:t>
      </w:r>
      <w:r w:rsidR="00E316EC">
        <w:t xml:space="preserve"> seeks to </w:t>
      </w:r>
      <w:r w:rsidR="00FD73D0">
        <w:t>advance</w:t>
      </w:r>
      <w:r w:rsidR="004B140D">
        <w:t xml:space="preserve"> the</w:t>
      </w:r>
      <w:r w:rsidR="00F12FCB">
        <w:t xml:space="preserve"> Sri Lanka </w:t>
      </w:r>
      <w:r w:rsidR="004B140D">
        <w:t>- Australia</w:t>
      </w:r>
      <w:r w:rsidR="00F12FCB">
        <w:t xml:space="preserve"> </w:t>
      </w:r>
      <w:r w:rsidR="00D23100">
        <w:t>economic partnership for development. The</w:t>
      </w:r>
      <w:r w:rsidR="00CC6E5F">
        <w:t xml:space="preserve"> three objectives </w:t>
      </w:r>
      <w:r w:rsidR="00D23100">
        <w:t xml:space="preserve">set by the AIP </w:t>
      </w:r>
      <w:r w:rsidR="00CC6E5F">
        <w:t>for achievement by 2019</w:t>
      </w:r>
      <w:r w:rsidR="00D23100">
        <w:t xml:space="preserve"> are</w:t>
      </w:r>
      <w:r w:rsidR="00CC6E5F">
        <w:t xml:space="preserve">: expand economic opportunities for the poor; support government to be more responsive to the needs of </w:t>
      </w:r>
      <w:r w:rsidR="00D23100">
        <w:t>citizen</w:t>
      </w:r>
      <w:r w:rsidR="00FD73D0">
        <w:t>s and the private sector;</w:t>
      </w:r>
      <w:r w:rsidR="00D23100">
        <w:t xml:space="preserve"> and</w:t>
      </w:r>
      <w:r w:rsidR="00CC6E5F">
        <w:t xml:space="preserve"> increase gender equality. </w:t>
      </w:r>
    </w:p>
    <w:p w:rsidR="00CC6E5F" w:rsidRPr="00015316" w:rsidRDefault="00CC6E5F" w:rsidP="00015316">
      <w:r>
        <w:t>The</w:t>
      </w:r>
      <w:r w:rsidR="00D23100">
        <w:t xml:space="preserve"> unifying logic behind the program’s investments</w:t>
      </w:r>
      <w:r w:rsidR="005C0FC9">
        <w:t xml:space="preserve"> is that economies and societies do better when markets operate efficiently, governments </w:t>
      </w:r>
      <w:r w:rsidR="00654D6F">
        <w:t xml:space="preserve">are accountable to the public and </w:t>
      </w:r>
      <w:r w:rsidR="005C0FC9">
        <w:t xml:space="preserve">deliver </w:t>
      </w:r>
      <w:r w:rsidR="00654D6F">
        <w:t>services professionally and equitably, and women are full</w:t>
      </w:r>
      <w:r w:rsidR="00D23100">
        <w:t xml:space="preserve"> </w:t>
      </w:r>
      <w:r w:rsidR="00654D6F">
        <w:t xml:space="preserve">participants in the economy, society and political leadership. </w:t>
      </w:r>
      <w:r w:rsidR="00F81C56">
        <w:t>In addition, as Sri Lanka pushes</w:t>
      </w:r>
      <w:r w:rsidR="00F12FCB">
        <w:t xml:space="preserve"> tow</w:t>
      </w:r>
      <w:r w:rsidR="00F81C56">
        <w:t>ard upper middle income status,</w:t>
      </w:r>
      <w:r w:rsidR="00E316EC">
        <w:t xml:space="preserve"> </w:t>
      </w:r>
      <w:r w:rsidR="001A4E8B">
        <w:t>significant political, social and economic divisions</w:t>
      </w:r>
      <w:r w:rsidR="00E316EC">
        <w:t xml:space="preserve"> have</w:t>
      </w:r>
      <w:r w:rsidR="00F81C56">
        <w:t xml:space="preserve"> the</w:t>
      </w:r>
      <w:r w:rsidR="00E316EC">
        <w:t xml:space="preserve"> </w:t>
      </w:r>
      <w:r w:rsidR="00F81C56">
        <w:t>potential to unsettle</w:t>
      </w:r>
      <w:r w:rsidR="00F12FCB">
        <w:t xml:space="preserve"> post-conflict </w:t>
      </w:r>
      <w:r w:rsidR="00F81C56">
        <w:t>stability</w:t>
      </w:r>
      <w:r w:rsidR="00F12FCB">
        <w:t xml:space="preserve">. </w:t>
      </w:r>
      <w:r w:rsidR="00F81C56">
        <w:t xml:space="preserve">DFAT </w:t>
      </w:r>
      <w:r w:rsidR="00F12FCB">
        <w:t>remain</w:t>
      </w:r>
      <w:r w:rsidR="00F81C56">
        <w:t>s</w:t>
      </w:r>
      <w:r w:rsidR="00F12FCB">
        <w:t xml:space="preserve"> cognisant of ensuring the </w:t>
      </w:r>
      <w:r w:rsidR="00F81C56">
        <w:t>outcomes</w:t>
      </w:r>
      <w:r w:rsidR="00F12FCB">
        <w:t xml:space="preserve"> of </w:t>
      </w:r>
      <w:r w:rsidR="00C4153F">
        <w:t xml:space="preserve">all </w:t>
      </w:r>
      <w:r w:rsidR="00F81C56">
        <w:t>Australia’s aid investments</w:t>
      </w:r>
      <w:r w:rsidR="00F12FCB">
        <w:t xml:space="preserve"> </w:t>
      </w:r>
      <w:r w:rsidR="00F81C56">
        <w:t>support</w:t>
      </w:r>
      <w:r w:rsidR="00C4153F">
        <w:t xml:space="preserve"> long-term</w:t>
      </w:r>
      <w:r w:rsidR="00F12FCB">
        <w:t xml:space="preserve"> reconciliation.  </w:t>
      </w:r>
      <w:r w:rsidR="00654D6F">
        <w:t xml:space="preserve"> </w:t>
      </w:r>
    </w:p>
    <w:p w:rsidR="00B438D3" w:rsidRPr="00015316" w:rsidRDefault="00785EA7" w:rsidP="00015316">
      <w:r>
        <w:rPr>
          <w:lang w:val="en-AU"/>
        </w:rPr>
        <w:t>Total Australian aid to Sri Lanka</w:t>
      </w:r>
      <w:r w:rsidR="00941298">
        <w:rPr>
          <w:lang w:val="en-AU"/>
        </w:rPr>
        <w:t xml:space="preserve"> in 2015-16 amounted to $26.9 million, with the bilateral component being $20.1 million</w:t>
      </w:r>
      <w:r w:rsidR="00996EED">
        <w:rPr>
          <w:lang w:val="en-AU"/>
        </w:rPr>
        <w:t>. Australia ranks seventh in the list of Development Assistance Committee (DAC) of the OECD donors</w:t>
      </w:r>
      <w:r w:rsidR="00E316EC">
        <w:rPr>
          <w:lang w:val="en-AU"/>
        </w:rPr>
        <w:t xml:space="preserve"> to Sri Lanka</w:t>
      </w:r>
      <w:r w:rsidR="00996EED">
        <w:rPr>
          <w:lang w:val="en-AU"/>
        </w:rPr>
        <w:t>, which includes international organisations such as the World Bank and Asian Development Bank.</w:t>
      </w:r>
      <w:r w:rsidR="00171C6A">
        <w:rPr>
          <w:lang w:val="en-AU"/>
        </w:rPr>
        <w:t xml:space="preserve"> At </w:t>
      </w:r>
      <w:r w:rsidR="00171C6A" w:rsidRPr="00785EA7">
        <w:rPr>
          <w:lang w:val="en-AU"/>
        </w:rPr>
        <w:t>only 0.28 per cent of Sri Lankan Government expenditure, 0.0</w:t>
      </w:r>
      <w:r w:rsidR="00526B30">
        <w:rPr>
          <w:lang w:val="en-AU"/>
        </w:rPr>
        <w:t>32</w:t>
      </w:r>
      <w:r w:rsidR="00CE777A">
        <w:rPr>
          <w:lang w:val="en-AU"/>
        </w:rPr>
        <w:t xml:space="preserve"> per cent of GDP and 3</w:t>
      </w:r>
      <w:r w:rsidR="00171C6A" w:rsidRPr="00785EA7">
        <w:rPr>
          <w:lang w:val="en-AU"/>
        </w:rPr>
        <w:t xml:space="preserve"> per cent of total ODA</w:t>
      </w:r>
      <w:r w:rsidR="00171C6A">
        <w:rPr>
          <w:lang w:val="en-AU"/>
        </w:rPr>
        <w:t xml:space="preserve"> to Sri Lanka, Australian aid is targeted to catalyse the effor</w:t>
      </w:r>
      <w:r w:rsidR="0073306D">
        <w:rPr>
          <w:lang w:val="en-AU"/>
        </w:rPr>
        <w:t xml:space="preserve">ts of the Sri Lankan government, </w:t>
      </w:r>
      <w:r w:rsidR="00171C6A">
        <w:rPr>
          <w:lang w:val="en-AU"/>
        </w:rPr>
        <w:t xml:space="preserve">large donors </w:t>
      </w:r>
      <w:r w:rsidR="0073306D">
        <w:rPr>
          <w:lang w:val="en-AU"/>
        </w:rPr>
        <w:t xml:space="preserve">and businesses </w:t>
      </w:r>
      <w:r w:rsidR="00171C6A">
        <w:rPr>
          <w:lang w:val="en-AU"/>
        </w:rPr>
        <w:t>to create positive change.</w:t>
      </w:r>
      <w:r w:rsidR="00996EED">
        <w:rPr>
          <w:lang w:val="en-AU"/>
        </w:rPr>
        <w:t xml:space="preserve"> </w:t>
      </w:r>
      <w:r w:rsidR="0073306D">
        <w:rPr>
          <w:lang w:val="en-AU"/>
        </w:rPr>
        <w:t xml:space="preserve">Unlike </w:t>
      </w:r>
      <w:r w:rsidR="00C4153F">
        <w:rPr>
          <w:lang w:val="en-AU"/>
        </w:rPr>
        <w:t>most</w:t>
      </w:r>
      <w:r w:rsidR="0073306D">
        <w:rPr>
          <w:lang w:val="en-AU"/>
        </w:rPr>
        <w:t xml:space="preserve"> donors,</w:t>
      </w:r>
      <w:r w:rsidR="00996EED">
        <w:rPr>
          <w:lang w:val="en-AU"/>
        </w:rPr>
        <w:t xml:space="preserve"> Australia’s contribution </w:t>
      </w:r>
      <w:r w:rsidR="00C4153F">
        <w:rPr>
          <w:lang w:val="en-AU"/>
        </w:rPr>
        <w:t>is</w:t>
      </w:r>
      <w:r w:rsidR="00996EED">
        <w:rPr>
          <w:lang w:val="en-AU"/>
        </w:rPr>
        <w:t xml:space="preserve"> grant aid rather than concessi</w:t>
      </w:r>
      <w:r w:rsidR="0073306D">
        <w:rPr>
          <w:lang w:val="en-AU"/>
        </w:rPr>
        <w:t>onal lending</w:t>
      </w:r>
      <w:r w:rsidR="002E063A">
        <w:rPr>
          <w:lang w:val="en-AU"/>
        </w:rPr>
        <w:t xml:space="preserve">. This increases the willingness of the Sri Lankan Government to engage with Australia on crucial elements of </w:t>
      </w:r>
      <w:r w:rsidR="001A6EF4">
        <w:rPr>
          <w:lang w:val="en-AU"/>
        </w:rPr>
        <w:t>its</w:t>
      </w:r>
      <w:r w:rsidR="002E063A">
        <w:rPr>
          <w:lang w:val="en-AU"/>
        </w:rPr>
        <w:t xml:space="preserve"> reform agenda.</w:t>
      </w:r>
      <w:r w:rsidR="00996EED">
        <w:rPr>
          <w:lang w:val="en-AU"/>
        </w:rPr>
        <w:t xml:space="preserve"> </w:t>
      </w:r>
    </w:p>
    <w:p w:rsidR="005B5769" w:rsidRPr="008C2F58" w:rsidRDefault="005B5769" w:rsidP="00B438D3">
      <w:pPr>
        <w:pStyle w:val="ListBullet"/>
        <w:tabs>
          <w:tab w:val="clear" w:pos="284"/>
        </w:tabs>
        <w:spacing w:before="360"/>
        <w:rPr>
          <w:rFonts w:asciiTheme="majorHAnsi" w:eastAsiaTheme="majorEastAsia" w:hAnsiTheme="majorHAnsi" w:cstheme="majorBidi"/>
          <w:caps/>
          <w:color w:val="495965" w:themeColor="text2"/>
          <w:sz w:val="36"/>
          <w:szCs w:val="26"/>
          <w:lang w:val="en-GB" w:eastAsia="en-US"/>
        </w:rPr>
      </w:pPr>
      <w:r w:rsidRPr="008C2F58">
        <w:rPr>
          <w:rFonts w:asciiTheme="majorHAnsi" w:eastAsiaTheme="majorEastAsia" w:hAnsiTheme="majorHAnsi" w:cstheme="majorBidi"/>
          <w:caps/>
          <w:color w:val="495965" w:themeColor="text2"/>
          <w:sz w:val="36"/>
          <w:szCs w:val="26"/>
          <w:lang w:val="en-GB" w:eastAsia="en-US"/>
        </w:rPr>
        <w:t>Performance against Strategic Objectives</w:t>
      </w:r>
    </w:p>
    <w:tbl>
      <w:tblPr>
        <w:tblStyle w:val="APPR"/>
        <w:tblW w:w="5000" w:type="pct"/>
        <w:tblLook w:val="0000" w:firstRow="0" w:lastRow="0" w:firstColumn="0" w:lastColumn="0" w:noHBand="0" w:noVBand="0"/>
      </w:tblPr>
      <w:tblGrid>
        <w:gridCol w:w="6786"/>
        <w:gridCol w:w="1157"/>
        <w:gridCol w:w="467"/>
        <w:gridCol w:w="1228"/>
      </w:tblGrid>
      <w:tr w:rsidR="005B5769" w:rsidRPr="00812509" w:rsidTr="006117B8">
        <w:trPr>
          <w:cnfStyle w:val="000000010000" w:firstRow="0" w:lastRow="0" w:firstColumn="0" w:lastColumn="0" w:oddVBand="0" w:evenVBand="0" w:oddHBand="0" w:evenHBand="1" w:firstRowFirstColumn="0" w:firstRowLastColumn="0" w:lastRowFirstColumn="0" w:lastRowLastColumn="0"/>
          <w:trHeight w:val="651"/>
        </w:trPr>
        <w:tc>
          <w:tcPr>
            <w:tcW w:w="7004" w:type="dxa"/>
          </w:tcPr>
          <w:p w:rsidR="005B5769" w:rsidRPr="00812509" w:rsidRDefault="005B5769" w:rsidP="00D15A00">
            <w:pPr>
              <w:pStyle w:val="TableTextColumnHeading"/>
              <w:rPr>
                <w:rFonts w:asciiTheme="minorHAnsi" w:hAnsiTheme="minorHAnsi"/>
              </w:rPr>
            </w:pPr>
            <w:r w:rsidRPr="00812509">
              <w:rPr>
                <w:rFonts w:asciiTheme="minorHAnsi" w:hAnsiTheme="minorHAnsi"/>
                <w:noProof/>
              </w:rPr>
              <w:drawing>
                <wp:anchor distT="0" distB="0" distL="114300" distR="114300" simplePos="0" relativeHeight="251666432" behindDoc="0" locked="0" layoutInCell="1" allowOverlap="1" wp14:anchorId="4DE74073" wp14:editId="3BA06C78">
                  <wp:simplePos x="0" y="0"/>
                  <wp:positionH relativeFrom="column">
                    <wp:posOffset>0</wp:posOffset>
                  </wp:positionH>
                  <wp:positionV relativeFrom="paragraph">
                    <wp:posOffset>0</wp:posOffset>
                  </wp:positionV>
                  <wp:extent cx="1857375" cy="228600"/>
                  <wp:effectExtent l="0" t="0" r="9525" b="0"/>
                  <wp:wrapNone/>
                  <wp:docPr id="20" name="Picture 2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hAnsiTheme="minorHAnsi"/>
              </w:rPr>
              <w:t>Objective</w:t>
            </w:r>
          </w:p>
        </w:tc>
        <w:tc>
          <w:tcPr>
            <w:tcW w:w="1129" w:type="dxa"/>
          </w:tcPr>
          <w:p w:rsidR="005B5769" w:rsidRPr="00812509" w:rsidRDefault="005B5769" w:rsidP="00D15A00">
            <w:pPr>
              <w:pStyle w:val="TableTextColumnHeading"/>
              <w:rPr>
                <w:rFonts w:asciiTheme="minorHAnsi" w:hAnsiTheme="minorHAnsi"/>
              </w:rPr>
            </w:pPr>
            <w:r w:rsidRPr="00812509">
              <w:rPr>
                <w:rFonts w:asciiTheme="minorHAnsi" w:hAnsiTheme="minorHAnsi"/>
              </w:rPr>
              <w:t>Previous Rating</w:t>
            </w:r>
          </w:p>
        </w:tc>
        <w:tc>
          <w:tcPr>
            <w:tcW w:w="451" w:type="dxa"/>
          </w:tcPr>
          <w:p w:rsidR="005B5769" w:rsidRPr="00812509" w:rsidRDefault="005B5769" w:rsidP="00D15A00">
            <w:pPr>
              <w:pStyle w:val="TableTextColumnHeading"/>
              <w:rPr>
                <w:rFonts w:asciiTheme="minorHAnsi" w:hAnsiTheme="minorHAnsi"/>
              </w:rPr>
            </w:pPr>
          </w:p>
        </w:tc>
        <w:tc>
          <w:tcPr>
            <w:tcW w:w="1186" w:type="dxa"/>
          </w:tcPr>
          <w:p w:rsidR="005B5769" w:rsidRPr="00812509" w:rsidRDefault="005B5769" w:rsidP="00D15A00">
            <w:pPr>
              <w:pStyle w:val="TableTextColumnHeading"/>
              <w:rPr>
                <w:rFonts w:asciiTheme="minorHAnsi" w:hAnsiTheme="minorHAnsi"/>
              </w:rPr>
            </w:pPr>
            <w:r w:rsidRPr="00812509">
              <w:rPr>
                <w:rFonts w:asciiTheme="minorHAnsi" w:hAnsiTheme="minorHAnsi"/>
              </w:rPr>
              <w:t>Current Rating</w:t>
            </w:r>
          </w:p>
        </w:tc>
      </w:tr>
      <w:tr w:rsidR="005B5769" w:rsidRPr="00812509" w:rsidTr="006117B8">
        <w:trPr>
          <w:cnfStyle w:val="000000010000" w:firstRow="0" w:lastRow="0" w:firstColumn="0" w:lastColumn="0" w:oddVBand="0" w:evenVBand="0" w:oddHBand="0" w:evenHBand="1" w:firstRowFirstColumn="0" w:firstRowLastColumn="0" w:lastRowFirstColumn="0" w:lastRowLastColumn="0"/>
        </w:trPr>
        <w:tc>
          <w:tcPr>
            <w:tcW w:w="7004" w:type="dxa"/>
          </w:tcPr>
          <w:p w:rsidR="005B5769" w:rsidRPr="00812509" w:rsidRDefault="005B5769" w:rsidP="00D15A00">
            <w:pPr>
              <w:pStyle w:val="TableTextEntries"/>
              <w:rPr>
                <w:rFonts w:asciiTheme="minorHAnsi" w:hAnsiTheme="minorHAnsi"/>
              </w:rPr>
            </w:pPr>
            <w:r w:rsidRPr="00812509">
              <w:rPr>
                <w:rFonts w:asciiTheme="minorHAnsi" w:hAnsiTheme="minorHAnsi"/>
              </w:rPr>
              <w:t>Objective 1</w:t>
            </w:r>
            <w:r w:rsidR="006117B8">
              <w:rPr>
                <w:rFonts w:asciiTheme="minorHAnsi" w:hAnsiTheme="minorHAnsi"/>
              </w:rPr>
              <w:t xml:space="preserve"> </w:t>
            </w:r>
            <w:r w:rsidR="008A28C7">
              <w:rPr>
                <w:rFonts w:asciiTheme="minorHAnsi" w:hAnsiTheme="minorHAnsi"/>
              </w:rPr>
              <w:t>– Expand economic opportunities for the poor</w:t>
            </w:r>
          </w:p>
        </w:tc>
        <w:tc>
          <w:tcPr>
            <w:tcW w:w="1129" w:type="dxa"/>
            <w:shd w:val="clear" w:color="auto" w:fill="auto"/>
            <w:noWrap/>
          </w:tcPr>
          <w:p w:rsidR="005B5769" w:rsidRPr="006117B8" w:rsidRDefault="006117B8" w:rsidP="00D15A00">
            <w:pPr>
              <w:pStyle w:val="TableTextEntries"/>
              <w:jc w:val="center"/>
              <w:rPr>
                <w:rFonts w:asciiTheme="minorHAnsi" w:hAnsiTheme="minorHAnsi"/>
              </w:rPr>
            </w:pPr>
            <w:r w:rsidRPr="006117B8">
              <w:rPr>
                <w:rFonts w:asciiTheme="minorHAnsi" w:hAnsiTheme="minorHAnsi"/>
              </w:rPr>
              <w:t>N/A</w:t>
            </w:r>
          </w:p>
        </w:tc>
        <w:tc>
          <w:tcPr>
            <w:tcW w:w="451" w:type="dxa"/>
          </w:tcPr>
          <w:p w:rsidR="005B5769" w:rsidRPr="00812509" w:rsidRDefault="005B5769" w:rsidP="00D15A00">
            <w:pPr>
              <w:pStyle w:val="TableTextEntries"/>
              <w:jc w:val="center"/>
              <w:rPr>
                <w:rFonts w:asciiTheme="minorHAnsi" w:hAnsiTheme="minorHAnsi"/>
                <w:color w:val="FFFFFF" w:themeColor="background1"/>
              </w:rPr>
            </w:pPr>
          </w:p>
        </w:tc>
        <w:tc>
          <w:tcPr>
            <w:tcW w:w="1186" w:type="dxa"/>
            <w:shd w:val="clear" w:color="auto" w:fill="E36C0A"/>
            <w:noWrap/>
          </w:tcPr>
          <w:p w:rsidR="005B5769" w:rsidRPr="00812509" w:rsidRDefault="005B5769" w:rsidP="00D15A00">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Amber</w:t>
            </w:r>
          </w:p>
        </w:tc>
      </w:tr>
      <w:tr w:rsidR="005B5769" w:rsidRPr="00812509" w:rsidTr="006117B8">
        <w:trPr>
          <w:cnfStyle w:val="000000010000" w:firstRow="0" w:lastRow="0" w:firstColumn="0" w:lastColumn="0" w:oddVBand="0" w:evenVBand="0" w:oddHBand="0" w:evenHBand="1" w:firstRowFirstColumn="0" w:firstRowLastColumn="0" w:lastRowFirstColumn="0" w:lastRowLastColumn="0"/>
        </w:trPr>
        <w:tc>
          <w:tcPr>
            <w:tcW w:w="7004" w:type="dxa"/>
          </w:tcPr>
          <w:p w:rsidR="005B5769" w:rsidRPr="00812509" w:rsidRDefault="005B5769" w:rsidP="008A28C7">
            <w:pPr>
              <w:pStyle w:val="TableTextEntries"/>
              <w:tabs>
                <w:tab w:val="left" w:pos="940"/>
              </w:tabs>
              <w:ind w:left="993" w:hanging="993"/>
              <w:rPr>
                <w:rFonts w:asciiTheme="minorHAnsi" w:hAnsiTheme="minorHAnsi"/>
              </w:rPr>
            </w:pPr>
            <w:r w:rsidRPr="00812509">
              <w:rPr>
                <w:rFonts w:asciiTheme="minorHAnsi" w:hAnsiTheme="minorHAnsi"/>
              </w:rPr>
              <w:t>Objective 2</w:t>
            </w:r>
            <w:r w:rsidR="008A28C7">
              <w:rPr>
                <w:rFonts w:asciiTheme="minorHAnsi" w:hAnsiTheme="minorHAnsi"/>
              </w:rPr>
              <w:t xml:space="preserve"> – Support government to be more responsive to the needs of citizens and the private sector</w:t>
            </w:r>
          </w:p>
        </w:tc>
        <w:tc>
          <w:tcPr>
            <w:tcW w:w="1129" w:type="dxa"/>
            <w:shd w:val="clear" w:color="auto" w:fill="auto"/>
            <w:noWrap/>
          </w:tcPr>
          <w:p w:rsidR="005B5769" w:rsidRPr="006117B8" w:rsidRDefault="006117B8" w:rsidP="00D15A00">
            <w:pPr>
              <w:pStyle w:val="TableTextEntries"/>
              <w:jc w:val="center"/>
              <w:rPr>
                <w:rFonts w:asciiTheme="minorHAnsi" w:hAnsiTheme="minorHAnsi"/>
              </w:rPr>
            </w:pPr>
            <w:r w:rsidRPr="006117B8">
              <w:rPr>
                <w:rFonts w:asciiTheme="minorHAnsi" w:hAnsiTheme="minorHAnsi"/>
              </w:rPr>
              <w:t>N/A</w:t>
            </w:r>
          </w:p>
        </w:tc>
        <w:tc>
          <w:tcPr>
            <w:tcW w:w="451" w:type="dxa"/>
          </w:tcPr>
          <w:p w:rsidR="005B5769" w:rsidRPr="00812509" w:rsidRDefault="005B5769" w:rsidP="00D15A00">
            <w:pPr>
              <w:pStyle w:val="TableTextEntries"/>
              <w:jc w:val="center"/>
              <w:rPr>
                <w:rFonts w:asciiTheme="minorHAnsi" w:hAnsiTheme="minorHAnsi"/>
                <w:color w:val="FFFFFF" w:themeColor="background1"/>
              </w:rPr>
            </w:pPr>
          </w:p>
        </w:tc>
        <w:tc>
          <w:tcPr>
            <w:tcW w:w="1186" w:type="dxa"/>
            <w:shd w:val="clear" w:color="auto" w:fill="72AF2F"/>
            <w:noWrap/>
          </w:tcPr>
          <w:p w:rsidR="005B5769" w:rsidRPr="00812509" w:rsidRDefault="005B5769" w:rsidP="00D15A00">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r>
      <w:tr w:rsidR="006117B8" w:rsidRPr="00812509" w:rsidTr="006117B8">
        <w:trPr>
          <w:cnfStyle w:val="000000010000" w:firstRow="0" w:lastRow="0" w:firstColumn="0" w:lastColumn="0" w:oddVBand="0" w:evenVBand="0" w:oddHBand="0" w:evenHBand="1" w:firstRowFirstColumn="0" w:firstRowLastColumn="0" w:lastRowFirstColumn="0" w:lastRowLastColumn="0"/>
        </w:trPr>
        <w:tc>
          <w:tcPr>
            <w:tcW w:w="7004" w:type="dxa"/>
          </w:tcPr>
          <w:p w:rsidR="006117B8" w:rsidRPr="00812509" w:rsidRDefault="006117B8" w:rsidP="00D15A00">
            <w:pPr>
              <w:pStyle w:val="TableTextEntries"/>
              <w:rPr>
                <w:rFonts w:asciiTheme="minorHAnsi" w:hAnsiTheme="minorHAnsi"/>
              </w:rPr>
            </w:pPr>
            <w:r w:rsidRPr="00812509">
              <w:rPr>
                <w:rFonts w:asciiTheme="minorHAnsi" w:hAnsiTheme="minorHAnsi"/>
              </w:rPr>
              <w:t>Objective 3</w:t>
            </w:r>
            <w:r w:rsidR="008A28C7">
              <w:rPr>
                <w:rFonts w:asciiTheme="minorHAnsi" w:hAnsiTheme="minorHAnsi"/>
              </w:rPr>
              <w:t xml:space="preserve"> – Increase gender equality</w:t>
            </w:r>
          </w:p>
        </w:tc>
        <w:tc>
          <w:tcPr>
            <w:tcW w:w="1129" w:type="dxa"/>
            <w:shd w:val="clear" w:color="auto" w:fill="auto"/>
            <w:noWrap/>
          </w:tcPr>
          <w:p w:rsidR="006117B8" w:rsidRPr="006117B8" w:rsidRDefault="006117B8" w:rsidP="00D15A00">
            <w:pPr>
              <w:pStyle w:val="TableTextEntries"/>
              <w:jc w:val="center"/>
              <w:rPr>
                <w:rFonts w:asciiTheme="minorHAnsi" w:hAnsiTheme="minorHAnsi"/>
              </w:rPr>
            </w:pPr>
            <w:r w:rsidRPr="006117B8">
              <w:rPr>
                <w:rFonts w:asciiTheme="minorHAnsi" w:hAnsiTheme="minorHAnsi"/>
              </w:rPr>
              <w:t>N/A</w:t>
            </w:r>
          </w:p>
        </w:tc>
        <w:tc>
          <w:tcPr>
            <w:tcW w:w="451" w:type="dxa"/>
          </w:tcPr>
          <w:p w:rsidR="006117B8" w:rsidRPr="00812509" w:rsidRDefault="006117B8" w:rsidP="00D15A00">
            <w:pPr>
              <w:pStyle w:val="TableTextEntries"/>
              <w:jc w:val="center"/>
              <w:rPr>
                <w:rFonts w:asciiTheme="minorHAnsi" w:hAnsiTheme="minorHAnsi"/>
                <w:color w:val="FFFFFF" w:themeColor="background1"/>
              </w:rPr>
            </w:pPr>
          </w:p>
        </w:tc>
        <w:tc>
          <w:tcPr>
            <w:tcW w:w="1186" w:type="dxa"/>
            <w:shd w:val="clear" w:color="auto" w:fill="E36C0A"/>
            <w:noWrap/>
          </w:tcPr>
          <w:p w:rsidR="006117B8" w:rsidRPr="00812509" w:rsidRDefault="006117B8" w:rsidP="00F10703">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Amber</w:t>
            </w:r>
          </w:p>
        </w:tc>
      </w:tr>
    </w:tbl>
    <w:p w:rsidR="005B5769" w:rsidRPr="00812509" w:rsidRDefault="005B5769" w:rsidP="005B5769">
      <w:pPr>
        <w:pStyle w:val="Note"/>
        <w:rPr>
          <w:rFonts w:asciiTheme="minorHAnsi" w:hAnsiTheme="minorHAnsi"/>
          <w:sz w:val="16"/>
        </w:rPr>
      </w:pPr>
      <w:r w:rsidRPr="00812509">
        <w:rPr>
          <w:rFonts w:asciiTheme="minorHAnsi" w:hAnsiTheme="minorHAnsi"/>
          <w:sz w:val="16"/>
        </w:rPr>
        <w:t xml:space="preserve">Note: </w:t>
      </w:r>
    </w:p>
    <w:p w:rsidR="005B5769" w:rsidRPr="00812509" w:rsidRDefault="005B5769" w:rsidP="005B5769">
      <w:pPr>
        <w:pStyle w:val="Note"/>
        <w:rPr>
          <w:rFonts w:asciiTheme="minorHAnsi" w:hAnsiTheme="minorHAnsi"/>
          <w:sz w:val="16"/>
        </w:rPr>
      </w:pPr>
      <w:r w:rsidRPr="00812509">
        <w:rPr>
          <w:rFonts w:asciiTheme="minorHAnsi" w:hAnsiTheme="minorHAnsi"/>
          <w:color w:val="72AF2F"/>
          <w:sz w:val="16"/>
        </w:rPr>
        <w:sym w:font="Webdings" w:char="F067"/>
      </w:r>
      <w:r w:rsidRPr="00812509">
        <w:rPr>
          <w:rFonts w:asciiTheme="minorHAnsi" w:hAnsiTheme="minorHAnsi"/>
          <w:sz w:val="16"/>
        </w:rPr>
        <w:t> </w:t>
      </w:r>
      <w:r w:rsidRPr="00812509">
        <w:rPr>
          <w:rFonts w:asciiTheme="minorHAnsi" w:hAnsiTheme="minorHAnsi"/>
          <w:sz w:val="16"/>
        </w:rPr>
        <w:t xml:space="preserve"> Green. Progress is as expected at this stage of implementation and it is likely that the objective will be achieved. Standard program management practices are sufficient.</w:t>
      </w:r>
    </w:p>
    <w:p w:rsidR="005B5769" w:rsidRPr="00812509" w:rsidRDefault="005B5769" w:rsidP="005B5769">
      <w:pPr>
        <w:pStyle w:val="Note"/>
        <w:rPr>
          <w:rFonts w:asciiTheme="minorHAnsi" w:hAnsiTheme="minorHAnsi"/>
          <w:sz w:val="16"/>
        </w:rPr>
      </w:pPr>
      <w:r w:rsidRPr="00812509">
        <w:rPr>
          <w:rFonts w:asciiTheme="minorHAnsi" w:hAnsiTheme="minorHAnsi"/>
          <w:color w:val="E36C0A"/>
          <w:sz w:val="16"/>
        </w:rPr>
        <w:sym w:font="Webdings" w:char="F067"/>
      </w:r>
      <w:r w:rsidRPr="00812509">
        <w:rPr>
          <w:rFonts w:asciiTheme="minorHAnsi" w:hAnsiTheme="minorHAnsi"/>
          <w:sz w:val="16"/>
        </w:rPr>
        <w:t> </w:t>
      </w:r>
      <w:r w:rsidRPr="00812509">
        <w:rPr>
          <w:rFonts w:asciiTheme="minorHAnsi" w:hAnsiTheme="minorHAnsi"/>
          <w:sz w:val="16"/>
        </w:rPr>
        <w:t xml:space="preserve"> Amber. Progress is somewhat less than expected at this stage of implementation and restorative action will be necessary if the objective is to be achieved. Close performance monitoring is recommended.</w:t>
      </w:r>
    </w:p>
    <w:p w:rsidR="005B5769" w:rsidRPr="00812509" w:rsidRDefault="005B5769" w:rsidP="005B5769">
      <w:pPr>
        <w:pStyle w:val="Note"/>
        <w:rPr>
          <w:rFonts w:asciiTheme="minorHAnsi" w:hAnsiTheme="minorHAnsi"/>
          <w:sz w:val="16"/>
        </w:rPr>
      </w:pPr>
      <w:r w:rsidRPr="00812509">
        <w:rPr>
          <w:rFonts w:asciiTheme="minorHAnsi" w:hAnsiTheme="minorHAnsi"/>
          <w:color w:val="FF0000"/>
          <w:sz w:val="16"/>
        </w:rPr>
        <w:sym w:font="Webdings" w:char="F067"/>
      </w:r>
      <w:r w:rsidRPr="00812509">
        <w:rPr>
          <w:rFonts w:asciiTheme="minorHAnsi" w:hAnsiTheme="minorHAnsi"/>
          <w:sz w:val="16"/>
        </w:rPr>
        <w:t> </w:t>
      </w:r>
      <w:r w:rsidRPr="00812509">
        <w:rPr>
          <w:rFonts w:asciiTheme="minorHAnsi" w:hAnsiTheme="minorHAnsi"/>
          <w:sz w:val="16"/>
        </w:rPr>
        <w:t xml:space="preserve"> Red. Progress is significantly less than expected at this stage of implementation and the objective is not likely to be met given available resources and priorities. Recasting the objective may be required.</w:t>
      </w:r>
    </w:p>
    <w:p w:rsidR="005B5769" w:rsidRPr="00C4114C" w:rsidRDefault="005B5769" w:rsidP="005B5769">
      <w:pPr>
        <w:pStyle w:val="Note"/>
      </w:pPr>
      <w:r w:rsidRPr="00C4114C">
        <w:t xml:space="preserve">  </w:t>
      </w:r>
    </w:p>
    <w:p w:rsidR="00171C6A" w:rsidRDefault="001A4E8B" w:rsidP="00015316">
      <w:r>
        <w:t>T</w:t>
      </w:r>
      <w:r w:rsidR="00171C6A">
        <w:t xml:space="preserve">he </w:t>
      </w:r>
      <w:r w:rsidR="002B4986">
        <w:t xml:space="preserve">2015-16 </w:t>
      </w:r>
      <w:r w:rsidR="00171C6A">
        <w:t xml:space="preserve">performance of </w:t>
      </w:r>
      <w:r w:rsidR="005135B9">
        <w:t>Australia</w:t>
      </w:r>
      <w:r w:rsidR="002B4986">
        <w:t xml:space="preserve">n aid in Sri Lanka </w:t>
      </w:r>
      <w:r w:rsidR="005135B9">
        <w:t xml:space="preserve">reflects </w:t>
      </w:r>
      <w:r w:rsidR="004B140D">
        <w:t>the program’s</w:t>
      </w:r>
      <w:r w:rsidR="002B4986">
        <w:t xml:space="preserve"> </w:t>
      </w:r>
      <w:r w:rsidR="00171C6A">
        <w:t>strategic trans</w:t>
      </w:r>
      <w:r w:rsidR="002B4986">
        <w:t xml:space="preserve">ition </w:t>
      </w:r>
      <w:r w:rsidR="004B140D">
        <w:t>process over the past twelve months</w:t>
      </w:r>
      <w:r w:rsidR="00171C6A">
        <w:t>. There are strong results from mature investments</w:t>
      </w:r>
      <w:r w:rsidR="005135B9">
        <w:t xml:space="preserve"> that either ended during the reporting period or are nearing completion. Several new investments have encountered challenges in design and implementation</w:t>
      </w:r>
      <w:r w:rsidR="003300DF">
        <w:t xml:space="preserve">, </w:t>
      </w:r>
      <w:r w:rsidR="00FD73D0">
        <w:t>but</w:t>
      </w:r>
      <w:r w:rsidR="003300DF">
        <w:t xml:space="preserve"> are expected to begin delivering results over the next twelve to eighteen months</w:t>
      </w:r>
      <w:r w:rsidR="005135B9">
        <w:t xml:space="preserve">. </w:t>
      </w:r>
      <w:r w:rsidR="00615091">
        <w:t xml:space="preserve">A </w:t>
      </w:r>
      <w:r w:rsidR="00D64933">
        <w:t>challenge for</w:t>
      </w:r>
      <w:r w:rsidR="00F106FC">
        <w:t xml:space="preserve"> activity implementation and management </w:t>
      </w:r>
      <w:r w:rsidR="00615091">
        <w:t>has been</w:t>
      </w:r>
      <w:r w:rsidR="003300DF">
        <w:t xml:space="preserve"> uncertainty associated with Sri Lanka</w:t>
      </w:r>
      <w:r w:rsidR="00C4153F">
        <w:t>’s</w:t>
      </w:r>
      <w:r w:rsidR="00D64933">
        <w:t xml:space="preserve"> Presidential (January 2015) and Parliamentary (August 2015)</w:t>
      </w:r>
      <w:r w:rsidR="002E063A">
        <w:t xml:space="preserve"> </w:t>
      </w:r>
      <w:r w:rsidR="00D64933">
        <w:t xml:space="preserve">elections </w:t>
      </w:r>
      <w:r w:rsidR="003300DF">
        <w:t xml:space="preserve">and </w:t>
      </w:r>
      <w:r w:rsidR="004B140D">
        <w:t>resultant</w:t>
      </w:r>
      <w:r w:rsidR="003300DF">
        <w:t xml:space="preserve"> m</w:t>
      </w:r>
      <w:r w:rsidR="00615091">
        <w:t>achinery of government changes.</w:t>
      </w:r>
      <w:r w:rsidR="005135B9">
        <w:t xml:space="preserve"> </w:t>
      </w:r>
    </w:p>
    <w:p w:rsidR="00615091" w:rsidRPr="00615091" w:rsidRDefault="00615091" w:rsidP="00015316">
      <w:pPr>
        <w:rPr>
          <w:b/>
        </w:rPr>
      </w:pPr>
      <w:r>
        <w:rPr>
          <w:b/>
        </w:rPr>
        <w:lastRenderedPageBreak/>
        <w:t>Objective 1 – Expand Economic Opportunities for the Poor</w:t>
      </w:r>
    </w:p>
    <w:p w:rsidR="005B542F" w:rsidRDefault="00A02716" w:rsidP="00015316">
      <w:r>
        <w:t>P</w:t>
      </w:r>
      <w:r w:rsidR="00DC259D">
        <w:t>rogress toward this objective has been</w:t>
      </w:r>
      <w:r>
        <w:t xml:space="preserve"> mixed</w:t>
      </w:r>
      <w:r w:rsidR="008A28CF">
        <w:t xml:space="preserve"> over the past twelve months, but the </w:t>
      </w:r>
      <w:r w:rsidR="004D7A89">
        <w:t>structures are now in place for improved results over the next reporting period</w:t>
      </w:r>
      <w:r>
        <w:t xml:space="preserve">. </w:t>
      </w:r>
      <w:r w:rsidR="00824AFC">
        <w:t>The Economic Opportunities for the Poor</w:t>
      </w:r>
      <w:r w:rsidR="001A4E8B">
        <w:t xml:space="preserve"> (EOP)</w:t>
      </w:r>
      <w:r w:rsidR="00824AFC">
        <w:t xml:space="preserve"> Program, the new, cornerstone investment aligned with this objective, covers two major activities. One, the Market Development Facility (MDF), was expected to be fully operational</w:t>
      </w:r>
      <w:r w:rsidR="00C4153F">
        <w:t xml:space="preserve"> and invested in up to six business partnerships</w:t>
      </w:r>
      <w:r w:rsidR="00824AFC">
        <w:t>, while the other, Skills for Growth (S4G), was expected to</w:t>
      </w:r>
      <w:r w:rsidR="005B542F">
        <w:t xml:space="preserve"> have a finalised design and </w:t>
      </w:r>
      <w:r w:rsidR="00824AFC">
        <w:t>be in the process of contrac</w:t>
      </w:r>
      <w:r w:rsidR="00C4153F">
        <w:t>ting</w:t>
      </w:r>
      <w:r w:rsidR="00B51DF5">
        <w:t xml:space="preserve"> out</w:t>
      </w:r>
      <w:r w:rsidR="00C4153F">
        <w:t xml:space="preserve"> the management of project delivery</w:t>
      </w:r>
      <w:r w:rsidR="004B140D">
        <w:t xml:space="preserve">. </w:t>
      </w:r>
      <w:r w:rsidR="00B51DF5">
        <w:t>S4G’s progress was</w:t>
      </w:r>
      <w:r w:rsidR="00824AFC">
        <w:t xml:space="preserve"> in line with expectations,</w:t>
      </w:r>
      <w:r w:rsidR="004B140D">
        <w:t xml:space="preserve"> with the design also meeting its brief to </w:t>
      </w:r>
      <w:r w:rsidR="0070510B">
        <w:t>create education and employment</w:t>
      </w:r>
      <w:r w:rsidR="004B140D">
        <w:t xml:space="preserve"> opportunities for women and people with a disability.</w:t>
      </w:r>
      <w:r w:rsidR="00824AFC">
        <w:t xml:space="preserve"> </w:t>
      </w:r>
      <w:r w:rsidR="004B140D">
        <w:t>T</w:t>
      </w:r>
      <w:r w:rsidR="00824AFC">
        <w:t>he MDF activity encountered delays in</w:t>
      </w:r>
      <w:r w:rsidR="005B542F">
        <w:t xml:space="preserve"> setting up its Sri Lanka office and</w:t>
      </w:r>
      <w:r w:rsidR="00824AFC">
        <w:t xml:space="preserve"> </w:t>
      </w:r>
      <w:r w:rsidR="009650C2">
        <w:t>had signed three partner</w:t>
      </w:r>
      <w:r w:rsidR="005B542F">
        <w:t xml:space="preserve">ships with businesses in key sectors. Extensive engagement between the MDF team and DFAT resulted in improved progress at the end of the APPR reporting period, </w:t>
      </w:r>
      <w:r w:rsidR="009650C2">
        <w:t>with the rate of partnership analysis and finalisation increasing significantly.</w:t>
      </w:r>
      <w:r w:rsidR="004B140D">
        <w:rPr>
          <w:rStyle w:val="FootnoteReference"/>
        </w:rPr>
        <w:footnoteReference w:id="1"/>
      </w:r>
      <w:r w:rsidR="009650C2">
        <w:t xml:space="preserve"> E</w:t>
      </w:r>
      <w:r w:rsidR="005B542F">
        <w:t>xpectations</w:t>
      </w:r>
      <w:r w:rsidR="009650C2">
        <w:t xml:space="preserve"> for this activity</w:t>
      </w:r>
      <w:r w:rsidR="005B542F">
        <w:t xml:space="preserve"> remain strong for the forthcoming year</w:t>
      </w:r>
      <w:r w:rsidR="004B140D">
        <w:t>, helped by the</w:t>
      </w:r>
      <w:r w:rsidR="009650C2">
        <w:t xml:space="preserve"> </w:t>
      </w:r>
      <w:r w:rsidR="00057955">
        <w:t>Ministry of Tourism</w:t>
      </w:r>
      <w:r w:rsidR="009650C2">
        <w:t>’s</w:t>
      </w:r>
      <w:r w:rsidR="00057955">
        <w:t xml:space="preserve"> </w:t>
      </w:r>
      <w:r w:rsidR="004B140D">
        <w:t xml:space="preserve">recent </w:t>
      </w:r>
      <w:r w:rsidR="00B51DF5">
        <w:t>commi</w:t>
      </w:r>
      <w:r w:rsidR="007F4A2A">
        <w:t xml:space="preserve">tment to </w:t>
      </w:r>
      <w:r w:rsidR="009650C2">
        <w:t>assist</w:t>
      </w:r>
      <w:r w:rsidR="004B140D">
        <w:t xml:space="preserve"> project facilitation</w:t>
      </w:r>
      <w:r w:rsidR="009650C2">
        <w:t xml:space="preserve">. </w:t>
      </w:r>
      <w:r w:rsidR="00B07112">
        <w:rPr>
          <w:lang w:val="en-AU"/>
        </w:rPr>
        <w:t>MDF will also continue</w:t>
      </w:r>
      <w:r w:rsidR="00B07112" w:rsidRPr="00B07112">
        <w:rPr>
          <w:lang w:val="en-AU"/>
        </w:rPr>
        <w:t xml:space="preserve"> to </w:t>
      </w:r>
      <w:r w:rsidR="00B07112">
        <w:rPr>
          <w:lang w:val="en-AU"/>
        </w:rPr>
        <w:t>seek</w:t>
      </w:r>
      <w:r w:rsidR="00B07112" w:rsidRPr="00B07112">
        <w:rPr>
          <w:lang w:val="en-AU"/>
        </w:rPr>
        <w:t xml:space="preserve"> opportunities to work with people with disabilities </w:t>
      </w:r>
      <w:r w:rsidR="00B07112">
        <w:rPr>
          <w:lang w:val="en-AU"/>
        </w:rPr>
        <w:t>under each of its partnerships</w:t>
      </w:r>
      <w:r w:rsidR="00B07112" w:rsidRPr="00B07112">
        <w:rPr>
          <w:lang w:val="en-AU"/>
        </w:rPr>
        <w:t>.</w:t>
      </w:r>
    </w:p>
    <w:p w:rsidR="00057955" w:rsidRDefault="00EF12EA" w:rsidP="00015316">
      <w:r>
        <w:t xml:space="preserve">While there have been some </w:t>
      </w:r>
      <w:r w:rsidR="00294ED1">
        <w:t>variable</w:t>
      </w:r>
      <w:r>
        <w:t xml:space="preserve"> </w:t>
      </w:r>
      <w:r w:rsidR="00135717">
        <w:t>results</w:t>
      </w:r>
      <w:r>
        <w:t xml:space="preserve"> from </w:t>
      </w:r>
      <w:r w:rsidR="00294ED1">
        <w:t xml:space="preserve">the </w:t>
      </w:r>
      <w:r>
        <w:t xml:space="preserve">Australian </w:t>
      </w:r>
      <w:r w:rsidR="00CE777A">
        <w:t>Community Rehabilitation Program</w:t>
      </w:r>
      <w:r>
        <w:t xml:space="preserve"> III (ACRP3) against this</w:t>
      </w:r>
      <w:r w:rsidR="007F4A2A">
        <w:t xml:space="preserve"> objective, </w:t>
      </w:r>
      <w:r w:rsidR="001A4E8B">
        <w:t xml:space="preserve">there were also </w:t>
      </w:r>
      <w:r w:rsidR="007F4A2A">
        <w:t>significant successes. T</w:t>
      </w:r>
      <w:r w:rsidR="00A02716">
        <w:t>he L</w:t>
      </w:r>
      <w:r w:rsidR="00F106FC">
        <w:t>ocal Empowerment through Economic Development (L</w:t>
      </w:r>
      <w:r w:rsidR="00A02716">
        <w:t>EED</w:t>
      </w:r>
      <w:r w:rsidR="00F106FC">
        <w:t>)</w:t>
      </w:r>
      <w:r w:rsidR="00A02716">
        <w:t xml:space="preserve"> pr</w:t>
      </w:r>
      <w:r w:rsidR="00F106FC">
        <w:t>oject,</w:t>
      </w:r>
      <w:r w:rsidR="0000338E">
        <w:t xml:space="preserve"> for example,</w:t>
      </w:r>
      <w:r w:rsidR="00F106FC">
        <w:t xml:space="preserve"> funded by DFAT since 2011</w:t>
      </w:r>
      <w:r w:rsidR="00A02716">
        <w:t xml:space="preserve"> and delivered by the International Labour Organisation</w:t>
      </w:r>
      <w:r w:rsidR="007F4A2A">
        <w:t xml:space="preserve"> (ILO)</w:t>
      </w:r>
      <w:r w:rsidR="00A02716">
        <w:t>, met, and in some cases exceeded, its</w:t>
      </w:r>
      <w:r w:rsidR="005B542F">
        <w:t xml:space="preserve"> 2015-16</w:t>
      </w:r>
      <w:r w:rsidR="00A02716">
        <w:t xml:space="preserve"> targets. It embedded </w:t>
      </w:r>
      <w:r w:rsidR="00B07112" w:rsidRPr="00B07112">
        <w:t xml:space="preserve">Northern Province </w:t>
      </w:r>
      <w:r w:rsidR="00F106FC">
        <w:t>agricultural and fisheries</w:t>
      </w:r>
      <w:r w:rsidR="00A02716">
        <w:t xml:space="preserve"> co</w:t>
      </w:r>
      <w:r w:rsidR="00F106FC">
        <w:t>-</w:t>
      </w:r>
      <w:r w:rsidR="00A02716">
        <w:t>op</w:t>
      </w:r>
      <w:r w:rsidR="00B07112">
        <w:t xml:space="preserve">eratives </w:t>
      </w:r>
      <w:r w:rsidR="002E063A">
        <w:t xml:space="preserve">in </w:t>
      </w:r>
      <w:r w:rsidR="00F106FC">
        <w:t>global value chains</w:t>
      </w:r>
      <w:r w:rsidR="00135717">
        <w:t xml:space="preserve"> with a degree of success that convinced</w:t>
      </w:r>
      <w:r w:rsidR="00A02716">
        <w:t xml:space="preserve"> DFAT </w:t>
      </w:r>
      <w:r w:rsidR="00135717">
        <w:t>to agree</w:t>
      </w:r>
      <w:r w:rsidR="00A02716">
        <w:t xml:space="preserve"> to </w:t>
      </w:r>
      <w:r w:rsidR="006A45DD">
        <w:t>an additional twelve months</w:t>
      </w:r>
      <w:r w:rsidR="004B140D">
        <w:t xml:space="preserve"> funding, with the goal </w:t>
      </w:r>
      <w:r w:rsidR="001A4E8B">
        <w:t>that the project then be</w:t>
      </w:r>
      <w:r w:rsidR="004B140D">
        <w:t xml:space="preserve"> self-sustaining</w:t>
      </w:r>
      <w:r w:rsidR="00A02716">
        <w:t>.</w:t>
      </w:r>
      <w:r w:rsidR="004B140D">
        <w:rPr>
          <w:rStyle w:val="FootnoteReference"/>
        </w:rPr>
        <w:footnoteReference w:id="2"/>
      </w:r>
      <w:r w:rsidR="00A02716">
        <w:t xml:space="preserve"> </w:t>
      </w:r>
      <w:r w:rsidR="00FD73D0">
        <w:t>Although there are discrepancies between districts, t</w:t>
      </w:r>
      <w:r w:rsidR="00B40F89">
        <w:t>he long-running Commun</w:t>
      </w:r>
      <w:r w:rsidR="00135717">
        <w:t>ity Forestry investmen</w:t>
      </w:r>
      <w:r w:rsidR="00F57223">
        <w:t xml:space="preserve">t (ends December </w:t>
      </w:r>
      <w:r w:rsidR="00B40F89">
        <w:t>2016</w:t>
      </w:r>
      <w:r w:rsidR="00F57223">
        <w:t>)</w:t>
      </w:r>
      <w:r w:rsidR="00B40F89">
        <w:t xml:space="preserve"> </w:t>
      </w:r>
      <w:r w:rsidR="00F57223">
        <w:t xml:space="preserve">has been </w:t>
      </w:r>
      <w:r w:rsidR="00B40F89">
        <w:t xml:space="preserve">independently assessed as </w:t>
      </w:r>
      <w:r w:rsidR="00FD73D0">
        <w:t xml:space="preserve">expanding </w:t>
      </w:r>
      <w:r w:rsidR="00F57223">
        <w:t>a majority of</w:t>
      </w:r>
      <w:r w:rsidR="00F106FC">
        <w:t xml:space="preserve"> </w:t>
      </w:r>
      <w:r w:rsidR="004D7A89">
        <w:t>participants’ livelihoods opportunities</w:t>
      </w:r>
      <w:r w:rsidR="004B140D">
        <w:t xml:space="preserve"> by diversifying their forest and agriculture-based sources of income</w:t>
      </w:r>
      <w:r w:rsidR="004D7A89">
        <w:t>.</w:t>
      </w:r>
      <w:r w:rsidR="004B140D">
        <w:rPr>
          <w:rStyle w:val="FootnoteReference"/>
        </w:rPr>
        <w:footnoteReference w:id="3"/>
      </w:r>
      <w:r w:rsidR="00B40F89">
        <w:t xml:space="preserve"> </w:t>
      </w:r>
      <w:r w:rsidR="005B542F">
        <w:t>And, toward the end of the reporting period, DFAT</w:t>
      </w:r>
      <w:r w:rsidR="00A02716">
        <w:t xml:space="preserve"> </w:t>
      </w:r>
      <w:r w:rsidR="00F57223">
        <w:t xml:space="preserve">responded to the opening </w:t>
      </w:r>
      <w:r w:rsidR="000D5F56">
        <w:t xml:space="preserve">of a policy </w:t>
      </w:r>
      <w:r w:rsidR="00F57223">
        <w:t>window</w:t>
      </w:r>
      <w:r w:rsidR="000D5F56">
        <w:t xml:space="preserve"> on</w:t>
      </w:r>
      <w:r w:rsidR="004B140D">
        <w:t xml:space="preserve"> investment and business environment</w:t>
      </w:r>
      <w:r w:rsidR="000D5F56">
        <w:t xml:space="preserve"> reform by </w:t>
      </w:r>
      <w:r w:rsidR="004B140D">
        <w:t>partner</w:t>
      </w:r>
      <w:r w:rsidR="000D5F56">
        <w:t>ing with the World Bank in the</w:t>
      </w:r>
      <w:r w:rsidR="00A02716">
        <w:t xml:space="preserve"> ‘Unleashing </w:t>
      </w:r>
      <w:r w:rsidR="00C87DE2">
        <w:t xml:space="preserve">the Competitiveness Potential of </w:t>
      </w:r>
      <w:r w:rsidR="00A02716">
        <w:t>Sri Lanka</w:t>
      </w:r>
      <w:r w:rsidR="00C87DE2">
        <w:t>n</w:t>
      </w:r>
      <w:r w:rsidR="00A02716">
        <w:t xml:space="preserve"> </w:t>
      </w:r>
      <w:r w:rsidR="00C87DE2">
        <w:t>Enterprises</w:t>
      </w:r>
      <w:r w:rsidR="00A02716">
        <w:t xml:space="preserve">’ </w:t>
      </w:r>
      <w:r w:rsidR="00C87DE2">
        <w:t xml:space="preserve">(UCPSLE) </w:t>
      </w:r>
      <w:r w:rsidR="00A02716">
        <w:t>activity</w:t>
      </w:r>
      <w:r w:rsidR="004B140D">
        <w:t>.</w:t>
      </w:r>
      <w:r w:rsidR="004B140D">
        <w:rPr>
          <w:rStyle w:val="FootnoteReference"/>
        </w:rPr>
        <w:footnoteReference w:id="4"/>
      </w:r>
      <w:r w:rsidR="004B140D">
        <w:t xml:space="preserve"> A key element of this has the longer term goal of improving employment opportunities for the poor in the tourism sector</w:t>
      </w:r>
      <w:r w:rsidR="00FD73D0">
        <w:t xml:space="preserve">. This activity </w:t>
      </w:r>
      <w:r w:rsidR="004B140D">
        <w:t>will be more fully reported on in future APPRs.</w:t>
      </w:r>
    </w:p>
    <w:p w:rsidR="00615091" w:rsidRDefault="00057955" w:rsidP="00015316">
      <w:r>
        <w:rPr>
          <w:b/>
        </w:rPr>
        <w:t>Objective 2 – Support Government to be More Responsive to the Needs of Citizens and the Private Sector</w:t>
      </w:r>
      <w:r w:rsidR="00DC259D">
        <w:t xml:space="preserve"> </w:t>
      </w:r>
    </w:p>
    <w:p w:rsidR="00DA2FB2" w:rsidRDefault="000D5F56" w:rsidP="00015316">
      <w:r>
        <w:t xml:space="preserve">Progress toward this objective has been </w:t>
      </w:r>
      <w:r w:rsidR="004B140D">
        <w:t>in line with expectations</w:t>
      </w:r>
      <w:r>
        <w:t xml:space="preserve">. </w:t>
      </w:r>
      <w:r w:rsidR="008A28CF">
        <w:t xml:space="preserve">DFAT </w:t>
      </w:r>
      <w:r w:rsidR="004D7A89">
        <w:t xml:space="preserve">assists improvements </w:t>
      </w:r>
      <w:r w:rsidR="00FD73D0">
        <w:t>at</w:t>
      </w:r>
      <w:r w:rsidR="008A28CF">
        <w:t xml:space="preserve"> various levels of government</w:t>
      </w:r>
      <w:r w:rsidR="00FD73D0">
        <w:t xml:space="preserve"> in Sri Lanka</w:t>
      </w:r>
      <w:r w:rsidR="004D7A89">
        <w:t xml:space="preserve"> through</w:t>
      </w:r>
      <w:r w:rsidR="00F106FC">
        <w:t xml:space="preserve"> a combination of</w:t>
      </w:r>
      <w:r w:rsidR="004D7A89">
        <w:t xml:space="preserve"> mainstreamed activities and stand-alone projects. </w:t>
      </w:r>
      <w:r w:rsidR="00434B15">
        <w:t xml:space="preserve">The expectation over the past twelve months was that </w:t>
      </w:r>
      <w:r w:rsidR="00430F9E">
        <w:t xml:space="preserve">projects nearing completion would </w:t>
      </w:r>
      <w:r w:rsidR="001A6EF4">
        <w:t>leave</w:t>
      </w:r>
      <w:r w:rsidR="00B07112">
        <w:t xml:space="preserve"> </w:t>
      </w:r>
      <w:r w:rsidR="00430F9E">
        <w:t>government partners</w:t>
      </w:r>
      <w:r w:rsidR="001A6EF4">
        <w:t xml:space="preserve"> with improved capacity</w:t>
      </w:r>
      <w:r w:rsidR="00430F9E">
        <w:t xml:space="preserve"> to respond to citizens and business.  </w:t>
      </w:r>
      <w:r w:rsidR="00B64DA2">
        <w:t>B</w:t>
      </w:r>
      <w:r w:rsidR="004D7A89">
        <w:t>oth of the large, World Bank-managed projects in which DFAT has invested</w:t>
      </w:r>
      <w:r w:rsidR="00C64D61">
        <w:t xml:space="preserve"> over a number of years</w:t>
      </w:r>
      <w:r w:rsidR="004D7A89">
        <w:t xml:space="preserve"> – the North East Local Services Improvement Project</w:t>
      </w:r>
      <w:r w:rsidR="003122B4">
        <w:t xml:space="preserve"> (NELSIP)</w:t>
      </w:r>
      <w:r w:rsidR="004D7A89">
        <w:t xml:space="preserve"> and the </w:t>
      </w:r>
      <w:r w:rsidR="003122B4">
        <w:t>Transforming the School Educat</w:t>
      </w:r>
      <w:r w:rsidR="00FD73D0">
        <w:t>ion System Project (TSEP)</w:t>
      </w:r>
      <w:r w:rsidR="003122B4">
        <w:t xml:space="preserve"> –</w:t>
      </w:r>
      <w:r w:rsidR="00DA2FB2">
        <w:t xml:space="preserve"> </w:t>
      </w:r>
      <w:r w:rsidR="00B64DA2">
        <w:t>have improve</w:t>
      </w:r>
      <w:r>
        <w:t>d</w:t>
      </w:r>
      <w:r w:rsidR="00DA2FB2">
        <w:t xml:space="preserve"> the ability of administrative and representative arms of government </w:t>
      </w:r>
      <w:r w:rsidR="00C64D61">
        <w:t>at national</w:t>
      </w:r>
      <w:r w:rsidR="00D64933">
        <w:t>,</w:t>
      </w:r>
      <w:r w:rsidR="00C64D61">
        <w:t xml:space="preserve"> provincial</w:t>
      </w:r>
      <w:r w:rsidR="00D64933">
        <w:t>, and local</w:t>
      </w:r>
      <w:r w:rsidR="00C64D61">
        <w:t xml:space="preserve"> levels</w:t>
      </w:r>
      <w:r w:rsidR="00FD73D0">
        <w:t>, including in former conflict areas,</w:t>
      </w:r>
      <w:r w:rsidR="00C64D61">
        <w:t xml:space="preserve"> </w:t>
      </w:r>
      <w:r w:rsidR="00DA2FB2">
        <w:t xml:space="preserve">to </w:t>
      </w:r>
      <w:r w:rsidR="004B140D">
        <w:t xml:space="preserve">plan, budget and </w:t>
      </w:r>
      <w:r w:rsidR="00DA2FB2">
        <w:t>deliver services that re</w:t>
      </w:r>
      <w:r>
        <w:t>spond</w:t>
      </w:r>
      <w:r w:rsidR="004B140D">
        <w:t xml:space="preserve"> to </w:t>
      </w:r>
      <w:r w:rsidR="00C64D61">
        <w:t>citizens</w:t>
      </w:r>
      <w:r w:rsidR="004B140D">
        <w:t>’ needs</w:t>
      </w:r>
      <w:r w:rsidR="00C64D61">
        <w:t>.</w:t>
      </w:r>
      <w:r w:rsidR="00DA2FB2">
        <w:t xml:space="preserve"> </w:t>
      </w:r>
      <w:r w:rsidR="00DB1EBC">
        <w:t>In the case of NELSIP</w:t>
      </w:r>
      <w:r w:rsidR="004B140D">
        <w:t>,</w:t>
      </w:r>
      <w:r w:rsidR="00DB1EBC">
        <w:t xml:space="preserve"> this has also involved </w:t>
      </w:r>
      <w:r w:rsidR="00D64933">
        <w:t xml:space="preserve">building the capacity of local governments </w:t>
      </w:r>
      <w:r w:rsidR="002A1D05">
        <w:t xml:space="preserve">to </w:t>
      </w:r>
      <w:r w:rsidR="00B07112">
        <w:t>engage with</w:t>
      </w:r>
      <w:r w:rsidR="00FC508D">
        <w:t xml:space="preserve"> </w:t>
      </w:r>
      <w:r w:rsidR="00D97205">
        <w:t>a broad cross-section of the</w:t>
      </w:r>
      <w:r w:rsidR="00B07112">
        <w:t xml:space="preserve"> community in planning, </w:t>
      </w:r>
      <w:r w:rsidR="00FC508D">
        <w:t>prioritising</w:t>
      </w:r>
      <w:r w:rsidR="00B07112">
        <w:t xml:space="preserve"> and implementing</w:t>
      </w:r>
      <w:r w:rsidR="00FC508D">
        <w:t xml:space="preserve"> infrastructure projects</w:t>
      </w:r>
      <w:r w:rsidR="00DB1EBC">
        <w:t xml:space="preserve">. </w:t>
      </w:r>
      <w:r w:rsidR="00DA2FB2">
        <w:t xml:space="preserve">Monitoring of both </w:t>
      </w:r>
      <w:r w:rsidR="00B07112">
        <w:t>World Bank investment</w:t>
      </w:r>
      <w:r w:rsidR="00DA2FB2">
        <w:t>s confirmed they met their targets for 2015-16</w:t>
      </w:r>
      <w:r w:rsidR="00B07112">
        <w:t xml:space="preserve"> and continued to embed accountability processes</w:t>
      </w:r>
      <w:r w:rsidR="00FC508D">
        <w:t>.</w:t>
      </w:r>
      <w:r w:rsidR="004B140D">
        <w:rPr>
          <w:rStyle w:val="FootnoteReference"/>
        </w:rPr>
        <w:footnoteReference w:id="5"/>
      </w:r>
      <w:r w:rsidR="00C64D61">
        <w:t xml:space="preserve"> </w:t>
      </w:r>
    </w:p>
    <w:p w:rsidR="00057955" w:rsidRDefault="00C64D61" w:rsidP="00015316">
      <w:r>
        <w:lastRenderedPageBreak/>
        <w:t xml:space="preserve">At the provincial and local government levels, DFAT </w:t>
      </w:r>
      <w:r w:rsidR="00CE777A">
        <w:t>continues to</w:t>
      </w:r>
      <w:r>
        <w:t xml:space="preserve"> work </w:t>
      </w:r>
      <w:r w:rsidR="00CE777A">
        <w:t>with</w:t>
      </w:r>
      <w:r>
        <w:t xml:space="preserve"> The Asia Foundation</w:t>
      </w:r>
      <w:r w:rsidR="00434B15">
        <w:t xml:space="preserve"> (TAF) in improving legislative </w:t>
      </w:r>
      <w:r w:rsidR="00E41EA8">
        <w:t xml:space="preserve">and policy </w:t>
      </w:r>
      <w:r w:rsidR="00434B15">
        <w:t>capacity, financial administration (including participatory budgeting)</w:t>
      </w:r>
      <w:r w:rsidR="001A4E8B">
        <w:t xml:space="preserve"> and</w:t>
      </w:r>
      <w:r w:rsidR="00E41EA8">
        <w:t xml:space="preserve"> </w:t>
      </w:r>
      <w:r w:rsidR="00FD73D0">
        <w:t>accountability structures</w:t>
      </w:r>
      <w:r w:rsidR="00E41EA8">
        <w:t>.</w:t>
      </w:r>
      <w:r w:rsidR="000D5F56">
        <w:t xml:space="preserve"> While some of this activity</w:t>
      </w:r>
      <w:r w:rsidR="00E41EA8">
        <w:t xml:space="preserve"> comp</w:t>
      </w:r>
      <w:r w:rsidR="000D5F56">
        <w:t>leted with the finishing of ACRP</w:t>
      </w:r>
      <w:r w:rsidR="00E41EA8">
        <w:t xml:space="preserve"> III </w:t>
      </w:r>
      <w:r w:rsidR="000D5F56">
        <w:t>in June 2016, it</w:t>
      </w:r>
      <w:r w:rsidR="00E41EA8">
        <w:t xml:space="preserve">s success and importance were such that DFAT engaged TAF to extend its work with local authorities under the </w:t>
      </w:r>
      <w:r w:rsidR="009A0224">
        <w:t>sub National Governance Program</w:t>
      </w:r>
      <w:r w:rsidR="00E41EA8">
        <w:t xml:space="preserve"> (2015-19) and the Norther</w:t>
      </w:r>
      <w:r w:rsidR="00A4041F">
        <w:t>n</w:t>
      </w:r>
      <w:r w:rsidR="00E41EA8">
        <w:t xml:space="preserve"> Provincial Council support activity (2015-16).</w:t>
      </w:r>
      <w:r w:rsidR="009A0224">
        <w:t xml:space="preserve"> Key results through these programs</w:t>
      </w:r>
      <w:r w:rsidR="002E063A">
        <w:t xml:space="preserve"> were in line with expectations, </w:t>
      </w:r>
      <w:r w:rsidR="009A0224">
        <w:t>includ</w:t>
      </w:r>
      <w:r w:rsidR="002E063A">
        <w:t>ing:</w:t>
      </w:r>
      <w:r w:rsidR="009A0224">
        <w:t xml:space="preserve"> the establishment of a Trilingual Learning Centre (with more than 400 students enrolled), and a Legislative Resource Centre within the Northern Provincial Council</w:t>
      </w:r>
      <w:r w:rsidR="002E063A">
        <w:t>,</w:t>
      </w:r>
      <w:r w:rsidR="009A0224">
        <w:t xml:space="preserve"> and the establishment of formal partnerships (including financial contributions) with the Finance Commission, </w:t>
      </w:r>
      <w:r w:rsidR="007301D9">
        <w:t xml:space="preserve">the Information and Communication and </w:t>
      </w:r>
      <w:r w:rsidR="002A1D05">
        <w:t>T</w:t>
      </w:r>
      <w:r w:rsidR="007301D9">
        <w:t>echnology Agency, and nine Local Governments.</w:t>
      </w:r>
      <w:r w:rsidR="004B140D">
        <w:rPr>
          <w:rStyle w:val="FootnoteReference"/>
        </w:rPr>
        <w:footnoteReference w:id="6"/>
      </w:r>
      <w:r w:rsidR="009A0224">
        <w:t xml:space="preserve"> </w:t>
      </w:r>
      <w:r w:rsidR="00E41EA8">
        <w:t xml:space="preserve"> </w:t>
      </w:r>
      <w:r w:rsidR="004B140D">
        <w:t xml:space="preserve">At the national level, the </w:t>
      </w:r>
      <w:r w:rsidR="002A1D05">
        <w:t xml:space="preserve">World Bank </w:t>
      </w:r>
      <w:r w:rsidR="004B140D">
        <w:t>UCPSLE partnership is working directly with the Sri Lankan government to improve the policy and operational effectiveness of key economic agencies overseeing investment, trade and entrepreneurship.</w:t>
      </w:r>
    </w:p>
    <w:p w:rsidR="00037C1B" w:rsidRDefault="0079453B" w:rsidP="00015316">
      <w:r>
        <w:t>In early 2015</w:t>
      </w:r>
      <w:r w:rsidR="00D97205">
        <w:t>,</w:t>
      </w:r>
      <w:r>
        <w:t xml:space="preserve"> DFAT </w:t>
      </w:r>
      <w:r w:rsidR="00037C1B">
        <w:t xml:space="preserve">recommenced </w:t>
      </w:r>
      <w:r>
        <w:t>the</w:t>
      </w:r>
      <w:r w:rsidR="00037C1B">
        <w:t xml:space="preserve"> volunteer program Australian Volunteers for International Development (AVID)</w:t>
      </w:r>
      <w:r>
        <w:t xml:space="preserve"> in Sri Lanka</w:t>
      </w:r>
      <w:r w:rsidR="00D97205">
        <w:t>.</w:t>
      </w:r>
      <w:r>
        <w:t xml:space="preserve"> </w:t>
      </w:r>
      <w:r w:rsidR="00D97205">
        <w:t>I</w:t>
      </w:r>
      <w:r>
        <w:t xml:space="preserve">n FY2015-16, </w:t>
      </w:r>
      <w:r w:rsidR="00037C1B">
        <w:t>15 volunteers we</w:t>
      </w:r>
      <w:r>
        <w:t>re</w:t>
      </w:r>
      <w:r w:rsidR="00037C1B">
        <w:t xml:space="preserve"> placed into key ministries </w:t>
      </w:r>
      <w:r>
        <w:t>and</w:t>
      </w:r>
      <w:r w:rsidR="00037C1B">
        <w:t xml:space="preserve"> regional Chambers of Commerce </w:t>
      </w:r>
      <w:r>
        <w:t>to help build institutional and human resource capacity</w:t>
      </w:r>
      <w:r w:rsidR="003379EB">
        <w:t>.</w:t>
      </w:r>
      <w:r>
        <w:t xml:space="preserve"> </w:t>
      </w:r>
    </w:p>
    <w:p w:rsidR="00057955" w:rsidRPr="00057955" w:rsidRDefault="00057955" w:rsidP="00015316">
      <w:pPr>
        <w:rPr>
          <w:b/>
        </w:rPr>
      </w:pPr>
      <w:r>
        <w:rPr>
          <w:b/>
        </w:rPr>
        <w:t>Objective 3 – Increase Gender Equality</w:t>
      </w:r>
    </w:p>
    <w:p w:rsidR="002E3532" w:rsidRDefault="00FD3B11" w:rsidP="00015316">
      <w:r>
        <w:t>A key goal of the Australian aid program to Sri Lanka over the p</w:t>
      </w:r>
      <w:r w:rsidR="00A4041F">
        <w:t xml:space="preserve">ast year has been to capitalise on the gender equality </w:t>
      </w:r>
      <w:r w:rsidR="004B140D">
        <w:t>advocacy and planning</w:t>
      </w:r>
      <w:r w:rsidR="00A4041F">
        <w:t xml:space="preserve"> the DFAT aid management team has </w:t>
      </w:r>
      <w:r w:rsidR="004B140D">
        <w:t xml:space="preserve">undertaken </w:t>
      </w:r>
      <w:r w:rsidR="00A4041F">
        <w:t>with delivery p</w:t>
      </w:r>
      <w:r w:rsidR="00D97205">
        <w:t>artners</w:t>
      </w:r>
      <w:r w:rsidR="00BA393D">
        <w:t xml:space="preserve">. This intensive </w:t>
      </w:r>
      <w:r w:rsidR="004B140D">
        <w:t>engagement</w:t>
      </w:r>
      <w:r w:rsidR="00BA393D">
        <w:t xml:space="preserve"> has </w:t>
      </w:r>
      <w:r w:rsidR="00226676">
        <w:t>produced</w:t>
      </w:r>
      <w:r w:rsidR="00BA393D">
        <w:t xml:space="preserve"> largely successful</w:t>
      </w:r>
      <w:r w:rsidR="00226676">
        <w:t xml:space="preserve"> results</w:t>
      </w:r>
      <w:r w:rsidR="00BA393D">
        <w:t xml:space="preserve">. For example, </w:t>
      </w:r>
      <w:r w:rsidR="00A4041F">
        <w:t>NELSI</w:t>
      </w:r>
      <w:r w:rsidR="002E3532">
        <w:t>P</w:t>
      </w:r>
      <w:r w:rsidR="007F3AF8">
        <w:t xml:space="preserve">, a project with a </w:t>
      </w:r>
      <w:r w:rsidR="00B64DA2">
        <w:t xml:space="preserve">history of low </w:t>
      </w:r>
      <w:r w:rsidR="00BA393D">
        <w:t>Aid Quality Check (AQC)</w:t>
      </w:r>
      <w:r w:rsidR="00B64DA2">
        <w:t xml:space="preserve"> ratings </w:t>
      </w:r>
      <w:r w:rsidR="007F3AF8">
        <w:t xml:space="preserve">on gender equality, reported </w:t>
      </w:r>
      <w:r w:rsidR="00BA393D">
        <w:t>clear improvement</w:t>
      </w:r>
      <w:r w:rsidR="007F3AF8">
        <w:t xml:space="preserve">s over the past year in key results areas. </w:t>
      </w:r>
      <w:r w:rsidR="001A6EF4">
        <w:t>F</w:t>
      </w:r>
      <w:r w:rsidR="00BA393D">
        <w:t xml:space="preserve">emale participation in </w:t>
      </w:r>
      <w:r w:rsidR="007F3AF8">
        <w:t xml:space="preserve">NELSIP Social Audit Committees has increased </w:t>
      </w:r>
      <w:r w:rsidR="00BA393D">
        <w:t>to</w:t>
      </w:r>
      <w:r w:rsidR="007F3AF8">
        <w:t xml:space="preserve"> 35% and 40%</w:t>
      </w:r>
      <w:r w:rsidR="00B64DA2" w:rsidRPr="00B64DA2">
        <w:t xml:space="preserve"> in the Northern and Eastern Provinces respectively</w:t>
      </w:r>
      <w:r w:rsidR="007F3AF8">
        <w:t>, from</w:t>
      </w:r>
      <w:r w:rsidR="004146F1">
        <w:t xml:space="preserve"> low base</w:t>
      </w:r>
      <w:r w:rsidR="00B07112">
        <w:t>s. There has</w:t>
      </w:r>
      <w:r w:rsidR="007F3AF8">
        <w:t xml:space="preserve"> </w:t>
      </w:r>
      <w:r w:rsidR="00B07112">
        <w:t xml:space="preserve">also </w:t>
      </w:r>
      <w:r w:rsidR="007F3AF8">
        <w:t>been</w:t>
      </w:r>
      <w:r w:rsidR="00B07112">
        <w:t xml:space="preserve"> a significant increase</w:t>
      </w:r>
      <w:r w:rsidR="007F3AF8">
        <w:t xml:space="preserve"> in the number</w:t>
      </w:r>
      <w:r w:rsidR="00BA393D">
        <w:t xml:space="preserve"> of women using formal complaints mechanisms, </w:t>
      </w:r>
      <w:r w:rsidR="00B07112">
        <w:t xml:space="preserve">a gender action plan has been successfully rolled out, and </w:t>
      </w:r>
      <w:r w:rsidR="00BA393D">
        <w:t>gender training</w:t>
      </w:r>
      <w:r w:rsidR="00B07112">
        <w:t xml:space="preserve"> delivered</w:t>
      </w:r>
      <w:r w:rsidR="00BA393D">
        <w:t xml:space="preserve"> </w:t>
      </w:r>
      <w:r w:rsidR="00B07112">
        <w:t>to a wide variety</w:t>
      </w:r>
      <w:r w:rsidR="00BA393D">
        <w:t xml:space="preserve"> of government agencies</w:t>
      </w:r>
      <w:r w:rsidR="00B64DA2" w:rsidRPr="00B64DA2">
        <w:t>.</w:t>
      </w:r>
      <w:r w:rsidR="004B140D">
        <w:rPr>
          <w:rStyle w:val="FootnoteReference"/>
        </w:rPr>
        <w:footnoteReference w:id="7"/>
      </w:r>
      <w:r w:rsidR="00B64DA2" w:rsidRPr="00B64DA2">
        <w:t xml:space="preserve"> </w:t>
      </w:r>
      <w:r w:rsidR="00B07112" w:rsidRPr="00B07112">
        <w:t>ACRP3</w:t>
      </w:r>
      <w:r w:rsidR="002E3532">
        <w:t xml:space="preserve"> </w:t>
      </w:r>
      <w:r w:rsidR="006A0D1F">
        <w:t>monitoring found</w:t>
      </w:r>
      <w:r w:rsidR="00226676">
        <w:t xml:space="preserve"> that </w:t>
      </w:r>
      <w:r w:rsidR="002E3532">
        <w:t>DFAT’s push for delivery partners to share expertise on gender equality</w:t>
      </w:r>
      <w:r w:rsidR="00226676">
        <w:t>,</w:t>
      </w:r>
      <w:r w:rsidR="004146F1">
        <w:t xml:space="preserve"> along with</w:t>
      </w:r>
      <w:r w:rsidR="00226676">
        <w:t xml:space="preserve"> the funding of </w:t>
      </w:r>
      <w:r w:rsidR="006A0D1F" w:rsidRPr="006A0D1F">
        <w:t xml:space="preserve">a full time </w:t>
      </w:r>
      <w:r w:rsidR="004146F1">
        <w:t>gender specialist as part of the supervision team, resulted in significantly improved gender-related results</w:t>
      </w:r>
      <w:r w:rsidR="002E3532">
        <w:t>.</w:t>
      </w:r>
      <w:r w:rsidR="00A4041F">
        <w:t xml:space="preserve"> </w:t>
      </w:r>
      <w:r w:rsidR="00D97205">
        <w:t xml:space="preserve">To take one example, </w:t>
      </w:r>
      <w:r w:rsidR="004146F1">
        <w:t>Oxfam Australia</w:t>
      </w:r>
      <w:r w:rsidR="00226676" w:rsidRPr="00226676">
        <w:t>’s establish</w:t>
      </w:r>
      <w:r w:rsidR="004146F1">
        <w:t>ment of gender-based violence networks and help desks in the Northern and E</w:t>
      </w:r>
      <w:r w:rsidR="00226676" w:rsidRPr="00226676">
        <w:t xml:space="preserve">astern provinces </w:t>
      </w:r>
      <w:r w:rsidR="004146F1">
        <w:t>has prove</w:t>
      </w:r>
      <w:r w:rsidR="003B63F8">
        <w:t>n to be so successful that the</w:t>
      </w:r>
      <w:r w:rsidR="004146F1">
        <w:t xml:space="preserve"> model </w:t>
      </w:r>
      <w:r w:rsidR="00226676" w:rsidRPr="00226676">
        <w:t xml:space="preserve">is set to be mainstreamed through the </w:t>
      </w:r>
      <w:r w:rsidR="004146F1">
        <w:t>national</w:t>
      </w:r>
      <w:r w:rsidR="00226676" w:rsidRPr="00226676">
        <w:t xml:space="preserve"> health and l</w:t>
      </w:r>
      <w:r w:rsidR="004146F1">
        <w:t>egal systems</w:t>
      </w:r>
      <w:r w:rsidR="00226676" w:rsidRPr="00226676">
        <w:t>.</w:t>
      </w:r>
      <w:r w:rsidR="004146F1">
        <w:t xml:space="preserve">  </w:t>
      </w:r>
      <w:r w:rsidR="00D97205">
        <w:t xml:space="preserve">Likewise, </w:t>
      </w:r>
      <w:r w:rsidR="00E900C3" w:rsidRPr="00E900C3">
        <w:t>World Vis</w:t>
      </w:r>
      <w:r w:rsidR="001A6EF4">
        <w:t>i</w:t>
      </w:r>
      <w:r w:rsidR="00E900C3" w:rsidRPr="00E900C3">
        <w:t>on’s work on water and sanitation in the central province has increased access to water for wom</w:t>
      </w:r>
      <w:r w:rsidR="00E900C3">
        <w:t>en, while activities delivered by IOM, ILO and ZOA have</w:t>
      </w:r>
      <w:r w:rsidR="00E900C3" w:rsidRPr="00E900C3">
        <w:t xml:space="preserve"> increased women’s access to income and assets through productive engagement in high value crops and fisheries across the north and the east.</w:t>
      </w:r>
      <w:r w:rsidR="004B140D">
        <w:rPr>
          <w:rStyle w:val="FootnoteReference"/>
        </w:rPr>
        <w:footnoteReference w:id="8"/>
      </w:r>
      <w:r w:rsidR="00B07112">
        <w:t xml:space="preserve"> </w:t>
      </w:r>
    </w:p>
    <w:p w:rsidR="004B140D" w:rsidRDefault="003379EB" w:rsidP="00015316">
      <w:r>
        <w:t>DFAT contin</w:t>
      </w:r>
      <w:r w:rsidR="00F975D4">
        <w:t xml:space="preserve">ued </w:t>
      </w:r>
      <w:r w:rsidR="004B140D">
        <w:t xml:space="preserve">over the past year to use TSEP </w:t>
      </w:r>
      <w:r w:rsidR="00F975D4">
        <w:t>to raise</w:t>
      </w:r>
      <w:r>
        <w:t xml:space="preserve"> gender equality </w:t>
      </w:r>
      <w:r w:rsidR="00F975D4">
        <w:t xml:space="preserve">considerations </w:t>
      </w:r>
      <w:r w:rsidR="004B140D">
        <w:t>in education</w:t>
      </w:r>
      <w:r w:rsidR="00F975D4">
        <w:t xml:space="preserve">. </w:t>
      </w:r>
      <w:r w:rsidR="004B140D">
        <w:t>A key activity completed i</w:t>
      </w:r>
      <w:r>
        <w:t xml:space="preserve">n 2015-16 </w:t>
      </w:r>
      <w:r w:rsidR="004B140D">
        <w:t>was the DFAT-initiated,</w:t>
      </w:r>
      <w:r>
        <w:t xml:space="preserve"> TSEP</w:t>
      </w:r>
      <w:r w:rsidR="00F975D4">
        <w:t>-funded</w:t>
      </w:r>
      <w:r>
        <w:t xml:space="preserve"> study into</w:t>
      </w:r>
      <w:r w:rsidR="00F975D4">
        <w:t xml:space="preserve"> the higher level of </w:t>
      </w:r>
      <w:r>
        <w:t>school drop-out rates of boys</w:t>
      </w:r>
      <w:r w:rsidR="00F975D4">
        <w:t>. The findings and recommendations of that study will be released in early FY 2016-17.</w:t>
      </w:r>
      <w:r>
        <w:t xml:space="preserve">  </w:t>
      </w:r>
    </w:p>
    <w:p w:rsidR="007301D9" w:rsidRDefault="00B07112" w:rsidP="00015316">
      <w:r>
        <w:t xml:space="preserve">Finally, while </w:t>
      </w:r>
      <w:r w:rsidRPr="00B07112">
        <w:t xml:space="preserve">the benchmark target of completing the design </w:t>
      </w:r>
      <w:r>
        <w:t>of the Women in Work</w:t>
      </w:r>
      <w:r w:rsidRPr="00B07112">
        <w:t xml:space="preserve"> investment </w:t>
      </w:r>
      <w:r>
        <w:t>was not met</w:t>
      </w:r>
      <w:r w:rsidR="001A4E8B">
        <w:t xml:space="preserve"> – impacting on the assessment of progress toward Objective 3 of the AIP –</w:t>
      </w:r>
      <w:r w:rsidR="007301D9">
        <w:t xml:space="preserve"> good progress was made</w:t>
      </w:r>
      <w:r w:rsidRPr="00B07112">
        <w:t xml:space="preserve"> </w:t>
      </w:r>
      <w:r>
        <w:t>and, after significant engagement by DFAT program managers in the design process, the investment is on track for start-up in early 2016-17.</w:t>
      </w:r>
      <w:r w:rsidR="007301D9">
        <w:t xml:space="preserve"> This</w:t>
      </w:r>
      <w:r>
        <w:t xml:space="preserve"> cornerstone</w:t>
      </w:r>
      <w:r w:rsidR="007301D9">
        <w:t xml:space="preserve"> investment will focus on addressing the supply and demand constraints of Sri Lankan women’s participation in the formal labour force, including: gender norms; access to skills improvement; pr</w:t>
      </w:r>
      <w:r w:rsidR="00FD73D0">
        <w:t>otection from harassment and gender-based violence</w:t>
      </w:r>
      <w:r w:rsidR="007301D9">
        <w:t xml:space="preserve"> in formal employment; </w:t>
      </w:r>
      <w:r w:rsidR="00FD73D0">
        <w:t xml:space="preserve">and </w:t>
      </w:r>
      <w:r w:rsidR="007301D9">
        <w:t xml:space="preserve">access to quality child care services. </w:t>
      </w:r>
    </w:p>
    <w:p w:rsidR="004B140D" w:rsidRDefault="004B140D" w:rsidP="00015316"/>
    <w:p w:rsidR="005B5769" w:rsidRPr="008C2F58" w:rsidRDefault="005B5769" w:rsidP="00B438D3">
      <w:pPr>
        <w:pStyle w:val="ListBullet"/>
        <w:tabs>
          <w:tab w:val="clear" w:pos="284"/>
        </w:tabs>
        <w:spacing w:before="400"/>
        <w:rPr>
          <w:rFonts w:asciiTheme="majorHAnsi" w:eastAsiaTheme="majorEastAsia" w:hAnsiTheme="majorHAnsi" w:cstheme="majorBidi"/>
          <w:caps/>
          <w:color w:val="495965" w:themeColor="text2"/>
          <w:sz w:val="36"/>
          <w:szCs w:val="26"/>
          <w:lang w:val="en-GB" w:eastAsia="en-US"/>
        </w:rPr>
      </w:pPr>
      <w:r w:rsidRPr="008C2F58">
        <w:rPr>
          <w:rFonts w:asciiTheme="majorHAnsi" w:eastAsiaTheme="majorEastAsia" w:hAnsiTheme="majorHAnsi" w:cstheme="majorBidi"/>
          <w:caps/>
          <w:color w:val="495965" w:themeColor="text2"/>
          <w:sz w:val="36"/>
          <w:szCs w:val="26"/>
          <w:lang w:val="en-GB" w:eastAsia="en-US"/>
        </w:rPr>
        <w:t>Progress towards Performance Benchmarks in 2015</w:t>
      </w:r>
      <w:r w:rsidR="00B438D3" w:rsidRPr="008C2F58">
        <w:rPr>
          <w:rFonts w:asciiTheme="majorHAnsi" w:eastAsiaTheme="majorEastAsia" w:hAnsiTheme="majorHAnsi" w:cstheme="majorBidi"/>
          <w:caps/>
          <w:color w:val="495965" w:themeColor="text2"/>
          <w:sz w:val="36"/>
          <w:szCs w:val="26"/>
          <w:lang w:val="en-GB" w:eastAsia="en-US"/>
        </w:rPr>
        <w:noBreakHyphen/>
      </w:r>
      <w:r w:rsidRPr="008C2F58">
        <w:rPr>
          <w:rFonts w:asciiTheme="majorHAnsi" w:eastAsiaTheme="majorEastAsia" w:hAnsiTheme="majorHAnsi" w:cstheme="majorBidi"/>
          <w:caps/>
          <w:color w:val="495965" w:themeColor="text2"/>
          <w:sz w:val="36"/>
          <w:szCs w:val="26"/>
          <w:lang w:val="en-GB" w:eastAsia="en-US"/>
        </w:rPr>
        <w:t>16</w:t>
      </w:r>
    </w:p>
    <w:tbl>
      <w:tblPr>
        <w:tblStyle w:val="DFATTable"/>
        <w:tblW w:w="5000" w:type="pct"/>
        <w:tblLook w:val="04A0" w:firstRow="1" w:lastRow="0" w:firstColumn="1" w:lastColumn="0" w:noHBand="0" w:noVBand="1"/>
      </w:tblPr>
      <w:tblGrid>
        <w:gridCol w:w="1503"/>
        <w:gridCol w:w="1504"/>
        <w:gridCol w:w="906"/>
        <w:gridCol w:w="5725"/>
      </w:tblGrid>
      <w:tr w:rsidR="005B5769" w:rsidRPr="00C4114C" w:rsidTr="0053088D">
        <w:trPr>
          <w:tblHeader/>
        </w:trPr>
        <w:tc>
          <w:tcPr>
            <w:tcW w:w="780" w:type="pct"/>
            <w:tcMar>
              <w:top w:w="57" w:type="dxa"/>
              <w:bottom w:w="57" w:type="dxa"/>
            </w:tcMar>
          </w:tcPr>
          <w:p w:rsidR="005B5769" w:rsidRPr="00812509" w:rsidRDefault="005B5769" w:rsidP="00D15A00">
            <w:pPr>
              <w:pStyle w:val="TableHeading1"/>
              <w:keepNext/>
              <w:rPr>
                <w:rFonts w:asciiTheme="minorHAnsi" w:hAnsiTheme="minorHAnsi"/>
              </w:rPr>
            </w:pPr>
            <w:r w:rsidRPr="00812509">
              <w:rPr>
                <w:rFonts w:asciiTheme="minorHAnsi" w:hAnsiTheme="minorHAnsi"/>
              </w:rPr>
              <w:t>Aid objective</w:t>
            </w:r>
          </w:p>
        </w:tc>
        <w:tc>
          <w:tcPr>
            <w:tcW w:w="780" w:type="pct"/>
          </w:tcPr>
          <w:p w:rsidR="005B5769" w:rsidRPr="00812509" w:rsidRDefault="005B5769" w:rsidP="00D15A00">
            <w:pPr>
              <w:pStyle w:val="TableHeading1"/>
              <w:keepNext/>
              <w:rPr>
                <w:rFonts w:asciiTheme="minorHAnsi" w:hAnsiTheme="minorHAnsi"/>
              </w:rPr>
            </w:pPr>
            <w:r w:rsidRPr="00812509">
              <w:rPr>
                <w:rFonts w:asciiTheme="minorHAnsi" w:hAnsiTheme="minorHAnsi"/>
              </w:rPr>
              <w:t xml:space="preserve">2015-16 benchmark </w:t>
            </w:r>
          </w:p>
        </w:tc>
        <w:tc>
          <w:tcPr>
            <w:tcW w:w="470" w:type="pct"/>
            <w:tcBorders>
              <w:bottom w:val="nil"/>
            </w:tcBorders>
          </w:tcPr>
          <w:p w:rsidR="005B5769" w:rsidRPr="00812509" w:rsidRDefault="005B5769" w:rsidP="00D15A00">
            <w:pPr>
              <w:pStyle w:val="TableHeading1"/>
              <w:keepNext/>
              <w:rPr>
                <w:rFonts w:asciiTheme="minorHAnsi" w:hAnsiTheme="minorHAnsi"/>
              </w:rPr>
            </w:pPr>
            <w:r w:rsidRPr="00812509">
              <w:rPr>
                <w:rFonts w:asciiTheme="minorHAnsi" w:hAnsiTheme="minorHAnsi"/>
              </w:rPr>
              <w:t>Rating</w:t>
            </w:r>
          </w:p>
        </w:tc>
        <w:tc>
          <w:tcPr>
            <w:tcW w:w="2970" w:type="pct"/>
          </w:tcPr>
          <w:p w:rsidR="005B5769" w:rsidRPr="00812509" w:rsidRDefault="005B5769" w:rsidP="00D15A00">
            <w:pPr>
              <w:pStyle w:val="TableHeading1"/>
              <w:keepNext/>
              <w:rPr>
                <w:rFonts w:asciiTheme="minorHAnsi" w:hAnsiTheme="minorHAnsi"/>
              </w:rPr>
            </w:pPr>
            <w:r w:rsidRPr="00812509">
              <w:rPr>
                <w:rFonts w:asciiTheme="minorHAnsi" w:hAnsiTheme="minorHAnsi"/>
              </w:rPr>
              <w:t>Progress in 2015-16</w:t>
            </w:r>
          </w:p>
        </w:tc>
      </w:tr>
      <w:tr w:rsidR="005B5769" w:rsidRPr="00C4114C" w:rsidTr="0053088D">
        <w:tc>
          <w:tcPr>
            <w:tcW w:w="780" w:type="pct"/>
            <w:tcMar>
              <w:top w:w="57" w:type="dxa"/>
              <w:bottom w:w="57" w:type="dxa"/>
            </w:tcMar>
          </w:tcPr>
          <w:p w:rsidR="005B5769" w:rsidRPr="00812509" w:rsidRDefault="000A394E" w:rsidP="00D15A00">
            <w:pPr>
              <w:pStyle w:val="TableTextEntries"/>
              <w:keepNext/>
              <w:rPr>
                <w:rFonts w:asciiTheme="minorHAnsi" w:hAnsiTheme="minorHAnsi"/>
              </w:rPr>
            </w:pPr>
            <w:r>
              <w:rPr>
                <w:rFonts w:asciiTheme="minorHAnsi" w:hAnsiTheme="minorHAnsi"/>
              </w:rPr>
              <w:t>Expand economic opportunities for the poor</w:t>
            </w:r>
          </w:p>
        </w:tc>
        <w:tc>
          <w:tcPr>
            <w:tcW w:w="780" w:type="pct"/>
          </w:tcPr>
          <w:p w:rsidR="005B5769" w:rsidRPr="00812509" w:rsidRDefault="000A394E" w:rsidP="00D15A00">
            <w:pPr>
              <w:pStyle w:val="TableTextEntries"/>
              <w:keepNext/>
              <w:rPr>
                <w:rFonts w:asciiTheme="minorHAnsi" w:hAnsiTheme="minorHAnsi"/>
              </w:rPr>
            </w:pPr>
            <w:r w:rsidRPr="000A394E">
              <w:rPr>
                <w:rFonts w:asciiTheme="minorHAnsi" w:hAnsiTheme="minorHAnsi"/>
                <w:lang w:val="en-US"/>
              </w:rPr>
              <w:t>Evidence of a clear increase in the incomes of populations targeted by our key investments</w:t>
            </w:r>
            <w:r w:rsidR="005B5769" w:rsidRPr="00812509">
              <w:rPr>
                <w:rFonts w:asciiTheme="minorHAnsi" w:hAnsiTheme="minorHAnsi"/>
              </w:rPr>
              <w:t xml:space="preserve">.  </w:t>
            </w:r>
          </w:p>
        </w:tc>
        <w:tc>
          <w:tcPr>
            <w:tcW w:w="470" w:type="pct"/>
            <w:tcBorders>
              <w:top w:val="nil"/>
              <w:bottom w:val="nil"/>
            </w:tcBorders>
            <w:shd w:val="clear" w:color="auto" w:fill="F7AA32"/>
          </w:tcPr>
          <w:p w:rsidR="005B5769" w:rsidRPr="00812509" w:rsidRDefault="0053088D" w:rsidP="00D15A00">
            <w:pPr>
              <w:pStyle w:val="TableTextEntries"/>
              <w:keepNext/>
              <w:jc w:val="center"/>
              <w:rPr>
                <w:rFonts w:asciiTheme="minorHAnsi" w:hAnsiTheme="minorHAnsi"/>
                <w:color w:val="FFFFFF" w:themeColor="background1"/>
              </w:rPr>
            </w:pPr>
            <w:r>
              <w:rPr>
                <w:rFonts w:asciiTheme="minorHAnsi" w:hAnsiTheme="minorHAnsi"/>
                <w:color w:val="FFFFFF" w:themeColor="background1"/>
              </w:rPr>
              <w:t>Partly a</w:t>
            </w:r>
            <w:r w:rsidR="005B5769" w:rsidRPr="00812509">
              <w:rPr>
                <w:rFonts w:asciiTheme="minorHAnsi" w:hAnsiTheme="minorHAnsi"/>
                <w:color w:val="FFFFFF" w:themeColor="background1"/>
              </w:rPr>
              <w:t>chieved</w:t>
            </w:r>
          </w:p>
        </w:tc>
        <w:tc>
          <w:tcPr>
            <w:tcW w:w="2970" w:type="pct"/>
          </w:tcPr>
          <w:p w:rsidR="005B5769" w:rsidRPr="00812509" w:rsidRDefault="00455609" w:rsidP="00EF12EA">
            <w:pPr>
              <w:pStyle w:val="TableTextEntries"/>
              <w:keepNext/>
              <w:rPr>
                <w:rFonts w:asciiTheme="minorHAnsi" w:hAnsiTheme="minorHAnsi"/>
              </w:rPr>
            </w:pPr>
            <w:r>
              <w:rPr>
                <w:rFonts w:asciiTheme="minorHAnsi" w:hAnsiTheme="minorHAnsi"/>
                <w:lang w:val="en-GB"/>
              </w:rPr>
              <w:t>M</w:t>
            </w:r>
            <w:r w:rsidR="003A33DE">
              <w:rPr>
                <w:rFonts w:asciiTheme="minorHAnsi" w:hAnsiTheme="minorHAnsi"/>
                <w:lang w:val="en-GB"/>
              </w:rPr>
              <w:t xml:space="preserve">onitoring </w:t>
            </w:r>
            <w:r>
              <w:rPr>
                <w:rFonts w:asciiTheme="minorHAnsi" w:hAnsiTheme="minorHAnsi"/>
                <w:lang w:val="en-GB"/>
              </w:rPr>
              <w:t xml:space="preserve">has </w:t>
            </w:r>
            <w:r w:rsidR="003A33DE">
              <w:rPr>
                <w:rFonts w:asciiTheme="minorHAnsi" w:hAnsiTheme="minorHAnsi"/>
                <w:lang w:val="en-GB"/>
              </w:rPr>
              <w:t xml:space="preserve">estimated </w:t>
            </w:r>
            <w:r w:rsidR="00DB1EBC" w:rsidRPr="00DB1EBC">
              <w:rPr>
                <w:rFonts w:asciiTheme="minorHAnsi" w:hAnsiTheme="minorHAnsi"/>
                <w:lang w:val="en-GB"/>
              </w:rPr>
              <w:t>DFAT</w:t>
            </w:r>
            <w:r w:rsidR="002A1D05">
              <w:rPr>
                <w:rFonts w:asciiTheme="minorHAnsi" w:hAnsiTheme="minorHAnsi"/>
                <w:lang w:val="en-GB"/>
              </w:rPr>
              <w:t>’</w:t>
            </w:r>
            <w:r w:rsidR="00DB1EBC" w:rsidRPr="00DB1EBC">
              <w:rPr>
                <w:rFonts w:asciiTheme="minorHAnsi" w:hAnsiTheme="minorHAnsi"/>
                <w:lang w:val="en-GB"/>
              </w:rPr>
              <w:t xml:space="preserve">s contribution to </w:t>
            </w:r>
            <w:r w:rsidR="00DB1EBC">
              <w:rPr>
                <w:rFonts w:asciiTheme="minorHAnsi" w:hAnsiTheme="minorHAnsi"/>
                <w:lang w:val="en-GB"/>
              </w:rPr>
              <w:t>NELSIP</w:t>
            </w:r>
            <w:r w:rsidR="003A33DE">
              <w:rPr>
                <w:rFonts w:asciiTheme="minorHAnsi" w:hAnsiTheme="minorHAnsi"/>
                <w:lang w:val="en-GB"/>
              </w:rPr>
              <w:t xml:space="preserve"> as creating around</w:t>
            </w:r>
            <w:r w:rsidR="00DB1EBC" w:rsidRPr="00DB1EBC">
              <w:rPr>
                <w:rFonts w:asciiTheme="minorHAnsi" w:hAnsiTheme="minorHAnsi"/>
                <w:lang w:val="en-GB"/>
              </w:rPr>
              <w:t xml:space="preserve"> 5000 jobs</w:t>
            </w:r>
            <w:r w:rsidR="00DB1EBC">
              <w:rPr>
                <w:rFonts w:asciiTheme="minorHAnsi" w:hAnsiTheme="minorHAnsi"/>
                <w:lang w:val="en-GB"/>
              </w:rPr>
              <w:t>,</w:t>
            </w:r>
            <w:r w:rsidR="00DB1EBC" w:rsidRPr="00DB1EBC">
              <w:rPr>
                <w:rFonts w:asciiTheme="minorHAnsi" w:hAnsiTheme="minorHAnsi"/>
                <w:lang w:val="en-GB"/>
              </w:rPr>
              <w:t xml:space="preserve"> </w:t>
            </w:r>
            <w:r w:rsidR="003A33DE">
              <w:rPr>
                <w:rFonts w:asciiTheme="minorHAnsi" w:hAnsiTheme="minorHAnsi"/>
                <w:lang w:val="en-GB"/>
              </w:rPr>
              <w:t>with a value-add to DFAT’s investment in the ratio of 1 to 3</w:t>
            </w:r>
            <w:r w:rsidR="00DB1EBC" w:rsidRPr="00DB1EBC">
              <w:rPr>
                <w:rFonts w:asciiTheme="minorHAnsi" w:hAnsiTheme="minorHAnsi"/>
                <w:lang w:val="en-GB"/>
              </w:rPr>
              <w:t xml:space="preserve"> </w:t>
            </w:r>
            <w:r w:rsidR="003A33DE">
              <w:rPr>
                <w:rFonts w:asciiTheme="minorHAnsi" w:hAnsiTheme="minorHAnsi"/>
                <w:lang w:val="en-GB"/>
              </w:rPr>
              <w:t>(</w:t>
            </w:r>
            <w:r w:rsidR="00DB1EBC" w:rsidRPr="00DB1EBC">
              <w:rPr>
                <w:rFonts w:asciiTheme="minorHAnsi" w:hAnsiTheme="minorHAnsi"/>
                <w:lang w:val="en-GB"/>
              </w:rPr>
              <w:t xml:space="preserve">$16.5 million of </w:t>
            </w:r>
            <w:r w:rsidR="003A33DE">
              <w:rPr>
                <w:rFonts w:asciiTheme="minorHAnsi" w:hAnsiTheme="minorHAnsi"/>
                <w:lang w:val="en-GB"/>
              </w:rPr>
              <w:t xml:space="preserve">DFAT funding generating </w:t>
            </w:r>
            <w:r w:rsidR="00DB1EBC" w:rsidRPr="00DB1EBC">
              <w:rPr>
                <w:rFonts w:asciiTheme="minorHAnsi" w:hAnsiTheme="minorHAnsi"/>
                <w:lang w:val="en-GB"/>
              </w:rPr>
              <w:t>$50 million of output</w:t>
            </w:r>
            <w:r w:rsidR="003A33DE">
              <w:rPr>
                <w:rFonts w:asciiTheme="minorHAnsi" w:hAnsiTheme="minorHAnsi"/>
                <w:lang w:val="en-GB"/>
              </w:rPr>
              <w:t>)</w:t>
            </w:r>
            <w:r>
              <w:rPr>
                <w:rFonts w:asciiTheme="minorHAnsi" w:hAnsiTheme="minorHAnsi"/>
                <w:lang w:val="en-GB"/>
              </w:rPr>
              <w:t>, although direct impact on incomes is implied not measured.</w:t>
            </w:r>
            <w:r w:rsidR="003A33DE">
              <w:rPr>
                <w:rFonts w:asciiTheme="minorHAnsi" w:hAnsiTheme="minorHAnsi"/>
                <w:lang w:val="en-GB"/>
              </w:rPr>
              <w:t xml:space="preserve"> </w:t>
            </w:r>
            <w:r>
              <w:rPr>
                <w:rFonts w:asciiTheme="minorHAnsi" w:hAnsiTheme="minorHAnsi"/>
              </w:rPr>
              <w:t>R</w:t>
            </w:r>
            <w:r w:rsidR="0053088D">
              <w:rPr>
                <w:rFonts w:asciiTheme="minorHAnsi" w:hAnsiTheme="minorHAnsi"/>
              </w:rPr>
              <w:t>eporting</w:t>
            </w:r>
            <w:r w:rsidR="00EF12EA">
              <w:rPr>
                <w:rFonts w:asciiTheme="minorHAnsi" w:hAnsiTheme="minorHAnsi"/>
              </w:rPr>
              <w:t xml:space="preserve"> on ACRP3 </w:t>
            </w:r>
            <w:r w:rsidR="0053088D">
              <w:rPr>
                <w:rFonts w:asciiTheme="minorHAnsi" w:hAnsiTheme="minorHAnsi"/>
              </w:rPr>
              <w:t>mar</w:t>
            </w:r>
            <w:r w:rsidR="00EF12EA">
              <w:rPr>
                <w:rFonts w:asciiTheme="minorHAnsi" w:hAnsiTheme="minorHAnsi"/>
              </w:rPr>
              <w:t xml:space="preserve">ket linkage </w:t>
            </w:r>
            <w:r w:rsidR="0053088D">
              <w:rPr>
                <w:rFonts w:asciiTheme="minorHAnsi" w:hAnsiTheme="minorHAnsi"/>
              </w:rPr>
              <w:t>economic resilience activities indicated some</w:t>
            </w:r>
            <w:r w:rsidR="00EF12EA">
              <w:rPr>
                <w:rFonts w:asciiTheme="minorHAnsi" w:hAnsiTheme="minorHAnsi"/>
              </w:rPr>
              <w:t>, though mixed,</w:t>
            </w:r>
            <w:r w:rsidR="0053088D">
              <w:rPr>
                <w:rFonts w:asciiTheme="minorHAnsi" w:hAnsiTheme="minorHAnsi"/>
              </w:rPr>
              <w:t xml:space="preserve"> increase</w:t>
            </w:r>
            <w:r w:rsidR="00EF12EA">
              <w:rPr>
                <w:rFonts w:asciiTheme="minorHAnsi" w:hAnsiTheme="minorHAnsi"/>
              </w:rPr>
              <w:t>s</w:t>
            </w:r>
            <w:r w:rsidR="0053088D">
              <w:rPr>
                <w:rFonts w:asciiTheme="minorHAnsi" w:hAnsiTheme="minorHAnsi"/>
              </w:rPr>
              <w:t xml:space="preserve"> in the incomes of targeted populations</w:t>
            </w:r>
            <w:r w:rsidR="008150C9">
              <w:rPr>
                <w:rFonts w:asciiTheme="minorHAnsi" w:hAnsiTheme="minorHAnsi"/>
              </w:rPr>
              <w:t xml:space="preserve">. Insufficient time has elapsed in the implementation of the MDF for results in income generation to be seen – and, given the nature of value-chain focused projects of this kind, it may be several years before marked improvements in income are seen. </w:t>
            </w:r>
            <w:r w:rsidR="005B5769" w:rsidRPr="00812509">
              <w:rPr>
                <w:rFonts w:asciiTheme="minorHAnsi" w:hAnsiTheme="minorHAnsi"/>
              </w:rPr>
              <w:t xml:space="preserve"> </w:t>
            </w:r>
          </w:p>
        </w:tc>
      </w:tr>
      <w:tr w:rsidR="005B5769" w:rsidRPr="00C4114C" w:rsidTr="00F4350C">
        <w:tc>
          <w:tcPr>
            <w:tcW w:w="780" w:type="pct"/>
            <w:tcMar>
              <w:top w:w="57" w:type="dxa"/>
              <w:bottom w:w="57" w:type="dxa"/>
            </w:tcMar>
          </w:tcPr>
          <w:p w:rsidR="005B5769" w:rsidRPr="00812509" w:rsidRDefault="000A394E" w:rsidP="00D15A00">
            <w:pPr>
              <w:pStyle w:val="TableTextEntries"/>
              <w:keepNext/>
              <w:rPr>
                <w:rFonts w:asciiTheme="minorHAnsi" w:hAnsiTheme="minorHAnsi"/>
              </w:rPr>
            </w:pPr>
            <w:r>
              <w:rPr>
                <w:rFonts w:asciiTheme="minorHAnsi" w:hAnsiTheme="minorHAnsi"/>
              </w:rPr>
              <w:t>Support government to be more responsive  to the needs of citizens and the private sector</w:t>
            </w:r>
            <w:r w:rsidR="005B5769" w:rsidRPr="00812509">
              <w:rPr>
                <w:rFonts w:asciiTheme="minorHAnsi" w:hAnsiTheme="minorHAnsi"/>
              </w:rPr>
              <w:t xml:space="preserve"> </w:t>
            </w:r>
          </w:p>
        </w:tc>
        <w:tc>
          <w:tcPr>
            <w:tcW w:w="780" w:type="pct"/>
          </w:tcPr>
          <w:p w:rsidR="005B5769" w:rsidRPr="00812509" w:rsidRDefault="000A394E" w:rsidP="00D15A00">
            <w:pPr>
              <w:pStyle w:val="TableTextEntries"/>
              <w:keepNext/>
              <w:rPr>
                <w:rFonts w:asciiTheme="minorHAnsi" w:hAnsiTheme="minorHAnsi"/>
              </w:rPr>
            </w:pPr>
            <w:r w:rsidRPr="000A394E">
              <w:rPr>
                <w:rFonts w:asciiTheme="minorHAnsi" w:hAnsiTheme="minorHAnsi"/>
                <w:lang w:val="en-US"/>
              </w:rPr>
              <w:t>Increased satisfaction, based on the comparison of survey results against earlier results, of citizens and the private sector with sub-national government service delivery</w:t>
            </w:r>
          </w:p>
        </w:tc>
        <w:tc>
          <w:tcPr>
            <w:tcW w:w="470" w:type="pct"/>
            <w:tcBorders>
              <w:top w:val="nil"/>
              <w:bottom w:val="nil"/>
            </w:tcBorders>
            <w:shd w:val="clear" w:color="auto" w:fill="92D050"/>
          </w:tcPr>
          <w:p w:rsidR="005B5769" w:rsidRPr="00812509" w:rsidRDefault="0053088D" w:rsidP="00D15A00">
            <w:pPr>
              <w:pStyle w:val="TableTextEntries"/>
              <w:keepNext/>
              <w:jc w:val="center"/>
              <w:rPr>
                <w:rFonts w:asciiTheme="minorHAnsi" w:hAnsiTheme="minorHAnsi"/>
              </w:rPr>
            </w:pPr>
            <w:r>
              <w:rPr>
                <w:rFonts w:asciiTheme="minorHAnsi" w:hAnsiTheme="minorHAnsi"/>
                <w:color w:val="FFFFFF" w:themeColor="background1"/>
              </w:rPr>
              <w:t>A</w:t>
            </w:r>
            <w:r w:rsidR="005B5769" w:rsidRPr="00812509">
              <w:rPr>
                <w:rFonts w:asciiTheme="minorHAnsi" w:hAnsiTheme="minorHAnsi"/>
                <w:color w:val="FFFFFF" w:themeColor="background1"/>
              </w:rPr>
              <w:t>chieved</w:t>
            </w:r>
          </w:p>
        </w:tc>
        <w:tc>
          <w:tcPr>
            <w:tcW w:w="2970" w:type="pct"/>
          </w:tcPr>
          <w:p w:rsidR="005B5769" w:rsidRDefault="0053088D" w:rsidP="008150C9">
            <w:pPr>
              <w:pStyle w:val="TableTextEntries"/>
              <w:keepNext/>
              <w:rPr>
                <w:rFonts w:asciiTheme="minorHAnsi" w:hAnsiTheme="minorHAnsi"/>
              </w:rPr>
            </w:pPr>
            <w:r>
              <w:rPr>
                <w:rFonts w:asciiTheme="minorHAnsi" w:hAnsiTheme="minorHAnsi"/>
              </w:rPr>
              <w:t>Roll-out of sub-national governance activities is advanced and producing results in line with expectations</w:t>
            </w:r>
            <w:r w:rsidR="008150C9">
              <w:rPr>
                <w:rFonts w:asciiTheme="minorHAnsi" w:hAnsiTheme="minorHAnsi"/>
              </w:rPr>
              <w:t>, as measured through</w:t>
            </w:r>
            <w:r w:rsidR="00A5117D">
              <w:rPr>
                <w:rFonts w:asciiTheme="minorHAnsi" w:hAnsiTheme="minorHAnsi"/>
              </w:rPr>
              <w:t xml:space="preserve"> satisfaction survey</w:t>
            </w:r>
            <w:r w:rsidR="008150C9">
              <w:rPr>
                <w:rFonts w:asciiTheme="minorHAnsi" w:hAnsiTheme="minorHAnsi"/>
              </w:rPr>
              <w:t>s and annual monitoring processes</w:t>
            </w:r>
            <w:r>
              <w:rPr>
                <w:rFonts w:asciiTheme="minorHAnsi" w:hAnsiTheme="minorHAnsi"/>
              </w:rPr>
              <w:t xml:space="preserve">. </w:t>
            </w:r>
            <w:r w:rsidR="008150C9">
              <w:rPr>
                <w:rFonts w:asciiTheme="minorHAnsi" w:hAnsiTheme="minorHAnsi"/>
              </w:rPr>
              <w:t xml:space="preserve">Efforts to improve sub-national governance are now being matched by the funding of activities in support of </w:t>
            </w:r>
            <w:r>
              <w:rPr>
                <w:rFonts w:asciiTheme="minorHAnsi" w:hAnsiTheme="minorHAnsi"/>
              </w:rPr>
              <w:t xml:space="preserve">Sri Lankan government reform in </w:t>
            </w:r>
            <w:r w:rsidR="008150C9">
              <w:rPr>
                <w:rFonts w:asciiTheme="minorHAnsi" w:hAnsiTheme="minorHAnsi"/>
              </w:rPr>
              <w:t xml:space="preserve">improving the national-level </w:t>
            </w:r>
            <w:r>
              <w:rPr>
                <w:rFonts w:asciiTheme="minorHAnsi" w:hAnsiTheme="minorHAnsi"/>
              </w:rPr>
              <w:t>investment and business-enabling environment</w:t>
            </w:r>
            <w:r w:rsidR="008150C9">
              <w:rPr>
                <w:rFonts w:asciiTheme="minorHAnsi" w:hAnsiTheme="minorHAnsi"/>
              </w:rPr>
              <w:t>s.</w:t>
            </w:r>
            <w:r w:rsidR="00DC4A0A">
              <w:rPr>
                <w:rFonts w:asciiTheme="minorHAnsi" w:hAnsiTheme="minorHAnsi"/>
              </w:rPr>
              <w:t xml:space="preserve"> There have also been strong results around the governance elements of the TSEP investment.</w:t>
            </w:r>
          </w:p>
          <w:p w:rsidR="003B63F8" w:rsidRDefault="003B63F8" w:rsidP="008150C9">
            <w:pPr>
              <w:pStyle w:val="TableTextEntries"/>
              <w:keepNext/>
              <w:rPr>
                <w:rFonts w:asciiTheme="minorHAnsi" w:hAnsiTheme="minorHAnsi"/>
              </w:rPr>
            </w:pPr>
          </w:p>
          <w:p w:rsidR="003B63F8" w:rsidRPr="00812509" w:rsidRDefault="003B63F8" w:rsidP="008150C9">
            <w:pPr>
              <w:pStyle w:val="TableTextEntries"/>
              <w:keepNext/>
              <w:rPr>
                <w:rFonts w:asciiTheme="minorHAnsi" w:hAnsiTheme="minorHAnsi"/>
              </w:rPr>
            </w:pPr>
          </w:p>
        </w:tc>
      </w:tr>
      <w:tr w:rsidR="005B5769" w:rsidRPr="00C4114C" w:rsidTr="00F4350C">
        <w:tc>
          <w:tcPr>
            <w:tcW w:w="780" w:type="pct"/>
            <w:tcMar>
              <w:top w:w="57" w:type="dxa"/>
              <w:bottom w:w="57" w:type="dxa"/>
            </w:tcMar>
          </w:tcPr>
          <w:p w:rsidR="005B5769" w:rsidRPr="00812509" w:rsidRDefault="000A394E" w:rsidP="00D15A00">
            <w:pPr>
              <w:pStyle w:val="TableTextEntries"/>
              <w:keepNext/>
              <w:rPr>
                <w:rFonts w:asciiTheme="minorHAnsi" w:hAnsiTheme="minorHAnsi"/>
              </w:rPr>
            </w:pPr>
            <w:r>
              <w:rPr>
                <w:rFonts w:asciiTheme="minorHAnsi" w:hAnsiTheme="minorHAnsi"/>
              </w:rPr>
              <w:t>Increase gender equality</w:t>
            </w:r>
          </w:p>
        </w:tc>
        <w:tc>
          <w:tcPr>
            <w:tcW w:w="780" w:type="pct"/>
          </w:tcPr>
          <w:p w:rsidR="0053088D" w:rsidRPr="00EF12EA" w:rsidRDefault="0053088D" w:rsidP="0053088D">
            <w:pPr>
              <w:pStyle w:val="TableTextEntries"/>
              <w:keepNext/>
              <w:rPr>
                <w:rFonts w:asciiTheme="minorHAnsi" w:hAnsiTheme="minorHAnsi"/>
                <w:lang w:val="en-US"/>
              </w:rPr>
            </w:pPr>
            <w:r w:rsidRPr="00EF12EA">
              <w:rPr>
                <w:rFonts w:asciiTheme="minorHAnsi" w:hAnsiTheme="minorHAnsi"/>
                <w:lang w:val="en-US"/>
              </w:rPr>
              <w:t>A completed design for a new multi-year program to support gender equality and social inclusion.</w:t>
            </w:r>
          </w:p>
          <w:p w:rsidR="005B5769" w:rsidRPr="00EF12EA" w:rsidRDefault="005B5769" w:rsidP="00D15A00">
            <w:pPr>
              <w:pStyle w:val="TableTextEntries"/>
              <w:keepNext/>
              <w:rPr>
                <w:rFonts w:asciiTheme="minorHAnsi" w:hAnsiTheme="minorHAnsi"/>
              </w:rPr>
            </w:pPr>
          </w:p>
        </w:tc>
        <w:tc>
          <w:tcPr>
            <w:tcW w:w="470" w:type="pct"/>
            <w:tcBorders>
              <w:top w:val="nil"/>
              <w:bottom w:val="single" w:sz="12" w:space="0" w:color="auto"/>
            </w:tcBorders>
            <w:shd w:val="clear" w:color="auto" w:fill="F7AA32"/>
          </w:tcPr>
          <w:p w:rsidR="005B5769" w:rsidRPr="00812509" w:rsidRDefault="00F4350C" w:rsidP="00D15A00">
            <w:pPr>
              <w:pStyle w:val="TableTextEntries"/>
              <w:keepNext/>
              <w:rPr>
                <w:rFonts w:asciiTheme="minorHAnsi" w:hAnsiTheme="minorHAnsi"/>
              </w:rPr>
            </w:pPr>
            <w:r>
              <w:rPr>
                <w:rFonts w:asciiTheme="minorHAnsi" w:hAnsiTheme="minorHAnsi"/>
                <w:color w:val="FFFFFF" w:themeColor="background1"/>
              </w:rPr>
              <w:t>Partly</w:t>
            </w:r>
            <w:r w:rsidR="005B5769" w:rsidRPr="00812509">
              <w:rPr>
                <w:rFonts w:asciiTheme="minorHAnsi" w:hAnsiTheme="minorHAnsi"/>
                <w:color w:val="FFFFFF" w:themeColor="background1"/>
              </w:rPr>
              <w:t xml:space="preserve"> Achieved </w:t>
            </w:r>
          </w:p>
        </w:tc>
        <w:tc>
          <w:tcPr>
            <w:tcW w:w="2970" w:type="pct"/>
          </w:tcPr>
          <w:p w:rsidR="007301D9" w:rsidRDefault="00F4350C" w:rsidP="00D15A00">
            <w:pPr>
              <w:pStyle w:val="TableTextEntries"/>
              <w:keepNext/>
              <w:rPr>
                <w:rFonts w:asciiTheme="minorHAnsi" w:hAnsiTheme="minorHAnsi"/>
              </w:rPr>
            </w:pPr>
            <w:r>
              <w:rPr>
                <w:rFonts w:asciiTheme="minorHAnsi" w:hAnsiTheme="minorHAnsi"/>
              </w:rPr>
              <w:t xml:space="preserve">While a final design wasn’t completed </w:t>
            </w:r>
            <w:r w:rsidR="001A4E8B">
              <w:rPr>
                <w:rFonts w:asciiTheme="minorHAnsi" w:hAnsiTheme="minorHAnsi"/>
              </w:rPr>
              <w:t>as</w:t>
            </w:r>
            <w:r>
              <w:rPr>
                <w:rFonts w:asciiTheme="minorHAnsi" w:hAnsiTheme="minorHAnsi"/>
              </w:rPr>
              <w:t xml:space="preserve"> anticipated, a significant re-conceptualisation of the investment was </w:t>
            </w:r>
            <w:r w:rsidR="001A4E8B">
              <w:rPr>
                <w:rFonts w:asciiTheme="minorHAnsi" w:hAnsiTheme="minorHAnsi"/>
              </w:rPr>
              <w:t>undertaken</w:t>
            </w:r>
            <w:r>
              <w:rPr>
                <w:rFonts w:asciiTheme="minorHAnsi" w:hAnsiTheme="minorHAnsi"/>
              </w:rPr>
              <w:t xml:space="preserve"> to better align it with the AIP. Following the approval of the new concept, </w:t>
            </w:r>
            <w:r w:rsidR="007301D9">
              <w:rPr>
                <w:rFonts w:asciiTheme="minorHAnsi" w:hAnsiTheme="minorHAnsi"/>
              </w:rPr>
              <w:t>work is currently underway to complete the full design. It is anticipated that the new program will commence in the first half of 2016-17.</w:t>
            </w:r>
          </w:p>
          <w:p w:rsidR="005B5769" w:rsidRPr="00812509" w:rsidRDefault="005B5769" w:rsidP="007301D9">
            <w:pPr>
              <w:pStyle w:val="TableTextEntries"/>
              <w:keepNext/>
              <w:rPr>
                <w:rFonts w:asciiTheme="minorHAnsi" w:hAnsiTheme="minorHAnsi"/>
              </w:rPr>
            </w:pPr>
          </w:p>
        </w:tc>
      </w:tr>
    </w:tbl>
    <w:p w:rsidR="005B5769" w:rsidRDefault="005B5769" w:rsidP="005B5769">
      <w:pPr>
        <w:pStyle w:val="ListBullet"/>
        <w:tabs>
          <w:tab w:val="clear" w:pos="284"/>
        </w:tabs>
        <w:rPr>
          <w:rFonts w:ascii="Helvetica" w:hAnsi="Helvetica" w:cs="Arial"/>
          <w:color w:val="007FAD"/>
          <w:spacing w:val="-10"/>
          <w:kern w:val="28"/>
          <w:sz w:val="28"/>
          <w:szCs w:val="28"/>
        </w:rPr>
      </w:pPr>
    </w:p>
    <w:p w:rsidR="006C7E5B" w:rsidRDefault="006C7E5B">
      <w:pPr>
        <w:suppressAutoHyphens w:val="0"/>
        <w:spacing w:before="0" w:after="120" w:line="440" w:lineRule="atLeast"/>
        <w:rPr>
          <w:b/>
          <w:iCs/>
          <w:color w:val="000000" w:themeColor="text1"/>
          <w:sz w:val="24"/>
          <w:szCs w:val="18"/>
        </w:rPr>
      </w:pPr>
      <w:r>
        <w:rPr>
          <w:sz w:val="24"/>
        </w:rPr>
        <w:br w:type="page"/>
      </w:r>
    </w:p>
    <w:p w:rsidR="005B5769" w:rsidRPr="008C2F58" w:rsidRDefault="005B5769" w:rsidP="005B5769">
      <w:pPr>
        <w:pStyle w:val="Caption"/>
        <w:rPr>
          <w:sz w:val="24"/>
        </w:rPr>
      </w:pPr>
      <w:r w:rsidRPr="008C2F58">
        <w:rPr>
          <w:sz w:val="24"/>
        </w:rPr>
        <w:t xml:space="preserve">Performance Benchmarks 2016-17 to 2018-19 </w:t>
      </w:r>
    </w:p>
    <w:tbl>
      <w:tblPr>
        <w:tblStyle w:val="DFATTable"/>
        <w:tblW w:w="5090" w:type="pct"/>
        <w:tblLook w:val="04A0" w:firstRow="1" w:lastRow="0" w:firstColumn="1" w:lastColumn="0" w:noHBand="0" w:noVBand="1"/>
      </w:tblPr>
      <w:tblGrid>
        <w:gridCol w:w="1502"/>
        <w:gridCol w:w="3455"/>
        <w:gridCol w:w="139"/>
        <w:gridCol w:w="1525"/>
        <w:gridCol w:w="398"/>
        <w:gridCol w:w="1126"/>
        <w:gridCol w:w="936"/>
        <w:gridCol w:w="589"/>
        <w:gridCol w:w="141"/>
      </w:tblGrid>
      <w:tr w:rsidR="004B140D" w:rsidTr="004B140D">
        <w:trPr>
          <w:gridAfter w:val="1"/>
          <w:wAfter w:w="72" w:type="pct"/>
          <w:trHeight w:val="331"/>
        </w:trPr>
        <w:tc>
          <w:tcPr>
            <w:tcW w:w="765" w:type="pct"/>
            <w:tcBorders>
              <w:top w:val="single" w:sz="12" w:space="0" w:color="auto"/>
              <w:left w:val="nil"/>
              <w:bottom w:val="nil"/>
              <w:right w:val="nil"/>
            </w:tcBorders>
          </w:tcPr>
          <w:p w:rsidR="004B140D" w:rsidRPr="00812509" w:rsidRDefault="004B140D" w:rsidP="00D15A00">
            <w:pPr>
              <w:pStyle w:val="TableHeading1"/>
              <w:rPr>
                <w:rFonts w:asciiTheme="minorHAnsi" w:hAnsiTheme="minorHAnsi"/>
              </w:rPr>
            </w:pPr>
          </w:p>
        </w:tc>
        <w:tc>
          <w:tcPr>
            <w:tcW w:w="1832" w:type="pct"/>
            <w:gridSpan w:val="2"/>
            <w:tcBorders>
              <w:top w:val="single" w:sz="12" w:space="0" w:color="auto"/>
              <w:left w:val="nil"/>
              <w:bottom w:val="nil"/>
              <w:right w:val="nil"/>
            </w:tcBorders>
          </w:tcPr>
          <w:p w:rsidR="004B140D" w:rsidRPr="00812509" w:rsidRDefault="004B140D" w:rsidP="00D15A00">
            <w:pPr>
              <w:pStyle w:val="TableHeading1"/>
              <w:rPr>
                <w:rFonts w:asciiTheme="minorHAnsi" w:hAnsiTheme="minorHAnsi"/>
              </w:rPr>
            </w:pPr>
          </w:p>
        </w:tc>
        <w:tc>
          <w:tcPr>
            <w:tcW w:w="777" w:type="pct"/>
            <w:tcBorders>
              <w:top w:val="single" w:sz="12" w:space="0" w:color="auto"/>
              <w:left w:val="nil"/>
              <w:bottom w:val="nil"/>
              <w:right w:val="nil"/>
            </w:tcBorders>
            <w:hideMark/>
          </w:tcPr>
          <w:p w:rsidR="004B140D" w:rsidRPr="00812509" w:rsidRDefault="004B140D" w:rsidP="00D15A00">
            <w:pPr>
              <w:pStyle w:val="TableHeading1"/>
              <w:rPr>
                <w:rFonts w:asciiTheme="minorHAnsi" w:hAnsiTheme="minorHAnsi"/>
              </w:rPr>
            </w:pPr>
            <w:r w:rsidRPr="00812509">
              <w:rPr>
                <w:rFonts w:asciiTheme="minorHAnsi" w:hAnsiTheme="minorHAnsi"/>
              </w:rPr>
              <w:t>2016-17</w:t>
            </w:r>
          </w:p>
        </w:tc>
        <w:tc>
          <w:tcPr>
            <w:tcW w:w="777" w:type="pct"/>
            <w:gridSpan w:val="2"/>
            <w:tcBorders>
              <w:top w:val="single" w:sz="12" w:space="0" w:color="auto"/>
              <w:left w:val="nil"/>
              <w:bottom w:val="nil"/>
              <w:right w:val="nil"/>
            </w:tcBorders>
            <w:hideMark/>
          </w:tcPr>
          <w:p w:rsidR="004B140D" w:rsidRPr="00812509" w:rsidRDefault="004B140D" w:rsidP="00D15A00">
            <w:pPr>
              <w:pStyle w:val="TableHeading1"/>
              <w:rPr>
                <w:rFonts w:asciiTheme="minorHAnsi" w:hAnsiTheme="minorHAnsi"/>
              </w:rPr>
            </w:pPr>
            <w:r w:rsidRPr="00812509">
              <w:rPr>
                <w:rFonts w:asciiTheme="minorHAnsi" w:hAnsiTheme="minorHAnsi"/>
              </w:rPr>
              <w:t>2017-18</w:t>
            </w:r>
          </w:p>
        </w:tc>
        <w:tc>
          <w:tcPr>
            <w:tcW w:w="777" w:type="pct"/>
            <w:gridSpan w:val="2"/>
            <w:tcBorders>
              <w:top w:val="single" w:sz="12" w:space="0" w:color="auto"/>
              <w:left w:val="nil"/>
              <w:bottom w:val="nil"/>
              <w:right w:val="nil"/>
            </w:tcBorders>
            <w:hideMark/>
          </w:tcPr>
          <w:p w:rsidR="004B140D" w:rsidRPr="00812509" w:rsidRDefault="004B140D" w:rsidP="00D15A00">
            <w:pPr>
              <w:pStyle w:val="TableHeading1"/>
              <w:rPr>
                <w:rFonts w:asciiTheme="minorHAnsi" w:hAnsiTheme="minorHAnsi"/>
              </w:rPr>
            </w:pPr>
            <w:r w:rsidRPr="00812509">
              <w:rPr>
                <w:rFonts w:asciiTheme="minorHAnsi" w:hAnsiTheme="minorHAnsi"/>
              </w:rPr>
              <w:t>2018-19</w:t>
            </w:r>
          </w:p>
        </w:tc>
      </w:tr>
      <w:tr w:rsidR="004B140D" w:rsidTr="004B140D">
        <w:trPr>
          <w:trHeight w:val="425"/>
        </w:trPr>
        <w:tc>
          <w:tcPr>
            <w:tcW w:w="765" w:type="pct"/>
            <w:tcBorders>
              <w:top w:val="nil"/>
              <w:left w:val="nil"/>
              <w:bottom w:val="nil"/>
              <w:right w:val="nil"/>
            </w:tcBorders>
            <w:hideMark/>
          </w:tcPr>
          <w:p w:rsidR="004B140D" w:rsidRPr="00812509" w:rsidRDefault="004B140D" w:rsidP="00D15A00">
            <w:pPr>
              <w:pStyle w:val="TableHeading1"/>
              <w:rPr>
                <w:rFonts w:asciiTheme="minorHAnsi" w:hAnsiTheme="minorHAnsi"/>
                <w:i/>
                <w:color w:val="808080" w:themeColor="background1" w:themeShade="80"/>
              </w:rPr>
            </w:pPr>
            <w:r w:rsidRPr="00812509">
              <w:rPr>
                <w:rFonts w:asciiTheme="minorHAnsi" w:hAnsiTheme="minorHAnsi"/>
              </w:rPr>
              <w:t>Aid objective</w:t>
            </w:r>
          </w:p>
        </w:tc>
        <w:tc>
          <w:tcPr>
            <w:tcW w:w="1761" w:type="pct"/>
            <w:tcBorders>
              <w:top w:val="nil"/>
              <w:left w:val="nil"/>
              <w:bottom w:val="nil"/>
              <w:right w:val="nil"/>
            </w:tcBorders>
          </w:tcPr>
          <w:p w:rsidR="004B140D" w:rsidRPr="004B140D" w:rsidRDefault="004B140D" w:rsidP="00F10703">
            <w:pPr>
              <w:pStyle w:val="TableTextEntries"/>
              <w:rPr>
                <w:rFonts w:asciiTheme="minorHAnsi" w:hAnsiTheme="minorHAnsi"/>
                <w:b/>
                <w:i/>
                <w:color w:val="808080" w:themeColor="background1" w:themeShade="80"/>
              </w:rPr>
            </w:pPr>
            <w:r w:rsidRPr="004B140D">
              <w:rPr>
                <w:rFonts w:asciiTheme="minorHAnsi" w:hAnsiTheme="minorHAnsi"/>
                <w:b/>
                <w:i/>
                <w:color w:val="808080" w:themeColor="background1" w:themeShade="80"/>
              </w:rPr>
              <w:t>Expand economic opportunities for the poor</w:t>
            </w:r>
          </w:p>
        </w:tc>
        <w:tc>
          <w:tcPr>
            <w:tcW w:w="1051" w:type="pct"/>
            <w:gridSpan w:val="3"/>
            <w:tcBorders>
              <w:top w:val="nil"/>
              <w:left w:val="nil"/>
              <w:bottom w:val="nil"/>
              <w:right w:val="nil"/>
            </w:tcBorders>
          </w:tcPr>
          <w:p w:rsidR="004B140D" w:rsidRPr="00812509" w:rsidRDefault="004B140D" w:rsidP="00F10703">
            <w:pPr>
              <w:pStyle w:val="TableTextEntries"/>
              <w:rPr>
                <w:rFonts w:asciiTheme="minorHAnsi" w:hAnsiTheme="minorHAnsi"/>
                <w:i/>
                <w:color w:val="808080" w:themeColor="background1" w:themeShade="80"/>
              </w:rPr>
            </w:pPr>
          </w:p>
        </w:tc>
        <w:tc>
          <w:tcPr>
            <w:tcW w:w="1051" w:type="pct"/>
            <w:gridSpan w:val="2"/>
            <w:tcBorders>
              <w:top w:val="nil"/>
              <w:left w:val="nil"/>
              <w:bottom w:val="nil"/>
              <w:right w:val="nil"/>
            </w:tcBorders>
          </w:tcPr>
          <w:p w:rsidR="004B140D" w:rsidRPr="00812509" w:rsidRDefault="004B140D" w:rsidP="00F10703">
            <w:pPr>
              <w:pStyle w:val="TableTextEntries"/>
              <w:rPr>
                <w:rFonts w:asciiTheme="minorHAnsi" w:hAnsiTheme="minorHAnsi"/>
                <w:i/>
                <w:color w:val="808080" w:themeColor="background1" w:themeShade="80"/>
              </w:rPr>
            </w:pPr>
          </w:p>
        </w:tc>
        <w:tc>
          <w:tcPr>
            <w:tcW w:w="372" w:type="pct"/>
            <w:gridSpan w:val="2"/>
            <w:tcBorders>
              <w:top w:val="nil"/>
              <w:left w:val="nil"/>
              <w:bottom w:val="nil"/>
              <w:right w:val="nil"/>
            </w:tcBorders>
          </w:tcPr>
          <w:p w:rsidR="004B140D" w:rsidRPr="00812509" w:rsidRDefault="004B140D" w:rsidP="004B140D">
            <w:pPr>
              <w:pStyle w:val="TableTextEntries"/>
              <w:ind w:right="707"/>
              <w:rPr>
                <w:rFonts w:asciiTheme="minorHAnsi" w:hAnsiTheme="minorHAnsi"/>
                <w:i/>
                <w:color w:val="808080" w:themeColor="background1" w:themeShade="80"/>
              </w:rPr>
            </w:pPr>
          </w:p>
        </w:tc>
      </w:tr>
      <w:tr w:rsidR="004B140D" w:rsidTr="004B140D">
        <w:trPr>
          <w:gridAfter w:val="1"/>
          <w:wAfter w:w="72" w:type="pct"/>
          <w:trHeight w:val="984"/>
        </w:trPr>
        <w:tc>
          <w:tcPr>
            <w:tcW w:w="765" w:type="pct"/>
            <w:tcBorders>
              <w:top w:val="nil"/>
              <w:left w:val="nil"/>
              <w:bottom w:val="single" w:sz="12" w:space="0" w:color="FFFFFF" w:themeColor="background1"/>
              <w:right w:val="nil"/>
            </w:tcBorders>
            <w:hideMark/>
          </w:tcPr>
          <w:p w:rsidR="004B140D" w:rsidRPr="00812509" w:rsidRDefault="004B140D" w:rsidP="00D15A00">
            <w:pPr>
              <w:pStyle w:val="TableHeading1"/>
              <w:rPr>
                <w:rFonts w:asciiTheme="minorHAnsi" w:hAnsiTheme="minorHAnsi"/>
                <w:i/>
                <w:color w:val="808080" w:themeColor="background1" w:themeShade="80"/>
              </w:rPr>
            </w:pPr>
            <w:r w:rsidRPr="00812509">
              <w:rPr>
                <w:rFonts w:asciiTheme="minorHAnsi" w:hAnsiTheme="minorHAnsi"/>
              </w:rPr>
              <w:t>Performance</w:t>
            </w:r>
            <w:r w:rsidRPr="00812509">
              <w:rPr>
                <w:rFonts w:asciiTheme="minorHAnsi" w:hAnsiTheme="minorHAnsi"/>
              </w:rPr>
              <w:br/>
              <w:t>benchmark</w:t>
            </w:r>
          </w:p>
        </w:tc>
        <w:tc>
          <w:tcPr>
            <w:tcW w:w="1832" w:type="pct"/>
            <w:gridSpan w:val="2"/>
            <w:tcBorders>
              <w:top w:val="nil"/>
              <w:left w:val="nil"/>
              <w:bottom w:val="single" w:sz="12" w:space="0" w:color="FFFFFF" w:themeColor="background1"/>
              <w:right w:val="nil"/>
            </w:tcBorders>
            <w:hideMark/>
          </w:tcPr>
          <w:p w:rsidR="004B140D" w:rsidRPr="00812509" w:rsidRDefault="004B140D" w:rsidP="00FD73D0">
            <w:pPr>
              <w:spacing w:after="120"/>
              <w:rPr>
                <w:rFonts w:asciiTheme="minorHAnsi" w:hAnsiTheme="minorHAnsi"/>
                <w:i/>
                <w:color w:val="808080" w:themeColor="background1" w:themeShade="80"/>
                <w:szCs w:val="20"/>
                <w:lang w:eastAsia="en-US"/>
              </w:rPr>
            </w:pPr>
            <w:r>
              <w:rPr>
                <w:rFonts w:asciiTheme="minorHAnsi" w:hAnsiTheme="minorHAnsi"/>
                <w:i/>
                <w:color w:val="808080" w:themeColor="background1" w:themeShade="80"/>
                <w:szCs w:val="20"/>
                <w:lang w:eastAsia="en-US"/>
              </w:rPr>
              <w:t xml:space="preserve">Increase the percentage of targeted populations, </w:t>
            </w:r>
            <w:r w:rsidR="002A1D05">
              <w:rPr>
                <w:rFonts w:asciiTheme="minorHAnsi" w:hAnsiTheme="minorHAnsi"/>
                <w:i/>
                <w:color w:val="808080" w:themeColor="background1" w:themeShade="80"/>
                <w:szCs w:val="20"/>
                <w:lang w:eastAsia="en-US"/>
              </w:rPr>
              <w:t>including</w:t>
            </w:r>
            <w:r>
              <w:rPr>
                <w:rFonts w:asciiTheme="minorHAnsi" w:hAnsiTheme="minorHAnsi"/>
                <w:i/>
                <w:color w:val="808080" w:themeColor="background1" w:themeShade="80"/>
                <w:szCs w:val="20"/>
                <w:lang w:eastAsia="en-US"/>
              </w:rPr>
              <w:t xml:space="preserve"> women and people with a disability, who have a</w:t>
            </w:r>
            <w:r w:rsidR="00FD73D0">
              <w:rPr>
                <w:rFonts w:asciiTheme="minorHAnsi" w:hAnsiTheme="minorHAnsi"/>
                <w:i/>
                <w:color w:val="808080" w:themeColor="background1" w:themeShade="80"/>
                <w:szCs w:val="20"/>
                <w:lang w:eastAsia="en-US"/>
              </w:rPr>
              <w:t>n</w:t>
            </w:r>
            <w:r>
              <w:rPr>
                <w:rFonts w:asciiTheme="minorHAnsi" w:hAnsiTheme="minorHAnsi"/>
                <w:i/>
                <w:color w:val="808080" w:themeColor="background1" w:themeShade="80"/>
                <w:szCs w:val="20"/>
                <w:lang w:eastAsia="en-US"/>
              </w:rPr>
              <w:t xml:space="preserve"> increase</w:t>
            </w:r>
            <w:r w:rsidR="002A1D05">
              <w:rPr>
                <w:rFonts w:asciiTheme="minorHAnsi" w:hAnsiTheme="minorHAnsi"/>
                <w:i/>
                <w:color w:val="808080" w:themeColor="background1" w:themeShade="80"/>
                <w:szCs w:val="20"/>
                <w:lang w:eastAsia="en-US"/>
              </w:rPr>
              <w:t xml:space="preserve"> in </w:t>
            </w:r>
            <w:r w:rsidR="00FD73D0">
              <w:rPr>
                <w:rFonts w:asciiTheme="minorHAnsi" w:hAnsiTheme="minorHAnsi"/>
                <w:i/>
                <w:color w:val="808080" w:themeColor="background1" w:themeShade="80"/>
                <w:szCs w:val="20"/>
                <w:lang w:eastAsia="en-US"/>
              </w:rPr>
              <w:t>net additional</w:t>
            </w:r>
            <w:r w:rsidR="002A1D05">
              <w:rPr>
                <w:rFonts w:asciiTheme="minorHAnsi" w:hAnsiTheme="minorHAnsi"/>
                <w:i/>
                <w:color w:val="808080" w:themeColor="background1" w:themeShade="80"/>
                <w:szCs w:val="20"/>
                <w:lang w:eastAsia="en-US"/>
              </w:rPr>
              <w:t xml:space="preserve"> income</w:t>
            </w:r>
          </w:p>
        </w:tc>
        <w:tc>
          <w:tcPr>
            <w:tcW w:w="777" w:type="pct"/>
            <w:tcBorders>
              <w:top w:val="nil"/>
              <w:left w:val="nil"/>
              <w:bottom w:val="single" w:sz="12" w:space="0" w:color="FFFFFF" w:themeColor="background1"/>
              <w:right w:val="nil"/>
            </w:tcBorders>
            <w:hideMark/>
          </w:tcPr>
          <w:p w:rsidR="004B140D" w:rsidRPr="00812509" w:rsidRDefault="004B140D" w:rsidP="00F10703">
            <w:pPr>
              <w:rPr>
                <w:rFonts w:asciiTheme="minorHAnsi" w:hAnsiTheme="minorHAnsi"/>
                <w:i/>
                <w:color w:val="808080" w:themeColor="background1" w:themeShade="80"/>
                <w:szCs w:val="20"/>
                <w:lang w:eastAsia="en-US"/>
              </w:rPr>
            </w:pPr>
            <w:r>
              <w:rPr>
                <w:rFonts w:asciiTheme="minorHAnsi" w:hAnsiTheme="minorHAnsi"/>
                <w:i/>
                <w:color w:val="808080" w:themeColor="background1" w:themeShade="80"/>
                <w:szCs w:val="20"/>
                <w:lang w:eastAsia="en-US"/>
              </w:rPr>
              <w:t>5% increase on 2015/16 baseline</w:t>
            </w:r>
          </w:p>
        </w:tc>
        <w:tc>
          <w:tcPr>
            <w:tcW w:w="777" w:type="pct"/>
            <w:gridSpan w:val="2"/>
            <w:tcBorders>
              <w:top w:val="nil"/>
              <w:left w:val="nil"/>
              <w:bottom w:val="single" w:sz="12" w:space="0" w:color="FFFFFF" w:themeColor="background1"/>
              <w:right w:val="nil"/>
            </w:tcBorders>
            <w:hideMark/>
          </w:tcPr>
          <w:p w:rsidR="004B140D" w:rsidRPr="00812509" w:rsidRDefault="002A1D05" w:rsidP="00F10703">
            <w:pPr>
              <w:rPr>
                <w:rFonts w:asciiTheme="minorHAnsi" w:hAnsiTheme="minorHAnsi"/>
                <w:i/>
                <w:color w:val="808080" w:themeColor="background1" w:themeShade="80"/>
                <w:szCs w:val="20"/>
                <w:lang w:eastAsia="en-US"/>
              </w:rPr>
            </w:pPr>
            <w:r>
              <w:rPr>
                <w:rFonts w:asciiTheme="minorHAnsi" w:hAnsiTheme="minorHAnsi"/>
                <w:i/>
                <w:color w:val="808080" w:themeColor="background1" w:themeShade="80"/>
                <w:szCs w:val="20"/>
                <w:lang w:eastAsia="en-US"/>
              </w:rPr>
              <w:t>10</w:t>
            </w:r>
            <w:r w:rsidR="004B140D">
              <w:rPr>
                <w:rFonts w:asciiTheme="minorHAnsi" w:hAnsiTheme="minorHAnsi"/>
                <w:i/>
                <w:color w:val="808080" w:themeColor="background1" w:themeShade="80"/>
                <w:szCs w:val="20"/>
                <w:lang w:eastAsia="en-US"/>
              </w:rPr>
              <w:t>% increase</w:t>
            </w:r>
          </w:p>
        </w:tc>
        <w:tc>
          <w:tcPr>
            <w:tcW w:w="777" w:type="pct"/>
            <w:gridSpan w:val="2"/>
            <w:tcBorders>
              <w:top w:val="nil"/>
              <w:left w:val="nil"/>
              <w:bottom w:val="single" w:sz="12" w:space="0" w:color="FFFFFF" w:themeColor="background1"/>
              <w:right w:val="nil"/>
            </w:tcBorders>
            <w:hideMark/>
          </w:tcPr>
          <w:p w:rsidR="004B140D" w:rsidRPr="00812509" w:rsidRDefault="00FD73D0" w:rsidP="00FD73D0">
            <w:pPr>
              <w:rPr>
                <w:rFonts w:asciiTheme="minorHAnsi" w:hAnsiTheme="minorHAnsi"/>
                <w:i/>
                <w:color w:val="808080" w:themeColor="background1" w:themeShade="80"/>
                <w:szCs w:val="20"/>
                <w:lang w:eastAsia="en-US"/>
              </w:rPr>
            </w:pPr>
            <w:r>
              <w:rPr>
                <w:rFonts w:asciiTheme="minorHAnsi" w:hAnsiTheme="minorHAnsi"/>
                <w:i/>
                <w:color w:val="808080" w:themeColor="background1" w:themeShade="80"/>
                <w:szCs w:val="20"/>
                <w:lang w:eastAsia="en-US"/>
              </w:rPr>
              <w:t>25</w:t>
            </w:r>
            <w:r w:rsidR="004B140D">
              <w:rPr>
                <w:rFonts w:asciiTheme="minorHAnsi" w:hAnsiTheme="minorHAnsi"/>
                <w:i/>
                <w:color w:val="808080" w:themeColor="background1" w:themeShade="80"/>
                <w:szCs w:val="20"/>
                <w:lang w:eastAsia="en-US"/>
              </w:rPr>
              <w:t>% increase</w:t>
            </w:r>
          </w:p>
        </w:tc>
      </w:tr>
      <w:tr w:rsidR="004B140D" w:rsidTr="004B140D">
        <w:trPr>
          <w:gridAfter w:val="1"/>
          <w:wAfter w:w="72" w:type="pct"/>
          <w:trHeight w:val="614"/>
        </w:trPr>
        <w:tc>
          <w:tcPr>
            <w:tcW w:w="765" w:type="pct"/>
            <w:tcBorders>
              <w:top w:val="single" w:sz="12" w:space="0" w:color="FFFFFF" w:themeColor="background1"/>
              <w:left w:val="nil"/>
              <w:bottom w:val="single" w:sz="12" w:space="0" w:color="FFFFFF" w:themeColor="background1"/>
              <w:right w:val="nil"/>
            </w:tcBorders>
          </w:tcPr>
          <w:p w:rsidR="004B140D" w:rsidRPr="00812509" w:rsidRDefault="004B140D" w:rsidP="00D15A00">
            <w:pPr>
              <w:pStyle w:val="TableHeading1"/>
              <w:rPr>
                <w:rFonts w:asciiTheme="minorHAnsi" w:hAnsiTheme="minorHAnsi"/>
              </w:rPr>
            </w:pPr>
            <w:r>
              <w:rPr>
                <w:rFonts w:asciiTheme="minorHAnsi" w:hAnsiTheme="minorHAnsi"/>
              </w:rPr>
              <w:t>Aid objective</w:t>
            </w:r>
          </w:p>
        </w:tc>
        <w:tc>
          <w:tcPr>
            <w:tcW w:w="1832" w:type="pct"/>
            <w:gridSpan w:val="2"/>
            <w:tcBorders>
              <w:top w:val="single" w:sz="12" w:space="0" w:color="FFFFFF" w:themeColor="background1"/>
              <w:left w:val="nil"/>
              <w:bottom w:val="single" w:sz="12" w:space="0" w:color="FFFFFF" w:themeColor="background1"/>
              <w:right w:val="single" w:sz="12" w:space="0" w:color="FFFFFF" w:themeColor="background1"/>
            </w:tcBorders>
          </w:tcPr>
          <w:p w:rsidR="004B140D" w:rsidRPr="004B140D" w:rsidRDefault="004B140D" w:rsidP="00F10703">
            <w:pPr>
              <w:spacing w:after="120"/>
              <w:rPr>
                <w:rFonts w:asciiTheme="minorHAnsi" w:hAnsiTheme="minorHAnsi"/>
                <w:b/>
                <w:i/>
                <w:color w:val="808080" w:themeColor="background1" w:themeShade="80"/>
                <w:szCs w:val="20"/>
              </w:rPr>
            </w:pPr>
            <w:r w:rsidRPr="004B140D">
              <w:rPr>
                <w:rFonts w:asciiTheme="minorHAnsi" w:hAnsiTheme="minorHAnsi"/>
                <w:b/>
                <w:i/>
                <w:color w:val="808080" w:themeColor="background1" w:themeShade="80"/>
                <w:szCs w:val="20"/>
              </w:rPr>
              <w:t>Support government to be more responsive  to the needs of citizens and the private sector</w:t>
            </w:r>
          </w:p>
        </w:tc>
        <w:tc>
          <w:tcPr>
            <w:tcW w:w="777" w:type="pct"/>
            <w:tcBorders>
              <w:top w:val="single" w:sz="12" w:space="0" w:color="FFFFFF" w:themeColor="background1"/>
              <w:left w:val="single" w:sz="12" w:space="0" w:color="FFFFFF" w:themeColor="background1"/>
              <w:bottom w:val="single" w:sz="12" w:space="0" w:color="FFFFFF" w:themeColor="background1"/>
              <w:right w:val="nil"/>
            </w:tcBorders>
          </w:tcPr>
          <w:p w:rsidR="004B140D" w:rsidRPr="00812509" w:rsidRDefault="004B140D" w:rsidP="00F10703">
            <w:pPr>
              <w:spacing w:after="120"/>
              <w:rPr>
                <w:i/>
                <w:color w:val="808080" w:themeColor="background1" w:themeShade="80"/>
                <w:szCs w:val="20"/>
              </w:rPr>
            </w:pPr>
          </w:p>
        </w:tc>
        <w:tc>
          <w:tcPr>
            <w:tcW w:w="777" w:type="pct"/>
            <w:gridSpan w:val="2"/>
            <w:tcBorders>
              <w:top w:val="single" w:sz="12" w:space="0" w:color="FFFFFF" w:themeColor="background1"/>
              <w:left w:val="nil"/>
              <w:bottom w:val="single" w:sz="12" w:space="0" w:color="FFFFFF" w:themeColor="background1"/>
              <w:right w:val="nil"/>
            </w:tcBorders>
          </w:tcPr>
          <w:p w:rsidR="004B140D" w:rsidRPr="00812509" w:rsidRDefault="004B140D" w:rsidP="00F10703">
            <w:pPr>
              <w:spacing w:after="120"/>
              <w:rPr>
                <w:i/>
                <w:color w:val="808080" w:themeColor="background1" w:themeShade="80"/>
                <w:szCs w:val="20"/>
              </w:rPr>
            </w:pPr>
          </w:p>
        </w:tc>
        <w:tc>
          <w:tcPr>
            <w:tcW w:w="777" w:type="pct"/>
            <w:gridSpan w:val="2"/>
            <w:tcBorders>
              <w:top w:val="single" w:sz="12" w:space="0" w:color="FFFFFF" w:themeColor="background1"/>
              <w:left w:val="nil"/>
              <w:bottom w:val="single" w:sz="12" w:space="0" w:color="FFFFFF" w:themeColor="background1"/>
              <w:right w:val="nil"/>
            </w:tcBorders>
          </w:tcPr>
          <w:p w:rsidR="004B140D" w:rsidRPr="00812509" w:rsidRDefault="004B140D" w:rsidP="00F10703">
            <w:pPr>
              <w:spacing w:after="120"/>
              <w:rPr>
                <w:i/>
                <w:color w:val="808080" w:themeColor="background1" w:themeShade="80"/>
                <w:szCs w:val="20"/>
              </w:rPr>
            </w:pPr>
          </w:p>
        </w:tc>
      </w:tr>
      <w:tr w:rsidR="004B140D" w:rsidTr="004B140D">
        <w:trPr>
          <w:gridAfter w:val="1"/>
          <w:wAfter w:w="72" w:type="pct"/>
          <w:trHeight w:val="614"/>
        </w:trPr>
        <w:tc>
          <w:tcPr>
            <w:tcW w:w="765" w:type="pct"/>
            <w:tcBorders>
              <w:top w:val="single" w:sz="12" w:space="0" w:color="FFFFFF" w:themeColor="background1"/>
              <w:left w:val="nil"/>
              <w:bottom w:val="single" w:sz="12" w:space="0" w:color="FFFFFF" w:themeColor="background1"/>
              <w:right w:val="nil"/>
            </w:tcBorders>
            <w:hideMark/>
          </w:tcPr>
          <w:p w:rsidR="004B140D" w:rsidRPr="00812509" w:rsidRDefault="004B140D" w:rsidP="00D15A00">
            <w:pPr>
              <w:pStyle w:val="TableHeading1"/>
              <w:rPr>
                <w:rFonts w:asciiTheme="minorHAnsi" w:hAnsiTheme="minorHAnsi"/>
                <w:i/>
                <w:color w:val="808080" w:themeColor="background1" w:themeShade="80"/>
              </w:rPr>
            </w:pPr>
            <w:r w:rsidRPr="00812509">
              <w:rPr>
                <w:rFonts w:asciiTheme="minorHAnsi" w:hAnsiTheme="minorHAnsi"/>
              </w:rPr>
              <w:t>Performance</w:t>
            </w:r>
            <w:r w:rsidRPr="00812509">
              <w:rPr>
                <w:rFonts w:asciiTheme="minorHAnsi" w:hAnsiTheme="minorHAnsi"/>
              </w:rPr>
              <w:br/>
              <w:t>benchmark</w:t>
            </w:r>
          </w:p>
        </w:tc>
        <w:tc>
          <w:tcPr>
            <w:tcW w:w="1832" w:type="pct"/>
            <w:gridSpan w:val="2"/>
            <w:tcBorders>
              <w:top w:val="single" w:sz="12" w:space="0" w:color="FFFFFF" w:themeColor="background1"/>
              <w:left w:val="nil"/>
              <w:bottom w:val="single" w:sz="12" w:space="0" w:color="FFFFFF" w:themeColor="background1"/>
              <w:right w:val="single" w:sz="12" w:space="0" w:color="FFFFFF" w:themeColor="background1"/>
            </w:tcBorders>
          </w:tcPr>
          <w:p w:rsidR="004B140D" w:rsidRPr="00812509" w:rsidRDefault="004B140D" w:rsidP="00F10703">
            <w:pPr>
              <w:spacing w:after="120"/>
              <w:rPr>
                <w:rFonts w:asciiTheme="minorHAnsi" w:hAnsiTheme="minorHAnsi"/>
                <w:i/>
                <w:color w:val="808080" w:themeColor="background1" w:themeShade="80"/>
                <w:szCs w:val="20"/>
                <w:lang w:eastAsia="en-US"/>
              </w:rPr>
            </w:pPr>
            <w:r>
              <w:rPr>
                <w:rFonts w:asciiTheme="minorHAnsi" w:hAnsiTheme="minorHAnsi"/>
                <w:i/>
                <w:color w:val="808080" w:themeColor="background1" w:themeShade="80"/>
                <w:szCs w:val="20"/>
                <w:lang w:eastAsia="en-US"/>
              </w:rPr>
              <w:t>Increased satisfaction of citizens and private sector with national and sub-national government performance in delivering key services</w:t>
            </w:r>
          </w:p>
        </w:tc>
        <w:tc>
          <w:tcPr>
            <w:tcW w:w="777" w:type="pct"/>
            <w:tcBorders>
              <w:top w:val="single" w:sz="12" w:space="0" w:color="FFFFFF" w:themeColor="background1"/>
              <w:left w:val="single" w:sz="12" w:space="0" w:color="FFFFFF" w:themeColor="background1"/>
              <w:bottom w:val="single" w:sz="12" w:space="0" w:color="FFFFFF" w:themeColor="background1"/>
              <w:right w:val="nil"/>
            </w:tcBorders>
          </w:tcPr>
          <w:p w:rsidR="004B140D" w:rsidRPr="00812509" w:rsidRDefault="002A1D05" w:rsidP="004B140D">
            <w:pPr>
              <w:spacing w:after="120"/>
              <w:rPr>
                <w:rFonts w:asciiTheme="minorHAnsi" w:hAnsiTheme="minorHAnsi"/>
                <w:i/>
                <w:color w:val="808080" w:themeColor="background1" w:themeShade="80"/>
                <w:szCs w:val="20"/>
                <w:lang w:eastAsia="en-US"/>
              </w:rPr>
            </w:pPr>
            <w:r>
              <w:rPr>
                <w:rFonts w:asciiTheme="minorHAnsi" w:hAnsiTheme="minorHAnsi"/>
                <w:i/>
                <w:color w:val="808080" w:themeColor="background1" w:themeShade="80"/>
                <w:szCs w:val="20"/>
                <w:lang w:eastAsia="en-US"/>
              </w:rPr>
              <w:t>5</w:t>
            </w:r>
            <w:r w:rsidR="004B140D">
              <w:rPr>
                <w:rFonts w:asciiTheme="minorHAnsi" w:hAnsiTheme="minorHAnsi"/>
                <w:i/>
                <w:color w:val="808080" w:themeColor="background1" w:themeShade="80"/>
                <w:szCs w:val="20"/>
                <w:lang w:eastAsia="en-US"/>
              </w:rPr>
              <w:t>% increase on 2015/16 baselines</w:t>
            </w:r>
          </w:p>
        </w:tc>
        <w:tc>
          <w:tcPr>
            <w:tcW w:w="777" w:type="pct"/>
            <w:gridSpan w:val="2"/>
            <w:tcBorders>
              <w:top w:val="single" w:sz="12" w:space="0" w:color="FFFFFF" w:themeColor="background1"/>
              <w:left w:val="nil"/>
              <w:bottom w:val="single" w:sz="12" w:space="0" w:color="FFFFFF" w:themeColor="background1"/>
              <w:right w:val="nil"/>
            </w:tcBorders>
          </w:tcPr>
          <w:p w:rsidR="004B140D" w:rsidRPr="00812509" w:rsidRDefault="002A1D05" w:rsidP="00F10703">
            <w:pPr>
              <w:spacing w:after="120"/>
              <w:rPr>
                <w:rFonts w:asciiTheme="minorHAnsi" w:hAnsiTheme="minorHAnsi"/>
                <w:i/>
                <w:color w:val="808080" w:themeColor="background1" w:themeShade="80"/>
                <w:szCs w:val="20"/>
                <w:lang w:eastAsia="en-US"/>
              </w:rPr>
            </w:pPr>
            <w:r>
              <w:rPr>
                <w:rFonts w:asciiTheme="minorHAnsi" w:hAnsiTheme="minorHAnsi"/>
                <w:i/>
                <w:color w:val="808080" w:themeColor="background1" w:themeShade="80"/>
                <w:szCs w:val="20"/>
                <w:lang w:eastAsia="en-US"/>
              </w:rPr>
              <w:t>1</w:t>
            </w:r>
            <w:r w:rsidR="004B140D">
              <w:rPr>
                <w:rFonts w:asciiTheme="minorHAnsi" w:hAnsiTheme="minorHAnsi"/>
                <w:i/>
                <w:color w:val="808080" w:themeColor="background1" w:themeShade="80"/>
                <w:szCs w:val="20"/>
                <w:lang w:eastAsia="en-US"/>
              </w:rPr>
              <w:t>0% increase</w:t>
            </w:r>
          </w:p>
        </w:tc>
        <w:tc>
          <w:tcPr>
            <w:tcW w:w="777" w:type="pct"/>
            <w:gridSpan w:val="2"/>
            <w:tcBorders>
              <w:top w:val="single" w:sz="12" w:space="0" w:color="FFFFFF" w:themeColor="background1"/>
              <w:left w:val="nil"/>
              <w:bottom w:val="single" w:sz="12" w:space="0" w:color="FFFFFF" w:themeColor="background1"/>
              <w:right w:val="nil"/>
            </w:tcBorders>
          </w:tcPr>
          <w:p w:rsidR="004B140D" w:rsidRPr="00812509" w:rsidRDefault="002A1D05" w:rsidP="00F10703">
            <w:pPr>
              <w:spacing w:after="120"/>
              <w:rPr>
                <w:rFonts w:asciiTheme="minorHAnsi" w:hAnsiTheme="minorHAnsi"/>
                <w:i/>
                <w:color w:val="808080" w:themeColor="background1" w:themeShade="80"/>
                <w:szCs w:val="20"/>
                <w:lang w:eastAsia="en-US"/>
              </w:rPr>
            </w:pPr>
            <w:r>
              <w:rPr>
                <w:rFonts w:asciiTheme="minorHAnsi" w:hAnsiTheme="minorHAnsi"/>
                <w:i/>
                <w:color w:val="808080" w:themeColor="background1" w:themeShade="80"/>
                <w:szCs w:val="20"/>
                <w:lang w:eastAsia="en-US"/>
              </w:rPr>
              <w:t>15</w:t>
            </w:r>
            <w:r w:rsidR="004B140D">
              <w:rPr>
                <w:rFonts w:asciiTheme="minorHAnsi" w:hAnsiTheme="minorHAnsi"/>
                <w:i/>
                <w:color w:val="808080" w:themeColor="background1" w:themeShade="80"/>
                <w:szCs w:val="20"/>
                <w:lang w:eastAsia="en-US"/>
              </w:rPr>
              <w:t>% increase</w:t>
            </w:r>
          </w:p>
        </w:tc>
      </w:tr>
      <w:tr w:rsidR="004B140D" w:rsidTr="004B140D">
        <w:trPr>
          <w:gridAfter w:val="1"/>
          <w:wAfter w:w="72" w:type="pct"/>
          <w:trHeight w:val="614"/>
        </w:trPr>
        <w:tc>
          <w:tcPr>
            <w:tcW w:w="765" w:type="pct"/>
            <w:tcBorders>
              <w:top w:val="single" w:sz="12" w:space="0" w:color="FFFFFF" w:themeColor="background1"/>
              <w:left w:val="nil"/>
              <w:bottom w:val="nil"/>
              <w:right w:val="nil"/>
            </w:tcBorders>
          </w:tcPr>
          <w:p w:rsidR="004B140D" w:rsidRPr="00812509" w:rsidRDefault="004B140D" w:rsidP="00D15A00">
            <w:pPr>
              <w:pStyle w:val="TableHeading1"/>
              <w:rPr>
                <w:rFonts w:asciiTheme="minorHAnsi" w:hAnsiTheme="minorHAnsi"/>
              </w:rPr>
            </w:pPr>
            <w:r>
              <w:rPr>
                <w:rFonts w:asciiTheme="minorHAnsi" w:hAnsiTheme="minorHAnsi"/>
              </w:rPr>
              <w:lastRenderedPageBreak/>
              <w:t>Aid objective</w:t>
            </w:r>
          </w:p>
        </w:tc>
        <w:tc>
          <w:tcPr>
            <w:tcW w:w="1832" w:type="pct"/>
            <w:gridSpan w:val="2"/>
            <w:tcBorders>
              <w:top w:val="single" w:sz="12" w:space="0" w:color="FFFFFF" w:themeColor="background1"/>
              <w:left w:val="nil"/>
              <w:bottom w:val="nil"/>
              <w:right w:val="nil"/>
            </w:tcBorders>
          </w:tcPr>
          <w:p w:rsidR="004B140D" w:rsidRPr="004B140D" w:rsidRDefault="004B140D" w:rsidP="00F10703">
            <w:pPr>
              <w:spacing w:after="120"/>
              <w:rPr>
                <w:rFonts w:asciiTheme="minorHAnsi" w:hAnsiTheme="minorHAnsi"/>
                <w:b/>
                <w:i/>
                <w:color w:val="808080" w:themeColor="background1" w:themeShade="80"/>
                <w:szCs w:val="20"/>
              </w:rPr>
            </w:pPr>
            <w:r w:rsidRPr="004B140D">
              <w:rPr>
                <w:rFonts w:asciiTheme="minorHAnsi" w:hAnsiTheme="minorHAnsi"/>
                <w:b/>
                <w:i/>
                <w:color w:val="808080" w:themeColor="background1" w:themeShade="80"/>
                <w:szCs w:val="20"/>
              </w:rPr>
              <w:t>Increase gender equality</w:t>
            </w:r>
          </w:p>
        </w:tc>
        <w:tc>
          <w:tcPr>
            <w:tcW w:w="777" w:type="pct"/>
            <w:tcBorders>
              <w:top w:val="single" w:sz="12" w:space="0" w:color="FFFFFF" w:themeColor="background1"/>
              <w:left w:val="nil"/>
              <w:bottom w:val="nil"/>
              <w:right w:val="nil"/>
            </w:tcBorders>
          </w:tcPr>
          <w:p w:rsidR="004B140D" w:rsidRPr="00812509" w:rsidRDefault="004B140D" w:rsidP="00F10703">
            <w:pPr>
              <w:spacing w:after="120"/>
              <w:rPr>
                <w:i/>
                <w:color w:val="808080" w:themeColor="background1" w:themeShade="80"/>
                <w:szCs w:val="20"/>
              </w:rPr>
            </w:pPr>
          </w:p>
        </w:tc>
        <w:tc>
          <w:tcPr>
            <w:tcW w:w="777" w:type="pct"/>
            <w:gridSpan w:val="2"/>
            <w:tcBorders>
              <w:top w:val="single" w:sz="12" w:space="0" w:color="FFFFFF" w:themeColor="background1"/>
              <w:left w:val="nil"/>
              <w:bottom w:val="nil"/>
              <w:right w:val="nil"/>
            </w:tcBorders>
          </w:tcPr>
          <w:p w:rsidR="004B140D" w:rsidRPr="00812509" w:rsidRDefault="004B140D" w:rsidP="00F10703">
            <w:pPr>
              <w:spacing w:after="120"/>
              <w:rPr>
                <w:i/>
                <w:color w:val="808080" w:themeColor="background1" w:themeShade="80"/>
                <w:szCs w:val="20"/>
              </w:rPr>
            </w:pPr>
          </w:p>
        </w:tc>
        <w:tc>
          <w:tcPr>
            <w:tcW w:w="777" w:type="pct"/>
            <w:gridSpan w:val="2"/>
            <w:tcBorders>
              <w:top w:val="single" w:sz="12" w:space="0" w:color="FFFFFF" w:themeColor="background1"/>
              <w:left w:val="nil"/>
              <w:bottom w:val="nil"/>
              <w:right w:val="nil"/>
            </w:tcBorders>
          </w:tcPr>
          <w:p w:rsidR="004B140D" w:rsidRPr="00812509" w:rsidRDefault="004B140D" w:rsidP="00F10703">
            <w:pPr>
              <w:spacing w:after="120"/>
              <w:rPr>
                <w:i/>
                <w:color w:val="808080" w:themeColor="background1" w:themeShade="80"/>
                <w:szCs w:val="20"/>
              </w:rPr>
            </w:pPr>
          </w:p>
        </w:tc>
      </w:tr>
      <w:tr w:rsidR="004B140D" w:rsidTr="004B140D">
        <w:trPr>
          <w:gridAfter w:val="1"/>
          <w:wAfter w:w="72" w:type="pct"/>
          <w:trHeight w:val="614"/>
        </w:trPr>
        <w:tc>
          <w:tcPr>
            <w:tcW w:w="765" w:type="pct"/>
            <w:tcBorders>
              <w:top w:val="nil"/>
              <w:left w:val="nil"/>
              <w:bottom w:val="single" w:sz="12" w:space="0" w:color="auto"/>
              <w:right w:val="nil"/>
            </w:tcBorders>
          </w:tcPr>
          <w:p w:rsidR="004B140D" w:rsidRPr="00812509" w:rsidRDefault="004B140D" w:rsidP="00D15A00">
            <w:pPr>
              <w:pStyle w:val="TableHeading1"/>
              <w:rPr>
                <w:rFonts w:asciiTheme="minorHAnsi" w:hAnsiTheme="minorHAnsi"/>
              </w:rPr>
            </w:pPr>
            <w:r>
              <w:rPr>
                <w:rFonts w:asciiTheme="minorHAnsi" w:hAnsiTheme="minorHAnsi"/>
              </w:rPr>
              <w:t>Performance benchmark</w:t>
            </w:r>
          </w:p>
        </w:tc>
        <w:tc>
          <w:tcPr>
            <w:tcW w:w="1832" w:type="pct"/>
            <w:gridSpan w:val="2"/>
            <w:tcBorders>
              <w:top w:val="nil"/>
              <w:left w:val="nil"/>
              <w:bottom w:val="single" w:sz="12" w:space="0" w:color="auto"/>
              <w:right w:val="nil"/>
            </w:tcBorders>
          </w:tcPr>
          <w:p w:rsidR="004B140D" w:rsidRPr="004B140D" w:rsidRDefault="001A4E8B" w:rsidP="001A4E8B">
            <w:pPr>
              <w:spacing w:after="120"/>
              <w:rPr>
                <w:rFonts w:asciiTheme="minorHAnsi" w:hAnsiTheme="minorHAnsi"/>
                <w:i/>
                <w:color w:val="808080" w:themeColor="background1" w:themeShade="80"/>
                <w:szCs w:val="20"/>
              </w:rPr>
            </w:pPr>
            <w:r>
              <w:rPr>
                <w:rFonts w:asciiTheme="minorHAnsi" w:hAnsiTheme="minorHAnsi"/>
                <w:i/>
                <w:color w:val="808080" w:themeColor="background1" w:themeShade="80"/>
                <w:szCs w:val="20"/>
              </w:rPr>
              <w:t>Increase the</w:t>
            </w:r>
            <w:r w:rsidR="004B140D" w:rsidRPr="004B140D">
              <w:rPr>
                <w:rFonts w:asciiTheme="minorHAnsi" w:hAnsiTheme="minorHAnsi"/>
                <w:i/>
                <w:color w:val="808080" w:themeColor="background1" w:themeShade="80"/>
                <w:szCs w:val="20"/>
              </w:rPr>
              <w:t xml:space="preserve"> </w:t>
            </w:r>
            <w:r>
              <w:rPr>
                <w:rFonts w:asciiTheme="minorHAnsi" w:hAnsiTheme="minorHAnsi"/>
                <w:i/>
                <w:color w:val="808080" w:themeColor="background1" w:themeShade="80"/>
                <w:szCs w:val="20"/>
              </w:rPr>
              <w:t>percentage</w:t>
            </w:r>
            <w:r w:rsidR="004B140D" w:rsidRPr="004B140D">
              <w:rPr>
                <w:rFonts w:asciiTheme="minorHAnsi" w:hAnsiTheme="minorHAnsi"/>
                <w:i/>
                <w:color w:val="808080" w:themeColor="background1" w:themeShade="80"/>
                <w:szCs w:val="20"/>
              </w:rPr>
              <w:t xml:space="preserve"> of women in </w:t>
            </w:r>
            <w:r w:rsidR="004B140D">
              <w:rPr>
                <w:rFonts w:asciiTheme="minorHAnsi" w:hAnsiTheme="minorHAnsi"/>
                <w:i/>
                <w:color w:val="808080" w:themeColor="background1" w:themeShade="80"/>
                <w:szCs w:val="20"/>
              </w:rPr>
              <w:t xml:space="preserve">targeted populations in </w:t>
            </w:r>
            <w:r w:rsidR="004B140D" w:rsidRPr="004B140D">
              <w:rPr>
                <w:rFonts w:asciiTheme="minorHAnsi" w:hAnsiTheme="minorHAnsi"/>
                <w:i/>
                <w:color w:val="808080" w:themeColor="background1" w:themeShade="80"/>
                <w:szCs w:val="20"/>
              </w:rPr>
              <w:t>formal and informal employment</w:t>
            </w:r>
          </w:p>
        </w:tc>
        <w:tc>
          <w:tcPr>
            <w:tcW w:w="777" w:type="pct"/>
            <w:tcBorders>
              <w:top w:val="nil"/>
              <w:left w:val="nil"/>
              <w:bottom w:val="single" w:sz="12" w:space="0" w:color="auto"/>
              <w:right w:val="nil"/>
            </w:tcBorders>
          </w:tcPr>
          <w:p w:rsidR="004B140D" w:rsidRPr="00812509" w:rsidRDefault="004B140D" w:rsidP="00F10703">
            <w:pPr>
              <w:rPr>
                <w:rFonts w:asciiTheme="minorHAnsi" w:hAnsiTheme="minorHAnsi"/>
                <w:i/>
                <w:color w:val="808080" w:themeColor="background1" w:themeShade="80"/>
                <w:szCs w:val="20"/>
                <w:lang w:eastAsia="en-US"/>
              </w:rPr>
            </w:pPr>
            <w:r>
              <w:rPr>
                <w:rFonts w:asciiTheme="minorHAnsi" w:hAnsiTheme="minorHAnsi"/>
                <w:i/>
                <w:color w:val="808080" w:themeColor="background1" w:themeShade="80"/>
                <w:szCs w:val="20"/>
                <w:lang w:eastAsia="en-US"/>
              </w:rPr>
              <w:t>5% increase on 2015/16 baseline</w:t>
            </w:r>
          </w:p>
        </w:tc>
        <w:tc>
          <w:tcPr>
            <w:tcW w:w="777" w:type="pct"/>
            <w:gridSpan w:val="2"/>
            <w:tcBorders>
              <w:top w:val="nil"/>
              <w:left w:val="nil"/>
              <w:bottom w:val="single" w:sz="12" w:space="0" w:color="auto"/>
              <w:right w:val="nil"/>
            </w:tcBorders>
          </w:tcPr>
          <w:p w:rsidR="004B140D" w:rsidRPr="00812509" w:rsidRDefault="002A1D05" w:rsidP="00F10703">
            <w:pPr>
              <w:rPr>
                <w:rFonts w:asciiTheme="minorHAnsi" w:hAnsiTheme="minorHAnsi"/>
                <w:i/>
                <w:color w:val="808080" w:themeColor="background1" w:themeShade="80"/>
                <w:szCs w:val="20"/>
                <w:lang w:eastAsia="en-US"/>
              </w:rPr>
            </w:pPr>
            <w:r>
              <w:rPr>
                <w:rFonts w:asciiTheme="minorHAnsi" w:hAnsiTheme="minorHAnsi"/>
                <w:i/>
                <w:color w:val="808080" w:themeColor="background1" w:themeShade="80"/>
                <w:szCs w:val="20"/>
                <w:lang w:eastAsia="en-US"/>
              </w:rPr>
              <w:t>10</w:t>
            </w:r>
            <w:r w:rsidR="004B140D">
              <w:rPr>
                <w:rFonts w:asciiTheme="minorHAnsi" w:hAnsiTheme="minorHAnsi"/>
                <w:i/>
                <w:color w:val="808080" w:themeColor="background1" w:themeShade="80"/>
                <w:szCs w:val="20"/>
                <w:lang w:eastAsia="en-US"/>
              </w:rPr>
              <w:t>% increase</w:t>
            </w:r>
          </w:p>
        </w:tc>
        <w:tc>
          <w:tcPr>
            <w:tcW w:w="777" w:type="pct"/>
            <w:gridSpan w:val="2"/>
            <w:tcBorders>
              <w:top w:val="nil"/>
              <w:left w:val="nil"/>
              <w:bottom w:val="single" w:sz="12" w:space="0" w:color="auto"/>
              <w:right w:val="nil"/>
            </w:tcBorders>
          </w:tcPr>
          <w:p w:rsidR="004B140D" w:rsidRPr="00812509" w:rsidRDefault="002A1D05" w:rsidP="00F10703">
            <w:pPr>
              <w:rPr>
                <w:rFonts w:asciiTheme="minorHAnsi" w:hAnsiTheme="minorHAnsi"/>
                <w:i/>
                <w:color w:val="808080" w:themeColor="background1" w:themeShade="80"/>
                <w:szCs w:val="20"/>
                <w:lang w:eastAsia="en-US"/>
              </w:rPr>
            </w:pPr>
            <w:r>
              <w:rPr>
                <w:rFonts w:asciiTheme="minorHAnsi" w:hAnsiTheme="minorHAnsi"/>
                <w:i/>
                <w:color w:val="808080" w:themeColor="background1" w:themeShade="80"/>
                <w:szCs w:val="20"/>
                <w:lang w:eastAsia="en-US"/>
              </w:rPr>
              <w:t>25</w:t>
            </w:r>
            <w:r w:rsidR="004B140D">
              <w:rPr>
                <w:rFonts w:asciiTheme="minorHAnsi" w:hAnsiTheme="minorHAnsi"/>
                <w:i/>
                <w:color w:val="808080" w:themeColor="background1" w:themeShade="80"/>
                <w:szCs w:val="20"/>
                <w:lang w:eastAsia="en-US"/>
              </w:rPr>
              <w:t>% increase</w:t>
            </w:r>
          </w:p>
        </w:tc>
      </w:tr>
    </w:tbl>
    <w:p w:rsidR="005B5769" w:rsidRPr="00015316" w:rsidRDefault="005B5769" w:rsidP="0001531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Mutual Obligations</w:t>
      </w:r>
    </w:p>
    <w:p w:rsidR="005B5769" w:rsidRPr="00A8197B" w:rsidRDefault="00A4041F" w:rsidP="00A8197B">
      <w:r>
        <w:t>In 2015-16, negotiations over a new</w:t>
      </w:r>
      <w:r w:rsidR="001A6EF4">
        <w:t>, updated</w:t>
      </w:r>
      <w:r>
        <w:t xml:space="preserve"> Sri Lanka-Australia Development Coop</w:t>
      </w:r>
      <w:r w:rsidR="006C374B">
        <w:t>eration Memorandum of Understanding began. The MOU will set</w:t>
      </w:r>
      <w:r w:rsidR="000564F1">
        <w:t xml:space="preserve"> out how the partners </w:t>
      </w:r>
      <w:r w:rsidR="006C374B">
        <w:t>engage with each other over the formation and implementation of Australia’s aid program in Sri Lanka. More substantive sets of mutual obligations have been established on a project-by-project basis</w:t>
      </w:r>
      <w:r w:rsidR="000564F1">
        <w:t>. Under TSEP, t</w:t>
      </w:r>
      <w:r w:rsidR="000564F1" w:rsidRPr="000564F1">
        <w:rPr>
          <w:lang w:val="en-AU"/>
        </w:rPr>
        <w:t>he</w:t>
      </w:r>
      <w:r w:rsidR="000564F1">
        <w:rPr>
          <w:lang w:val="en-AU"/>
        </w:rPr>
        <w:t xml:space="preserve"> </w:t>
      </w:r>
      <w:r w:rsidR="000564F1" w:rsidRPr="000564F1">
        <w:rPr>
          <w:lang w:val="en-AU"/>
        </w:rPr>
        <w:t xml:space="preserve">Sri Lankan </w:t>
      </w:r>
      <w:r w:rsidR="000564F1">
        <w:rPr>
          <w:lang w:val="en-AU"/>
        </w:rPr>
        <w:t>G</w:t>
      </w:r>
      <w:r w:rsidR="000564F1" w:rsidRPr="000564F1">
        <w:rPr>
          <w:lang w:val="en-AU"/>
        </w:rPr>
        <w:t>overnment is required to achieve Disbursement Linked Indicators each year in order to receive</w:t>
      </w:r>
      <w:r w:rsidR="000564F1">
        <w:rPr>
          <w:lang w:val="en-AU"/>
        </w:rPr>
        <w:t xml:space="preserve"> tranche funding, and those indicators were met in 2015-16, as </w:t>
      </w:r>
      <w:r w:rsidR="000564F1" w:rsidRPr="000564F1">
        <w:rPr>
          <w:lang w:val="en-AU"/>
        </w:rPr>
        <w:t xml:space="preserve">independently verified by the Sri Lanka Association for the Advancement of Education. Under NELSIP, </w:t>
      </w:r>
      <w:r w:rsidR="000564F1">
        <w:rPr>
          <w:lang w:val="en-AU"/>
        </w:rPr>
        <w:t xml:space="preserve">the majority of </w:t>
      </w:r>
      <w:r w:rsidR="000564F1" w:rsidRPr="000564F1">
        <w:rPr>
          <w:lang w:val="en-AU"/>
        </w:rPr>
        <w:t>local authorities</w:t>
      </w:r>
      <w:r w:rsidR="000564F1">
        <w:rPr>
          <w:lang w:val="en-AU"/>
        </w:rPr>
        <w:t xml:space="preserve"> met</w:t>
      </w:r>
      <w:r w:rsidR="000564F1" w:rsidRPr="000564F1">
        <w:rPr>
          <w:lang w:val="en-AU"/>
        </w:rPr>
        <w:t xml:space="preserve"> agreed performance benchmarks, such as completion of audited financial statements and development of participatory budgets.</w:t>
      </w:r>
      <w:r w:rsidR="006C374B">
        <w:t xml:space="preserve"> </w:t>
      </w:r>
      <w:r w:rsidR="000564F1">
        <w:t>Similarly, under the TAF projects, local authorities and the N</w:t>
      </w:r>
      <w:r w:rsidR="00A5117D">
        <w:t>orthern Provincial Council have agreed to implement administrative and structural changes in return for project assistance. Monitoring has shown that these activities have been undertaken.</w:t>
      </w:r>
    </w:p>
    <w:p w:rsidR="005B5769" w:rsidRPr="00015316" w:rsidRDefault="005B5769" w:rsidP="0001531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Program Quality</w:t>
      </w:r>
    </w:p>
    <w:p w:rsidR="005B5769" w:rsidRPr="00015316" w:rsidRDefault="00B20513" w:rsidP="00A5117D">
      <w:pPr>
        <w:spacing w:after="200"/>
      </w:pPr>
      <w:r>
        <w:t xml:space="preserve">Internal </w:t>
      </w:r>
      <w:r w:rsidR="008150C9">
        <w:t>A</w:t>
      </w:r>
      <w:r w:rsidR="000564F1">
        <w:t xml:space="preserve">id </w:t>
      </w:r>
      <w:r w:rsidR="008150C9">
        <w:t>Q</w:t>
      </w:r>
      <w:r w:rsidR="000564F1">
        <w:t xml:space="preserve">uality </w:t>
      </w:r>
      <w:r w:rsidR="008150C9">
        <w:t>C</w:t>
      </w:r>
      <w:r w:rsidR="000564F1">
        <w:t>heck (AQC)</w:t>
      </w:r>
      <w:r w:rsidR="008150C9">
        <w:t xml:space="preserve"> ratings</w:t>
      </w:r>
      <w:r w:rsidR="000564F1">
        <w:t xml:space="preserve"> for the Sri Lankan program</w:t>
      </w:r>
      <w:r w:rsidR="008150C9">
        <w:t xml:space="preserve"> were satisfactory to good</w:t>
      </w:r>
      <w:r>
        <w:t>, indicating a slight overall improvement in investment-level performance</w:t>
      </w:r>
      <w:r w:rsidR="008150C9">
        <w:t>.</w:t>
      </w:r>
      <w:r w:rsidR="0014332B">
        <w:t xml:space="preserve"> There was no significant difference between AQC and Final AQC scores.</w:t>
      </w:r>
      <w:r w:rsidR="008150C9">
        <w:t xml:space="preserve"> </w:t>
      </w:r>
      <w:r w:rsidR="000564F1">
        <w:t xml:space="preserve">In addition to the improved </w:t>
      </w:r>
      <w:r w:rsidR="008150C9">
        <w:t>gender equality</w:t>
      </w:r>
      <w:r w:rsidR="000564F1">
        <w:t xml:space="preserve"> rating</w:t>
      </w:r>
      <w:r w:rsidR="008150C9">
        <w:t xml:space="preserve"> in</w:t>
      </w:r>
      <w:r w:rsidR="000564F1">
        <w:t xml:space="preserve"> the</w:t>
      </w:r>
      <w:r w:rsidR="008150C9">
        <w:t xml:space="preserve"> NELSIP, </w:t>
      </w:r>
      <w:r w:rsidR="000564F1">
        <w:t>there were also</w:t>
      </w:r>
      <w:r w:rsidR="00A67993">
        <w:t xml:space="preserve"> minor improvements in E</w:t>
      </w:r>
      <w:r w:rsidR="000564F1">
        <w:t xml:space="preserve">fficiency ratings. </w:t>
      </w:r>
      <w:r w:rsidR="00E27324">
        <w:rPr>
          <w:lang w:val="en-AU"/>
        </w:rPr>
        <w:t>E</w:t>
      </w:r>
      <w:r w:rsidRPr="00B20513">
        <w:rPr>
          <w:lang w:val="en-AU"/>
        </w:rPr>
        <w:t>xception</w:t>
      </w:r>
      <w:r w:rsidR="00E27324">
        <w:rPr>
          <w:lang w:val="en-AU"/>
        </w:rPr>
        <w:t>s</w:t>
      </w:r>
      <w:r w:rsidRPr="00B20513">
        <w:rPr>
          <w:lang w:val="en-AU"/>
        </w:rPr>
        <w:t xml:space="preserve"> </w:t>
      </w:r>
      <w:r>
        <w:rPr>
          <w:lang w:val="en-AU"/>
        </w:rPr>
        <w:t xml:space="preserve">to the overall positive trend </w:t>
      </w:r>
      <w:r w:rsidRPr="00B20513">
        <w:rPr>
          <w:lang w:val="en-AU"/>
        </w:rPr>
        <w:t>w</w:t>
      </w:r>
      <w:r w:rsidR="00E27324">
        <w:rPr>
          <w:lang w:val="en-AU"/>
        </w:rPr>
        <w:t>ere</w:t>
      </w:r>
      <w:r w:rsidRPr="00B20513">
        <w:rPr>
          <w:lang w:val="en-AU"/>
        </w:rPr>
        <w:t xml:space="preserve"> the Economic Opportunities Program (EOP) investment, which is in the first year of implementation and received unsatisfactory scores for Efficiency and Gender Equality</w:t>
      </w:r>
      <w:r w:rsidR="00E27324">
        <w:rPr>
          <w:lang w:val="en-AU"/>
        </w:rPr>
        <w:t>, and the one-off Flood Response 2015 investment which was rated unsatisfactory on Effectiveness</w:t>
      </w:r>
      <w:r>
        <w:rPr>
          <w:lang w:val="en-AU"/>
        </w:rPr>
        <w:t xml:space="preserve">. </w:t>
      </w:r>
      <w:r w:rsidR="0014332B">
        <w:rPr>
          <w:lang w:val="en-AU"/>
        </w:rPr>
        <w:t>P</w:t>
      </w:r>
      <w:r>
        <w:rPr>
          <w:lang w:val="en-AU"/>
        </w:rPr>
        <w:t xml:space="preserve">rocesses have been put in place to </w:t>
      </w:r>
      <w:r w:rsidR="0014332B">
        <w:rPr>
          <w:lang w:val="en-AU"/>
        </w:rPr>
        <w:t xml:space="preserve">improve the delivery of the </w:t>
      </w:r>
      <w:r w:rsidR="00E27324">
        <w:rPr>
          <w:lang w:val="en-AU"/>
        </w:rPr>
        <w:t>EOP investment</w:t>
      </w:r>
      <w:r w:rsidR="00FD73D0">
        <w:rPr>
          <w:lang w:val="en-AU"/>
        </w:rPr>
        <w:t xml:space="preserve"> over the </w:t>
      </w:r>
      <w:r w:rsidR="00A67993">
        <w:rPr>
          <w:lang w:val="en-AU"/>
        </w:rPr>
        <w:t>coming twelve months</w:t>
      </w:r>
      <w:r w:rsidR="00E27324">
        <w:rPr>
          <w:lang w:val="en-AU"/>
        </w:rPr>
        <w:t>, and lessons on supporting humanitarian relief have been recorded for use in future investments</w:t>
      </w:r>
      <w:r>
        <w:rPr>
          <w:lang w:val="en-AU"/>
        </w:rPr>
        <w:t>.</w:t>
      </w:r>
      <w:r w:rsidRPr="00B20513">
        <w:t xml:space="preserve"> </w:t>
      </w:r>
      <w:r w:rsidR="00FD3115">
        <w:t>Looking to the next reporting period, further consolidation in the</w:t>
      </w:r>
      <w:r w:rsidR="001A4E8B">
        <w:t xml:space="preserve"> bilateral aid</w:t>
      </w:r>
      <w:r w:rsidR="00FD3115">
        <w:t xml:space="preserve"> program is anticipated, with </w:t>
      </w:r>
      <w:r w:rsidR="00A67993">
        <w:t xml:space="preserve">NELSIP and the Community Forestry Program both </w:t>
      </w:r>
      <w:r w:rsidR="00FD73D0">
        <w:t>expected to end in the next year</w:t>
      </w:r>
      <w:r w:rsidR="00A67993">
        <w:t xml:space="preserve"> and one new investment, the Governance Platform, likely to undertake an AQC for the first time.</w:t>
      </w:r>
      <w:r w:rsidR="000D5F56" w:rsidRPr="000D5F56">
        <w:t xml:space="preserve"> </w:t>
      </w:r>
      <w:r w:rsidR="001A4E8B">
        <w:t>Further</w:t>
      </w:r>
      <w:r w:rsidR="007F3AF8">
        <w:t xml:space="preserve"> c</w:t>
      </w:r>
      <w:r w:rsidR="000D5F56">
        <w:t xml:space="preserve">onsolidation </w:t>
      </w:r>
      <w:r w:rsidR="007F3AF8">
        <w:t xml:space="preserve">will </w:t>
      </w:r>
      <w:r w:rsidR="001A4E8B">
        <w:t>occur</w:t>
      </w:r>
      <w:r w:rsidR="007F3AF8">
        <w:t xml:space="preserve"> by bringing the Subnational G</w:t>
      </w:r>
      <w:r w:rsidR="000D5F56" w:rsidRPr="000D5F56">
        <w:t xml:space="preserve">overnance investment under the </w:t>
      </w:r>
      <w:r w:rsidR="007F3AF8">
        <w:t>management umbrella of the</w:t>
      </w:r>
      <w:r w:rsidR="000D5F56" w:rsidRPr="000D5F56">
        <w:t xml:space="preserve"> broader Governance Plat</w:t>
      </w:r>
      <w:r w:rsidR="007F3AF8">
        <w:t>form</w:t>
      </w:r>
      <w:r w:rsidR="000D5F56" w:rsidRPr="000D5F56">
        <w:t>.</w:t>
      </w:r>
    </w:p>
    <w:p w:rsidR="005B5769" w:rsidRPr="00015316" w:rsidRDefault="005B5769" w:rsidP="0001531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Management Responses</w:t>
      </w:r>
    </w:p>
    <w:p w:rsidR="005B5769" w:rsidRPr="00015316" w:rsidRDefault="001E2E5B" w:rsidP="00A8197B">
      <w:r>
        <w:t xml:space="preserve">The </w:t>
      </w:r>
      <w:r w:rsidR="001A4E8B">
        <w:t>following</w:t>
      </w:r>
      <w:r>
        <w:t xml:space="preserve"> </w:t>
      </w:r>
      <w:r w:rsidR="005B5769" w:rsidRPr="00015316">
        <w:t xml:space="preserve">management </w:t>
      </w:r>
      <w:r w:rsidR="001A4E8B">
        <w:t xml:space="preserve">responses </w:t>
      </w:r>
      <w:r w:rsidR="005B5769" w:rsidRPr="00015316">
        <w:t>address</w:t>
      </w:r>
      <w:r w:rsidR="001A4E8B">
        <w:t xml:space="preserve"> the key</w:t>
      </w:r>
      <w:r w:rsidR="005B5769" w:rsidRPr="00015316">
        <w:t xml:space="preserve"> challenges</w:t>
      </w:r>
      <w:r w:rsidR="001A4E8B">
        <w:t xml:space="preserve"> the Australian aid program to Sri Lanka faces over</w:t>
      </w:r>
      <w:r w:rsidR="00A67993" w:rsidRPr="00A67993">
        <w:t xml:space="preserve"> the </w:t>
      </w:r>
      <w:r w:rsidR="00210199">
        <w:t>next</w:t>
      </w:r>
      <w:r w:rsidR="00A67993" w:rsidRPr="00A67993">
        <w:t xml:space="preserve"> 12 months</w:t>
      </w:r>
      <w:r w:rsidR="001A4E8B">
        <w:t xml:space="preserve"> in</w:t>
      </w:r>
      <w:r w:rsidR="005B5769" w:rsidRPr="00015316">
        <w:t xml:space="preserve"> achieving </w:t>
      </w:r>
      <w:r w:rsidR="001A4E8B">
        <w:t>its</w:t>
      </w:r>
      <w:r w:rsidR="005B5769" w:rsidRPr="00015316">
        <w:t xml:space="preserve"> objectives</w:t>
      </w:r>
      <w:r w:rsidR="001A4E8B">
        <w:t xml:space="preserve"> and managing</w:t>
      </w:r>
      <w:r w:rsidR="005B5769" w:rsidRPr="00015316">
        <w:t xml:space="preserve"> risks</w:t>
      </w:r>
      <w:r w:rsidR="003B3E62">
        <w:t>:</w:t>
      </w:r>
      <w:r w:rsidR="005B5769" w:rsidRPr="00015316">
        <w:t xml:space="preserve"> </w:t>
      </w:r>
    </w:p>
    <w:p w:rsidR="009F5488" w:rsidRPr="003B3E62" w:rsidRDefault="001A4E8B" w:rsidP="003B3E62">
      <w:pPr>
        <w:pStyle w:val="ListBullet"/>
        <w:numPr>
          <w:ilvl w:val="0"/>
          <w:numId w:val="38"/>
        </w:numPr>
        <w:tabs>
          <w:tab w:val="clear" w:pos="284"/>
        </w:tabs>
        <w:rPr>
          <w:rFonts w:asciiTheme="minorHAnsi" w:hAnsiTheme="minorHAnsi"/>
          <w:color w:val="495965" w:themeColor="text2"/>
          <w:sz w:val="22"/>
          <w:szCs w:val="22"/>
        </w:rPr>
      </w:pPr>
      <w:r>
        <w:rPr>
          <w:rFonts w:asciiTheme="minorHAnsi" w:hAnsiTheme="minorHAnsi"/>
          <w:color w:val="495965" w:themeColor="text2"/>
          <w:sz w:val="22"/>
          <w:szCs w:val="22"/>
        </w:rPr>
        <w:t>Work with government and implementing partners to e</w:t>
      </w:r>
      <w:r w:rsidR="00711AF6" w:rsidRPr="003B3E62">
        <w:rPr>
          <w:rFonts w:asciiTheme="minorHAnsi" w:hAnsiTheme="minorHAnsi"/>
          <w:color w:val="495965" w:themeColor="text2"/>
          <w:sz w:val="22"/>
          <w:szCs w:val="22"/>
        </w:rPr>
        <w:t xml:space="preserve">nsure </w:t>
      </w:r>
      <w:r w:rsidR="003B3E62" w:rsidRPr="003B3E62">
        <w:rPr>
          <w:rFonts w:asciiTheme="minorHAnsi" w:hAnsiTheme="minorHAnsi"/>
          <w:i/>
          <w:color w:val="495965" w:themeColor="text2"/>
          <w:sz w:val="22"/>
          <w:szCs w:val="22"/>
        </w:rPr>
        <w:t>both</w:t>
      </w:r>
      <w:r w:rsidR="003B3E62">
        <w:rPr>
          <w:rFonts w:asciiTheme="minorHAnsi" w:hAnsiTheme="minorHAnsi"/>
          <w:color w:val="495965" w:themeColor="text2"/>
          <w:sz w:val="22"/>
          <w:szCs w:val="22"/>
        </w:rPr>
        <w:t xml:space="preserve"> </w:t>
      </w:r>
      <w:r w:rsidR="00FD73D0">
        <w:rPr>
          <w:rFonts w:asciiTheme="minorHAnsi" w:hAnsiTheme="minorHAnsi"/>
          <w:color w:val="495965" w:themeColor="text2"/>
          <w:sz w:val="22"/>
          <w:szCs w:val="22"/>
        </w:rPr>
        <w:t xml:space="preserve">the MDF and the S4G activities </w:t>
      </w:r>
      <w:r w:rsidR="003B3E62">
        <w:rPr>
          <w:rFonts w:asciiTheme="minorHAnsi" w:hAnsiTheme="minorHAnsi"/>
          <w:color w:val="495965" w:themeColor="text2"/>
          <w:sz w:val="22"/>
          <w:szCs w:val="22"/>
        </w:rPr>
        <w:t xml:space="preserve">align with the 2016-17 </w:t>
      </w:r>
      <w:r w:rsidR="00A67993">
        <w:rPr>
          <w:rFonts w:asciiTheme="minorHAnsi" w:hAnsiTheme="minorHAnsi"/>
          <w:color w:val="495965" w:themeColor="text2"/>
          <w:sz w:val="22"/>
          <w:szCs w:val="22"/>
        </w:rPr>
        <w:t xml:space="preserve">design, implementation and performance </w:t>
      </w:r>
      <w:r w:rsidR="003B3E62">
        <w:rPr>
          <w:rFonts w:asciiTheme="minorHAnsi" w:hAnsiTheme="minorHAnsi"/>
          <w:color w:val="495965" w:themeColor="text2"/>
          <w:sz w:val="22"/>
          <w:szCs w:val="22"/>
        </w:rPr>
        <w:t xml:space="preserve">expectations set out in the </w:t>
      </w:r>
      <w:r w:rsidR="00FD73D0">
        <w:rPr>
          <w:rFonts w:asciiTheme="minorHAnsi" w:hAnsiTheme="minorHAnsi"/>
          <w:color w:val="495965" w:themeColor="text2"/>
          <w:sz w:val="22"/>
          <w:szCs w:val="22"/>
        </w:rPr>
        <w:t>EOP Results Management Framework</w:t>
      </w:r>
      <w:r w:rsidR="00210199">
        <w:rPr>
          <w:rFonts w:asciiTheme="minorHAnsi" w:hAnsiTheme="minorHAnsi"/>
          <w:color w:val="495965" w:themeColor="text2"/>
          <w:sz w:val="22"/>
          <w:szCs w:val="22"/>
        </w:rPr>
        <w:t>;</w:t>
      </w:r>
    </w:p>
    <w:p w:rsidR="00FC5022" w:rsidRPr="003B3E62" w:rsidRDefault="00FC5022" w:rsidP="003B3E62">
      <w:pPr>
        <w:pStyle w:val="ListBullet"/>
        <w:numPr>
          <w:ilvl w:val="0"/>
          <w:numId w:val="38"/>
        </w:numPr>
        <w:tabs>
          <w:tab w:val="clear" w:pos="284"/>
        </w:tabs>
        <w:rPr>
          <w:rFonts w:asciiTheme="minorHAnsi" w:hAnsiTheme="minorHAnsi"/>
          <w:color w:val="495965" w:themeColor="text2"/>
          <w:sz w:val="22"/>
          <w:szCs w:val="22"/>
        </w:rPr>
      </w:pPr>
      <w:r w:rsidRPr="003B3E62">
        <w:rPr>
          <w:rFonts w:asciiTheme="minorHAnsi" w:hAnsiTheme="minorHAnsi"/>
          <w:color w:val="495965" w:themeColor="text2"/>
          <w:sz w:val="22"/>
          <w:szCs w:val="22"/>
        </w:rPr>
        <w:t>Ensure</w:t>
      </w:r>
      <w:r w:rsidR="003B3E62">
        <w:rPr>
          <w:rFonts w:asciiTheme="minorHAnsi" w:hAnsiTheme="minorHAnsi"/>
          <w:color w:val="495965" w:themeColor="text2"/>
          <w:sz w:val="22"/>
          <w:szCs w:val="22"/>
        </w:rPr>
        <w:t xml:space="preserve"> the</w:t>
      </w:r>
      <w:r w:rsidRPr="003B3E62">
        <w:rPr>
          <w:rFonts w:asciiTheme="minorHAnsi" w:hAnsiTheme="minorHAnsi"/>
          <w:color w:val="495965" w:themeColor="text2"/>
          <w:sz w:val="22"/>
          <w:szCs w:val="22"/>
        </w:rPr>
        <w:t xml:space="preserve"> W</w:t>
      </w:r>
      <w:r w:rsidR="003B3E62">
        <w:rPr>
          <w:rFonts w:asciiTheme="minorHAnsi" w:hAnsiTheme="minorHAnsi"/>
          <w:color w:val="495965" w:themeColor="text2"/>
          <w:sz w:val="22"/>
          <w:szCs w:val="22"/>
        </w:rPr>
        <w:t xml:space="preserve">omen </w:t>
      </w:r>
      <w:r w:rsidRPr="003B3E62">
        <w:rPr>
          <w:rFonts w:asciiTheme="minorHAnsi" w:hAnsiTheme="minorHAnsi"/>
          <w:color w:val="495965" w:themeColor="text2"/>
          <w:sz w:val="22"/>
          <w:szCs w:val="22"/>
        </w:rPr>
        <w:t>I</w:t>
      </w:r>
      <w:r w:rsidR="003B3E62">
        <w:rPr>
          <w:rFonts w:asciiTheme="minorHAnsi" w:hAnsiTheme="minorHAnsi"/>
          <w:color w:val="495965" w:themeColor="text2"/>
          <w:sz w:val="22"/>
          <w:szCs w:val="22"/>
        </w:rPr>
        <w:t xml:space="preserve">n </w:t>
      </w:r>
      <w:r w:rsidRPr="003B3E62">
        <w:rPr>
          <w:rFonts w:asciiTheme="minorHAnsi" w:hAnsiTheme="minorHAnsi"/>
          <w:color w:val="495965" w:themeColor="text2"/>
          <w:sz w:val="22"/>
          <w:szCs w:val="22"/>
        </w:rPr>
        <w:t>W</w:t>
      </w:r>
      <w:r w:rsidR="003B3E62">
        <w:rPr>
          <w:rFonts w:asciiTheme="minorHAnsi" w:hAnsiTheme="minorHAnsi"/>
          <w:color w:val="495965" w:themeColor="text2"/>
          <w:sz w:val="22"/>
          <w:szCs w:val="22"/>
        </w:rPr>
        <w:t>ork</w:t>
      </w:r>
      <w:r w:rsidR="0073331F">
        <w:rPr>
          <w:rFonts w:asciiTheme="minorHAnsi" w:hAnsiTheme="minorHAnsi"/>
          <w:color w:val="495965" w:themeColor="text2"/>
          <w:sz w:val="22"/>
          <w:szCs w:val="22"/>
        </w:rPr>
        <w:t xml:space="preserve"> investment design is finalised, start-up is completed and</w:t>
      </w:r>
      <w:r w:rsidR="003B3E62">
        <w:rPr>
          <w:rFonts w:asciiTheme="minorHAnsi" w:hAnsiTheme="minorHAnsi"/>
          <w:color w:val="495965" w:themeColor="text2"/>
          <w:sz w:val="22"/>
          <w:szCs w:val="22"/>
        </w:rPr>
        <w:t xml:space="preserve"> i</w:t>
      </w:r>
      <w:r w:rsidR="0073331F">
        <w:rPr>
          <w:rFonts w:asciiTheme="minorHAnsi" w:hAnsiTheme="minorHAnsi"/>
          <w:color w:val="495965" w:themeColor="text2"/>
          <w:sz w:val="22"/>
          <w:szCs w:val="22"/>
        </w:rPr>
        <w:t>mplementation has begun</w:t>
      </w:r>
      <w:r w:rsidR="00210199">
        <w:rPr>
          <w:rFonts w:asciiTheme="minorHAnsi" w:hAnsiTheme="minorHAnsi"/>
          <w:color w:val="495965" w:themeColor="text2"/>
          <w:sz w:val="22"/>
          <w:szCs w:val="22"/>
        </w:rPr>
        <w:t>;</w:t>
      </w:r>
    </w:p>
    <w:p w:rsidR="00B07112" w:rsidRDefault="0073331F" w:rsidP="003B3E62">
      <w:pPr>
        <w:pStyle w:val="ListBullet"/>
        <w:numPr>
          <w:ilvl w:val="0"/>
          <w:numId w:val="38"/>
        </w:numPr>
        <w:tabs>
          <w:tab w:val="clear" w:pos="284"/>
        </w:tabs>
        <w:rPr>
          <w:rFonts w:asciiTheme="minorHAnsi" w:hAnsiTheme="minorHAnsi"/>
          <w:color w:val="495965" w:themeColor="text2"/>
          <w:sz w:val="22"/>
          <w:szCs w:val="22"/>
        </w:rPr>
      </w:pPr>
      <w:r w:rsidRPr="00B07112">
        <w:rPr>
          <w:rFonts w:asciiTheme="minorHAnsi" w:hAnsiTheme="minorHAnsi"/>
          <w:color w:val="495965" w:themeColor="text2"/>
          <w:sz w:val="22"/>
          <w:szCs w:val="22"/>
        </w:rPr>
        <w:t xml:space="preserve">Work collaboratively with other donors to </w:t>
      </w:r>
      <w:r w:rsidR="00B07112">
        <w:rPr>
          <w:rFonts w:asciiTheme="minorHAnsi" w:hAnsiTheme="minorHAnsi"/>
          <w:color w:val="495965" w:themeColor="text2"/>
          <w:sz w:val="22"/>
          <w:szCs w:val="22"/>
        </w:rPr>
        <w:t xml:space="preserve">assist the </w:t>
      </w:r>
      <w:r w:rsidR="00B07112" w:rsidRPr="00B07112">
        <w:rPr>
          <w:rFonts w:asciiTheme="minorHAnsi" w:hAnsiTheme="minorHAnsi"/>
          <w:color w:val="495965" w:themeColor="text2"/>
          <w:sz w:val="22"/>
          <w:szCs w:val="22"/>
        </w:rPr>
        <w:t>Sri Lankan Government</w:t>
      </w:r>
      <w:r w:rsidR="00B07112">
        <w:rPr>
          <w:rFonts w:asciiTheme="minorHAnsi" w:hAnsiTheme="minorHAnsi"/>
          <w:color w:val="495965" w:themeColor="text2"/>
          <w:sz w:val="22"/>
          <w:szCs w:val="22"/>
        </w:rPr>
        <w:t xml:space="preserve"> in planning and delivering</w:t>
      </w:r>
      <w:r w:rsidRPr="00B07112">
        <w:rPr>
          <w:rFonts w:asciiTheme="minorHAnsi" w:hAnsiTheme="minorHAnsi"/>
          <w:color w:val="495965" w:themeColor="text2"/>
          <w:sz w:val="22"/>
          <w:szCs w:val="22"/>
        </w:rPr>
        <w:t xml:space="preserve"> key</w:t>
      </w:r>
      <w:r w:rsidR="00FC5022" w:rsidRPr="00B07112">
        <w:rPr>
          <w:rFonts w:asciiTheme="minorHAnsi" w:hAnsiTheme="minorHAnsi"/>
          <w:color w:val="495965" w:themeColor="text2"/>
          <w:sz w:val="22"/>
          <w:szCs w:val="22"/>
        </w:rPr>
        <w:t xml:space="preserve"> economic</w:t>
      </w:r>
      <w:r w:rsidRPr="00B07112">
        <w:rPr>
          <w:rFonts w:asciiTheme="minorHAnsi" w:hAnsiTheme="minorHAnsi"/>
          <w:color w:val="495965" w:themeColor="text2"/>
          <w:sz w:val="22"/>
          <w:szCs w:val="22"/>
        </w:rPr>
        <w:t xml:space="preserve"> and fiscal</w:t>
      </w:r>
      <w:r w:rsidR="00FC5022" w:rsidRPr="00B07112">
        <w:rPr>
          <w:rFonts w:asciiTheme="minorHAnsi" w:hAnsiTheme="minorHAnsi"/>
          <w:color w:val="495965" w:themeColor="text2"/>
          <w:sz w:val="22"/>
          <w:szCs w:val="22"/>
        </w:rPr>
        <w:t xml:space="preserve"> reform</w:t>
      </w:r>
      <w:r w:rsidR="00B07112">
        <w:rPr>
          <w:rFonts w:asciiTheme="minorHAnsi" w:hAnsiTheme="minorHAnsi"/>
          <w:color w:val="495965" w:themeColor="text2"/>
          <w:sz w:val="22"/>
          <w:szCs w:val="22"/>
        </w:rPr>
        <w:t>s</w:t>
      </w:r>
      <w:r w:rsidR="00210199" w:rsidRPr="00B07112">
        <w:rPr>
          <w:rFonts w:asciiTheme="minorHAnsi" w:hAnsiTheme="minorHAnsi"/>
          <w:color w:val="495965" w:themeColor="text2"/>
          <w:sz w:val="22"/>
          <w:szCs w:val="22"/>
        </w:rPr>
        <w:t>; and</w:t>
      </w:r>
    </w:p>
    <w:p w:rsidR="00F975D4" w:rsidRPr="00B07112" w:rsidRDefault="00F975D4" w:rsidP="003B3E62">
      <w:pPr>
        <w:pStyle w:val="ListBullet"/>
        <w:numPr>
          <w:ilvl w:val="0"/>
          <w:numId w:val="38"/>
        </w:numPr>
        <w:tabs>
          <w:tab w:val="clear" w:pos="284"/>
        </w:tabs>
        <w:rPr>
          <w:rFonts w:asciiTheme="minorHAnsi" w:hAnsiTheme="minorHAnsi"/>
          <w:color w:val="495965" w:themeColor="text2"/>
          <w:sz w:val="22"/>
          <w:szCs w:val="22"/>
        </w:rPr>
      </w:pPr>
      <w:r w:rsidRPr="00B07112">
        <w:rPr>
          <w:rFonts w:asciiTheme="minorHAnsi" w:hAnsiTheme="minorHAnsi"/>
          <w:color w:val="495965" w:themeColor="text2"/>
          <w:sz w:val="22"/>
          <w:szCs w:val="22"/>
        </w:rPr>
        <w:t xml:space="preserve">Continue to monitor and engage strategically </w:t>
      </w:r>
      <w:r w:rsidR="00352A07" w:rsidRPr="00B07112">
        <w:rPr>
          <w:rFonts w:asciiTheme="minorHAnsi" w:hAnsiTheme="minorHAnsi"/>
          <w:color w:val="495965" w:themeColor="text2"/>
          <w:sz w:val="22"/>
          <w:szCs w:val="22"/>
        </w:rPr>
        <w:t>with the World Bank on the TSEP program</w:t>
      </w:r>
      <w:r w:rsidR="00B07112">
        <w:rPr>
          <w:rFonts w:asciiTheme="minorHAnsi" w:hAnsiTheme="minorHAnsi"/>
          <w:color w:val="495965" w:themeColor="text2"/>
          <w:sz w:val="22"/>
          <w:szCs w:val="22"/>
        </w:rPr>
        <w:t xml:space="preserve"> as it enters its final phase</w:t>
      </w:r>
      <w:r w:rsidR="00352A07" w:rsidRPr="00B07112">
        <w:rPr>
          <w:rFonts w:asciiTheme="minorHAnsi" w:hAnsiTheme="minorHAnsi"/>
          <w:color w:val="495965" w:themeColor="text2"/>
          <w:sz w:val="22"/>
          <w:szCs w:val="22"/>
        </w:rPr>
        <w:t>, focusing on areas of particular interest to DFAT such as social cohesion in education.</w:t>
      </w:r>
    </w:p>
    <w:p w:rsidR="009F5488" w:rsidRDefault="009F5488" w:rsidP="005B5769">
      <w:pPr>
        <w:pStyle w:val="ListBullet"/>
        <w:tabs>
          <w:tab w:val="clear" w:pos="284"/>
        </w:tabs>
      </w:pPr>
    </w:p>
    <w:p w:rsidR="00015316" w:rsidRDefault="00015316" w:rsidP="005B5769">
      <w:pPr>
        <w:pStyle w:val="ListBullet"/>
        <w:tabs>
          <w:tab w:val="clear" w:pos="284"/>
        </w:tabs>
      </w:pPr>
    </w:p>
    <w:p w:rsidR="00D00802" w:rsidRDefault="00D00802" w:rsidP="005B5769">
      <w:pPr>
        <w:pStyle w:val="ListBullet"/>
        <w:tabs>
          <w:tab w:val="clear" w:pos="284"/>
        </w:tabs>
        <w:sectPr w:rsidR="00D00802" w:rsidSect="004839E3">
          <w:pgSz w:w="11906" w:h="16838" w:code="9"/>
          <w:pgMar w:top="1811" w:right="1134" w:bottom="851" w:left="1134" w:header="1565" w:footer="342" w:gutter="0"/>
          <w:cols w:space="397"/>
          <w:titlePg/>
          <w:docGrid w:linePitch="360"/>
        </w:sectPr>
      </w:pPr>
    </w:p>
    <w:p w:rsidR="00015316" w:rsidRDefault="00015316" w:rsidP="005B5769">
      <w:pPr>
        <w:pStyle w:val="ListBullet"/>
        <w:tabs>
          <w:tab w:val="clear" w:pos="284"/>
        </w:tabs>
      </w:pPr>
    </w:p>
    <w:p w:rsidR="00D00802" w:rsidRDefault="00D00802" w:rsidP="005B5769">
      <w:pPr>
        <w:pStyle w:val="ListBullet"/>
        <w:tabs>
          <w:tab w:val="clear" w:pos="284"/>
        </w:tabs>
      </w:pPr>
    </w:p>
    <w:p w:rsidR="00AF1B85" w:rsidRPr="00A8197B" w:rsidRDefault="00AF1B85" w:rsidP="005E606B">
      <w:pPr>
        <w:pStyle w:val="Subtitle"/>
      </w:pPr>
      <w:r w:rsidRPr="00A8197B">
        <w:t>Annex A - Progress in Addressing Management Responses</w:t>
      </w:r>
    </w:p>
    <w:p w:rsidR="00AF1B85" w:rsidRPr="00C61187" w:rsidRDefault="00AF1B85" w:rsidP="00A8197B">
      <w:r w:rsidRPr="00C61187">
        <w:t>Describe progress made against management responses in 2014-15 report</w:t>
      </w:r>
    </w:p>
    <w:tbl>
      <w:tblPr>
        <w:tblStyle w:val="APPR"/>
        <w:tblpPr w:leftFromText="180" w:rightFromText="180" w:vertAnchor="text" w:tblpY="1"/>
        <w:tblW w:w="5074" w:type="pct"/>
        <w:tblLayout w:type="fixed"/>
        <w:tblLook w:val="0000" w:firstRow="0" w:lastRow="0" w:firstColumn="0" w:lastColumn="0" w:noHBand="0" w:noVBand="0"/>
      </w:tblPr>
      <w:tblGrid>
        <w:gridCol w:w="6326"/>
        <w:gridCol w:w="1179"/>
        <w:gridCol w:w="6738"/>
      </w:tblGrid>
      <w:tr w:rsidR="00AF1B85" w:rsidRPr="00812509" w:rsidTr="008A6199">
        <w:trPr>
          <w:cnfStyle w:val="000000010000" w:firstRow="0" w:lastRow="0" w:firstColumn="0" w:lastColumn="0" w:oddVBand="0" w:evenVBand="0" w:oddHBand="0" w:evenHBand="1" w:firstRowFirstColumn="0" w:firstRowLastColumn="0" w:lastRowFirstColumn="0" w:lastRowLastColumn="0"/>
        </w:trPr>
        <w:tc>
          <w:tcPr>
            <w:tcW w:w="6408"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Management responses identified in 2014-15 APPR</w:t>
            </w:r>
            <w:r w:rsidRPr="00812509">
              <w:rPr>
                <w:rFonts w:asciiTheme="minorHAnsi" w:eastAsia="Times New Roman" w:hAnsiTheme="minorHAnsi"/>
                <w:b/>
                <w:iCs/>
                <w:szCs w:val="17"/>
                <w:lang w:eastAsia="en-US"/>
              </w:rPr>
              <w:tab/>
            </w:r>
          </w:p>
        </w:tc>
        <w:tc>
          <w:tcPr>
            <w:tcW w:w="1170" w:type="dxa"/>
          </w:tcPr>
          <w:p w:rsidR="00AF1B85" w:rsidRPr="00812509" w:rsidRDefault="00AF1B85" w:rsidP="00812509">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Rating</w:t>
            </w:r>
          </w:p>
        </w:tc>
        <w:tc>
          <w:tcPr>
            <w:tcW w:w="6829" w:type="dxa"/>
          </w:tcPr>
          <w:p w:rsidR="00AF1B85" w:rsidRPr="00812509" w:rsidRDefault="00AF1B85" w:rsidP="00812509">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Progress made  in 2015-16</w:t>
            </w:r>
          </w:p>
        </w:tc>
      </w:tr>
      <w:tr w:rsidR="00AF1B85" w:rsidRPr="00812509" w:rsidTr="008A6199">
        <w:trPr>
          <w:cnfStyle w:val="000000010000" w:firstRow="0" w:lastRow="0" w:firstColumn="0" w:lastColumn="0" w:oddVBand="0" w:evenVBand="0" w:oddHBand="0" w:evenHBand="1" w:firstRowFirstColumn="0" w:firstRowLastColumn="0" w:lastRowFirstColumn="0" w:lastRowLastColumn="0"/>
        </w:trPr>
        <w:tc>
          <w:tcPr>
            <w:tcW w:w="6408" w:type="dxa"/>
          </w:tcPr>
          <w:p w:rsidR="00AF1B85" w:rsidRPr="0022514F" w:rsidRDefault="008A6199" w:rsidP="00D15A00">
            <w:pPr>
              <w:keepLines/>
              <w:spacing w:before="40" w:after="40" w:line="200" w:lineRule="atLeast"/>
              <w:rPr>
                <w:rFonts w:asciiTheme="minorHAnsi" w:eastAsia="Times New Roman" w:hAnsiTheme="minorHAnsi"/>
                <w:iCs/>
                <w:color w:val="000000" w:themeColor="text1"/>
                <w:szCs w:val="17"/>
                <w:lang w:eastAsia="en-US"/>
              </w:rPr>
            </w:pPr>
            <w:r w:rsidRPr="0022514F">
              <w:rPr>
                <w:rFonts w:asciiTheme="minorHAnsi" w:eastAsia="Times New Roman" w:hAnsiTheme="minorHAnsi"/>
                <w:iCs/>
                <w:color w:val="000000" w:themeColor="text1"/>
                <w:szCs w:val="17"/>
                <w:lang w:val="en-AU" w:eastAsia="en-US"/>
              </w:rPr>
              <w:t>Accelerate progress toward an economic partnership approach that shares risk and value between government, markets and civil society</w:t>
            </w:r>
          </w:p>
        </w:tc>
        <w:tc>
          <w:tcPr>
            <w:tcW w:w="1170" w:type="dxa"/>
            <w:shd w:val="clear" w:color="auto" w:fill="72AF2F"/>
          </w:tcPr>
          <w:p w:rsidR="00AF1B85" w:rsidRPr="00812509"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p>
        </w:tc>
        <w:tc>
          <w:tcPr>
            <w:tcW w:w="6829" w:type="dxa"/>
          </w:tcPr>
          <w:p w:rsidR="00AF1B85" w:rsidRPr="0022514F" w:rsidRDefault="008A6199" w:rsidP="00D15A00">
            <w:pPr>
              <w:keepLines/>
              <w:spacing w:before="40" w:after="40" w:line="200" w:lineRule="atLeast"/>
              <w:rPr>
                <w:rFonts w:asciiTheme="minorHAnsi" w:eastAsia="Times New Roman" w:hAnsiTheme="minorHAnsi"/>
                <w:iCs/>
                <w:color w:val="000000" w:themeColor="text1"/>
                <w:szCs w:val="17"/>
                <w:lang w:eastAsia="en-US"/>
              </w:rPr>
            </w:pPr>
            <w:r w:rsidRPr="0022514F">
              <w:rPr>
                <w:rFonts w:asciiTheme="minorHAnsi" w:eastAsia="Times New Roman" w:hAnsiTheme="minorHAnsi"/>
                <w:iCs/>
                <w:color w:val="000000" w:themeColor="text1"/>
                <w:szCs w:val="17"/>
                <w:lang w:eastAsia="en-US"/>
              </w:rPr>
              <w:t>AIP and subsequent investment decisions have reoriented the program toward an economic partnership</w:t>
            </w:r>
            <w:r w:rsidR="0022514F">
              <w:rPr>
                <w:rFonts w:asciiTheme="minorHAnsi" w:eastAsia="Times New Roman" w:hAnsiTheme="minorHAnsi"/>
                <w:iCs/>
                <w:color w:val="000000" w:themeColor="text1"/>
                <w:szCs w:val="17"/>
                <w:lang w:eastAsia="en-US"/>
              </w:rPr>
              <w:t>, and, increasingly, Sri Lankan businesses are becoming the focus of the program. There is a continued use of NGOs, and government also continues to be a key partner.</w:t>
            </w:r>
          </w:p>
        </w:tc>
      </w:tr>
      <w:tr w:rsidR="00AF1B85" w:rsidRPr="00812509" w:rsidTr="008A6199">
        <w:trPr>
          <w:cnfStyle w:val="000000010000" w:firstRow="0" w:lastRow="0" w:firstColumn="0" w:lastColumn="0" w:oddVBand="0" w:evenVBand="0" w:oddHBand="0" w:evenHBand="1" w:firstRowFirstColumn="0" w:firstRowLastColumn="0" w:lastRowFirstColumn="0" w:lastRowLastColumn="0"/>
        </w:trPr>
        <w:tc>
          <w:tcPr>
            <w:tcW w:w="6408" w:type="dxa"/>
          </w:tcPr>
          <w:p w:rsidR="00AF1B85" w:rsidRPr="0022514F" w:rsidRDefault="008A6199" w:rsidP="00D15A00">
            <w:pPr>
              <w:keepLines/>
              <w:spacing w:before="40" w:after="40" w:line="200" w:lineRule="atLeast"/>
              <w:rPr>
                <w:rFonts w:asciiTheme="minorHAnsi" w:eastAsia="Times New Roman" w:hAnsiTheme="minorHAnsi"/>
                <w:iCs/>
                <w:color w:val="000000" w:themeColor="text1"/>
                <w:szCs w:val="17"/>
                <w:lang w:val="en-AU"/>
              </w:rPr>
            </w:pPr>
            <w:r w:rsidRPr="0022514F">
              <w:rPr>
                <w:rFonts w:asciiTheme="minorHAnsi" w:eastAsia="Times New Roman" w:hAnsiTheme="minorHAnsi"/>
                <w:iCs/>
                <w:color w:val="000000" w:themeColor="text1"/>
                <w:szCs w:val="17"/>
                <w:lang w:val="en-AU"/>
              </w:rPr>
              <w:t>Ensure new program investments are embedded in government or private sector structures to increase the sustainability of their impact</w:t>
            </w:r>
          </w:p>
        </w:tc>
        <w:tc>
          <w:tcPr>
            <w:tcW w:w="1170" w:type="dxa"/>
            <w:shd w:val="clear" w:color="auto" w:fill="72AF2F"/>
          </w:tcPr>
          <w:p w:rsidR="00AF1B85" w:rsidRPr="00812509"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r w:rsidRPr="00812509">
              <w:rPr>
                <w:rFonts w:eastAsia="Times New Roman"/>
                <w:iCs/>
                <w:color w:val="FFFFFF" w:themeColor="background1"/>
                <w:szCs w:val="17"/>
              </w:rPr>
              <w:fldChar w:fldCharType="begin"/>
            </w:r>
            <w:r w:rsidRPr="00812509">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Pr="00812509">
              <w:rPr>
                <w:rFonts w:eastAsia="Times New Roman"/>
                <w:iCs/>
                <w:color w:val="FFFFFF" w:themeColor="background1"/>
                <w:szCs w:val="17"/>
              </w:rPr>
              <w:fldChar w:fldCharType="end"/>
            </w:r>
          </w:p>
        </w:tc>
        <w:tc>
          <w:tcPr>
            <w:tcW w:w="6829" w:type="dxa"/>
          </w:tcPr>
          <w:p w:rsidR="00AF1B85" w:rsidRPr="0022514F" w:rsidRDefault="0022514F" w:rsidP="005200EC">
            <w:pPr>
              <w:keepLines/>
              <w:spacing w:before="40" w:after="40" w:line="200" w:lineRule="atLeast"/>
              <w:rPr>
                <w:rFonts w:asciiTheme="minorHAnsi" w:eastAsia="Times New Roman" w:hAnsiTheme="minorHAnsi"/>
                <w:iCs/>
                <w:color w:val="000000" w:themeColor="text1"/>
                <w:szCs w:val="17"/>
                <w:lang w:eastAsia="en-US"/>
              </w:rPr>
            </w:pPr>
            <w:r>
              <w:rPr>
                <w:rFonts w:asciiTheme="minorHAnsi" w:eastAsia="Times New Roman" w:hAnsiTheme="minorHAnsi"/>
                <w:iCs/>
                <w:color w:val="000000" w:themeColor="text1"/>
                <w:szCs w:val="17"/>
                <w:lang w:eastAsia="en-US"/>
              </w:rPr>
              <w:t xml:space="preserve">Two major investments are about to be delivered through the private sector, while government is a partner in economic reform and governance activities. </w:t>
            </w:r>
          </w:p>
        </w:tc>
      </w:tr>
      <w:tr w:rsidR="00AF1B85" w:rsidRPr="00812509" w:rsidTr="008A6199">
        <w:trPr>
          <w:cnfStyle w:val="000000010000" w:firstRow="0" w:lastRow="0" w:firstColumn="0" w:lastColumn="0" w:oddVBand="0" w:evenVBand="0" w:oddHBand="0" w:evenHBand="1" w:firstRowFirstColumn="0" w:firstRowLastColumn="0" w:lastRowFirstColumn="0" w:lastRowLastColumn="0"/>
        </w:trPr>
        <w:tc>
          <w:tcPr>
            <w:tcW w:w="6408" w:type="dxa"/>
          </w:tcPr>
          <w:p w:rsidR="00AF1B85" w:rsidRPr="0022514F" w:rsidRDefault="008A6199" w:rsidP="00D15A00">
            <w:pPr>
              <w:keepLines/>
              <w:spacing w:before="40" w:after="40" w:line="200" w:lineRule="atLeast"/>
              <w:rPr>
                <w:rFonts w:asciiTheme="minorHAnsi" w:eastAsia="Times New Roman" w:hAnsiTheme="minorHAnsi"/>
                <w:iCs/>
                <w:color w:val="000000" w:themeColor="text1"/>
                <w:szCs w:val="17"/>
                <w:lang w:eastAsia="en-US"/>
              </w:rPr>
            </w:pPr>
            <w:r w:rsidRPr="0022514F">
              <w:rPr>
                <w:rFonts w:asciiTheme="minorHAnsi" w:eastAsia="Times New Roman" w:hAnsiTheme="minorHAnsi"/>
                <w:iCs/>
                <w:color w:val="000000" w:themeColor="text1"/>
                <w:szCs w:val="17"/>
                <w:lang w:val="en-AU" w:eastAsia="en-US"/>
              </w:rPr>
              <w:t>Increase the focus on gender equality across all programming, in line with the new gender equality objective in the AIP</w:t>
            </w:r>
          </w:p>
        </w:tc>
        <w:tc>
          <w:tcPr>
            <w:tcW w:w="1170" w:type="dxa"/>
            <w:shd w:val="clear" w:color="auto" w:fill="72AF2F"/>
          </w:tcPr>
          <w:p w:rsidR="00AF1B85" w:rsidRPr="00812509"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p>
        </w:tc>
        <w:tc>
          <w:tcPr>
            <w:tcW w:w="6829" w:type="dxa"/>
          </w:tcPr>
          <w:p w:rsidR="00AF1B85" w:rsidRPr="0022514F" w:rsidRDefault="0022514F" w:rsidP="00D15A00">
            <w:pPr>
              <w:keepLines/>
              <w:spacing w:before="40" w:after="40" w:line="200" w:lineRule="atLeast"/>
              <w:rPr>
                <w:rFonts w:asciiTheme="minorHAnsi" w:eastAsia="Times New Roman" w:hAnsiTheme="minorHAnsi"/>
                <w:iCs/>
                <w:color w:val="000000" w:themeColor="text1"/>
                <w:szCs w:val="17"/>
                <w:lang w:eastAsia="en-US"/>
              </w:rPr>
            </w:pPr>
            <w:r w:rsidRPr="0022514F">
              <w:rPr>
                <w:rFonts w:asciiTheme="minorHAnsi" w:eastAsia="Times New Roman" w:hAnsiTheme="minorHAnsi"/>
                <w:iCs/>
                <w:color w:val="000000" w:themeColor="text1"/>
                <w:szCs w:val="17"/>
                <w:lang w:eastAsia="en-US"/>
              </w:rPr>
              <w:t>Substantially progr</w:t>
            </w:r>
            <w:r>
              <w:rPr>
                <w:rFonts w:asciiTheme="minorHAnsi" w:eastAsia="Times New Roman" w:hAnsiTheme="minorHAnsi"/>
                <w:iCs/>
                <w:color w:val="000000" w:themeColor="text1"/>
                <w:szCs w:val="17"/>
                <w:lang w:eastAsia="en-US"/>
              </w:rPr>
              <w:t>essed through DFAT management engagement with delivery partners on gender equality issues, including M</w:t>
            </w:r>
            <w:r w:rsidR="00135EEC">
              <w:rPr>
                <w:rFonts w:asciiTheme="minorHAnsi" w:eastAsia="Times New Roman" w:hAnsiTheme="minorHAnsi"/>
                <w:iCs/>
                <w:color w:val="000000" w:themeColor="text1"/>
                <w:szCs w:val="17"/>
                <w:lang w:eastAsia="en-US"/>
              </w:rPr>
              <w:t>&amp;E.</w:t>
            </w:r>
          </w:p>
        </w:tc>
      </w:tr>
      <w:tr w:rsidR="00AF1B85" w:rsidRPr="00812509" w:rsidTr="008A6199">
        <w:trPr>
          <w:cnfStyle w:val="000000010000" w:firstRow="0" w:lastRow="0" w:firstColumn="0" w:lastColumn="0" w:oddVBand="0" w:evenVBand="0" w:oddHBand="0" w:evenHBand="1" w:firstRowFirstColumn="0" w:firstRowLastColumn="0" w:lastRowFirstColumn="0" w:lastRowLastColumn="0"/>
        </w:trPr>
        <w:tc>
          <w:tcPr>
            <w:tcW w:w="6408" w:type="dxa"/>
          </w:tcPr>
          <w:p w:rsidR="00AF1B85" w:rsidRPr="0022514F" w:rsidRDefault="008A6199" w:rsidP="00D15A00">
            <w:pPr>
              <w:keepLines/>
              <w:spacing w:before="40" w:after="40" w:line="200" w:lineRule="atLeast"/>
              <w:rPr>
                <w:rFonts w:asciiTheme="minorHAnsi" w:eastAsia="Times New Roman" w:hAnsiTheme="minorHAnsi"/>
                <w:iCs/>
                <w:color w:val="000000" w:themeColor="text1"/>
                <w:szCs w:val="17"/>
                <w:lang w:eastAsia="en-US"/>
              </w:rPr>
            </w:pPr>
            <w:r w:rsidRPr="0022514F">
              <w:rPr>
                <w:rFonts w:asciiTheme="minorHAnsi" w:eastAsia="Times New Roman" w:hAnsiTheme="minorHAnsi"/>
                <w:iCs/>
                <w:color w:val="000000" w:themeColor="text1"/>
                <w:szCs w:val="17"/>
                <w:lang w:val="en-AU" w:eastAsia="en-US"/>
              </w:rPr>
              <w:t>Ensure the focus of TSEP in its final two years is on improving the quality of data analysis and usage by all stakeholders and ensuring the sustainability of gains to date</w:t>
            </w:r>
          </w:p>
        </w:tc>
        <w:tc>
          <w:tcPr>
            <w:tcW w:w="1170" w:type="dxa"/>
            <w:shd w:val="clear" w:color="auto" w:fill="E36C0A"/>
          </w:tcPr>
          <w:p w:rsidR="00AF1B85" w:rsidRPr="00812509"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Partly achieved</w:t>
            </w:r>
          </w:p>
        </w:tc>
        <w:tc>
          <w:tcPr>
            <w:tcW w:w="6829" w:type="dxa"/>
          </w:tcPr>
          <w:p w:rsidR="00AF1B85" w:rsidRPr="0022514F" w:rsidRDefault="0022514F" w:rsidP="00B07112">
            <w:pPr>
              <w:keepLines/>
              <w:spacing w:before="40" w:after="40" w:line="200" w:lineRule="atLeast"/>
              <w:rPr>
                <w:rFonts w:asciiTheme="minorHAnsi" w:eastAsia="Times New Roman" w:hAnsiTheme="minorHAnsi"/>
                <w:iCs/>
                <w:color w:val="000000" w:themeColor="text1"/>
                <w:szCs w:val="17"/>
                <w:lang w:eastAsia="en-US"/>
              </w:rPr>
            </w:pPr>
            <w:r>
              <w:rPr>
                <w:rFonts w:asciiTheme="minorHAnsi" w:eastAsia="Times New Roman" w:hAnsiTheme="minorHAnsi"/>
                <w:iCs/>
                <w:color w:val="000000" w:themeColor="text1"/>
                <w:szCs w:val="17"/>
                <w:lang w:eastAsia="en-US"/>
              </w:rPr>
              <w:t>Significant engagement</w:t>
            </w:r>
            <w:r w:rsidR="00B07112">
              <w:rPr>
                <w:rFonts w:asciiTheme="minorHAnsi" w:eastAsia="Times New Roman" w:hAnsiTheme="minorHAnsi"/>
                <w:iCs/>
                <w:color w:val="000000" w:themeColor="text1"/>
                <w:szCs w:val="17"/>
                <w:lang w:eastAsia="en-US"/>
              </w:rPr>
              <w:t xml:space="preserve"> occurred</w:t>
            </w:r>
            <w:r>
              <w:rPr>
                <w:rFonts w:asciiTheme="minorHAnsi" w:eastAsia="Times New Roman" w:hAnsiTheme="minorHAnsi"/>
                <w:iCs/>
                <w:color w:val="000000" w:themeColor="text1"/>
                <w:szCs w:val="17"/>
                <w:lang w:eastAsia="en-US"/>
              </w:rPr>
              <w:t xml:space="preserve"> with the World Bank and </w:t>
            </w:r>
            <w:proofErr w:type="spellStart"/>
            <w:r>
              <w:rPr>
                <w:rFonts w:asciiTheme="minorHAnsi" w:eastAsia="Times New Roman" w:hAnsiTheme="minorHAnsi"/>
                <w:iCs/>
                <w:color w:val="000000" w:themeColor="text1"/>
                <w:szCs w:val="17"/>
                <w:lang w:eastAsia="en-US"/>
              </w:rPr>
              <w:t>GoSL</w:t>
            </w:r>
            <w:proofErr w:type="spellEnd"/>
            <w:r>
              <w:rPr>
                <w:rFonts w:asciiTheme="minorHAnsi" w:eastAsia="Times New Roman" w:hAnsiTheme="minorHAnsi"/>
                <w:iCs/>
                <w:color w:val="000000" w:themeColor="text1"/>
                <w:szCs w:val="17"/>
                <w:lang w:eastAsia="en-US"/>
              </w:rPr>
              <w:t xml:space="preserve"> around embedding governance structures that will improv</w:t>
            </w:r>
            <w:r w:rsidR="00B07112">
              <w:rPr>
                <w:rFonts w:asciiTheme="minorHAnsi" w:eastAsia="Times New Roman" w:hAnsiTheme="minorHAnsi"/>
                <w:iCs/>
                <w:color w:val="000000" w:themeColor="text1"/>
                <w:szCs w:val="17"/>
                <w:lang w:eastAsia="en-US"/>
              </w:rPr>
              <w:t xml:space="preserve">e the chances of sustainability, although more is required to improve data gathering and use. </w:t>
            </w:r>
          </w:p>
        </w:tc>
      </w:tr>
    </w:tbl>
    <w:p w:rsidR="00AF1B85" w:rsidRPr="00812509" w:rsidRDefault="00AF1B85" w:rsidP="00AF1B85">
      <w:pPr>
        <w:spacing w:before="20" w:after="20" w:line="180" w:lineRule="atLeast"/>
        <w:jc w:val="both"/>
        <w:rPr>
          <w:rFonts w:eastAsia="Times New Roman"/>
          <w:b/>
          <w:sz w:val="16"/>
          <w:szCs w:val="14"/>
        </w:rPr>
      </w:pPr>
      <w:r w:rsidRPr="00812509">
        <w:rPr>
          <w:rFonts w:eastAsia="Times New Roman"/>
          <w:b/>
          <w:sz w:val="16"/>
          <w:szCs w:val="14"/>
        </w:rPr>
        <w:t xml:space="preserve">Note: </w:t>
      </w:r>
    </w:p>
    <w:p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w:t>
      </w:r>
      <w:r w:rsidRPr="00812509">
        <w:rPr>
          <w:rFonts w:eastAsia="Times New Roman"/>
          <w:b/>
          <w:sz w:val="16"/>
          <w:szCs w:val="14"/>
        </w:rPr>
        <w:t xml:space="preserve"> Achieved.  Significant progress has been made in addressing the issue </w:t>
      </w:r>
    </w:p>
    <w:p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E36C0A"/>
          <w:sz w:val="16"/>
          <w:szCs w:val="14"/>
        </w:rPr>
        <w:sym w:font="Webdings" w:char="F067"/>
      </w:r>
      <w:r w:rsidRPr="00812509">
        <w:rPr>
          <w:rFonts w:eastAsia="Times New Roman"/>
          <w:b/>
          <w:sz w:val="16"/>
          <w:szCs w:val="14"/>
        </w:rPr>
        <w:t> </w:t>
      </w:r>
      <w:r w:rsidRPr="00812509">
        <w:rPr>
          <w:rFonts w:eastAsia="Times New Roman"/>
          <w:b/>
          <w:sz w:val="16"/>
          <w:szCs w:val="14"/>
        </w:rPr>
        <w:t xml:space="preserve"> Partly achieved.  Some progress has been made in addressing the issue, but the issue has not been resolved </w:t>
      </w:r>
    </w:p>
    <w:p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FF0000"/>
          <w:sz w:val="16"/>
          <w:szCs w:val="14"/>
        </w:rPr>
        <w:sym w:font="Webdings" w:char="F067"/>
      </w:r>
      <w:r w:rsidRPr="00812509">
        <w:rPr>
          <w:rFonts w:eastAsia="Times New Roman"/>
          <w:b/>
          <w:sz w:val="16"/>
          <w:szCs w:val="14"/>
        </w:rPr>
        <w:t> </w:t>
      </w:r>
      <w:r w:rsidRPr="00812509">
        <w:rPr>
          <w:rFonts w:eastAsia="Times New Roman"/>
          <w:b/>
          <w:sz w:val="16"/>
          <w:szCs w:val="14"/>
        </w:rPr>
        <w:t xml:space="preserve"> Not achieved. Progress in addressing the issue has been significantly below expectations</w:t>
      </w:r>
    </w:p>
    <w:p w:rsidR="00D00802" w:rsidRDefault="00D00802" w:rsidP="005B5769">
      <w:pPr>
        <w:pStyle w:val="ListBullet"/>
        <w:tabs>
          <w:tab w:val="clear" w:pos="284"/>
        </w:tabs>
        <w:sectPr w:rsidR="00D00802" w:rsidSect="00D00802">
          <w:headerReference w:type="first" r:id="rId18"/>
          <w:pgSz w:w="16838" w:h="11906" w:orient="landscape" w:code="9"/>
          <w:pgMar w:top="1134" w:right="1952" w:bottom="1134" w:left="851" w:header="1107" w:footer="567" w:gutter="0"/>
          <w:cols w:space="397"/>
          <w:titlePg/>
          <w:docGrid w:linePitch="360"/>
        </w:sectPr>
      </w:pPr>
    </w:p>
    <w:p w:rsidR="00AF1B85" w:rsidRPr="00A8197B" w:rsidRDefault="00AF1B85" w:rsidP="005E606B">
      <w:pPr>
        <w:pStyle w:val="Subtitle"/>
      </w:pPr>
      <w:r w:rsidRPr="00A8197B">
        <w:t>Annex B - Evaluation Planning</w:t>
      </w:r>
    </w:p>
    <w:p w:rsidR="00AF1B85" w:rsidRPr="005E606B" w:rsidRDefault="00AF1B85"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5E606B">
        <w:rPr>
          <w:rFonts w:asciiTheme="majorHAnsi" w:eastAsiaTheme="majorEastAsia" w:hAnsiTheme="majorHAnsi" w:cstheme="majorBidi"/>
          <w:caps/>
          <w:color w:val="495965" w:themeColor="text2"/>
          <w:sz w:val="38"/>
          <w:szCs w:val="26"/>
          <w:lang w:val="en-GB" w:eastAsia="en-US"/>
        </w:rPr>
        <w:t xml:space="preserve">List of evaluations completed in the reporting period </w:t>
      </w:r>
    </w:p>
    <w:tbl>
      <w:tblPr>
        <w:tblStyle w:val="APPR"/>
        <w:tblW w:w="14311" w:type="dxa"/>
        <w:tblLayout w:type="fixed"/>
        <w:tblLook w:val="04A0" w:firstRow="1" w:lastRow="0" w:firstColumn="1" w:lastColumn="0" w:noHBand="0" w:noVBand="1"/>
      </w:tblPr>
      <w:tblGrid>
        <w:gridCol w:w="3106"/>
        <w:gridCol w:w="3693"/>
        <w:gridCol w:w="1425"/>
        <w:gridCol w:w="1981"/>
        <w:gridCol w:w="1699"/>
        <w:gridCol w:w="2407"/>
      </w:tblGrid>
      <w:tr w:rsidR="00AF1B85" w:rsidRPr="00C61187" w:rsidTr="00AF1B85">
        <w:trPr>
          <w:cnfStyle w:val="100000000000" w:firstRow="1" w:lastRow="0" w:firstColumn="0" w:lastColumn="0" w:oddVBand="0" w:evenVBand="0" w:oddHBand="0" w:evenHBand="0" w:firstRowFirstColumn="0" w:firstRowLastColumn="0" w:lastRowFirstColumn="0" w:lastRowLastColumn="0"/>
        </w:trPr>
        <w:tc>
          <w:tcPr>
            <w:tcW w:w="3064" w:type="dxa"/>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Investment number and name </w:t>
            </w:r>
          </w:p>
          <w:p w:rsidR="00AF1B85" w:rsidRPr="00812509" w:rsidRDefault="00210199" w:rsidP="00D15A00">
            <w:pPr>
              <w:keepLines/>
              <w:spacing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N/A</w:t>
            </w:r>
          </w:p>
        </w:tc>
        <w:tc>
          <w:tcPr>
            <w:tcW w:w="3665" w:type="dxa"/>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Name of evaluation</w:t>
            </w:r>
          </w:p>
        </w:tc>
        <w:tc>
          <w:tcPr>
            <w:tcW w:w="1397" w:type="dxa"/>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completed</w:t>
            </w:r>
          </w:p>
        </w:tc>
        <w:tc>
          <w:tcPr>
            <w:tcW w:w="1953" w:type="dxa"/>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Evaluation report Uploaded into AidWorks</w:t>
            </w:r>
          </w:p>
        </w:tc>
        <w:tc>
          <w:tcPr>
            <w:tcW w:w="1671" w:type="dxa"/>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Management response uploaded into AidWorks</w:t>
            </w:r>
          </w:p>
        </w:tc>
        <w:tc>
          <w:tcPr>
            <w:tcW w:w="2365" w:type="dxa"/>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Published on website</w:t>
            </w:r>
          </w:p>
        </w:tc>
      </w:tr>
      <w:tr w:rsidR="00AF1B85" w:rsidRPr="003B5EE5" w:rsidTr="00AF1B85">
        <w:trPr>
          <w:cnfStyle w:val="100000000000" w:firstRow="1" w:lastRow="0" w:firstColumn="0" w:lastColumn="0" w:oddVBand="0" w:evenVBand="0" w:oddHBand="0" w:evenHBand="0" w:firstRowFirstColumn="0" w:firstRowLastColumn="0" w:lastRowFirstColumn="0" w:lastRowLastColumn="0"/>
        </w:trPr>
        <w:tc>
          <w:tcPr>
            <w:tcW w:w="3064" w:type="dxa"/>
          </w:tcPr>
          <w:p w:rsidR="00AF1B85" w:rsidRPr="00812509" w:rsidRDefault="00AF1B85" w:rsidP="00D15A00">
            <w:pPr>
              <w:keepLines/>
              <w:spacing w:before="40" w:after="40" w:line="200" w:lineRule="atLeast"/>
              <w:rPr>
                <w:rFonts w:asciiTheme="minorHAnsi" w:eastAsia="Times New Roman" w:hAnsiTheme="minorHAnsi"/>
                <w:b w:val="0"/>
                <w:iCs/>
                <w:szCs w:val="17"/>
                <w:lang w:eastAsia="en-US"/>
              </w:rPr>
            </w:pPr>
          </w:p>
        </w:tc>
        <w:tc>
          <w:tcPr>
            <w:tcW w:w="3665" w:type="dxa"/>
          </w:tcPr>
          <w:p w:rsidR="00AF1B85" w:rsidRPr="00812509" w:rsidRDefault="00AF1B85" w:rsidP="00210199">
            <w:pPr>
              <w:keepLines/>
              <w:spacing w:before="40" w:after="40" w:line="200" w:lineRule="atLeast"/>
              <w:rPr>
                <w:rFonts w:asciiTheme="minorHAnsi" w:eastAsia="Times New Roman" w:hAnsiTheme="minorHAnsi"/>
                <w:b w:val="0"/>
                <w:iCs/>
                <w:szCs w:val="17"/>
                <w:lang w:eastAsia="en-US"/>
              </w:rPr>
            </w:pPr>
          </w:p>
        </w:tc>
        <w:tc>
          <w:tcPr>
            <w:tcW w:w="1397" w:type="dxa"/>
          </w:tcPr>
          <w:p w:rsidR="00AF1B85" w:rsidRPr="00812509" w:rsidRDefault="00AF1B85" w:rsidP="00D15A00">
            <w:pPr>
              <w:keepLines/>
              <w:spacing w:before="40" w:after="40" w:line="200" w:lineRule="atLeast"/>
              <w:rPr>
                <w:rFonts w:asciiTheme="minorHAnsi" w:eastAsia="Times New Roman" w:hAnsiTheme="minorHAnsi"/>
                <w:b w:val="0"/>
                <w:iCs/>
                <w:szCs w:val="17"/>
                <w:lang w:eastAsia="en-US"/>
              </w:rPr>
            </w:pPr>
          </w:p>
        </w:tc>
        <w:tc>
          <w:tcPr>
            <w:tcW w:w="1953" w:type="dxa"/>
          </w:tcPr>
          <w:p w:rsidR="00AF1B85" w:rsidRPr="00812509" w:rsidRDefault="00AF1B85" w:rsidP="00D15A00">
            <w:pPr>
              <w:keepLines/>
              <w:spacing w:before="40" w:after="40" w:line="200" w:lineRule="atLeast"/>
              <w:rPr>
                <w:rFonts w:asciiTheme="minorHAnsi" w:eastAsia="Times New Roman" w:hAnsiTheme="minorHAnsi"/>
                <w:b w:val="0"/>
                <w:iCs/>
                <w:szCs w:val="17"/>
                <w:lang w:eastAsia="en-US"/>
              </w:rPr>
            </w:pPr>
          </w:p>
        </w:tc>
        <w:tc>
          <w:tcPr>
            <w:tcW w:w="1671" w:type="dxa"/>
          </w:tcPr>
          <w:p w:rsidR="00AF1B85" w:rsidRPr="00812509" w:rsidRDefault="00AF1B85" w:rsidP="00D15A00">
            <w:pPr>
              <w:keepLines/>
              <w:spacing w:before="40" w:after="40" w:line="200" w:lineRule="atLeast"/>
              <w:rPr>
                <w:rFonts w:asciiTheme="minorHAnsi" w:eastAsia="Times New Roman" w:hAnsiTheme="minorHAnsi"/>
                <w:b w:val="0"/>
                <w:iCs/>
                <w:szCs w:val="17"/>
                <w:lang w:eastAsia="en-US"/>
              </w:rPr>
            </w:pPr>
          </w:p>
        </w:tc>
        <w:tc>
          <w:tcPr>
            <w:tcW w:w="2365" w:type="dxa"/>
          </w:tcPr>
          <w:p w:rsidR="00AF1B85" w:rsidRPr="00812509" w:rsidRDefault="00AF1B85" w:rsidP="00D15A00">
            <w:pPr>
              <w:keepLines/>
              <w:spacing w:before="40" w:after="40" w:line="200" w:lineRule="atLeast"/>
              <w:rPr>
                <w:rFonts w:asciiTheme="minorHAnsi" w:eastAsia="Times New Roman" w:hAnsiTheme="minorHAnsi"/>
                <w:b w:val="0"/>
                <w:iCs/>
                <w:szCs w:val="17"/>
                <w:lang w:eastAsia="en-US"/>
              </w:rPr>
            </w:pPr>
          </w:p>
        </w:tc>
      </w:tr>
    </w:tbl>
    <w:p w:rsidR="00AF1B85" w:rsidRPr="005E606B" w:rsidRDefault="00AF1B85"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5E606B">
        <w:rPr>
          <w:rFonts w:asciiTheme="majorHAnsi" w:eastAsiaTheme="majorEastAsia" w:hAnsiTheme="majorHAnsi" w:cstheme="majorBidi"/>
          <w:caps/>
          <w:color w:val="495965" w:themeColor="text2"/>
          <w:sz w:val="38"/>
          <w:szCs w:val="26"/>
          <w:lang w:val="en-GB" w:eastAsia="en-US"/>
        </w:rPr>
        <w:t xml:space="preserve">List of program prioritised evaluations planned for the next 12 months </w:t>
      </w:r>
    </w:p>
    <w:tbl>
      <w:tblPr>
        <w:tblStyle w:val="APPR"/>
        <w:tblW w:w="14311" w:type="dxa"/>
        <w:tblLook w:val="0600" w:firstRow="0" w:lastRow="0" w:firstColumn="0" w:lastColumn="0" w:noHBand="1" w:noVBand="1"/>
      </w:tblPr>
      <w:tblGrid>
        <w:gridCol w:w="2486"/>
        <w:gridCol w:w="2384"/>
        <w:gridCol w:w="2070"/>
        <w:gridCol w:w="2236"/>
        <w:gridCol w:w="2353"/>
        <w:gridCol w:w="2782"/>
      </w:tblGrid>
      <w:tr w:rsidR="00AF1B85" w:rsidRPr="00C61187" w:rsidTr="005E606B">
        <w:tc>
          <w:tcPr>
            <w:tcW w:w="2444"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title</w:t>
            </w:r>
          </w:p>
        </w:tc>
        <w:tc>
          <w:tcPr>
            <w:tcW w:w="2356"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 xml:space="preserve">Investment number and name (if applicable) </w:t>
            </w:r>
          </w:p>
        </w:tc>
        <w:tc>
          <w:tcPr>
            <w:tcW w:w="2042"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commencement (month/year)</w:t>
            </w:r>
          </w:p>
        </w:tc>
        <w:tc>
          <w:tcPr>
            <w:tcW w:w="2208"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completion (month/year)</w:t>
            </w:r>
          </w:p>
        </w:tc>
        <w:tc>
          <w:tcPr>
            <w:tcW w:w="2325"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Purpose of evaluation</w:t>
            </w:r>
          </w:p>
        </w:tc>
        <w:tc>
          <w:tcPr>
            <w:tcW w:w="2740"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type</w:t>
            </w:r>
          </w:p>
        </w:tc>
      </w:tr>
      <w:tr w:rsidR="00AF1B85" w:rsidRPr="00C61187" w:rsidTr="005E606B">
        <w:tc>
          <w:tcPr>
            <w:tcW w:w="2444" w:type="dxa"/>
          </w:tcPr>
          <w:p w:rsidR="00D46D10" w:rsidRDefault="00F10703"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Sri Lanka Community Forestry Program</w:t>
            </w:r>
            <w:r w:rsidR="00D46D10">
              <w:rPr>
                <w:rFonts w:asciiTheme="minorHAnsi" w:eastAsia="Times New Roman" w:hAnsiTheme="minorHAnsi"/>
                <w:iCs/>
                <w:szCs w:val="17"/>
                <w:lang w:eastAsia="en-US"/>
              </w:rPr>
              <w:t xml:space="preserve"> – </w:t>
            </w:r>
            <w:r>
              <w:rPr>
                <w:rFonts w:asciiTheme="minorHAnsi" w:eastAsia="Times New Roman" w:hAnsiTheme="minorHAnsi"/>
                <w:iCs/>
                <w:szCs w:val="17"/>
                <w:lang w:eastAsia="en-US"/>
              </w:rPr>
              <w:t>Independent Completion Report</w:t>
            </w:r>
          </w:p>
          <w:p w:rsidR="00AF1B85" w:rsidRPr="00812509" w:rsidRDefault="00AF1B85" w:rsidP="00D15A00">
            <w:pPr>
              <w:keepLines/>
              <w:spacing w:before="40" w:after="40" w:line="200" w:lineRule="atLeast"/>
              <w:rPr>
                <w:rFonts w:asciiTheme="minorHAnsi" w:eastAsia="Times New Roman" w:hAnsiTheme="minorHAnsi"/>
                <w:iCs/>
                <w:szCs w:val="17"/>
                <w:lang w:eastAsia="en-US"/>
              </w:rPr>
            </w:pPr>
          </w:p>
        </w:tc>
        <w:tc>
          <w:tcPr>
            <w:tcW w:w="2356" w:type="dxa"/>
          </w:tcPr>
          <w:p w:rsidR="00D46D10" w:rsidRDefault="00D46D10"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INK283 North and East Local Services Improvement Project</w:t>
            </w:r>
          </w:p>
          <w:p w:rsidR="00AF1B85" w:rsidRPr="00812509" w:rsidRDefault="00AF1B85" w:rsidP="00D15A00">
            <w:pPr>
              <w:keepLines/>
              <w:spacing w:before="40" w:after="40" w:line="200" w:lineRule="atLeast"/>
              <w:rPr>
                <w:rFonts w:asciiTheme="minorHAnsi" w:eastAsia="Times New Roman" w:hAnsiTheme="minorHAnsi"/>
                <w:iCs/>
                <w:szCs w:val="17"/>
                <w:lang w:eastAsia="en-US"/>
              </w:rPr>
            </w:pPr>
          </w:p>
        </w:tc>
        <w:tc>
          <w:tcPr>
            <w:tcW w:w="2042" w:type="dxa"/>
          </w:tcPr>
          <w:p w:rsidR="00D46D10" w:rsidRDefault="00F10703"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January 2017</w:t>
            </w:r>
          </w:p>
          <w:p w:rsidR="00AF1B85" w:rsidRPr="00812509" w:rsidRDefault="00AF1B85" w:rsidP="00D15A00">
            <w:pPr>
              <w:keepLines/>
              <w:spacing w:before="40" w:after="40" w:line="200" w:lineRule="atLeast"/>
              <w:rPr>
                <w:rFonts w:asciiTheme="minorHAnsi" w:eastAsia="Times New Roman" w:hAnsiTheme="minorHAnsi"/>
                <w:iCs/>
                <w:szCs w:val="17"/>
                <w:lang w:eastAsia="en-US"/>
              </w:rPr>
            </w:pPr>
          </w:p>
        </w:tc>
        <w:tc>
          <w:tcPr>
            <w:tcW w:w="2208" w:type="dxa"/>
          </w:tcPr>
          <w:p w:rsidR="006141D8" w:rsidRDefault="00F10703"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June</w:t>
            </w:r>
            <w:r w:rsidR="006141D8">
              <w:rPr>
                <w:rFonts w:asciiTheme="minorHAnsi" w:eastAsia="Times New Roman" w:hAnsiTheme="minorHAnsi"/>
                <w:iCs/>
                <w:szCs w:val="17"/>
                <w:lang w:eastAsia="en-US"/>
              </w:rPr>
              <w:t xml:space="preserve"> 2017</w:t>
            </w:r>
          </w:p>
          <w:p w:rsidR="00AF1B85" w:rsidRPr="00812509" w:rsidRDefault="00AF1B85" w:rsidP="00D15A00">
            <w:pPr>
              <w:keepLines/>
              <w:spacing w:before="40" w:after="40" w:line="200" w:lineRule="atLeast"/>
              <w:rPr>
                <w:rFonts w:asciiTheme="minorHAnsi" w:eastAsia="Times New Roman" w:hAnsiTheme="minorHAnsi"/>
                <w:iCs/>
                <w:szCs w:val="17"/>
                <w:lang w:eastAsia="en-US"/>
              </w:rPr>
            </w:pPr>
          </w:p>
        </w:tc>
        <w:tc>
          <w:tcPr>
            <w:tcW w:w="2325" w:type="dxa"/>
          </w:tcPr>
          <w:p w:rsidR="006141D8" w:rsidRPr="00812509" w:rsidRDefault="006141D8" w:rsidP="006141D8">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 </w:t>
            </w:r>
            <w:r w:rsidR="00CB3684">
              <w:rPr>
                <w:rFonts w:asciiTheme="minorHAnsi" w:eastAsia="Times New Roman" w:hAnsiTheme="minorHAnsi"/>
                <w:iCs/>
                <w:szCs w:val="17"/>
                <w:lang w:eastAsia="en-US"/>
              </w:rPr>
              <w:t>assess effectiveness and efficiency</w:t>
            </w:r>
          </w:p>
          <w:p w:rsidR="006141D8" w:rsidRDefault="006141D8" w:rsidP="00CB3684">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examine value for money</w:t>
            </w:r>
          </w:p>
          <w:p w:rsidR="006141D8" w:rsidRDefault="006141D8" w:rsidP="006141D8">
            <w:r>
              <w:rPr>
                <w:rFonts w:asciiTheme="minorHAnsi" w:eastAsia="Times New Roman" w:hAnsiTheme="minorHAnsi"/>
                <w:iCs/>
                <w:szCs w:val="17"/>
                <w:lang w:eastAsia="en-US"/>
              </w:rPr>
              <w:t>- assess sustainability</w:t>
            </w:r>
          </w:p>
          <w:p w:rsidR="00AF1B85" w:rsidRPr="00812509" w:rsidRDefault="00AF1B85" w:rsidP="00D15A00">
            <w:pPr>
              <w:keepLines/>
              <w:spacing w:before="40" w:after="40" w:line="200" w:lineRule="atLeast"/>
              <w:rPr>
                <w:rFonts w:asciiTheme="minorHAnsi" w:eastAsia="Times New Roman" w:hAnsiTheme="minorHAnsi"/>
                <w:iCs/>
                <w:color w:val="000000" w:themeColor="text1" w:themeShade="BF"/>
                <w:szCs w:val="17"/>
                <w:lang w:eastAsia="en-US"/>
              </w:rPr>
            </w:pPr>
          </w:p>
        </w:tc>
        <w:tc>
          <w:tcPr>
            <w:tcW w:w="2740" w:type="dxa"/>
          </w:tcPr>
          <w:p w:rsidR="006141D8" w:rsidRPr="00812509" w:rsidRDefault="006141D8" w:rsidP="006141D8">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 </w:t>
            </w:r>
            <w:r w:rsidR="00F10703">
              <w:rPr>
                <w:rFonts w:asciiTheme="minorHAnsi" w:eastAsia="Times New Roman" w:hAnsiTheme="minorHAnsi"/>
                <w:iCs/>
                <w:szCs w:val="17"/>
                <w:lang w:eastAsia="en-US"/>
              </w:rPr>
              <w:t>DFAT</w:t>
            </w:r>
            <w:r w:rsidRPr="00812509">
              <w:rPr>
                <w:rFonts w:asciiTheme="minorHAnsi" w:eastAsia="Times New Roman" w:hAnsiTheme="minorHAnsi"/>
                <w:iCs/>
                <w:szCs w:val="17"/>
                <w:lang w:eastAsia="en-US"/>
              </w:rPr>
              <w:t xml:space="preserve"> led</w:t>
            </w:r>
          </w:p>
          <w:p w:rsidR="006141D8" w:rsidRDefault="006141D8" w:rsidP="00D15A00">
            <w:pPr>
              <w:keepLines/>
              <w:spacing w:before="40" w:after="40" w:line="200" w:lineRule="atLeast"/>
              <w:rPr>
                <w:rFonts w:asciiTheme="minorHAnsi" w:eastAsia="Times New Roman" w:hAnsiTheme="minorHAnsi"/>
                <w:iCs/>
                <w:szCs w:val="17"/>
                <w:lang w:eastAsia="en-US"/>
              </w:rPr>
            </w:pPr>
          </w:p>
          <w:p w:rsidR="006141D8" w:rsidRDefault="006141D8" w:rsidP="00D15A00">
            <w:pPr>
              <w:keepLines/>
              <w:spacing w:before="40" w:after="40" w:line="200" w:lineRule="atLeast"/>
              <w:rPr>
                <w:rFonts w:asciiTheme="minorHAnsi" w:eastAsia="Times New Roman" w:hAnsiTheme="minorHAnsi"/>
                <w:iCs/>
                <w:szCs w:val="17"/>
                <w:lang w:eastAsia="en-US"/>
              </w:rPr>
            </w:pPr>
          </w:p>
          <w:p w:rsidR="00AF1B85" w:rsidRPr="00812509" w:rsidRDefault="00AF1B85" w:rsidP="00D15A00">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 </w:t>
            </w:r>
          </w:p>
        </w:tc>
      </w:tr>
    </w:tbl>
    <w:p w:rsidR="0059146A" w:rsidRPr="0059146A" w:rsidRDefault="0059146A" w:rsidP="005B5769">
      <w:pPr>
        <w:pStyle w:val="ListBullet"/>
        <w:tabs>
          <w:tab w:val="clear" w:pos="284"/>
        </w:tabs>
      </w:pPr>
    </w:p>
    <w:p w:rsidR="0059146A" w:rsidRDefault="0059146A" w:rsidP="005B5769">
      <w:pPr>
        <w:pStyle w:val="ListBullet"/>
        <w:tabs>
          <w:tab w:val="clear" w:pos="284"/>
        </w:tabs>
      </w:pPr>
    </w:p>
    <w:p w:rsidR="005E606B" w:rsidRDefault="005E606B" w:rsidP="005B5769">
      <w:pPr>
        <w:pStyle w:val="ListBullet"/>
        <w:tabs>
          <w:tab w:val="clear" w:pos="284"/>
        </w:tabs>
        <w:sectPr w:rsidR="005E606B" w:rsidSect="00AF1B85">
          <w:headerReference w:type="first" r:id="rId19"/>
          <w:pgSz w:w="16838" w:h="11906" w:orient="landscape" w:code="9"/>
          <w:pgMar w:top="1134" w:right="1952" w:bottom="1134" w:left="851" w:header="1107" w:footer="567" w:gutter="0"/>
          <w:cols w:space="397"/>
          <w:titlePg/>
          <w:docGrid w:linePitch="360"/>
        </w:sectPr>
      </w:pPr>
    </w:p>
    <w:p w:rsidR="0059146A" w:rsidRDefault="0059146A" w:rsidP="005B5769">
      <w:pPr>
        <w:pStyle w:val="ListBullet"/>
        <w:tabs>
          <w:tab w:val="clear" w:pos="284"/>
        </w:tabs>
      </w:pPr>
    </w:p>
    <w:p w:rsidR="005E606B" w:rsidRPr="00A8197B" w:rsidRDefault="005E606B" w:rsidP="00A8197B">
      <w:pPr>
        <w:pStyle w:val="Subtitle"/>
      </w:pPr>
      <w:r w:rsidRPr="00A8197B">
        <w:t>Annex C - Aid Quality Check ratings</w:t>
      </w:r>
    </w:p>
    <w:p w:rsidR="005E606B" w:rsidRPr="00A8197B" w:rsidRDefault="005E606B"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A8197B">
        <w:rPr>
          <w:rFonts w:asciiTheme="majorHAnsi" w:eastAsiaTheme="majorEastAsia" w:hAnsiTheme="majorHAnsi" w:cstheme="majorBidi"/>
          <w:caps/>
          <w:color w:val="495965" w:themeColor="text2"/>
          <w:sz w:val="38"/>
          <w:szCs w:val="26"/>
          <w:lang w:val="en-GB" w:eastAsia="en-US"/>
        </w:rPr>
        <w:t>AQC ratings</w:t>
      </w:r>
    </w:p>
    <w:p w:rsidR="005E606B" w:rsidRPr="00C61187" w:rsidRDefault="005E606B" w:rsidP="00A8197B">
      <w:r w:rsidRPr="00C61187">
        <w:t>AQC investment performance over the previous 12 months and where available last</w:t>
      </w:r>
      <w:r>
        <w:t xml:space="preserve"> year’s AQC ratings</w:t>
      </w:r>
      <w:r w:rsidRPr="00C61187">
        <w:t>.</w:t>
      </w:r>
    </w:p>
    <w:tbl>
      <w:tblPr>
        <w:tblStyle w:val="APPR"/>
        <w:tblW w:w="5000" w:type="pct"/>
        <w:tblLook w:val="0000" w:firstRow="0" w:lastRow="0" w:firstColumn="0" w:lastColumn="0" w:noHBand="0" w:noVBand="0"/>
      </w:tblPr>
      <w:tblGrid>
        <w:gridCol w:w="1773"/>
        <w:gridCol w:w="1284"/>
        <w:gridCol w:w="821"/>
        <w:gridCol w:w="825"/>
        <w:gridCol w:w="819"/>
        <w:gridCol w:w="825"/>
        <w:gridCol w:w="819"/>
        <w:gridCol w:w="825"/>
        <w:gridCol w:w="819"/>
        <w:gridCol w:w="828"/>
      </w:tblGrid>
      <w:tr w:rsidR="005E606B" w:rsidRPr="00C61187" w:rsidTr="00F44952">
        <w:trPr>
          <w:cnfStyle w:val="000000010000" w:firstRow="0" w:lastRow="0" w:firstColumn="0" w:lastColumn="0" w:oddVBand="0" w:evenVBand="0" w:oddHBand="0" w:evenHBand="1" w:firstRowFirstColumn="0" w:firstRowLastColumn="0" w:lastRowFirstColumn="0" w:lastRowLastColumn="0"/>
          <w:trHeight w:val="1413"/>
        </w:trPr>
        <w:tc>
          <w:tcPr>
            <w:tcW w:w="900" w:type="pct"/>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668480" behindDoc="0" locked="0" layoutInCell="1" allowOverlap="1" wp14:anchorId="4FCE19F4" wp14:editId="30C6858D">
                  <wp:simplePos x="0" y="0"/>
                  <wp:positionH relativeFrom="column">
                    <wp:posOffset>0</wp:posOffset>
                  </wp:positionH>
                  <wp:positionV relativeFrom="paragraph">
                    <wp:posOffset>0</wp:posOffset>
                  </wp:positionV>
                  <wp:extent cx="1857375" cy="228600"/>
                  <wp:effectExtent l="0" t="0" r="9525" b="0"/>
                  <wp:wrapNone/>
                  <wp:docPr id="26" name="Picture 26"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652" w:type="pct"/>
            <w:textDirection w:val="btLr"/>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412" w:type="pct"/>
            <w:textDirection w:val="btLr"/>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year on year</w:t>
            </w:r>
          </w:p>
        </w:tc>
        <w:tc>
          <w:tcPr>
            <w:tcW w:w="414" w:type="pct"/>
            <w:textDirection w:val="btLr"/>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411" w:type="pct"/>
            <w:textDirection w:val="btLr"/>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414" w:type="pct"/>
            <w:textDirection w:val="btLr"/>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411" w:type="pct"/>
            <w:textDirection w:val="btLr"/>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414" w:type="pct"/>
            <w:textDirection w:val="btLr"/>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Sustainability</w:t>
            </w:r>
          </w:p>
        </w:tc>
        <w:tc>
          <w:tcPr>
            <w:tcW w:w="411" w:type="pct"/>
            <w:textDirection w:val="btLr"/>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c>
          <w:tcPr>
            <w:tcW w:w="408" w:type="pct"/>
            <w:textDirection w:val="btLr"/>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Risks  and Safeguards</w:t>
            </w:r>
          </w:p>
        </w:tc>
      </w:tr>
      <w:tr w:rsidR="005200EC" w:rsidRPr="00C61187" w:rsidTr="006C7E5B">
        <w:trPr>
          <w:cnfStyle w:val="000000010000" w:firstRow="0" w:lastRow="0" w:firstColumn="0" w:lastColumn="0" w:oddVBand="0" w:evenVBand="0" w:oddHBand="0" w:evenHBand="1" w:firstRowFirstColumn="0" w:firstRowLastColumn="0" w:lastRowFirstColumn="0" w:lastRowLastColumn="0"/>
          <w:trHeight w:val="284"/>
        </w:trPr>
        <w:tc>
          <w:tcPr>
            <w:tcW w:w="900" w:type="pct"/>
            <w:vMerge w:val="restart"/>
            <w:tcBorders>
              <w:top w:val="single" w:sz="4" w:space="0" w:color="auto"/>
            </w:tcBorders>
          </w:tcPr>
          <w:p w:rsidR="00FB7ED0" w:rsidRPr="00FB7ED0" w:rsidRDefault="00FB7ED0" w:rsidP="00F10703">
            <w:pPr>
              <w:pStyle w:val="TableTextEntries"/>
              <w:rPr>
                <w:rFonts w:asciiTheme="minorHAnsi" w:hAnsiTheme="minorHAnsi"/>
              </w:rPr>
            </w:pPr>
            <w:r w:rsidRPr="00FB7ED0">
              <w:rPr>
                <w:rFonts w:asciiTheme="minorHAnsi" w:hAnsiTheme="minorHAnsi"/>
              </w:rPr>
              <w:t>North East Local Services Improvement Project (NELSIP)</w:t>
            </w:r>
          </w:p>
        </w:tc>
        <w:tc>
          <w:tcPr>
            <w:tcW w:w="652" w:type="pct"/>
            <w:vMerge w:val="restart"/>
            <w:tcBorders>
              <w:top w:val="single" w:sz="4" w:space="0" w:color="auto"/>
            </w:tcBorders>
          </w:tcPr>
          <w:p w:rsidR="00FB7ED0" w:rsidRPr="00812509" w:rsidRDefault="00FB7ED0" w:rsidP="00D15A00">
            <w:pPr>
              <w:autoSpaceDE w:val="0"/>
              <w:autoSpaceDN w:val="0"/>
              <w:adjustRightInd w:val="0"/>
              <w:rPr>
                <w:rFonts w:asciiTheme="minorHAnsi" w:hAnsiTheme="minorHAnsi" w:cs="Franklin Gothic Book"/>
                <w:color w:val="000000"/>
                <w:szCs w:val="17"/>
              </w:rPr>
            </w:pPr>
            <w:r>
              <w:rPr>
                <w:rFonts w:asciiTheme="minorHAnsi" w:hAnsiTheme="minorHAnsi" w:cs="Franklin Gothic Book"/>
                <w:color w:val="000000"/>
                <w:szCs w:val="17"/>
              </w:rPr>
              <w:t>$25.37</w:t>
            </w:r>
            <w:r w:rsidRPr="00812509">
              <w:rPr>
                <w:rFonts w:asciiTheme="minorHAnsi" w:hAnsiTheme="minorHAnsi" w:cs="Franklin Gothic Book"/>
                <w:color w:val="000000"/>
                <w:szCs w:val="17"/>
              </w:rPr>
              <w:t xml:space="preserve">m </w:t>
            </w:r>
          </w:p>
          <w:p w:rsidR="00FB7ED0" w:rsidRPr="00812509" w:rsidRDefault="00FB7ED0" w:rsidP="00FB7ED0">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1</w:t>
            </w:r>
            <w:r w:rsidRPr="00812509">
              <w:rPr>
                <w:rFonts w:asciiTheme="minorHAnsi" w:eastAsia="Times New Roman" w:hAnsiTheme="minorHAnsi"/>
                <w:iCs/>
                <w:szCs w:val="17"/>
                <w:lang w:eastAsia="en-US"/>
              </w:rPr>
              <w:t>-1</w:t>
            </w:r>
            <w:r>
              <w:rPr>
                <w:rFonts w:asciiTheme="minorHAnsi" w:eastAsia="Times New Roman" w:hAnsiTheme="minorHAnsi"/>
                <w:iCs/>
                <w:szCs w:val="17"/>
                <w:lang w:eastAsia="en-US"/>
              </w:rPr>
              <w:t>16</w:t>
            </w:r>
            <w:r w:rsidRPr="00812509">
              <w:rPr>
                <w:rFonts w:asciiTheme="minorHAnsi" w:eastAsia="Times New Roman" w:hAnsiTheme="minorHAnsi"/>
                <w:iCs/>
                <w:szCs w:val="17"/>
                <w:lang w:eastAsia="en-US"/>
              </w:rPr>
              <w:t xml:space="preserve"> </w:t>
            </w:r>
          </w:p>
        </w:tc>
        <w:tc>
          <w:tcPr>
            <w:tcW w:w="412" w:type="pct"/>
            <w:tcBorders>
              <w:top w:val="single" w:sz="4" w:space="0" w:color="auto"/>
            </w:tcBorders>
          </w:tcPr>
          <w:p w:rsidR="00FB7ED0" w:rsidRPr="00812509" w:rsidRDefault="00FB7ED0" w:rsidP="00D15A00">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2016 AQC</w:t>
            </w:r>
          </w:p>
        </w:tc>
        <w:tc>
          <w:tcPr>
            <w:tcW w:w="414" w:type="pct"/>
            <w:tcBorders>
              <w:top w:val="single" w:sz="4" w:space="0" w:color="auto"/>
              <w:bottom w:val="single" w:sz="2" w:space="0" w:color="FFFFFF" w:themeColor="background1"/>
            </w:tcBorders>
            <w:shd w:val="clear" w:color="auto" w:fill="92D050"/>
            <w:noWrap/>
          </w:tcPr>
          <w:p w:rsidR="00FB7ED0" w:rsidRPr="00812509" w:rsidRDefault="00FB7ED0"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411" w:type="pct"/>
            <w:tcBorders>
              <w:top w:val="single" w:sz="4" w:space="0" w:color="auto"/>
            </w:tcBorders>
            <w:shd w:val="clear" w:color="auto" w:fill="FFFF00"/>
            <w:noWrap/>
          </w:tcPr>
          <w:p w:rsidR="00FB7ED0" w:rsidRPr="00812509" w:rsidRDefault="00FB7ED0"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414" w:type="pct"/>
            <w:tcBorders>
              <w:top w:val="single" w:sz="4" w:space="0" w:color="auto"/>
            </w:tcBorders>
            <w:shd w:val="clear" w:color="auto" w:fill="FFFF00"/>
            <w:noWrap/>
          </w:tcPr>
          <w:p w:rsidR="00FB7ED0" w:rsidRPr="00812509" w:rsidRDefault="00FB7ED0"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411" w:type="pct"/>
            <w:tcBorders>
              <w:top w:val="single" w:sz="4" w:space="0" w:color="auto"/>
            </w:tcBorders>
            <w:shd w:val="clear" w:color="auto" w:fill="FFFF00"/>
            <w:noWrap/>
          </w:tcPr>
          <w:p w:rsidR="00FB7ED0" w:rsidRPr="00812509" w:rsidRDefault="00FB7ED0"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4" w:type="pct"/>
            <w:tcBorders>
              <w:top w:val="single" w:sz="4" w:space="0" w:color="auto"/>
            </w:tcBorders>
            <w:shd w:val="clear" w:color="auto" w:fill="92D050"/>
            <w:noWrap/>
          </w:tcPr>
          <w:p w:rsidR="00FB7ED0" w:rsidRPr="00812509" w:rsidRDefault="00FB7ED0"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1" w:type="pct"/>
            <w:tcBorders>
              <w:top w:val="single" w:sz="4" w:space="0" w:color="auto"/>
            </w:tcBorders>
            <w:shd w:val="clear" w:color="auto" w:fill="FFFF00"/>
            <w:noWrap/>
          </w:tcPr>
          <w:p w:rsidR="00FB7ED0" w:rsidRPr="00812509" w:rsidRDefault="00FB7ED0"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08" w:type="pct"/>
            <w:tcBorders>
              <w:top w:val="single" w:sz="4" w:space="0" w:color="auto"/>
            </w:tcBorders>
            <w:shd w:val="clear" w:color="auto" w:fill="92D050"/>
          </w:tcPr>
          <w:p w:rsidR="00FB7ED0" w:rsidRPr="00812509" w:rsidRDefault="00FB7ED0"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5200EC" w:rsidRPr="00C61187" w:rsidTr="00F44952">
        <w:trPr>
          <w:cnfStyle w:val="000000010000" w:firstRow="0" w:lastRow="0" w:firstColumn="0" w:lastColumn="0" w:oddVBand="0" w:evenVBand="0" w:oddHBand="0" w:evenHBand="1" w:firstRowFirstColumn="0" w:firstRowLastColumn="0" w:lastRowFirstColumn="0" w:lastRowLastColumn="0"/>
          <w:trHeight w:val="284"/>
        </w:trPr>
        <w:tc>
          <w:tcPr>
            <w:tcW w:w="900" w:type="pct"/>
            <w:vMerge/>
            <w:tcBorders>
              <w:bottom w:val="single" w:sz="4" w:space="0" w:color="auto"/>
            </w:tcBorders>
          </w:tcPr>
          <w:p w:rsidR="00FB7ED0" w:rsidRPr="00812509" w:rsidRDefault="00FB7ED0" w:rsidP="00D15A00">
            <w:pPr>
              <w:keepLines/>
              <w:spacing w:before="40" w:after="40" w:line="200" w:lineRule="atLeast"/>
              <w:rPr>
                <w:rFonts w:asciiTheme="minorHAnsi" w:eastAsia="Times New Roman" w:hAnsiTheme="minorHAnsi"/>
                <w:iCs/>
                <w:szCs w:val="17"/>
                <w:lang w:eastAsia="en-US"/>
              </w:rPr>
            </w:pPr>
          </w:p>
        </w:tc>
        <w:tc>
          <w:tcPr>
            <w:tcW w:w="652" w:type="pct"/>
            <w:vMerge/>
            <w:tcBorders>
              <w:bottom w:val="single" w:sz="4" w:space="0" w:color="auto"/>
            </w:tcBorders>
          </w:tcPr>
          <w:p w:rsidR="00FB7ED0" w:rsidRPr="00812509" w:rsidRDefault="00FB7ED0" w:rsidP="00D15A00">
            <w:pPr>
              <w:keepLines/>
              <w:spacing w:before="40" w:after="40" w:line="200" w:lineRule="atLeast"/>
              <w:rPr>
                <w:rFonts w:asciiTheme="minorHAnsi" w:eastAsia="Times New Roman" w:hAnsiTheme="minorHAnsi"/>
                <w:iCs/>
                <w:szCs w:val="17"/>
                <w:lang w:eastAsia="en-US"/>
              </w:rPr>
            </w:pPr>
          </w:p>
        </w:tc>
        <w:tc>
          <w:tcPr>
            <w:tcW w:w="412" w:type="pct"/>
            <w:tcBorders>
              <w:bottom w:val="single" w:sz="4" w:space="0" w:color="auto"/>
            </w:tcBorders>
          </w:tcPr>
          <w:p w:rsidR="00FB7ED0" w:rsidRPr="00812509" w:rsidRDefault="00FB7ED0" w:rsidP="00D15A00">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2015 AQC</w:t>
            </w:r>
          </w:p>
        </w:tc>
        <w:tc>
          <w:tcPr>
            <w:tcW w:w="414" w:type="pct"/>
            <w:tcBorders>
              <w:bottom w:val="single" w:sz="4" w:space="0" w:color="auto"/>
            </w:tcBorders>
            <w:shd w:val="clear" w:color="auto" w:fill="92D050"/>
            <w:noWrap/>
          </w:tcPr>
          <w:p w:rsidR="00FB7ED0" w:rsidRPr="00812509" w:rsidRDefault="00FB7ED0"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411" w:type="pct"/>
            <w:tcBorders>
              <w:bottom w:val="single" w:sz="4" w:space="0" w:color="auto"/>
            </w:tcBorders>
            <w:shd w:val="clear" w:color="auto" w:fill="FFFF00"/>
            <w:noWrap/>
          </w:tcPr>
          <w:p w:rsidR="00FB7ED0" w:rsidRPr="00812509" w:rsidRDefault="00FB7ED0" w:rsidP="00F10703">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414" w:type="pct"/>
            <w:tcBorders>
              <w:bottom w:val="single" w:sz="4" w:space="0" w:color="auto"/>
            </w:tcBorders>
            <w:shd w:val="clear" w:color="auto" w:fill="FFFF00"/>
            <w:noWrap/>
          </w:tcPr>
          <w:p w:rsidR="00FB7ED0" w:rsidRPr="00812509" w:rsidRDefault="00FB7ED0"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411" w:type="pct"/>
            <w:tcBorders>
              <w:bottom w:val="single" w:sz="4" w:space="0" w:color="auto"/>
            </w:tcBorders>
            <w:shd w:val="clear" w:color="auto" w:fill="FFFF00"/>
            <w:noWrap/>
          </w:tcPr>
          <w:p w:rsidR="00FB7ED0" w:rsidRPr="00812509" w:rsidRDefault="00FB7ED0"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4" w:type="pct"/>
            <w:tcBorders>
              <w:bottom w:val="single" w:sz="4" w:space="0" w:color="auto"/>
            </w:tcBorders>
            <w:shd w:val="clear" w:color="auto" w:fill="92D050"/>
            <w:noWrap/>
          </w:tcPr>
          <w:p w:rsidR="00FB7ED0" w:rsidRPr="00812509" w:rsidRDefault="00FB7ED0"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1" w:type="pct"/>
            <w:tcBorders>
              <w:bottom w:val="single" w:sz="4" w:space="0" w:color="auto"/>
            </w:tcBorders>
            <w:shd w:val="clear" w:color="auto" w:fill="FFC000"/>
            <w:noWrap/>
          </w:tcPr>
          <w:p w:rsidR="00FB7ED0" w:rsidRPr="00812509" w:rsidRDefault="00FB7ED0"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08" w:type="pct"/>
            <w:tcBorders>
              <w:bottom w:val="single" w:sz="4" w:space="0" w:color="auto"/>
            </w:tcBorders>
            <w:shd w:val="clear" w:color="auto" w:fill="FFFF00"/>
          </w:tcPr>
          <w:p w:rsidR="00FB7ED0" w:rsidRPr="00812509" w:rsidRDefault="00FB7ED0"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r>
      <w:tr w:rsidR="005200EC" w:rsidRPr="00C61187" w:rsidTr="00FD3115">
        <w:trPr>
          <w:cnfStyle w:val="000000010000" w:firstRow="0" w:lastRow="0" w:firstColumn="0" w:lastColumn="0" w:oddVBand="0" w:evenVBand="0" w:oddHBand="0" w:evenHBand="1" w:firstRowFirstColumn="0" w:firstRowLastColumn="0" w:lastRowFirstColumn="0" w:lastRowLastColumn="0"/>
          <w:trHeight w:val="284"/>
        </w:trPr>
        <w:tc>
          <w:tcPr>
            <w:tcW w:w="900" w:type="pct"/>
            <w:vMerge w:val="restart"/>
          </w:tcPr>
          <w:p w:rsidR="005E606B" w:rsidRPr="00FB7ED0" w:rsidRDefault="00FB7ED0" w:rsidP="00D15A00">
            <w:pPr>
              <w:keepLines/>
              <w:spacing w:before="40" w:after="40" w:line="200" w:lineRule="atLeast"/>
              <w:rPr>
                <w:rFonts w:asciiTheme="minorHAnsi" w:eastAsia="Times New Roman" w:hAnsiTheme="minorHAnsi"/>
                <w:iCs/>
                <w:color w:val="auto"/>
                <w:szCs w:val="17"/>
                <w:lang w:eastAsia="en-US"/>
              </w:rPr>
            </w:pPr>
            <w:r w:rsidRPr="00FB7ED0">
              <w:rPr>
                <w:rFonts w:asciiTheme="minorHAnsi" w:eastAsia="Times New Roman" w:hAnsiTheme="minorHAnsi"/>
                <w:iCs/>
                <w:color w:val="auto"/>
                <w:szCs w:val="17"/>
                <w:lang w:val="en-AU" w:eastAsia="en-US"/>
              </w:rPr>
              <w:t>Transforming Schools Education Project (TSEP)</w:t>
            </w:r>
          </w:p>
        </w:tc>
        <w:tc>
          <w:tcPr>
            <w:tcW w:w="652" w:type="pct"/>
            <w:vMerge w:val="restart"/>
          </w:tcPr>
          <w:p w:rsidR="005E606B" w:rsidRPr="00812509" w:rsidRDefault="00FB7ED0" w:rsidP="00D15A00">
            <w:pPr>
              <w:autoSpaceDE w:val="0"/>
              <w:autoSpaceDN w:val="0"/>
              <w:adjustRightInd w:val="0"/>
              <w:rPr>
                <w:rFonts w:asciiTheme="minorHAnsi" w:hAnsiTheme="minorHAnsi" w:cs="Franklin Gothic Book"/>
                <w:color w:val="000000"/>
                <w:szCs w:val="17"/>
              </w:rPr>
            </w:pPr>
            <w:r>
              <w:rPr>
                <w:rFonts w:asciiTheme="minorHAnsi" w:hAnsiTheme="minorHAnsi" w:cs="Franklin Gothic Book"/>
                <w:color w:val="000000"/>
                <w:szCs w:val="17"/>
              </w:rPr>
              <w:t>$3</w:t>
            </w:r>
            <w:r w:rsidR="005E606B" w:rsidRPr="00812509">
              <w:rPr>
                <w:rFonts w:asciiTheme="minorHAnsi" w:hAnsiTheme="minorHAnsi" w:cs="Franklin Gothic Book"/>
                <w:color w:val="000000"/>
                <w:szCs w:val="17"/>
              </w:rPr>
              <w:t xml:space="preserve">7m </w:t>
            </w:r>
          </w:p>
          <w:p w:rsidR="005E606B" w:rsidRPr="00812509" w:rsidRDefault="00FB7ED0"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2011-17</w:t>
            </w:r>
            <w:r w:rsidR="005E606B" w:rsidRPr="00812509">
              <w:rPr>
                <w:rFonts w:asciiTheme="minorHAnsi" w:eastAsia="Times New Roman" w:hAnsiTheme="minorHAnsi"/>
                <w:iCs/>
                <w:szCs w:val="17"/>
                <w:lang w:eastAsia="en-US"/>
              </w:rPr>
              <w:t xml:space="preserve"> </w:t>
            </w:r>
          </w:p>
        </w:tc>
        <w:tc>
          <w:tcPr>
            <w:tcW w:w="412" w:type="pct"/>
          </w:tcPr>
          <w:p w:rsidR="005E606B" w:rsidRPr="00812509" w:rsidRDefault="005E606B" w:rsidP="00D15A00">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2016 AQC</w:t>
            </w:r>
          </w:p>
        </w:tc>
        <w:tc>
          <w:tcPr>
            <w:tcW w:w="414" w:type="pct"/>
            <w:shd w:val="clear" w:color="auto" w:fill="92D050"/>
            <w:noWrap/>
          </w:tcPr>
          <w:p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411" w:type="pct"/>
            <w:tcBorders>
              <w:top w:val="single" w:sz="2" w:space="0" w:color="FFFFFF" w:themeColor="background1"/>
            </w:tcBorders>
            <w:shd w:val="clear" w:color="auto" w:fill="FFFF00"/>
            <w:noWrap/>
          </w:tcPr>
          <w:p w:rsidR="005E606B" w:rsidRPr="00812509" w:rsidRDefault="00F44952"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4" w:type="pct"/>
            <w:tcBorders>
              <w:top w:val="single" w:sz="2" w:space="0" w:color="FFFFFF" w:themeColor="background1"/>
            </w:tcBorders>
            <w:shd w:val="clear" w:color="auto" w:fill="92D050"/>
            <w:noWrap/>
          </w:tcPr>
          <w:p w:rsidR="005E606B" w:rsidRPr="00812509" w:rsidRDefault="00F44952"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1" w:type="pct"/>
            <w:tcBorders>
              <w:top w:val="single" w:sz="2" w:space="0" w:color="FFFFFF" w:themeColor="background1"/>
            </w:tcBorders>
            <w:shd w:val="clear" w:color="auto" w:fill="FFFF00"/>
            <w:noWrap/>
          </w:tcPr>
          <w:p w:rsidR="005E606B" w:rsidRPr="00812509" w:rsidRDefault="00F44952"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4" w:type="pct"/>
            <w:shd w:val="clear" w:color="auto" w:fill="92D050"/>
            <w:noWrap/>
          </w:tcPr>
          <w:p w:rsidR="005E606B" w:rsidRPr="00812509" w:rsidRDefault="00F44952"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1" w:type="pct"/>
            <w:tcBorders>
              <w:top w:val="single" w:sz="2" w:space="0" w:color="FFFFFF" w:themeColor="background1"/>
            </w:tcBorders>
            <w:shd w:val="clear" w:color="auto" w:fill="FFFF00"/>
            <w:noWrap/>
          </w:tcPr>
          <w:p w:rsidR="005E606B" w:rsidRPr="00812509" w:rsidRDefault="00F44952"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08" w:type="pct"/>
            <w:tcBorders>
              <w:top w:val="single" w:sz="2" w:space="0" w:color="FFFFFF" w:themeColor="background1"/>
            </w:tcBorders>
            <w:shd w:val="clear" w:color="auto" w:fill="92D050"/>
          </w:tcPr>
          <w:p w:rsidR="005E606B" w:rsidRPr="00812509" w:rsidRDefault="00F44952"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5200EC" w:rsidRPr="00C61187" w:rsidTr="00CA1949">
        <w:trPr>
          <w:cnfStyle w:val="000000010000" w:firstRow="0" w:lastRow="0" w:firstColumn="0" w:lastColumn="0" w:oddVBand="0" w:evenVBand="0" w:oddHBand="0" w:evenHBand="1" w:firstRowFirstColumn="0" w:firstRowLastColumn="0" w:lastRowFirstColumn="0" w:lastRowLastColumn="0"/>
          <w:trHeight w:val="284"/>
        </w:trPr>
        <w:tc>
          <w:tcPr>
            <w:tcW w:w="900" w:type="pct"/>
            <w:vMerge/>
            <w:tcBorders>
              <w:bottom w:val="single" w:sz="4" w:space="0" w:color="auto"/>
            </w:tcBorders>
          </w:tcPr>
          <w:p w:rsidR="005E606B" w:rsidRPr="00812509" w:rsidRDefault="005E606B" w:rsidP="00D15A00">
            <w:pPr>
              <w:keepLines/>
              <w:spacing w:before="40" w:after="40" w:line="200" w:lineRule="atLeast"/>
              <w:rPr>
                <w:rFonts w:asciiTheme="minorHAnsi" w:eastAsia="Times New Roman" w:hAnsiTheme="minorHAnsi"/>
                <w:iCs/>
                <w:szCs w:val="17"/>
                <w:lang w:eastAsia="en-US"/>
              </w:rPr>
            </w:pPr>
          </w:p>
        </w:tc>
        <w:tc>
          <w:tcPr>
            <w:tcW w:w="652" w:type="pct"/>
            <w:vMerge/>
            <w:tcBorders>
              <w:bottom w:val="single" w:sz="4" w:space="0" w:color="auto"/>
            </w:tcBorders>
          </w:tcPr>
          <w:p w:rsidR="005E606B" w:rsidRPr="00812509" w:rsidRDefault="005E606B" w:rsidP="00D15A00">
            <w:pPr>
              <w:keepLines/>
              <w:spacing w:before="40" w:after="40" w:line="200" w:lineRule="atLeast"/>
              <w:rPr>
                <w:rFonts w:asciiTheme="minorHAnsi" w:eastAsia="Times New Roman" w:hAnsiTheme="minorHAnsi"/>
                <w:iCs/>
                <w:szCs w:val="17"/>
                <w:lang w:eastAsia="en-US"/>
              </w:rPr>
            </w:pPr>
          </w:p>
        </w:tc>
        <w:tc>
          <w:tcPr>
            <w:tcW w:w="412" w:type="pct"/>
            <w:tcBorders>
              <w:bottom w:val="single" w:sz="4" w:space="0" w:color="auto"/>
            </w:tcBorders>
          </w:tcPr>
          <w:p w:rsidR="005E606B" w:rsidRPr="00812509" w:rsidRDefault="005E606B" w:rsidP="00D15A00">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2015 AQC</w:t>
            </w:r>
          </w:p>
        </w:tc>
        <w:tc>
          <w:tcPr>
            <w:tcW w:w="414" w:type="pct"/>
            <w:tcBorders>
              <w:top w:val="single" w:sz="2" w:space="0" w:color="FFFFFF" w:themeColor="background1"/>
              <w:bottom w:val="single" w:sz="4" w:space="0" w:color="auto"/>
            </w:tcBorders>
            <w:shd w:val="clear" w:color="auto" w:fill="92D050"/>
            <w:noWrap/>
          </w:tcPr>
          <w:p w:rsidR="005E606B" w:rsidRPr="00812509" w:rsidRDefault="00FB7ED0"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1" w:type="pct"/>
            <w:tcBorders>
              <w:bottom w:val="single" w:sz="4" w:space="0" w:color="auto"/>
            </w:tcBorders>
            <w:shd w:val="clear" w:color="auto" w:fill="92D050"/>
            <w:noWrap/>
          </w:tcPr>
          <w:p w:rsidR="005E606B" w:rsidRPr="00812509" w:rsidRDefault="00FB7ED0"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4" w:type="pct"/>
            <w:tcBorders>
              <w:bottom w:val="single" w:sz="4" w:space="0" w:color="auto"/>
            </w:tcBorders>
            <w:shd w:val="clear" w:color="auto" w:fill="FFFF00"/>
            <w:noWrap/>
          </w:tcPr>
          <w:p w:rsidR="005E606B" w:rsidRPr="00812509" w:rsidRDefault="00FB7ED0"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1" w:type="pct"/>
            <w:tcBorders>
              <w:bottom w:val="single" w:sz="4" w:space="0" w:color="auto"/>
            </w:tcBorders>
            <w:shd w:val="clear" w:color="auto" w:fill="92D050"/>
            <w:noWrap/>
          </w:tcPr>
          <w:p w:rsidR="005E606B" w:rsidRPr="00812509" w:rsidRDefault="00F44952"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4" w:type="pct"/>
            <w:tcBorders>
              <w:bottom w:val="single" w:sz="4" w:space="0" w:color="auto"/>
            </w:tcBorders>
            <w:shd w:val="clear" w:color="auto" w:fill="92D050"/>
            <w:noWrap/>
          </w:tcPr>
          <w:p w:rsidR="005E606B" w:rsidRPr="00812509" w:rsidRDefault="00F44952"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1" w:type="pct"/>
            <w:tcBorders>
              <w:bottom w:val="single" w:sz="4" w:space="0" w:color="auto"/>
            </w:tcBorders>
            <w:shd w:val="clear" w:color="auto" w:fill="FFFF00"/>
            <w:noWrap/>
          </w:tcPr>
          <w:p w:rsidR="005E606B" w:rsidRPr="00812509" w:rsidRDefault="00F44952"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08" w:type="pct"/>
            <w:tcBorders>
              <w:bottom w:val="single" w:sz="4" w:space="0" w:color="auto"/>
            </w:tcBorders>
            <w:shd w:val="clear" w:color="auto" w:fill="92D050"/>
          </w:tcPr>
          <w:p w:rsidR="005E606B" w:rsidRPr="00812509" w:rsidRDefault="00F44952"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835EE1" w:rsidRPr="00C61187" w:rsidTr="00FD3115">
        <w:trPr>
          <w:cnfStyle w:val="000000010000" w:firstRow="0" w:lastRow="0" w:firstColumn="0" w:lastColumn="0" w:oddVBand="0" w:evenVBand="0" w:oddHBand="0" w:evenHBand="1" w:firstRowFirstColumn="0" w:firstRowLastColumn="0" w:lastRowFirstColumn="0" w:lastRowLastColumn="0"/>
          <w:trHeight w:val="284"/>
        </w:trPr>
        <w:tc>
          <w:tcPr>
            <w:tcW w:w="900" w:type="pct"/>
            <w:vMerge w:val="restart"/>
          </w:tcPr>
          <w:p w:rsidR="00835EE1" w:rsidRPr="00835EE1" w:rsidRDefault="00835EE1" w:rsidP="00D15A00">
            <w:pPr>
              <w:keepLines/>
              <w:spacing w:before="40" w:after="40" w:line="200" w:lineRule="atLeast"/>
              <w:rPr>
                <w:rFonts w:asciiTheme="minorHAnsi" w:eastAsia="Times New Roman" w:hAnsiTheme="minorHAnsi"/>
                <w:iCs/>
                <w:szCs w:val="17"/>
              </w:rPr>
            </w:pPr>
            <w:r w:rsidRPr="00835EE1">
              <w:rPr>
                <w:rFonts w:asciiTheme="minorHAnsi" w:eastAsia="Times New Roman" w:hAnsiTheme="minorHAnsi"/>
                <w:iCs/>
                <w:color w:val="auto"/>
                <w:szCs w:val="17"/>
              </w:rPr>
              <w:t>Sri Lanka Community Forestry Program</w:t>
            </w:r>
          </w:p>
        </w:tc>
        <w:tc>
          <w:tcPr>
            <w:tcW w:w="652" w:type="pct"/>
            <w:vMerge w:val="restart"/>
          </w:tcPr>
          <w:p w:rsidR="00835EE1" w:rsidRDefault="00835EE1" w:rsidP="00D15A00">
            <w:pPr>
              <w:keepLines/>
              <w:spacing w:before="40" w:after="40" w:line="200" w:lineRule="atLeast"/>
              <w:rPr>
                <w:rFonts w:asciiTheme="minorHAnsi" w:eastAsia="Times New Roman" w:hAnsiTheme="minorHAnsi"/>
                <w:iCs/>
                <w:szCs w:val="17"/>
              </w:rPr>
            </w:pPr>
            <w:r>
              <w:rPr>
                <w:rFonts w:asciiTheme="minorHAnsi" w:eastAsia="Times New Roman" w:hAnsiTheme="minorHAnsi"/>
                <w:iCs/>
                <w:szCs w:val="17"/>
              </w:rPr>
              <w:t>$4.9m</w:t>
            </w:r>
          </w:p>
          <w:p w:rsidR="00835EE1" w:rsidRPr="00835EE1" w:rsidRDefault="00835EE1" w:rsidP="00D15A00">
            <w:pPr>
              <w:keepLines/>
              <w:spacing w:before="40" w:after="40" w:line="200" w:lineRule="atLeast"/>
              <w:rPr>
                <w:rFonts w:asciiTheme="minorHAnsi" w:eastAsia="Times New Roman" w:hAnsiTheme="minorHAnsi"/>
                <w:iCs/>
                <w:szCs w:val="17"/>
              </w:rPr>
            </w:pPr>
            <w:r>
              <w:rPr>
                <w:rFonts w:asciiTheme="minorHAnsi" w:eastAsia="Times New Roman" w:hAnsiTheme="minorHAnsi"/>
                <w:iCs/>
                <w:szCs w:val="17"/>
              </w:rPr>
              <w:t>2011-16</w:t>
            </w:r>
          </w:p>
        </w:tc>
        <w:tc>
          <w:tcPr>
            <w:tcW w:w="412" w:type="pct"/>
            <w:tcBorders>
              <w:bottom w:val="single" w:sz="2" w:space="0" w:color="FFFFFF" w:themeColor="background1"/>
            </w:tcBorders>
          </w:tcPr>
          <w:p w:rsidR="00835EE1" w:rsidRPr="00835EE1" w:rsidRDefault="00835EE1" w:rsidP="00D15A00">
            <w:pPr>
              <w:keepLines/>
              <w:spacing w:before="40" w:after="40" w:line="200" w:lineRule="atLeast"/>
              <w:rPr>
                <w:rFonts w:asciiTheme="minorHAnsi" w:eastAsia="Times New Roman" w:hAnsiTheme="minorHAnsi"/>
                <w:iCs/>
                <w:szCs w:val="17"/>
              </w:rPr>
            </w:pPr>
            <w:r w:rsidRPr="00835EE1">
              <w:rPr>
                <w:rFonts w:asciiTheme="minorHAnsi" w:eastAsia="Times New Roman" w:hAnsiTheme="minorHAnsi"/>
                <w:iCs/>
                <w:szCs w:val="17"/>
              </w:rPr>
              <w:t>2016 AQC</w:t>
            </w:r>
          </w:p>
        </w:tc>
        <w:tc>
          <w:tcPr>
            <w:tcW w:w="414" w:type="pct"/>
            <w:tcBorders>
              <w:top w:val="single" w:sz="2" w:space="0" w:color="FFFFFF" w:themeColor="background1"/>
              <w:bottom w:val="single" w:sz="2" w:space="0" w:color="FFFFFF" w:themeColor="background1"/>
            </w:tcBorders>
            <w:shd w:val="clear" w:color="auto" w:fill="FFFF00"/>
            <w:noWrap/>
          </w:tcPr>
          <w:p w:rsidR="00835EE1" w:rsidRDefault="00835EE1" w:rsidP="00D15A00">
            <w:pPr>
              <w:keepLines/>
              <w:spacing w:before="40" w:after="40" w:line="200" w:lineRule="atLeast"/>
              <w:jc w:val="center"/>
              <w:rPr>
                <w:rFonts w:eastAsia="Times New Roman"/>
                <w:iCs/>
                <w:szCs w:val="17"/>
              </w:rPr>
            </w:pPr>
            <w:r>
              <w:rPr>
                <w:rFonts w:eastAsia="Times New Roman"/>
                <w:iCs/>
                <w:szCs w:val="17"/>
              </w:rPr>
              <w:t>4</w:t>
            </w:r>
          </w:p>
        </w:tc>
        <w:tc>
          <w:tcPr>
            <w:tcW w:w="411" w:type="pct"/>
            <w:tcBorders>
              <w:top w:val="single" w:sz="2" w:space="0" w:color="FFFFFF" w:themeColor="background1"/>
              <w:bottom w:val="single" w:sz="2" w:space="0" w:color="FFFFFF" w:themeColor="background1"/>
            </w:tcBorders>
            <w:shd w:val="clear" w:color="auto" w:fill="FFFF00"/>
            <w:noWrap/>
          </w:tcPr>
          <w:p w:rsidR="00835EE1" w:rsidRDefault="00835EE1" w:rsidP="00D15A00">
            <w:pPr>
              <w:keepLines/>
              <w:spacing w:before="40" w:after="40" w:line="200" w:lineRule="atLeast"/>
              <w:jc w:val="center"/>
              <w:rPr>
                <w:rFonts w:eastAsia="Times New Roman"/>
                <w:iCs/>
                <w:szCs w:val="17"/>
              </w:rPr>
            </w:pPr>
            <w:r>
              <w:rPr>
                <w:rFonts w:eastAsia="Times New Roman"/>
                <w:iCs/>
                <w:szCs w:val="17"/>
              </w:rPr>
              <w:t>4</w:t>
            </w:r>
          </w:p>
        </w:tc>
        <w:tc>
          <w:tcPr>
            <w:tcW w:w="414" w:type="pct"/>
            <w:tcBorders>
              <w:bottom w:val="single" w:sz="2" w:space="0" w:color="FFFFFF" w:themeColor="background1"/>
            </w:tcBorders>
            <w:shd w:val="clear" w:color="auto" w:fill="FFFF00"/>
            <w:noWrap/>
          </w:tcPr>
          <w:p w:rsidR="00835EE1" w:rsidRDefault="00835EE1" w:rsidP="00D15A00">
            <w:pPr>
              <w:keepLines/>
              <w:spacing w:before="40" w:after="40" w:line="200" w:lineRule="atLeast"/>
              <w:jc w:val="center"/>
              <w:rPr>
                <w:rFonts w:eastAsia="Times New Roman"/>
                <w:iCs/>
                <w:szCs w:val="17"/>
              </w:rPr>
            </w:pPr>
            <w:r>
              <w:rPr>
                <w:rFonts w:eastAsia="Times New Roman"/>
                <w:iCs/>
                <w:szCs w:val="17"/>
              </w:rPr>
              <w:t>4</w:t>
            </w:r>
          </w:p>
        </w:tc>
        <w:tc>
          <w:tcPr>
            <w:tcW w:w="411" w:type="pct"/>
            <w:tcBorders>
              <w:bottom w:val="single" w:sz="2" w:space="0" w:color="FFFFFF" w:themeColor="background1"/>
            </w:tcBorders>
            <w:shd w:val="clear" w:color="auto" w:fill="92D050"/>
            <w:noWrap/>
          </w:tcPr>
          <w:p w:rsidR="00835EE1" w:rsidRDefault="00835EE1" w:rsidP="00D15A00">
            <w:pPr>
              <w:keepLines/>
              <w:spacing w:before="40" w:after="40" w:line="200" w:lineRule="atLeast"/>
              <w:jc w:val="center"/>
              <w:rPr>
                <w:rFonts w:eastAsia="Times New Roman"/>
                <w:iCs/>
                <w:szCs w:val="17"/>
              </w:rPr>
            </w:pPr>
            <w:r>
              <w:rPr>
                <w:rFonts w:eastAsia="Times New Roman"/>
                <w:iCs/>
                <w:szCs w:val="17"/>
              </w:rPr>
              <w:t>5</w:t>
            </w:r>
          </w:p>
        </w:tc>
        <w:tc>
          <w:tcPr>
            <w:tcW w:w="414" w:type="pct"/>
            <w:tcBorders>
              <w:bottom w:val="single" w:sz="2" w:space="0" w:color="FFFFFF" w:themeColor="background1"/>
            </w:tcBorders>
            <w:shd w:val="clear" w:color="auto" w:fill="92D050"/>
            <w:noWrap/>
          </w:tcPr>
          <w:p w:rsidR="00835EE1" w:rsidRDefault="00835EE1" w:rsidP="00D15A00">
            <w:pPr>
              <w:keepLines/>
              <w:spacing w:before="40" w:after="40" w:line="200" w:lineRule="atLeast"/>
              <w:jc w:val="center"/>
              <w:rPr>
                <w:rFonts w:eastAsia="Times New Roman"/>
                <w:iCs/>
                <w:szCs w:val="17"/>
              </w:rPr>
            </w:pPr>
            <w:r>
              <w:rPr>
                <w:rFonts w:eastAsia="Times New Roman"/>
                <w:iCs/>
                <w:szCs w:val="17"/>
              </w:rPr>
              <w:t>5</w:t>
            </w:r>
          </w:p>
        </w:tc>
        <w:tc>
          <w:tcPr>
            <w:tcW w:w="411" w:type="pct"/>
            <w:tcBorders>
              <w:bottom w:val="single" w:sz="2" w:space="0" w:color="FFFFFF" w:themeColor="background1"/>
            </w:tcBorders>
            <w:shd w:val="clear" w:color="auto" w:fill="FFFF00"/>
            <w:noWrap/>
          </w:tcPr>
          <w:p w:rsidR="00835EE1" w:rsidRDefault="00835EE1" w:rsidP="00D15A00">
            <w:pPr>
              <w:keepLines/>
              <w:spacing w:before="40" w:after="40" w:line="200" w:lineRule="atLeast"/>
              <w:jc w:val="center"/>
              <w:rPr>
                <w:rFonts w:eastAsia="Times New Roman"/>
                <w:iCs/>
                <w:szCs w:val="17"/>
              </w:rPr>
            </w:pPr>
            <w:r>
              <w:rPr>
                <w:rFonts w:eastAsia="Times New Roman"/>
                <w:iCs/>
                <w:szCs w:val="17"/>
              </w:rPr>
              <w:t>4</w:t>
            </w:r>
          </w:p>
        </w:tc>
        <w:tc>
          <w:tcPr>
            <w:tcW w:w="408" w:type="pct"/>
            <w:tcBorders>
              <w:top w:val="single" w:sz="2" w:space="0" w:color="FFFFFF" w:themeColor="background1"/>
              <w:bottom w:val="single" w:sz="2" w:space="0" w:color="FFFFFF" w:themeColor="background1"/>
            </w:tcBorders>
            <w:shd w:val="clear" w:color="auto" w:fill="FFFF00"/>
          </w:tcPr>
          <w:p w:rsidR="00835EE1" w:rsidRDefault="00835EE1" w:rsidP="00D15A00">
            <w:pPr>
              <w:keepLines/>
              <w:spacing w:before="40" w:after="40" w:line="200" w:lineRule="atLeast"/>
              <w:jc w:val="center"/>
              <w:rPr>
                <w:rFonts w:eastAsia="Times New Roman"/>
                <w:iCs/>
                <w:szCs w:val="17"/>
              </w:rPr>
            </w:pPr>
            <w:r>
              <w:rPr>
                <w:rFonts w:eastAsia="Times New Roman"/>
                <w:iCs/>
                <w:szCs w:val="17"/>
              </w:rPr>
              <w:t>4</w:t>
            </w:r>
          </w:p>
        </w:tc>
      </w:tr>
      <w:tr w:rsidR="00835EE1" w:rsidRPr="00C61187" w:rsidTr="00FD3115">
        <w:trPr>
          <w:cnfStyle w:val="000000010000" w:firstRow="0" w:lastRow="0" w:firstColumn="0" w:lastColumn="0" w:oddVBand="0" w:evenVBand="0" w:oddHBand="0" w:evenHBand="1" w:firstRowFirstColumn="0" w:firstRowLastColumn="0" w:lastRowFirstColumn="0" w:lastRowLastColumn="0"/>
          <w:trHeight w:val="284"/>
        </w:trPr>
        <w:tc>
          <w:tcPr>
            <w:tcW w:w="900" w:type="pct"/>
            <w:vMerge/>
            <w:tcBorders>
              <w:bottom w:val="single" w:sz="4" w:space="0" w:color="auto"/>
            </w:tcBorders>
          </w:tcPr>
          <w:p w:rsidR="00835EE1" w:rsidRPr="00812509" w:rsidRDefault="00835EE1" w:rsidP="00D15A00">
            <w:pPr>
              <w:keepLines/>
              <w:spacing w:before="40" w:after="40" w:line="200" w:lineRule="atLeast"/>
              <w:rPr>
                <w:rFonts w:eastAsia="Times New Roman"/>
                <w:iCs/>
                <w:szCs w:val="17"/>
              </w:rPr>
            </w:pPr>
          </w:p>
        </w:tc>
        <w:tc>
          <w:tcPr>
            <w:tcW w:w="652" w:type="pct"/>
            <w:vMerge/>
            <w:tcBorders>
              <w:bottom w:val="single" w:sz="4" w:space="0" w:color="auto"/>
            </w:tcBorders>
          </w:tcPr>
          <w:p w:rsidR="00835EE1" w:rsidRPr="00812509" w:rsidRDefault="00835EE1" w:rsidP="00D15A00">
            <w:pPr>
              <w:keepLines/>
              <w:spacing w:before="40" w:after="40" w:line="200" w:lineRule="atLeast"/>
              <w:rPr>
                <w:rFonts w:eastAsia="Times New Roman"/>
                <w:iCs/>
                <w:szCs w:val="17"/>
              </w:rPr>
            </w:pPr>
          </w:p>
        </w:tc>
        <w:tc>
          <w:tcPr>
            <w:tcW w:w="412" w:type="pct"/>
            <w:tcBorders>
              <w:bottom w:val="single" w:sz="4" w:space="0" w:color="auto"/>
            </w:tcBorders>
          </w:tcPr>
          <w:p w:rsidR="00835EE1" w:rsidRPr="00835EE1" w:rsidRDefault="00835EE1" w:rsidP="00D15A00">
            <w:pPr>
              <w:keepLines/>
              <w:spacing w:before="40" w:after="40" w:line="200" w:lineRule="atLeast"/>
              <w:rPr>
                <w:rFonts w:asciiTheme="minorHAnsi" w:eastAsia="Times New Roman" w:hAnsiTheme="minorHAnsi"/>
                <w:iCs/>
                <w:szCs w:val="17"/>
              </w:rPr>
            </w:pPr>
            <w:r w:rsidRPr="00835EE1">
              <w:rPr>
                <w:rFonts w:asciiTheme="minorHAnsi" w:eastAsia="Times New Roman" w:hAnsiTheme="minorHAnsi"/>
                <w:iCs/>
                <w:szCs w:val="17"/>
              </w:rPr>
              <w:t>2015 AQC</w:t>
            </w:r>
          </w:p>
        </w:tc>
        <w:tc>
          <w:tcPr>
            <w:tcW w:w="414" w:type="pct"/>
            <w:tcBorders>
              <w:top w:val="single" w:sz="2" w:space="0" w:color="FFFFFF" w:themeColor="background1"/>
              <w:bottom w:val="single" w:sz="4" w:space="0" w:color="auto"/>
            </w:tcBorders>
            <w:shd w:val="clear" w:color="auto" w:fill="FFFF00"/>
            <w:noWrap/>
          </w:tcPr>
          <w:p w:rsidR="00835EE1" w:rsidRDefault="00FD3115" w:rsidP="00D15A00">
            <w:pPr>
              <w:keepLines/>
              <w:spacing w:before="40" w:after="40" w:line="200" w:lineRule="atLeast"/>
              <w:jc w:val="center"/>
              <w:rPr>
                <w:rFonts w:eastAsia="Times New Roman"/>
                <w:iCs/>
                <w:szCs w:val="17"/>
              </w:rPr>
            </w:pPr>
            <w:r>
              <w:rPr>
                <w:rFonts w:eastAsia="Times New Roman"/>
                <w:iCs/>
                <w:szCs w:val="17"/>
              </w:rPr>
              <w:t>4</w:t>
            </w:r>
          </w:p>
        </w:tc>
        <w:tc>
          <w:tcPr>
            <w:tcW w:w="411" w:type="pct"/>
            <w:tcBorders>
              <w:top w:val="single" w:sz="2" w:space="0" w:color="FFFFFF" w:themeColor="background1"/>
              <w:bottom w:val="single" w:sz="4" w:space="0" w:color="auto"/>
            </w:tcBorders>
            <w:shd w:val="clear" w:color="auto" w:fill="FFFF00"/>
            <w:noWrap/>
          </w:tcPr>
          <w:p w:rsidR="00835EE1" w:rsidRDefault="00FD3115" w:rsidP="00D15A00">
            <w:pPr>
              <w:keepLines/>
              <w:spacing w:before="40" w:after="40" w:line="200" w:lineRule="atLeast"/>
              <w:jc w:val="center"/>
              <w:rPr>
                <w:rFonts w:eastAsia="Times New Roman"/>
                <w:iCs/>
                <w:szCs w:val="17"/>
              </w:rPr>
            </w:pPr>
            <w:r>
              <w:rPr>
                <w:rFonts w:eastAsia="Times New Roman"/>
                <w:iCs/>
                <w:szCs w:val="17"/>
              </w:rPr>
              <w:t>4</w:t>
            </w:r>
          </w:p>
        </w:tc>
        <w:tc>
          <w:tcPr>
            <w:tcW w:w="414" w:type="pct"/>
            <w:tcBorders>
              <w:bottom w:val="single" w:sz="4" w:space="0" w:color="auto"/>
            </w:tcBorders>
            <w:shd w:val="clear" w:color="auto" w:fill="FFFF00"/>
            <w:noWrap/>
          </w:tcPr>
          <w:p w:rsidR="00835EE1" w:rsidRDefault="00FD3115" w:rsidP="00D15A00">
            <w:pPr>
              <w:keepLines/>
              <w:spacing w:before="40" w:after="40" w:line="200" w:lineRule="atLeast"/>
              <w:jc w:val="center"/>
              <w:rPr>
                <w:rFonts w:eastAsia="Times New Roman"/>
                <w:iCs/>
                <w:szCs w:val="17"/>
              </w:rPr>
            </w:pPr>
            <w:r>
              <w:rPr>
                <w:rFonts w:eastAsia="Times New Roman"/>
                <w:iCs/>
                <w:szCs w:val="17"/>
              </w:rPr>
              <w:t>4</w:t>
            </w:r>
          </w:p>
        </w:tc>
        <w:tc>
          <w:tcPr>
            <w:tcW w:w="411" w:type="pct"/>
            <w:tcBorders>
              <w:top w:val="single" w:sz="2" w:space="0" w:color="FFFFFF" w:themeColor="background1"/>
              <w:bottom w:val="single" w:sz="4" w:space="0" w:color="auto"/>
            </w:tcBorders>
            <w:shd w:val="clear" w:color="auto" w:fill="FFFF00"/>
            <w:noWrap/>
          </w:tcPr>
          <w:p w:rsidR="00835EE1" w:rsidRDefault="00FD3115" w:rsidP="00D15A00">
            <w:pPr>
              <w:keepLines/>
              <w:spacing w:before="40" w:after="40" w:line="200" w:lineRule="atLeast"/>
              <w:jc w:val="center"/>
              <w:rPr>
                <w:rFonts w:eastAsia="Times New Roman"/>
                <w:iCs/>
                <w:szCs w:val="17"/>
              </w:rPr>
            </w:pPr>
            <w:r>
              <w:rPr>
                <w:rFonts w:eastAsia="Times New Roman"/>
                <w:iCs/>
                <w:szCs w:val="17"/>
              </w:rPr>
              <w:t>4</w:t>
            </w:r>
          </w:p>
        </w:tc>
        <w:tc>
          <w:tcPr>
            <w:tcW w:w="414" w:type="pct"/>
            <w:tcBorders>
              <w:top w:val="single" w:sz="2" w:space="0" w:color="FFFFFF" w:themeColor="background1"/>
              <w:bottom w:val="single" w:sz="4" w:space="0" w:color="auto"/>
            </w:tcBorders>
            <w:shd w:val="clear" w:color="auto" w:fill="FFFF00"/>
            <w:noWrap/>
          </w:tcPr>
          <w:p w:rsidR="00835EE1" w:rsidRDefault="00FD3115" w:rsidP="00D15A00">
            <w:pPr>
              <w:keepLines/>
              <w:spacing w:before="40" w:after="40" w:line="200" w:lineRule="atLeast"/>
              <w:jc w:val="center"/>
              <w:rPr>
                <w:rFonts w:eastAsia="Times New Roman"/>
                <w:iCs/>
                <w:szCs w:val="17"/>
              </w:rPr>
            </w:pPr>
            <w:r>
              <w:rPr>
                <w:rFonts w:eastAsia="Times New Roman"/>
                <w:iCs/>
                <w:szCs w:val="17"/>
              </w:rPr>
              <w:t>4</w:t>
            </w:r>
          </w:p>
        </w:tc>
        <w:tc>
          <w:tcPr>
            <w:tcW w:w="411" w:type="pct"/>
            <w:tcBorders>
              <w:bottom w:val="single" w:sz="4" w:space="0" w:color="auto"/>
            </w:tcBorders>
            <w:shd w:val="clear" w:color="auto" w:fill="FFFF00"/>
            <w:noWrap/>
          </w:tcPr>
          <w:p w:rsidR="00835EE1" w:rsidRDefault="00FD3115" w:rsidP="00D15A00">
            <w:pPr>
              <w:keepLines/>
              <w:spacing w:before="40" w:after="40" w:line="200" w:lineRule="atLeast"/>
              <w:jc w:val="center"/>
              <w:rPr>
                <w:rFonts w:eastAsia="Times New Roman"/>
                <w:iCs/>
                <w:szCs w:val="17"/>
              </w:rPr>
            </w:pPr>
            <w:r>
              <w:rPr>
                <w:rFonts w:eastAsia="Times New Roman"/>
                <w:iCs/>
                <w:szCs w:val="17"/>
              </w:rPr>
              <w:t>4</w:t>
            </w:r>
          </w:p>
        </w:tc>
        <w:tc>
          <w:tcPr>
            <w:tcW w:w="408" w:type="pct"/>
            <w:tcBorders>
              <w:top w:val="single" w:sz="2" w:space="0" w:color="FFFFFF" w:themeColor="background1"/>
              <w:bottom w:val="single" w:sz="4" w:space="0" w:color="auto"/>
            </w:tcBorders>
            <w:shd w:val="clear" w:color="auto" w:fill="FFFF00"/>
          </w:tcPr>
          <w:p w:rsidR="00835EE1" w:rsidRDefault="00FD3115" w:rsidP="00D15A00">
            <w:pPr>
              <w:keepLines/>
              <w:spacing w:before="40" w:after="40" w:line="200" w:lineRule="atLeast"/>
              <w:jc w:val="center"/>
              <w:rPr>
                <w:rFonts w:eastAsia="Times New Roman"/>
                <w:iCs/>
                <w:szCs w:val="17"/>
              </w:rPr>
            </w:pPr>
            <w:r>
              <w:rPr>
                <w:rFonts w:eastAsia="Times New Roman"/>
                <w:iCs/>
                <w:szCs w:val="17"/>
              </w:rPr>
              <w:t>4</w:t>
            </w:r>
          </w:p>
        </w:tc>
      </w:tr>
      <w:tr w:rsidR="005200EC" w:rsidRPr="00C61187" w:rsidTr="00FD3115">
        <w:trPr>
          <w:cnfStyle w:val="000000010000" w:firstRow="0" w:lastRow="0" w:firstColumn="0" w:lastColumn="0" w:oddVBand="0" w:evenVBand="0" w:oddHBand="0" w:evenHBand="1" w:firstRowFirstColumn="0" w:firstRowLastColumn="0" w:lastRowFirstColumn="0" w:lastRowLastColumn="0"/>
          <w:trHeight w:val="408"/>
        </w:trPr>
        <w:tc>
          <w:tcPr>
            <w:tcW w:w="900" w:type="pct"/>
            <w:vMerge w:val="restart"/>
          </w:tcPr>
          <w:p w:rsidR="005200EC" w:rsidRPr="005200EC" w:rsidRDefault="005200EC" w:rsidP="00D15A00">
            <w:pPr>
              <w:keepLines/>
              <w:spacing w:before="40" w:after="40" w:line="200" w:lineRule="atLeast"/>
              <w:rPr>
                <w:rFonts w:asciiTheme="minorHAnsi" w:eastAsia="Times New Roman" w:hAnsiTheme="minorHAnsi"/>
                <w:iCs/>
                <w:color w:val="auto"/>
                <w:szCs w:val="17"/>
              </w:rPr>
            </w:pPr>
            <w:r w:rsidRPr="005200EC">
              <w:rPr>
                <w:rFonts w:asciiTheme="minorHAnsi" w:eastAsia="Times New Roman" w:hAnsiTheme="minorHAnsi"/>
                <w:iCs/>
                <w:color w:val="auto"/>
                <w:szCs w:val="17"/>
              </w:rPr>
              <w:t>Sri Lanka Subnational Governance Program</w:t>
            </w:r>
          </w:p>
        </w:tc>
        <w:tc>
          <w:tcPr>
            <w:tcW w:w="652" w:type="pct"/>
            <w:vMerge w:val="restart"/>
          </w:tcPr>
          <w:p w:rsidR="005200EC" w:rsidRPr="005200EC" w:rsidRDefault="005200EC" w:rsidP="00D15A00">
            <w:pPr>
              <w:keepLines/>
              <w:spacing w:before="40" w:after="40" w:line="200" w:lineRule="atLeast"/>
              <w:rPr>
                <w:rFonts w:asciiTheme="minorHAnsi" w:eastAsia="Times New Roman" w:hAnsiTheme="minorHAnsi"/>
                <w:iCs/>
                <w:szCs w:val="17"/>
              </w:rPr>
            </w:pPr>
            <w:r w:rsidRPr="005200EC">
              <w:rPr>
                <w:rFonts w:asciiTheme="minorHAnsi" w:eastAsia="Times New Roman" w:hAnsiTheme="minorHAnsi"/>
                <w:iCs/>
                <w:szCs w:val="17"/>
              </w:rPr>
              <w:t>$6.2m</w:t>
            </w:r>
          </w:p>
          <w:p w:rsidR="005200EC" w:rsidRDefault="005200EC" w:rsidP="00D15A00">
            <w:pPr>
              <w:keepLines/>
              <w:spacing w:before="40" w:after="40" w:line="200" w:lineRule="atLeast"/>
              <w:rPr>
                <w:rFonts w:eastAsia="Times New Roman"/>
                <w:iCs/>
                <w:szCs w:val="17"/>
              </w:rPr>
            </w:pPr>
            <w:r w:rsidRPr="005200EC">
              <w:rPr>
                <w:rFonts w:asciiTheme="minorHAnsi" w:eastAsia="Times New Roman" w:hAnsiTheme="minorHAnsi"/>
                <w:iCs/>
                <w:szCs w:val="17"/>
              </w:rPr>
              <w:t>2014-2019</w:t>
            </w:r>
          </w:p>
        </w:tc>
        <w:tc>
          <w:tcPr>
            <w:tcW w:w="412" w:type="pct"/>
          </w:tcPr>
          <w:p w:rsidR="005200EC" w:rsidRPr="005200EC" w:rsidRDefault="005200EC" w:rsidP="005200EC">
            <w:pPr>
              <w:keepLines/>
              <w:spacing w:before="40" w:after="40" w:line="200" w:lineRule="atLeast"/>
              <w:rPr>
                <w:rFonts w:asciiTheme="minorHAnsi" w:eastAsia="Times New Roman" w:hAnsiTheme="minorHAnsi"/>
                <w:iCs/>
                <w:szCs w:val="17"/>
              </w:rPr>
            </w:pPr>
            <w:r w:rsidRPr="005200EC">
              <w:rPr>
                <w:rFonts w:asciiTheme="minorHAnsi" w:eastAsia="Times New Roman" w:hAnsiTheme="minorHAnsi"/>
                <w:iCs/>
                <w:szCs w:val="17"/>
              </w:rPr>
              <w:t>2016</w:t>
            </w:r>
            <w:r>
              <w:rPr>
                <w:rFonts w:asciiTheme="minorHAnsi" w:eastAsia="Times New Roman" w:hAnsiTheme="minorHAnsi"/>
                <w:iCs/>
                <w:szCs w:val="17"/>
              </w:rPr>
              <w:t xml:space="preserve"> AQC</w:t>
            </w:r>
          </w:p>
        </w:tc>
        <w:tc>
          <w:tcPr>
            <w:tcW w:w="414" w:type="pct"/>
            <w:tcBorders>
              <w:top w:val="single" w:sz="2" w:space="0" w:color="FFFFFF" w:themeColor="background1"/>
              <w:bottom w:val="single" w:sz="2" w:space="0" w:color="FFFFFF" w:themeColor="background1"/>
            </w:tcBorders>
            <w:shd w:val="clear" w:color="auto" w:fill="92D050"/>
            <w:noWrap/>
          </w:tcPr>
          <w:p w:rsidR="005200EC" w:rsidRDefault="005200EC" w:rsidP="00D15A00">
            <w:pPr>
              <w:keepLines/>
              <w:spacing w:before="40" w:after="40" w:line="200" w:lineRule="atLeast"/>
              <w:jc w:val="center"/>
              <w:rPr>
                <w:rFonts w:eastAsia="Times New Roman"/>
                <w:iCs/>
                <w:szCs w:val="17"/>
              </w:rPr>
            </w:pPr>
            <w:r>
              <w:rPr>
                <w:rFonts w:eastAsia="Times New Roman"/>
                <w:iCs/>
                <w:szCs w:val="17"/>
              </w:rPr>
              <w:t>5</w:t>
            </w:r>
          </w:p>
        </w:tc>
        <w:tc>
          <w:tcPr>
            <w:tcW w:w="411" w:type="pct"/>
            <w:tcBorders>
              <w:top w:val="single" w:sz="2" w:space="0" w:color="FFFFFF" w:themeColor="background1"/>
              <w:bottom w:val="single" w:sz="2" w:space="0" w:color="FFFFFF" w:themeColor="background1"/>
            </w:tcBorders>
            <w:shd w:val="clear" w:color="auto" w:fill="FFFF00"/>
            <w:noWrap/>
          </w:tcPr>
          <w:p w:rsidR="005200EC" w:rsidRDefault="005200EC" w:rsidP="00D15A00">
            <w:pPr>
              <w:keepLines/>
              <w:spacing w:before="40" w:after="40" w:line="200" w:lineRule="atLeast"/>
              <w:jc w:val="center"/>
              <w:rPr>
                <w:rFonts w:eastAsia="Times New Roman"/>
                <w:iCs/>
                <w:szCs w:val="17"/>
              </w:rPr>
            </w:pPr>
            <w:r>
              <w:rPr>
                <w:rFonts w:eastAsia="Times New Roman"/>
                <w:iCs/>
                <w:szCs w:val="17"/>
              </w:rPr>
              <w:t>4</w:t>
            </w:r>
          </w:p>
        </w:tc>
        <w:tc>
          <w:tcPr>
            <w:tcW w:w="414" w:type="pct"/>
            <w:tcBorders>
              <w:top w:val="single" w:sz="2" w:space="0" w:color="FFFFFF" w:themeColor="background1"/>
              <w:bottom w:val="single" w:sz="2" w:space="0" w:color="FFFFFF" w:themeColor="background1"/>
            </w:tcBorders>
            <w:shd w:val="clear" w:color="auto" w:fill="FFFF00"/>
            <w:noWrap/>
          </w:tcPr>
          <w:p w:rsidR="005200EC" w:rsidRDefault="005200EC" w:rsidP="00D15A00">
            <w:pPr>
              <w:keepLines/>
              <w:spacing w:before="40" w:after="40" w:line="200" w:lineRule="atLeast"/>
              <w:jc w:val="center"/>
              <w:rPr>
                <w:rFonts w:eastAsia="Times New Roman"/>
                <w:iCs/>
                <w:szCs w:val="17"/>
              </w:rPr>
            </w:pPr>
            <w:r>
              <w:rPr>
                <w:rFonts w:eastAsia="Times New Roman"/>
                <w:iCs/>
                <w:szCs w:val="17"/>
              </w:rPr>
              <w:t>4</w:t>
            </w:r>
          </w:p>
        </w:tc>
        <w:tc>
          <w:tcPr>
            <w:tcW w:w="411" w:type="pct"/>
            <w:tcBorders>
              <w:top w:val="single" w:sz="2" w:space="0" w:color="FFFFFF" w:themeColor="background1"/>
              <w:bottom w:val="single" w:sz="2" w:space="0" w:color="FFFFFF" w:themeColor="background1"/>
            </w:tcBorders>
            <w:shd w:val="clear" w:color="auto" w:fill="FFFF00"/>
            <w:noWrap/>
          </w:tcPr>
          <w:p w:rsidR="005200EC" w:rsidRDefault="005200EC" w:rsidP="00D15A00">
            <w:pPr>
              <w:keepLines/>
              <w:spacing w:before="40" w:after="40" w:line="200" w:lineRule="atLeast"/>
              <w:jc w:val="center"/>
              <w:rPr>
                <w:rFonts w:eastAsia="Times New Roman"/>
                <w:iCs/>
                <w:szCs w:val="17"/>
              </w:rPr>
            </w:pPr>
            <w:r>
              <w:rPr>
                <w:rFonts w:eastAsia="Times New Roman"/>
                <w:iCs/>
                <w:szCs w:val="17"/>
              </w:rPr>
              <w:t>4</w:t>
            </w:r>
          </w:p>
        </w:tc>
        <w:tc>
          <w:tcPr>
            <w:tcW w:w="414" w:type="pct"/>
            <w:tcBorders>
              <w:top w:val="single" w:sz="2" w:space="0" w:color="FFFFFF" w:themeColor="background1"/>
              <w:bottom w:val="single" w:sz="2" w:space="0" w:color="FFFFFF" w:themeColor="background1"/>
            </w:tcBorders>
            <w:shd w:val="clear" w:color="auto" w:fill="FFFF00"/>
            <w:noWrap/>
          </w:tcPr>
          <w:p w:rsidR="005200EC" w:rsidRDefault="005200EC" w:rsidP="00D15A00">
            <w:pPr>
              <w:keepLines/>
              <w:spacing w:before="40" w:after="40" w:line="200" w:lineRule="atLeast"/>
              <w:jc w:val="center"/>
              <w:rPr>
                <w:rFonts w:eastAsia="Times New Roman"/>
                <w:iCs/>
                <w:szCs w:val="17"/>
              </w:rPr>
            </w:pPr>
            <w:r>
              <w:rPr>
                <w:rFonts w:eastAsia="Times New Roman"/>
                <w:iCs/>
                <w:szCs w:val="17"/>
              </w:rPr>
              <w:t>4</w:t>
            </w:r>
          </w:p>
        </w:tc>
        <w:tc>
          <w:tcPr>
            <w:tcW w:w="411" w:type="pct"/>
            <w:tcBorders>
              <w:top w:val="single" w:sz="2" w:space="0" w:color="FFFFFF" w:themeColor="background1"/>
              <w:bottom w:val="single" w:sz="2" w:space="0" w:color="FFFFFF" w:themeColor="background1"/>
            </w:tcBorders>
            <w:shd w:val="clear" w:color="auto" w:fill="FFFF00"/>
            <w:noWrap/>
          </w:tcPr>
          <w:p w:rsidR="005200EC" w:rsidRDefault="005200EC" w:rsidP="00D15A00">
            <w:pPr>
              <w:keepLines/>
              <w:spacing w:before="40" w:after="40" w:line="200" w:lineRule="atLeast"/>
              <w:jc w:val="center"/>
              <w:rPr>
                <w:rFonts w:eastAsia="Times New Roman"/>
                <w:iCs/>
                <w:szCs w:val="17"/>
              </w:rPr>
            </w:pPr>
            <w:r>
              <w:rPr>
                <w:rFonts w:eastAsia="Times New Roman"/>
                <w:iCs/>
                <w:szCs w:val="17"/>
              </w:rPr>
              <w:t>4</w:t>
            </w:r>
          </w:p>
        </w:tc>
        <w:tc>
          <w:tcPr>
            <w:tcW w:w="408" w:type="pct"/>
            <w:tcBorders>
              <w:top w:val="single" w:sz="2" w:space="0" w:color="FFFFFF" w:themeColor="background1"/>
              <w:bottom w:val="single" w:sz="2" w:space="0" w:color="FFFFFF" w:themeColor="background1"/>
            </w:tcBorders>
            <w:shd w:val="clear" w:color="auto" w:fill="FFFF00"/>
          </w:tcPr>
          <w:p w:rsidR="005200EC" w:rsidRDefault="005200EC" w:rsidP="00D15A00">
            <w:pPr>
              <w:keepLines/>
              <w:spacing w:before="40" w:after="40" w:line="200" w:lineRule="atLeast"/>
              <w:jc w:val="center"/>
              <w:rPr>
                <w:rFonts w:eastAsia="Times New Roman"/>
                <w:iCs/>
                <w:szCs w:val="17"/>
              </w:rPr>
            </w:pPr>
            <w:r>
              <w:rPr>
                <w:rFonts w:eastAsia="Times New Roman"/>
                <w:iCs/>
                <w:szCs w:val="17"/>
              </w:rPr>
              <w:t>4</w:t>
            </w:r>
          </w:p>
        </w:tc>
      </w:tr>
      <w:tr w:rsidR="005200EC" w:rsidRPr="00C61187" w:rsidTr="006C7E5B">
        <w:trPr>
          <w:cnfStyle w:val="000000010000" w:firstRow="0" w:lastRow="0" w:firstColumn="0" w:lastColumn="0" w:oddVBand="0" w:evenVBand="0" w:oddHBand="0" w:evenHBand="1" w:firstRowFirstColumn="0" w:firstRowLastColumn="0" w:lastRowFirstColumn="0" w:lastRowLastColumn="0"/>
          <w:trHeight w:val="284"/>
        </w:trPr>
        <w:tc>
          <w:tcPr>
            <w:tcW w:w="900" w:type="pct"/>
            <w:vMerge/>
            <w:tcBorders>
              <w:bottom w:val="single" w:sz="2" w:space="0" w:color="auto"/>
            </w:tcBorders>
          </w:tcPr>
          <w:p w:rsidR="005200EC" w:rsidRPr="00E87226" w:rsidRDefault="005200EC" w:rsidP="00D15A00">
            <w:pPr>
              <w:keepLines/>
              <w:spacing w:before="40" w:after="40" w:line="200" w:lineRule="atLeast"/>
              <w:rPr>
                <w:rFonts w:eastAsia="Times New Roman"/>
                <w:iCs/>
                <w:color w:val="auto"/>
                <w:szCs w:val="17"/>
              </w:rPr>
            </w:pPr>
          </w:p>
        </w:tc>
        <w:tc>
          <w:tcPr>
            <w:tcW w:w="652" w:type="pct"/>
            <w:vMerge/>
            <w:tcBorders>
              <w:bottom w:val="single" w:sz="2" w:space="0" w:color="auto"/>
            </w:tcBorders>
          </w:tcPr>
          <w:p w:rsidR="005200EC" w:rsidRDefault="005200EC" w:rsidP="00D15A00">
            <w:pPr>
              <w:keepLines/>
              <w:spacing w:before="40" w:after="40" w:line="200" w:lineRule="atLeast"/>
              <w:rPr>
                <w:rFonts w:eastAsia="Times New Roman"/>
                <w:iCs/>
                <w:szCs w:val="17"/>
              </w:rPr>
            </w:pPr>
          </w:p>
        </w:tc>
        <w:tc>
          <w:tcPr>
            <w:tcW w:w="412" w:type="pct"/>
            <w:tcBorders>
              <w:bottom w:val="single" w:sz="2" w:space="0" w:color="auto"/>
            </w:tcBorders>
          </w:tcPr>
          <w:p w:rsidR="005200EC" w:rsidRPr="005200EC" w:rsidRDefault="005200EC" w:rsidP="005200EC">
            <w:pPr>
              <w:keepLines/>
              <w:spacing w:before="40" w:after="40" w:line="200" w:lineRule="atLeast"/>
              <w:rPr>
                <w:rFonts w:asciiTheme="minorHAnsi" w:eastAsia="Times New Roman" w:hAnsiTheme="minorHAnsi"/>
                <w:iCs/>
                <w:szCs w:val="17"/>
              </w:rPr>
            </w:pPr>
            <w:r>
              <w:rPr>
                <w:rFonts w:asciiTheme="minorHAnsi" w:eastAsia="Times New Roman" w:hAnsiTheme="minorHAnsi"/>
                <w:iCs/>
                <w:szCs w:val="17"/>
              </w:rPr>
              <w:t>2015 AQC</w:t>
            </w:r>
          </w:p>
        </w:tc>
        <w:tc>
          <w:tcPr>
            <w:tcW w:w="414" w:type="pct"/>
            <w:tcBorders>
              <w:top w:val="single" w:sz="2" w:space="0" w:color="FFFFFF" w:themeColor="background1"/>
              <w:bottom w:val="single" w:sz="4" w:space="0" w:color="auto"/>
            </w:tcBorders>
            <w:shd w:val="clear" w:color="auto" w:fill="auto"/>
            <w:noWrap/>
          </w:tcPr>
          <w:p w:rsidR="005200EC" w:rsidRDefault="005200EC" w:rsidP="00D15A00">
            <w:pPr>
              <w:keepLines/>
              <w:spacing w:before="40" w:after="40" w:line="200" w:lineRule="atLeast"/>
              <w:jc w:val="center"/>
              <w:rPr>
                <w:rFonts w:eastAsia="Times New Roman"/>
                <w:iCs/>
                <w:szCs w:val="17"/>
              </w:rPr>
            </w:pPr>
            <w:r>
              <w:rPr>
                <w:rFonts w:eastAsia="Times New Roman"/>
                <w:iCs/>
                <w:szCs w:val="17"/>
              </w:rPr>
              <w:t>n/a</w:t>
            </w:r>
          </w:p>
        </w:tc>
        <w:tc>
          <w:tcPr>
            <w:tcW w:w="411" w:type="pct"/>
            <w:tcBorders>
              <w:top w:val="single" w:sz="2" w:space="0" w:color="FFFFFF" w:themeColor="background1"/>
              <w:bottom w:val="single" w:sz="4" w:space="0" w:color="auto"/>
            </w:tcBorders>
            <w:shd w:val="clear" w:color="auto" w:fill="auto"/>
            <w:noWrap/>
          </w:tcPr>
          <w:p w:rsidR="005200EC" w:rsidRDefault="005200EC" w:rsidP="00D15A00">
            <w:pPr>
              <w:keepLines/>
              <w:spacing w:before="40" w:after="40" w:line="200" w:lineRule="atLeast"/>
              <w:jc w:val="center"/>
              <w:rPr>
                <w:rFonts w:eastAsia="Times New Roman"/>
                <w:iCs/>
                <w:szCs w:val="17"/>
              </w:rPr>
            </w:pPr>
            <w:r>
              <w:rPr>
                <w:rFonts w:eastAsia="Times New Roman"/>
                <w:iCs/>
                <w:szCs w:val="17"/>
              </w:rPr>
              <w:t>n/a</w:t>
            </w:r>
          </w:p>
        </w:tc>
        <w:tc>
          <w:tcPr>
            <w:tcW w:w="414" w:type="pct"/>
            <w:tcBorders>
              <w:top w:val="single" w:sz="2" w:space="0" w:color="FFFFFF" w:themeColor="background1"/>
              <w:bottom w:val="single" w:sz="4" w:space="0" w:color="auto"/>
            </w:tcBorders>
            <w:shd w:val="clear" w:color="auto" w:fill="auto"/>
            <w:noWrap/>
          </w:tcPr>
          <w:p w:rsidR="005200EC" w:rsidRDefault="005200EC" w:rsidP="00D15A00">
            <w:pPr>
              <w:keepLines/>
              <w:spacing w:before="40" w:after="40" w:line="200" w:lineRule="atLeast"/>
              <w:jc w:val="center"/>
              <w:rPr>
                <w:rFonts w:eastAsia="Times New Roman"/>
                <w:iCs/>
                <w:szCs w:val="17"/>
              </w:rPr>
            </w:pPr>
            <w:r>
              <w:rPr>
                <w:rFonts w:eastAsia="Times New Roman"/>
                <w:iCs/>
                <w:szCs w:val="17"/>
              </w:rPr>
              <w:t>n/a</w:t>
            </w:r>
          </w:p>
        </w:tc>
        <w:tc>
          <w:tcPr>
            <w:tcW w:w="411" w:type="pct"/>
            <w:tcBorders>
              <w:top w:val="single" w:sz="2" w:space="0" w:color="FFFFFF" w:themeColor="background1"/>
              <w:bottom w:val="single" w:sz="4" w:space="0" w:color="auto"/>
            </w:tcBorders>
            <w:shd w:val="clear" w:color="auto" w:fill="auto"/>
            <w:noWrap/>
          </w:tcPr>
          <w:p w:rsidR="005200EC" w:rsidRDefault="005200EC" w:rsidP="00D15A00">
            <w:pPr>
              <w:keepLines/>
              <w:spacing w:before="40" w:after="40" w:line="200" w:lineRule="atLeast"/>
              <w:jc w:val="center"/>
              <w:rPr>
                <w:rFonts w:eastAsia="Times New Roman"/>
                <w:iCs/>
                <w:szCs w:val="17"/>
              </w:rPr>
            </w:pPr>
            <w:r>
              <w:rPr>
                <w:rFonts w:eastAsia="Times New Roman"/>
                <w:iCs/>
                <w:szCs w:val="17"/>
              </w:rPr>
              <w:t>n/a</w:t>
            </w:r>
          </w:p>
        </w:tc>
        <w:tc>
          <w:tcPr>
            <w:tcW w:w="414" w:type="pct"/>
            <w:tcBorders>
              <w:top w:val="single" w:sz="2" w:space="0" w:color="FFFFFF" w:themeColor="background1"/>
              <w:bottom w:val="single" w:sz="4" w:space="0" w:color="auto"/>
            </w:tcBorders>
            <w:shd w:val="clear" w:color="auto" w:fill="auto"/>
            <w:noWrap/>
          </w:tcPr>
          <w:p w:rsidR="005200EC" w:rsidRDefault="005200EC" w:rsidP="00D15A00">
            <w:pPr>
              <w:keepLines/>
              <w:spacing w:before="40" w:after="40" w:line="200" w:lineRule="atLeast"/>
              <w:jc w:val="center"/>
              <w:rPr>
                <w:rFonts w:eastAsia="Times New Roman"/>
                <w:iCs/>
                <w:szCs w:val="17"/>
              </w:rPr>
            </w:pPr>
            <w:r>
              <w:rPr>
                <w:rFonts w:eastAsia="Times New Roman"/>
                <w:iCs/>
                <w:szCs w:val="17"/>
              </w:rPr>
              <w:t>n/a</w:t>
            </w:r>
          </w:p>
        </w:tc>
        <w:tc>
          <w:tcPr>
            <w:tcW w:w="411" w:type="pct"/>
            <w:tcBorders>
              <w:top w:val="single" w:sz="2" w:space="0" w:color="FFFFFF" w:themeColor="background1"/>
              <w:bottom w:val="single" w:sz="4" w:space="0" w:color="auto"/>
            </w:tcBorders>
            <w:shd w:val="clear" w:color="auto" w:fill="auto"/>
            <w:noWrap/>
          </w:tcPr>
          <w:p w:rsidR="005200EC" w:rsidRDefault="005200EC" w:rsidP="00D15A00">
            <w:pPr>
              <w:keepLines/>
              <w:spacing w:before="40" w:after="40" w:line="200" w:lineRule="atLeast"/>
              <w:jc w:val="center"/>
              <w:rPr>
                <w:rFonts w:eastAsia="Times New Roman"/>
                <w:iCs/>
                <w:szCs w:val="17"/>
              </w:rPr>
            </w:pPr>
            <w:r>
              <w:rPr>
                <w:rFonts w:eastAsia="Times New Roman"/>
                <w:iCs/>
                <w:szCs w:val="17"/>
              </w:rPr>
              <w:t>n/a</w:t>
            </w:r>
          </w:p>
        </w:tc>
        <w:tc>
          <w:tcPr>
            <w:tcW w:w="408" w:type="pct"/>
            <w:tcBorders>
              <w:top w:val="single" w:sz="2" w:space="0" w:color="FFFFFF" w:themeColor="background1"/>
              <w:bottom w:val="single" w:sz="4" w:space="0" w:color="auto"/>
            </w:tcBorders>
            <w:shd w:val="clear" w:color="auto" w:fill="auto"/>
          </w:tcPr>
          <w:p w:rsidR="005200EC" w:rsidRDefault="005200EC" w:rsidP="00D15A00">
            <w:pPr>
              <w:keepLines/>
              <w:spacing w:before="40" w:after="40" w:line="200" w:lineRule="atLeast"/>
              <w:jc w:val="center"/>
              <w:rPr>
                <w:rFonts w:eastAsia="Times New Roman"/>
                <w:iCs/>
                <w:szCs w:val="17"/>
              </w:rPr>
            </w:pPr>
            <w:r>
              <w:rPr>
                <w:rFonts w:eastAsia="Times New Roman"/>
                <w:iCs/>
                <w:szCs w:val="17"/>
              </w:rPr>
              <w:t>n/a</w:t>
            </w:r>
          </w:p>
        </w:tc>
      </w:tr>
      <w:tr w:rsidR="005200EC" w:rsidRPr="00C61187" w:rsidTr="006C7E5B">
        <w:trPr>
          <w:cnfStyle w:val="000000010000" w:firstRow="0" w:lastRow="0" w:firstColumn="0" w:lastColumn="0" w:oddVBand="0" w:evenVBand="0" w:oddHBand="0" w:evenHBand="1" w:firstRowFirstColumn="0" w:firstRowLastColumn="0" w:lastRowFirstColumn="0" w:lastRowLastColumn="0"/>
          <w:trHeight w:val="284"/>
        </w:trPr>
        <w:tc>
          <w:tcPr>
            <w:tcW w:w="900" w:type="pct"/>
            <w:vMerge w:val="restart"/>
          </w:tcPr>
          <w:p w:rsidR="005E606B" w:rsidRPr="00812509" w:rsidRDefault="00F44952" w:rsidP="00D15A00">
            <w:pPr>
              <w:keepLines/>
              <w:spacing w:before="40" w:after="40" w:line="200" w:lineRule="atLeast"/>
              <w:rPr>
                <w:rFonts w:asciiTheme="minorHAnsi" w:eastAsia="Times New Roman" w:hAnsiTheme="minorHAnsi"/>
                <w:iCs/>
                <w:szCs w:val="17"/>
                <w:lang w:eastAsia="en-US"/>
              </w:rPr>
            </w:pPr>
            <w:r w:rsidRPr="00E87226">
              <w:rPr>
                <w:rFonts w:asciiTheme="minorHAnsi" w:eastAsia="Times New Roman" w:hAnsiTheme="minorHAnsi"/>
                <w:iCs/>
                <w:color w:val="auto"/>
                <w:szCs w:val="17"/>
                <w:lang w:eastAsia="en-US"/>
              </w:rPr>
              <w:t>Economic Opportunities Program (EOP)</w:t>
            </w:r>
          </w:p>
        </w:tc>
        <w:tc>
          <w:tcPr>
            <w:tcW w:w="652" w:type="pct"/>
            <w:vMerge w:val="restart"/>
          </w:tcPr>
          <w:p w:rsidR="005E606B" w:rsidRPr="005200EC" w:rsidRDefault="00E87226" w:rsidP="00D15A00">
            <w:pPr>
              <w:keepLines/>
              <w:spacing w:before="40" w:after="40" w:line="200" w:lineRule="atLeast"/>
              <w:rPr>
                <w:rFonts w:asciiTheme="minorHAnsi" w:eastAsia="Times New Roman" w:hAnsiTheme="minorHAnsi"/>
                <w:iCs/>
                <w:szCs w:val="17"/>
                <w:lang w:eastAsia="en-US"/>
              </w:rPr>
            </w:pPr>
            <w:r w:rsidRPr="005200EC">
              <w:rPr>
                <w:rFonts w:asciiTheme="minorHAnsi" w:eastAsia="Times New Roman" w:hAnsiTheme="minorHAnsi"/>
                <w:iCs/>
                <w:color w:val="auto"/>
                <w:szCs w:val="17"/>
                <w:lang w:eastAsia="en-US"/>
              </w:rPr>
              <w:t>$33m</w:t>
            </w:r>
          </w:p>
          <w:p w:rsidR="00E87226" w:rsidRPr="00812509" w:rsidRDefault="00E87226"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2014-2020</w:t>
            </w:r>
          </w:p>
        </w:tc>
        <w:tc>
          <w:tcPr>
            <w:tcW w:w="412" w:type="pct"/>
          </w:tcPr>
          <w:p w:rsidR="005E606B" w:rsidRPr="00812509" w:rsidRDefault="005E606B" w:rsidP="00D15A00">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2016 AQC</w:t>
            </w:r>
          </w:p>
        </w:tc>
        <w:tc>
          <w:tcPr>
            <w:tcW w:w="414" w:type="pct"/>
            <w:shd w:val="clear" w:color="auto" w:fill="92D050"/>
            <w:noWrap/>
          </w:tcPr>
          <w:p w:rsidR="005E606B" w:rsidRPr="00812509" w:rsidRDefault="00E87226"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1" w:type="pct"/>
            <w:shd w:val="clear" w:color="auto" w:fill="FFFF00"/>
            <w:noWrap/>
          </w:tcPr>
          <w:p w:rsidR="005E606B" w:rsidRPr="00812509" w:rsidRDefault="00F10703"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4" w:type="pct"/>
            <w:shd w:val="clear" w:color="auto" w:fill="FFC000"/>
            <w:noWrap/>
          </w:tcPr>
          <w:p w:rsidR="005E606B" w:rsidRPr="00812509" w:rsidRDefault="00F10703"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1" w:type="pct"/>
            <w:shd w:val="clear" w:color="auto" w:fill="92D050"/>
            <w:noWrap/>
          </w:tcPr>
          <w:p w:rsidR="005E606B" w:rsidRPr="00812509" w:rsidRDefault="00E87226"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4" w:type="pct"/>
            <w:shd w:val="clear" w:color="auto" w:fill="FFFF00"/>
            <w:noWrap/>
          </w:tcPr>
          <w:p w:rsidR="005E606B" w:rsidRPr="00812509" w:rsidRDefault="00E87226"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1" w:type="pct"/>
            <w:shd w:val="clear" w:color="auto" w:fill="FFC000"/>
            <w:noWrap/>
          </w:tcPr>
          <w:p w:rsidR="005E606B" w:rsidRPr="00812509" w:rsidRDefault="00E87226"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08" w:type="pct"/>
            <w:shd w:val="clear" w:color="auto" w:fill="FFFF00"/>
          </w:tcPr>
          <w:p w:rsidR="005E606B" w:rsidRPr="00812509" w:rsidRDefault="00E87226"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r w:rsidR="005E606B" w:rsidRPr="00C61187" w:rsidTr="00F44952">
        <w:trPr>
          <w:cnfStyle w:val="000000010000" w:firstRow="0" w:lastRow="0" w:firstColumn="0" w:lastColumn="0" w:oddVBand="0" w:evenVBand="0" w:oddHBand="0" w:evenHBand="1" w:firstRowFirstColumn="0" w:firstRowLastColumn="0" w:lastRowFirstColumn="0" w:lastRowLastColumn="0"/>
          <w:trHeight w:val="284"/>
        </w:trPr>
        <w:tc>
          <w:tcPr>
            <w:tcW w:w="900" w:type="pct"/>
            <w:vMerge/>
          </w:tcPr>
          <w:p w:rsidR="005E606B" w:rsidRPr="00812509" w:rsidRDefault="005E606B" w:rsidP="00D15A00">
            <w:pPr>
              <w:keepLines/>
              <w:spacing w:before="40" w:after="40" w:line="200" w:lineRule="atLeast"/>
              <w:rPr>
                <w:rFonts w:asciiTheme="minorHAnsi" w:eastAsia="Times New Roman" w:hAnsiTheme="minorHAnsi"/>
                <w:iCs/>
                <w:szCs w:val="17"/>
                <w:lang w:eastAsia="en-US"/>
              </w:rPr>
            </w:pPr>
          </w:p>
        </w:tc>
        <w:tc>
          <w:tcPr>
            <w:tcW w:w="652" w:type="pct"/>
            <w:vMerge/>
          </w:tcPr>
          <w:p w:rsidR="005E606B" w:rsidRPr="00812509" w:rsidRDefault="005E606B" w:rsidP="00D15A00">
            <w:pPr>
              <w:keepLines/>
              <w:spacing w:before="40" w:after="40" w:line="200" w:lineRule="atLeast"/>
              <w:rPr>
                <w:rFonts w:asciiTheme="minorHAnsi" w:eastAsia="Times New Roman" w:hAnsiTheme="minorHAnsi"/>
                <w:iCs/>
                <w:szCs w:val="17"/>
                <w:lang w:eastAsia="en-US"/>
              </w:rPr>
            </w:pPr>
          </w:p>
        </w:tc>
        <w:tc>
          <w:tcPr>
            <w:tcW w:w="412" w:type="pct"/>
          </w:tcPr>
          <w:p w:rsidR="005E606B" w:rsidRPr="00812509" w:rsidRDefault="005E606B" w:rsidP="00D15A00">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2015 AQC</w:t>
            </w:r>
          </w:p>
        </w:tc>
        <w:tc>
          <w:tcPr>
            <w:tcW w:w="414" w:type="pct"/>
            <w:noWrap/>
          </w:tcPr>
          <w:p w:rsidR="005E606B" w:rsidRPr="00812509" w:rsidRDefault="00E87226"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411" w:type="pct"/>
            <w:noWrap/>
          </w:tcPr>
          <w:p w:rsidR="005E606B" w:rsidRPr="00812509" w:rsidRDefault="00E87226"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414" w:type="pct"/>
            <w:noWrap/>
          </w:tcPr>
          <w:p w:rsidR="005E606B" w:rsidRPr="00812509" w:rsidRDefault="00E87226"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411" w:type="pct"/>
            <w:noWrap/>
          </w:tcPr>
          <w:p w:rsidR="005E606B" w:rsidRPr="00812509" w:rsidRDefault="00E87226"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414" w:type="pct"/>
            <w:noWrap/>
          </w:tcPr>
          <w:p w:rsidR="005E606B" w:rsidRPr="00812509" w:rsidRDefault="00E87226"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411" w:type="pct"/>
            <w:noWrap/>
          </w:tcPr>
          <w:p w:rsidR="005E606B" w:rsidRPr="00812509" w:rsidRDefault="00E87226"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408" w:type="pct"/>
          </w:tcPr>
          <w:p w:rsidR="005E606B" w:rsidRPr="00812509" w:rsidRDefault="00E87226"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r>
    </w:tbl>
    <w:p w:rsidR="005E606B" w:rsidRPr="00C61187" w:rsidRDefault="005E606B" w:rsidP="005E606B">
      <w:pPr>
        <w:rPr>
          <w:iCs/>
        </w:rPr>
      </w:pPr>
    </w:p>
    <w:p w:rsidR="00A8197B" w:rsidRPr="00A8197B" w:rsidRDefault="00A8197B"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A8197B">
        <w:rPr>
          <w:rFonts w:asciiTheme="majorHAnsi" w:eastAsiaTheme="majorEastAsia" w:hAnsiTheme="majorHAnsi" w:cstheme="majorBidi"/>
          <w:caps/>
          <w:color w:val="495965" w:themeColor="text2"/>
          <w:sz w:val="38"/>
          <w:szCs w:val="26"/>
          <w:lang w:val="en-GB" w:eastAsia="en-US"/>
        </w:rPr>
        <w:t xml:space="preserve">HAQC ratings </w:t>
      </w:r>
      <w:r w:rsidRPr="00A8197B">
        <w:rPr>
          <w:rStyle w:val="BodyTextChar"/>
          <w:rFonts w:asciiTheme="minorHAnsi" w:hAnsiTheme="minorHAnsi"/>
          <w:sz w:val="24"/>
          <w:lang w:val="en-GB" w:eastAsia="en-US"/>
        </w:rPr>
        <w:t>(include if relevant)</w:t>
      </w:r>
    </w:p>
    <w:p w:rsidR="00A8197B" w:rsidRPr="00C61187" w:rsidRDefault="00A8197B" w:rsidP="00A8197B">
      <w:r w:rsidRPr="00C61187">
        <w:t xml:space="preserve">Humanitarian response AQCs assess performance over the previous 12 months (ratings are not compared to previous years). </w:t>
      </w:r>
    </w:p>
    <w:tbl>
      <w:tblPr>
        <w:tblStyle w:val="APPR"/>
        <w:tblW w:w="5000" w:type="pct"/>
        <w:tblLook w:val="0000" w:firstRow="0" w:lastRow="0" w:firstColumn="0" w:lastColumn="0" w:noHBand="0" w:noVBand="0"/>
      </w:tblPr>
      <w:tblGrid>
        <w:gridCol w:w="1737"/>
        <w:gridCol w:w="1259"/>
        <w:gridCol w:w="803"/>
        <w:gridCol w:w="803"/>
        <w:gridCol w:w="72"/>
        <w:gridCol w:w="803"/>
        <w:gridCol w:w="803"/>
        <w:gridCol w:w="72"/>
        <w:gridCol w:w="801"/>
        <w:gridCol w:w="803"/>
        <w:gridCol w:w="72"/>
        <w:gridCol w:w="801"/>
        <w:gridCol w:w="809"/>
      </w:tblGrid>
      <w:tr w:rsidR="00A8197B" w:rsidRPr="00C61187" w:rsidTr="00D15A00">
        <w:trPr>
          <w:cnfStyle w:val="000000010000" w:firstRow="0" w:lastRow="0" w:firstColumn="0" w:lastColumn="0" w:oddVBand="0" w:evenVBand="0" w:oddHBand="0" w:evenHBand="1" w:firstRowFirstColumn="0" w:firstRowLastColumn="0" w:lastRowFirstColumn="0" w:lastRowLastColumn="0"/>
          <w:trHeight w:val="1413"/>
        </w:trPr>
        <w:tc>
          <w:tcPr>
            <w:tcW w:w="895" w:type="pct"/>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670528" behindDoc="0" locked="0" layoutInCell="1" allowOverlap="1" wp14:anchorId="746122FB" wp14:editId="4D87FB95">
                  <wp:simplePos x="0" y="0"/>
                  <wp:positionH relativeFrom="column">
                    <wp:posOffset>0</wp:posOffset>
                  </wp:positionH>
                  <wp:positionV relativeFrom="paragraph">
                    <wp:posOffset>0</wp:posOffset>
                  </wp:positionV>
                  <wp:extent cx="1857375" cy="228600"/>
                  <wp:effectExtent l="0" t="0" r="9525" b="0"/>
                  <wp:wrapNone/>
                  <wp:docPr id="27" name="Picture 27"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650" w:type="pct"/>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410" w:type="pct"/>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410" w:type="pct"/>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433" w:type="pct"/>
            <w:gridSpan w:val="2"/>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410" w:type="pct"/>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432" w:type="pct"/>
            <w:gridSpan w:val="2"/>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Connectedness</w:t>
            </w:r>
          </w:p>
        </w:tc>
        <w:tc>
          <w:tcPr>
            <w:tcW w:w="410" w:type="pct"/>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Protection</w:t>
            </w:r>
          </w:p>
        </w:tc>
        <w:tc>
          <w:tcPr>
            <w:tcW w:w="432" w:type="pct"/>
            <w:gridSpan w:val="2"/>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c>
          <w:tcPr>
            <w:tcW w:w="406" w:type="pct"/>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Risks  and Safeguards</w:t>
            </w:r>
          </w:p>
        </w:tc>
      </w:tr>
      <w:tr w:rsidR="00835EE1" w:rsidRPr="00C61187" w:rsidTr="006C7E5B">
        <w:trPr>
          <w:cnfStyle w:val="000000010000" w:firstRow="0" w:lastRow="0" w:firstColumn="0" w:lastColumn="0" w:oddVBand="0" w:evenVBand="0" w:oddHBand="0" w:evenHBand="1" w:firstRowFirstColumn="0" w:firstRowLastColumn="0" w:lastRowFirstColumn="0" w:lastRowLastColumn="0"/>
          <w:trHeight w:val="284"/>
        </w:trPr>
        <w:tc>
          <w:tcPr>
            <w:tcW w:w="895" w:type="pct"/>
            <w:tcBorders>
              <w:top w:val="single" w:sz="4" w:space="0" w:color="auto"/>
              <w:bottom w:val="single" w:sz="12" w:space="0" w:color="000000" w:themeColor="text1"/>
            </w:tcBorders>
          </w:tcPr>
          <w:p w:rsidR="00A8197B" w:rsidRPr="00812509" w:rsidRDefault="00835EE1" w:rsidP="00D15A00">
            <w:pPr>
              <w:keepLines/>
              <w:spacing w:before="40" w:after="40" w:line="200" w:lineRule="atLeast"/>
              <w:rPr>
                <w:rFonts w:asciiTheme="minorHAnsi" w:eastAsia="Times New Roman" w:hAnsiTheme="minorHAnsi"/>
                <w:iCs/>
                <w:szCs w:val="17"/>
                <w:lang w:eastAsia="en-US"/>
              </w:rPr>
            </w:pPr>
            <w:r w:rsidRPr="00FD3115">
              <w:rPr>
                <w:rFonts w:asciiTheme="minorHAnsi" w:eastAsia="Times New Roman" w:hAnsiTheme="minorHAnsi"/>
                <w:iCs/>
                <w:color w:val="auto"/>
                <w:szCs w:val="17"/>
                <w:lang w:eastAsia="en-US"/>
              </w:rPr>
              <w:t>Flood Response 2015</w:t>
            </w:r>
          </w:p>
        </w:tc>
        <w:tc>
          <w:tcPr>
            <w:tcW w:w="650" w:type="pct"/>
            <w:tcBorders>
              <w:top w:val="single" w:sz="4" w:space="0" w:color="auto"/>
              <w:bottom w:val="single" w:sz="12" w:space="0" w:color="000000" w:themeColor="text1"/>
            </w:tcBorders>
          </w:tcPr>
          <w:p w:rsidR="00A8197B" w:rsidRPr="00812509" w:rsidRDefault="00A8197B" w:rsidP="00D15A00">
            <w:pPr>
              <w:autoSpaceDE w:val="0"/>
              <w:autoSpaceDN w:val="0"/>
              <w:adjustRightInd w:val="0"/>
              <w:rPr>
                <w:rFonts w:asciiTheme="minorHAnsi" w:hAnsiTheme="minorHAnsi" w:cs="Franklin Gothic Book"/>
                <w:color w:val="000000"/>
                <w:szCs w:val="17"/>
              </w:rPr>
            </w:pPr>
            <w:r w:rsidRPr="00812509">
              <w:rPr>
                <w:rFonts w:asciiTheme="minorHAnsi" w:hAnsiTheme="minorHAnsi" w:cs="Franklin Gothic Book"/>
                <w:color w:val="000000"/>
                <w:szCs w:val="17"/>
              </w:rPr>
              <w:t xml:space="preserve">$3m </w:t>
            </w:r>
          </w:p>
          <w:p w:rsidR="00A8197B" w:rsidRPr="00812509" w:rsidRDefault="00835EE1" w:rsidP="00835EE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2015</w:t>
            </w:r>
            <w:r w:rsidR="00A8197B" w:rsidRPr="00812509">
              <w:rPr>
                <w:rFonts w:asciiTheme="minorHAnsi" w:eastAsia="Times New Roman" w:hAnsiTheme="minorHAnsi"/>
                <w:iCs/>
                <w:szCs w:val="17"/>
                <w:lang w:eastAsia="en-US"/>
              </w:rPr>
              <w:t>-1</w:t>
            </w:r>
            <w:r>
              <w:rPr>
                <w:rFonts w:asciiTheme="minorHAnsi" w:eastAsia="Times New Roman" w:hAnsiTheme="minorHAnsi"/>
                <w:iCs/>
                <w:szCs w:val="17"/>
                <w:lang w:eastAsia="en-US"/>
              </w:rPr>
              <w:t>6</w:t>
            </w:r>
            <w:r w:rsidR="00A8197B" w:rsidRPr="00812509">
              <w:rPr>
                <w:rFonts w:asciiTheme="minorHAnsi" w:eastAsia="Times New Roman" w:hAnsiTheme="minorHAnsi"/>
                <w:iCs/>
                <w:szCs w:val="17"/>
                <w:lang w:eastAsia="en-US"/>
              </w:rPr>
              <w:t xml:space="preserve"> </w:t>
            </w:r>
          </w:p>
        </w:tc>
        <w:tc>
          <w:tcPr>
            <w:tcW w:w="410" w:type="pct"/>
            <w:tcBorders>
              <w:top w:val="single" w:sz="4" w:space="0" w:color="auto"/>
              <w:bottom w:val="single" w:sz="12" w:space="0" w:color="000000" w:themeColor="text1"/>
            </w:tcBorders>
            <w:shd w:val="clear" w:color="auto" w:fill="92D050"/>
          </w:tcPr>
          <w:p w:rsidR="00A8197B" w:rsidRPr="00812509" w:rsidRDefault="00A8197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433" w:type="pct"/>
            <w:gridSpan w:val="2"/>
            <w:tcBorders>
              <w:top w:val="single" w:sz="4" w:space="0" w:color="auto"/>
              <w:bottom w:val="single" w:sz="12" w:space="0" w:color="000000" w:themeColor="text1"/>
            </w:tcBorders>
            <w:shd w:val="clear" w:color="auto" w:fill="FFC000"/>
            <w:noWrap/>
          </w:tcPr>
          <w:p w:rsidR="00A8197B" w:rsidRPr="00812509" w:rsidRDefault="00F10703"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0" w:type="pct"/>
            <w:tcBorders>
              <w:top w:val="single" w:sz="4" w:space="0" w:color="auto"/>
              <w:bottom w:val="single" w:sz="12" w:space="0" w:color="000000" w:themeColor="text1"/>
            </w:tcBorders>
            <w:shd w:val="clear" w:color="auto" w:fill="92D050"/>
            <w:noWrap/>
          </w:tcPr>
          <w:p w:rsidR="00A8197B" w:rsidRPr="00812509" w:rsidRDefault="00835EE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33" w:type="pct"/>
            <w:gridSpan w:val="2"/>
            <w:tcBorders>
              <w:top w:val="single" w:sz="4" w:space="0" w:color="auto"/>
              <w:bottom w:val="single" w:sz="12" w:space="0" w:color="000000" w:themeColor="text1"/>
            </w:tcBorders>
            <w:shd w:val="clear" w:color="auto" w:fill="FFFF00"/>
            <w:noWrap/>
          </w:tcPr>
          <w:p w:rsidR="00A8197B" w:rsidRPr="00812509" w:rsidRDefault="00A8197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409" w:type="pct"/>
            <w:tcBorders>
              <w:top w:val="single" w:sz="4" w:space="0" w:color="auto"/>
              <w:bottom w:val="single" w:sz="12" w:space="0" w:color="000000" w:themeColor="text1"/>
            </w:tcBorders>
            <w:shd w:val="clear" w:color="auto" w:fill="92D050"/>
            <w:noWrap/>
          </w:tcPr>
          <w:p w:rsidR="00A8197B" w:rsidRPr="00812509" w:rsidRDefault="00835EE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33" w:type="pct"/>
            <w:gridSpan w:val="2"/>
            <w:tcBorders>
              <w:top w:val="single" w:sz="4" w:space="0" w:color="auto"/>
              <w:bottom w:val="single" w:sz="12" w:space="0" w:color="000000" w:themeColor="text1"/>
            </w:tcBorders>
            <w:shd w:val="clear" w:color="auto" w:fill="FFFF00"/>
            <w:noWrap/>
          </w:tcPr>
          <w:p w:rsidR="00A8197B" w:rsidRPr="00812509" w:rsidRDefault="00835EE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09" w:type="pct"/>
            <w:tcBorders>
              <w:top w:val="single" w:sz="4" w:space="0" w:color="auto"/>
              <w:bottom w:val="single" w:sz="12" w:space="0" w:color="000000" w:themeColor="text1"/>
            </w:tcBorders>
            <w:shd w:val="clear" w:color="auto" w:fill="92D050"/>
            <w:noWrap/>
          </w:tcPr>
          <w:p w:rsidR="00A8197B" w:rsidRPr="00812509" w:rsidRDefault="00835EE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06" w:type="pct"/>
            <w:tcBorders>
              <w:top w:val="single" w:sz="4" w:space="0" w:color="auto"/>
              <w:bottom w:val="single" w:sz="12" w:space="0" w:color="000000" w:themeColor="text1"/>
            </w:tcBorders>
            <w:shd w:val="clear" w:color="auto" w:fill="92D050"/>
          </w:tcPr>
          <w:p w:rsidR="00A8197B" w:rsidRPr="00812509" w:rsidRDefault="00835EE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bl>
    <w:p w:rsidR="00A8197B" w:rsidRPr="00C61187" w:rsidRDefault="00A8197B" w:rsidP="00A8197B">
      <w:pPr>
        <w:rPr>
          <w:iCs/>
        </w:rPr>
      </w:pPr>
    </w:p>
    <w:p w:rsidR="005E606B" w:rsidRPr="00C61187" w:rsidRDefault="005E606B" w:rsidP="005E606B">
      <w:pPr>
        <w:keepNext/>
        <w:numPr>
          <w:ilvl w:val="2"/>
          <w:numId w:val="0"/>
        </w:numPr>
        <w:spacing w:before="240" w:after="120"/>
        <w:outlineLvl w:val="2"/>
        <w:rPr>
          <w:rFonts w:ascii="Helvetica" w:eastAsia="Times New Roman" w:hAnsi="Helvetica" w:cs="Arial"/>
          <w:b/>
          <w:color w:val="124486"/>
          <w:kern w:val="28"/>
          <w:lang w:eastAsia="zh-CN"/>
        </w:rPr>
      </w:pPr>
      <w:r w:rsidRPr="00C61187">
        <w:rPr>
          <w:rFonts w:ascii="Helvetica" w:eastAsia="Times New Roman" w:hAnsi="Helvetica" w:cs="Arial"/>
          <w:b/>
          <w:color w:val="124486"/>
          <w:kern w:val="28"/>
          <w:lang w:eastAsia="zh-CN"/>
        </w:rPr>
        <w:br w:type="page"/>
      </w:r>
    </w:p>
    <w:p w:rsidR="0059146A" w:rsidRDefault="0059146A" w:rsidP="005B5769">
      <w:pPr>
        <w:pStyle w:val="ListBullet"/>
        <w:tabs>
          <w:tab w:val="clear" w:pos="284"/>
        </w:tabs>
      </w:pPr>
    </w:p>
    <w:p w:rsidR="00A8197B" w:rsidRPr="00A8197B" w:rsidRDefault="00A8197B"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A8197B">
        <w:rPr>
          <w:rFonts w:asciiTheme="majorHAnsi" w:eastAsiaTheme="majorEastAsia" w:hAnsiTheme="majorHAnsi" w:cstheme="majorBidi"/>
          <w:caps/>
          <w:color w:val="495965" w:themeColor="text2"/>
          <w:sz w:val="38"/>
          <w:szCs w:val="26"/>
          <w:lang w:val="en-GB" w:eastAsia="en-US"/>
        </w:rPr>
        <w:t xml:space="preserve">FAQC ratings </w:t>
      </w:r>
      <w:r w:rsidRPr="00A8197B">
        <w:rPr>
          <w:rStyle w:val="BodyTextChar"/>
          <w:rFonts w:asciiTheme="minorHAnsi" w:hAnsiTheme="minorHAnsi"/>
          <w:sz w:val="24"/>
          <w:lang w:val="en-GB" w:eastAsia="en-US"/>
        </w:rPr>
        <w:t>(include if relevant)</w:t>
      </w:r>
    </w:p>
    <w:p w:rsidR="00A8197B" w:rsidRPr="00C61187" w:rsidRDefault="00A8197B" w:rsidP="00A8197B">
      <w:r w:rsidRPr="00C61187">
        <w:t>Final AQCs assess performance over the lifetime of the investment (ratings are not compared to previous years).</w:t>
      </w:r>
    </w:p>
    <w:tbl>
      <w:tblPr>
        <w:tblStyle w:val="APPR"/>
        <w:tblW w:w="5000" w:type="pct"/>
        <w:tblLook w:val="0000" w:firstRow="0" w:lastRow="0" w:firstColumn="0" w:lastColumn="0" w:noHBand="0" w:noVBand="0"/>
      </w:tblPr>
      <w:tblGrid>
        <w:gridCol w:w="1769"/>
        <w:gridCol w:w="1285"/>
        <w:gridCol w:w="824"/>
        <w:gridCol w:w="821"/>
        <w:gridCol w:w="823"/>
        <w:gridCol w:w="821"/>
        <w:gridCol w:w="823"/>
        <w:gridCol w:w="821"/>
        <w:gridCol w:w="823"/>
        <w:gridCol w:w="828"/>
      </w:tblGrid>
      <w:tr w:rsidR="00A8197B" w:rsidRPr="00812509" w:rsidTr="00D15A00">
        <w:trPr>
          <w:cnfStyle w:val="000000010000" w:firstRow="0" w:lastRow="0" w:firstColumn="0" w:lastColumn="0" w:oddVBand="0" w:evenVBand="0" w:oddHBand="0" w:evenHBand="1" w:firstRowFirstColumn="0" w:firstRowLastColumn="0" w:lastRowFirstColumn="0" w:lastRowLastColumn="0"/>
          <w:trHeight w:val="1505"/>
        </w:trPr>
        <w:tc>
          <w:tcPr>
            <w:tcW w:w="905" w:type="pct"/>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672576" behindDoc="0" locked="0" layoutInCell="1" allowOverlap="1" wp14:anchorId="3D540645" wp14:editId="5B816772">
                  <wp:simplePos x="0" y="0"/>
                  <wp:positionH relativeFrom="column">
                    <wp:posOffset>0</wp:posOffset>
                  </wp:positionH>
                  <wp:positionV relativeFrom="paragraph">
                    <wp:posOffset>0</wp:posOffset>
                  </wp:positionV>
                  <wp:extent cx="1857375" cy="228600"/>
                  <wp:effectExtent l="0" t="0" r="9525" b="0"/>
                  <wp:wrapNone/>
                  <wp:docPr id="28" name="Picture 2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658" w:type="pct"/>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417" w:type="pct"/>
            <w:noWrap/>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Overall rating</w:t>
            </w:r>
          </w:p>
        </w:tc>
        <w:tc>
          <w:tcPr>
            <w:tcW w:w="416" w:type="pct"/>
            <w:noWrap/>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417" w:type="pct"/>
            <w:noWrap/>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416" w:type="pct"/>
            <w:noWrap/>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417" w:type="pct"/>
            <w:noWrap/>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416" w:type="pct"/>
            <w:noWrap/>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Sustainability</w:t>
            </w:r>
          </w:p>
        </w:tc>
        <w:tc>
          <w:tcPr>
            <w:tcW w:w="417" w:type="pct"/>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c>
          <w:tcPr>
            <w:tcW w:w="412" w:type="pct"/>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Risks  and Safeguards</w:t>
            </w:r>
          </w:p>
        </w:tc>
      </w:tr>
      <w:tr w:rsidR="00FD3115" w:rsidRPr="00812509" w:rsidTr="006C7E5B">
        <w:trPr>
          <w:cnfStyle w:val="000000010000" w:firstRow="0" w:lastRow="0" w:firstColumn="0" w:lastColumn="0" w:oddVBand="0" w:evenVBand="0" w:oddHBand="0" w:evenHBand="1" w:firstRowFirstColumn="0" w:firstRowLastColumn="0" w:lastRowFirstColumn="0" w:lastRowLastColumn="0"/>
          <w:trHeight w:val="284"/>
        </w:trPr>
        <w:tc>
          <w:tcPr>
            <w:tcW w:w="905" w:type="pct"/>
            <w:tcBorders>
              <w:top w:val="single" w:sz="4" w:space="0" w:color="auto"/>
              <w:bottom w:val="single" w:sz="12" w:space="0" w:color="000000" w:themeColor="text1"/>
            </w:tcBorders>
          </w:tcPr>
          <w:p w:rsidR="00A8197B" w:rsidRPr="00FD3115" w:rsidRDefault="00FD3115" w:rsidP="00D15A00">
            <w:pPr>
              <w:keepLines/>
              <w:spacing w:before="40" w:after="40" w:line="200" w:lineRule="atLeast"/>
              <w:rPr>
                <w:rFonts w:asciiTheme="minorHAnsi" w:eastAsia="Times New Roman" w:hAnsiTheme="minorHAnsi"/>
                <w:iCs/>
                <w:color w:val="auto"/>
                <w:szCs w:val="17"/>
                <w:lang w:eastAsia="en-US"/>
              </w:rPr>
            </w:pPr>
            <w:r w:rsidRPr="00FD3115">
              <w:rPr>
                <w:rFonts w:asciiTheme="minorHAnsi" w:eastAsia="Times New Roman" w:hAnsiTheme="minorHAnsi"/>
                <w:iCs/>
                <w:color w:val="auto"/>
                <w:szCs w:val="17"/>
                <w:lang w:eastAsia="en-US"/>
              </w:rPr>
              <w:t>Australian Community Rehabilitation Program Phase 3</w:t>
            </w:r>
          </w:p>
        </w:tc>
        <w:tc>
          <w:tcPr>
            <w:tcW w:w="658" w:type="pct"/>
            <w:tcBorders>
              <w:top w:val="single" w:sz="4" w:space="0" w:color="auto"/>
              <w:bottom w:val="single" w:sz="12" w:space="0" w:color="000000" w:themeColor="text1"/>
            </w:tcBorders>
          </w:tcPr>
          <w:p w:rsidR="00A8197B" w:rsidRPr="00812509" w:rsidRDefault="00FD3115" w:rsidP="00D15A00">
            <w:pPr>
              <w:autoSpaceDE w:val="0"/>
              <w:autoSpaceDN w:val="0"/>
              <w:adjustRightInd w:val="0"/>
              <w:rPr>
                <w:rFonts w:asciiTheme="minorHAnsi" w:hAnsiTheme="minorHAnsi" w:cs="Franklin Gothic Book"/>
                <w:color w:val="000000"/>
                <w:szCs w:val="17"/>
              </w:rPr>
            </w:pPr>
            <w:r>
              <w:rPr>
                <w:rFonts w:asciiTheme="minorHAnsi" w:hAnsiTheme="minorHAnsi" w:cs="Franklin Gothic Book"/>
                <w:color w:val="000000"/>
                <w:szCs w:val="17"/>
              </w:rPr>
              <w:t>$48.7</w:t>
            </w:r>
            <w:r w:rsidR="00A8197B" w:rsidRPr="00812509">
              <w:rPr>
                <w:rFonts w:asciiTheme="minorHAnsi" w:hAnsiTheme="minorHAnsi" w:cs="Franklin Gothic Book"/>
                <w:color w:val="000000"/>
                <w:szCs w:val="17"/>
              </w:rPr>
              <w:t xml:space="preserve">m </w:t>
            </w:r>
          </w:p>
          <w:p w:rsidR="00A8197B" w:rsidRPr="00812509" w:rsidRDefault="00FD3115" w:rsidP="00FD3115">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2009</w:t>
            </w:r>
            <w:r w:rsidR="00A8197B" w:rsidRPr="00812509">
              <w:rPr>
                <w:rFonts w:asciiTheme="minorHAnsi" w:eastAsia="Times New Roman" w:hAnsiTheme="minorHAnsi"/>
                <w:iCs/>
                <w:szCs w:val="17"/>
                <w:lang w:eastAsia="en-US"/>
              </w:rPr>
              <w:t>-1</w:t>
            </w:r>
            <w:r>
              <w:rPr>
                <w:rFonts w:asciiTheme="minorHAnsi" w:eastAsia="Times New Roman" w:hAnsiTheme="minorHAnsi"/>
                <w:iCs/>
                <w:szCs w:val="17"/>
                <w:lang w:eastAsia="en-US"/>
              </w:rPr>
              <w:t>6</w:t>
            </w:r>
            <w:r w:rsidR="00A8197B" w:rsidRPr="00812509">
              <w:rPr>
                <w:rFonts w:asciiTheme="minorHAnsi" w:eastAsia="Times New Roman" w:hAnsiTheme="minorHAnsi"/>
                <w:iCs/>
                <w:szCs w:val="17"/>
                <w:lang w:eastAsia="en-US"/>
              </w:rPr>
              <w:t xml:space="preserve"> </w:t>
            </w:r>
          </w:p>
        </w:tc>
        <w:tc>
          <w:tcPr>
            <w:tcW w:w="417" w:type="pct"/>
            <w:tcBorders>
              <w:top w:val="single" w:sz="4" w:space="0" w:color="auto"/>
              <w:bottom w:val="single" w:sz="12" w:space="0" w:color="000000" w:themeColor="text1"/>
            </w:tcBorders>
            <w:shd w:val="clear" w:color="auto" w:fill="92D050"/>
            <w:noWrap/>
          </w:tcPr>
          <w:p w:rsidR="00A8197B" w:rsidRPr="00812509" w:rsidRDefault="00FD3115"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6" w:type="pct"/>
            <w:tcBorders>
              <w:top w:val="single" w:sz="4" w:space="0" w:color="auto"/>
              <w:bottom w:val="single" w:sz="12" w:space="0" w:color="000000" w:themeColor="text1"/>
            </w:tcBorders>
            <w:shd w:val="clear" w:color="auto" w:fill="92D050"/>
            <w:noWrap/>
          </w:tcPr>
          <w:p w:rsidR="00A8197B" w:rsidRPr="00812509" w:rsidRDefault="00A8197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417" w:type="pct"/>
            <w:tcBorders>
              <w:top w:val="single" w:sz="4" w:space="0" w:color="auto"/>
              <w:bottom w:val="single" w:sz="12" w:space="0" w:color="000000" w:themeColor="text1"/>
            </w:tcBorders>
            <w:shd w:val="clear" w:color="auto" w:fill="92D050"/>
            <w:noWrap/>
          </w:tcPr>
          <w:p w:rsidR="00A8197B" w:rsidRPr="00812509" w:rsidRDefault="00FD3115"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6" w:type="pct"/>
            <w:tcBorders>
              <w:top w:val="single" w:sz="4" w:space="0" w:color="auto"/>
              <w:bottom w:val="single" w:sz="12" w:space="0" w:color="000000" w:themeColor="text1"/>
            </w:tcBorders>
            <w:shd w:val="clear" w:color="auto" w:fill="92D050"/>
            <w:noWrap/>
          </w:tcPr>
          <w:p w:rsidR="00A8197B" w:rsidRPr="00812509" w:rsidRDefault="00FD3115"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7" w:type="pct"/>
            <w:tcBorders>
              <w:top w:val="single" w:sz="4" w:space="0" w:color="auto"/>
              <w:bottom w:val="single" w:sz="12" w:space="0" w:color="000000" w:themeColor="text1"/>
            </w:tcBorders>
            <w:shd w:val="clear" w:color="auto" w:fill="92D050"/>
            <w:noWrap/>
          </w:tcPr>
          <w:p w:rsidR="00A8197B" w:rsidRPr="00812509" w:rsidRDefault="00FD3115"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6" w:type="pct"/>
            <w:tcBorders>
              <w:top w:val="single" w:sz="4" w:space="0" w:color="auto"/>
              <w:bottom w:val="single" w:sz="12" w:space="0" w:color="000000" w:themeColor="text1"/>
            </w:tcBorders>
            <w:shd w:val="clear" w:color="auto" w:fill="FFFF00"/>
            <w:noWrap/>
          </w:tcPr>
          <w:p w:rsidR="00A8197B" w:rsidRPr="00812509" w:rsidRDefault="00FD3115"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7" w:type="pct"/>
            <w:tcBorders>
              <w:top w:val="single" w:sz="4" w:space="0" w:color="auto"/>
              <w:bottom w:val="single" w:sz="12" w:space="0" w:color="000000" w:themeColor="text1"/>
            </w:tcBorders>
            <w:shd w:val="clear" w:color="auto" w:fill="92D050"/>
          </w:tcPr>
          <w:p w:rsidR="00A8197B" w:rsidRPr="00812509" w:rsidRDefault="00FD3115"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2" w:type="pct"/>
            <w:tcBorders>
              <w:top w:val="single" w:sz="4" w:space="0" w:color="auto"/>
              <w:bottom w:val="single" w:sz="12" w:space="0" w:color="000000" w:themeColor="text1"/>
            </w:tcBorders>
            <w:shd w:val="clear" w:color="auto" w:fill="92D050"/>
          </w:tcPr>
          <w:p w:rsidR="00A8197B" w:rsidRPr="00812509" w:rsidRDefault="00FD3115"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bl>
    <w:p w:rsidR="00A8197B" w:rsidRPr="00812509" w:rsidRDefault="00A8197B" w:rsidP="00A8197B">
      <w:pPr>
        <w:spacing w:before="20" w:after="20" w:line="180" w:lineRule="atLeast"/>
        <w:jc w:val="both"/>
        <w:rPr>
          <w:rFonts w:eastAsia="Times New Roman"/>
          <w:b/>
          <w:sz w:val="14"/>
          <w:szCs w:val="14"/>
        </w:rPr>
      </w:pPr>
    </w:p>
    <w:p w:rsidR="00A8197B" w:rsidRPr="00812509" w:rsidRDefault="00A8197B" w:rsidP="00A8197B">
      <w:pPr>
        <w:spacing w:before="20" w:after="20" w:line="180" w:lineRule="atLeast"/>
        <w:jc w:val="both"/>
        <w:rPr>
          <w:rFonts w:eastAsia="Times New Roman"/>
          <w:b/>
          <w:sz w:val="16"/>
          <w:szCs w:val="14"/>
        </w:rPr>
      </w:pPr>
      <w:r w:rsidRPr="00812509">
        <w:rPr>
          <w:rFonts w:eastAsia="Times New Roman"/>
          <w:b/>
          <w:sz w:val="16"/>
          <w:szCs w:val="14"/>
        </w:rPr>
        <w:t>Definitions of rating scale:</w:t>
      </w:r>
      <w:r w:rsidRPr="00812509">
        <w:rPr>
          <w:rFonts w:eastAsia="Times New Roman"/>
          <w:b/>
          <w:sz w:val="16"/>
          <w:szCs w:val="14"/>
        </w:rPr>
        <w:tab/>
      </w:r>
    </w:p>
    <w:p w:rsidR="00A8197B" w:rsidRPr="00812509" w:rsidRDefault="00A8197B" w:rsidP="00A8197B">
      <w:pPr>
        <w:spacing w:before="20" w:after="20" w:line="180" w:lineRule="atLeast"/>
        <w:jc w:val="both"/>
        <w:rPr>
          <w:rFonts w:eastAsia="Times New Roman"/>
          <w:b/>
          <w:sz w:val="16"/>
          <w:szCs w:val="14"/>
        </w:rPr>
      </w:pPr>
      <w:r w:rsidRPr="00812509">
        <w:rPr>
          <w:rFonts w:eastAsia="Times New Roman"/>
          <w:b/>
          <w:sz w:val="16"/>
          <w:szCs w:val="14"/>
        </w:rPr>
        <w:t>Satisfactory (4, 5 and 6)</w:t>
      </w:r>
    </w:p>
    <w:p w:rsidR="00A8197B" w:rsidRPr="00812509" w:rsidRDefault="00A8197B" w:rsidP="00812509">
      <w:pPr>
        <w:spacing w:before="20" w:after="20" w:line="180" w:lineRule="atLeast"/>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xml:space="preserve"> 6 = Very good; satisfies criteria in all areas.  </w:t>
      </w:r>
      <w:r w:rsidRPr="00812509">
        <w:rPr>
          <w:rFonts w:eastAsia="Times New Roman"/>
          <w:b/>
          <w:color w:val="72AF2F"/>
          <w:sz w:val="16"/>
          <w:szCs w:val="14"/>
        </w:rPr>
        <w:sym w:font="Webdings" w:char="F067"/>
      </w:r>
      <w:r w:rsidRPr="00812509">
        <w:rPr>
          <w:rFonts w:eastAsia="Times New Roman"/>
          <w:b/>
          <w:sz w:val="16"/>
          <w:szCs w:val="14"/>
        </w:rPr>
        <w:t xml:space="preserve"> 5 = Good; satisfies criteria in almost all areas.</w:t>
      </w:r>
    </w:p>
    <w:p w:rsidR="00A8197B" w:rsidRPr="00812509" w:rsidRDefault="00A8197B" w:rsidP="00812509">
      <w:pPr>
        <w:spacing w:before="20" w:after="20" w:line="180" w:lineRule="atLeast"/>
        <w:rPr>
          <w:rFonts w:eastAsia="Times New Roman"/>
          <w:b/>
          <w:sz w:val="16"/>
          <w:szCs w:val="14"/>
        </w:rPr>
      </w:pPr>
      <w:r w:rsidRPr="00812509">
        <w:rPr>
          <w:rFonts w:eastAsia="Times New Roman"/>
          <w:b/>
          <w:color w:val="FFFF00"/>
          <w:sz w:val="16"/>
          <w:szCs w:val="14"/>
        </w:rPr>
        <w:sym w:font="Webdings" w:char="F067"/>
      </w:r>
      <w:r w:rsidRPr="00812509">
        <w:rPr>
          <w:rFonts w:eastAsia="Times New Roman"/>
          <w:b/>
          <w:sz w:val="16"/>
          <w:szCs w:val="14"/>
        </w:rPr>
        <w:t xml:space="preserve"> 4 = Adequate; on balance, satisfies criteria; does not fail in any major area.</w:t>
      </w:r>
    </w:p>
    <w:p w:rsidR="00A8197B" w:rsidRPr="00812509" w:rsidRDefault="00A8197B" w:rsidP="00812509">
      <w:pPr>
        <w:spacing w:before="20" w:after="20" w:line="180" w:lineRule="atLeast"/>
        <w:rPr>
          <w:rFonts w:eastAsia="Times New Roman"/>
          <w:b/>
          <w:sz w:val="16"/>
          <w:szCs w:val="14"/>
        </w:rPr>
      </w:pPr>
      <w:r w:rsidRPr="00812509">
        <w:rPr>
          <w:rFonts w:eastAsia="Times New Roman"/>
          <w:b/>
          <w:sz w:val="16"/>
          <w:szCs w:val="14"/>
        </w:rPr>
        <w:t>Less than satisfactory (1, 2 and 3)</w:t>
      </w:r>
    </w:p>
    <w:p w:rsidR="00A8197B" w:rsidRPr="00812509" w:rsidRDefault="00A8197B" w:rsidP="00812509">
      <w:pPr>
        <w:spacing w:before="20" w:after="20" w:line="180" w:lineRule="atLeast"/>
        <w:rPr>
          <w:rFonts w:eastAsia="Times New Roman"/>
          <w:b/>
          <w:sz w:val="16"/>
          <w:szCs w:val="14"/>
        </w:rPr>
      </w:pPr>
      <w:r w:rsidRPr="00812509">
        <w:rPr>
          <w:rFonts w:eastAsia="Times New Roman"/>
          <w:b/>
          <w:color w:val="E36C0A"/>
          <w:sz w:val="16"/>
          <w:szCs w:val="14"/>
        </w:rPr>
        <w:sym w:font="Webdings" w:char="F067"/>
      </w:r>
      <w:r w:rsidRPr="00812509">
        <w:rPr>
          <w:rFonts w:eastAsia="Times New Roman"/>
          <w:b/>
          <w:color w:val="E36C0A"/>
          <w:sz w:val="16"/>
          <w:szCs w:val="14"/>
        </w:rPr>
        <w:t xml:space="preserve"> </w:t>
      </w:r>
      <w:r w:rsidRPr="00812509">
        <w:rPr>
          <w:rFonts w:eastAsia="Times New Roman"/>
          <w:b/>
          <w:sz w:val="16"/>
          <w:szCs w:val="14"/>
        </w:rPr>
        <w:t>3 = Less than adequate; on balance does not satisfy criteria and/or fails in at least one major area.</w:t>
      </w:r>
    </w:p>
    <w:p w:rsidR="00A8197B" w:rsidRPr="00812509" w:rsidRDefault="00A8197B" w:rsidP="00812509">
      <w:pPr>
        <w:spacing w:before="20" w:after="20" w:line="180" w:lineRule="atLeast"/>
        <w:rPr>
          <w:sz w:val="24"/>
        </w:rPr>
      </w:pPr>
      <w:r w:rsidRPr="00812509">
        <w:rPr>
          <w:rFonts w:eastAsia="Times New Roman"/>
          <w:b/>
          <w:color w:val="FF0000"/>
          <w:sz w:val="16"/>
          <w:szCs w:val="14"/>
        </w:rPr>
        <w:sym w:font="Webdings" w:char="F067"/>
      </w:r>
      <w:r w:rsidRPr="00812509">
        <w:rPr>
          <w:rFonts w:eastAsia="Times New Roman"/>
          <w:b/>
          <w:sz w:val="16"/>
          <w:szCs w:val="14"/>
        </w:rPr>
        <w:t xml:space="preserve"> 2 = Poor; does not satisfy criteria in major areas.  </w:t>
      </w:r>
      <w:r w:rsidRPr="00812509">
        <w:rPr>
          <w:rFonts w:eastAsia="Times New Roman"/>
          <w:b/>
          <w:color w:val="FF0000"/>
          <w:sz w:val="16"/>
          <w:szCs w:val="14"/>
        </w:rPr>
        <w:sym w:font="Webdings" w:char="F067"/>
      </w:r>
      <w:r w:rsidRPr="00812509">
        <w:rPr>
          <w:rFonts w:eastAsia="Times New Roman"/>
          <w:b/>
          <w:sz w:val="16"/>
          <w:szCs w:val="14"/>
        </w:rPr>
        <w:t xml:space="preserve"> 1 = Very poor; does not satisfy criteria in many major area.</w:t>
      </w:r>
    </w:p>
    <w:p w:rsidR="00A8197B" w:rsidRDefault="00A8197B" w:rsidP="00A8197B">
      <w:pPr>
        <w:pStyle w:val="ListBullet"/>
        <w:tabs>
          <w:tab w:val="clear" w:pos="284"/>
        </w:tabs>
      </w:pPr>
    </w:p>
    <w:p w:rsidR="00A8197B" w:rsidRPr="00A8197B" w:rsidRDefault="00A8197B" w:rsidP="00A8197B"/>
    <w:p w:rsidR="0059146A" w:rsidRDefault="0059146A" w:rsidP="005B5769">
      <w:pPr>
        <w:pStyle w:val="ListBullet"/>
        <w:tabs>
          <w:tab w:val="clear" w:pos="284"/>
        </w:tabs>
      </w:pPr>
    </w:p>
    <w:p w:rsidR="00015316" w:rsidRDefault="00015316" w:rsidP="005B5769">
      <w:pPr>
        <w:pStyle w:val="ListBullet"/>
        <w:tabs>
          <w:tab w:val="clear" w:pos="284"/>
        </w:tabs>
      </w:pPr>
      <w:bookmarkStart w:id="0" w:name="_GoBack"/>
      <w:bookmarkEnd w:id="0"/>
    </w:p>
    <w:p w:rsidR="00015316" w:rsidRDefault="00015316" w:rsidP="005B5769">
      <w:pPr>
        <w:pStyle w:val="ListBullet"/>
        <w:tabs>
          <w:tab w:val="clear" w:pos="284"/>
        </w:tabs>
      </w:pPr>
    </w:p>
    <w:p w:rsidR="00015316" w:rsidRDefault="00015316" w:rsidP="005B5769">
      <w:pPr>
        <w:pStyle w:val="ListBullet"/>
        <w:tabs>
          <w:tab w:val="clear" w:pos="284"/>
        </w:tabs>
      </w:pPr>
    </w:p>
    <w:p w:rsidR="00015316" w:rsidRDefault="00015316" w:rsidP="005B5769">
      <w:pPr>
        <w:pStyle w:val="ListBullet"/>
        <w:tabs>
          <w:tab w:val="clear" w:pos="284"/>
        </w:tabs>
      </w:pPr>
    </w:p>
    <w:p w:rsidR="00015316" w:rsidRDefault="00015316" w:rsidP="005B5769">
      <w:pPr>
        <w:pStyle w:val="ListBullet"/>
        <w:tabs>
          <w:tab w:val="clear" w:pos="284"/>
        </w:tabs>
      </w:pPr>
    </w:p>
    <w:p w:rsidR="00015316" w:rsidRDefault="00015316" w:rsidP="005B5769">
      <w:pPr>
        <w:pStyle w:val="ListBullet"/>
        <w:tabs>
          <w:tab w:val="clear" w:pos="284"/>
        </w:tabs>
      </w:pPr>
    </w:p>
    <w:p w:rsidR="00015316" w:rsidRDefault="00015316" w:rsidP="005B5769">
      <w:pPr>
        <w:pStyle w:val="ListBullet"/>
        <w:tabs>
          <w:tab w:val="clear" w:pos="284"/>
        </w:tabs>
      </w:pPr>
    </w:p>
    <w:p w:rsidR="00015316" w:rsidRDefault="00015316" w:rsidP="005B5769">
      <w:pPr>
        <w:pStyle w:val="ListBullet"/>
        <w:tabs>
          <w:tab w:val="clear" w:pos="284"/>
        </w:tabs>
      </w:pPr>
    </w:p>
    <w:p w:rsidR="00015316" w:rsidRDefault="00015316" w:rsidP="005B5769">
      <w:pPr>
        <w:pStyle w:val="ListBullet"/>
        <w:tabs>
          <w:tab w:val="clear" w:pos="284"/>
        </w:tabs>
      </w:pPr>
    </w:p>
    <w:p w:rsidR="00015316" w:rsidRDefault="00015316" w:rsidP="005B5769">
      <w:pPr>
        <w:pStyle w:val="ListBullet"/>
        <w:tabs>
          <w:tab w:val="clear" w:pos="284"/>
        </w:tabs>
      </w:pPr>
    </w:p>
    <w:p w:rsidR="00015316" w:rsidRDefault="00015316" w:rsidP="005B5769">
      <w:pPr>
        <w:pStyle w:val="ListBullet"/>
        <w:tabs>
          <w:tab w:val="clear" w:pos="284"/>
        </w:tabs>
      </w:pPr>
    </w:p>
    <w:p w:rsidR="00015316" w:rsidRDefault="00015316" w:rsidP="005B5769">
      <w:pPr>
        <w:pStyle w:val="ListBullet"/>
        <w:tabs>
          <w:tab w:val="clear" w:pos="284"/>
        </w:tabs>
      </w:pPr>
    </w:p>
    <w:p w:rsidR="00015316" w:rsidRDefault="00015316" w:rsidP="005B5769">
      <w:pPr>
        <w:pStyle w:val="ListBullet"/>
        <w:tabs>
          <w:tab w:val="clear" w:pos="284"/>
        </w:tabs>
      </w:pPr>
    </w:p>
    <w:p w:rsidR="00015316" w:rsidRDefault="00015316" w:rsidP="005B5769">
      <w:pPr>
        <w:pStyle w:val="ListBullet"/>
        <w:tabs>
          <w:tab w:val="clear" w:pos="284"/>
        </w:tabs>
      </w:pPr>
    </w:p>
    <w:p w:rsidR="00015316" w:rsidRDefault="00015316" w:rsidP="005B5769">
      <w:pPr>
        <w:pStyle w:val="ListBullet"/>
        <w:tabs>
          <w:tab w:val="clear" w:pos="284"/>
        </w:tabs>
      </w:pPr>
    </w:p>
    <w:sectPr w:rsidR="00015316" w:rsidSect="004839E3">
      <w:headerReference w:type="default" r:id="rId20"/>
      <w:pgSz w:w="11906" w:h="16838" w:code="9"/>
      <w:pgMar w:top="1527" w:right="1134" w:bottom="851" w:left="1134" w:header="1418" w:footer="192"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324" w:rsidRDefault="00E27324" w:rsidP="00EF4574">
      <w:pPr>
        <w:spacing w:before="0" w:after="0" w:line="240" w:lineRule="auto"/>
      </w:pPr>
      <w:r>
        <w:separator/>
      </w:r>
    </w:p>
  </w:endnote>
  <w:endnote w:type="continuationSeparator" w:id="0">
    <w:p w:rsidR="00E27324" w:rsidRDefault="00E27324"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324" w:rsidRDefault="00E27324" w:rsidP="004839E3">
    <w:pPr>
      <w:pStyle w:val="Footer"/>
      <w:rPr>
        <w:lang w:val="en-AU"/>
      </w:rPr>
    </w:pPr>
  </w:p>
  <w:p w:rsidR="00E27324" w:rsidRDefault="00E27324" w:rsidP="004839E3">
    <w:pPr>
      <w:pStyle w:val="Footer"/>
    </w:pPr>
  </w:p>
  <w:p w:rsidR="00E27324" w:rsidRPr="00CD0E4B" w:rsidRDefault="00E27324" w:rsidP="004839E3">
    <w:pPr>
      <w:pStyle w:val="Footer"/>
    </w:pPr>
    <w:r w:rsidRPr="00CD0E4B">
      <w:rPr>
        <w:noProof/>
        <w:lang w:val="en-AU" w:eastAsia="en-AU"/>
      </w:rPr>
      <w:drawing>
        <wp:inline distT="0" distB="0" distL="0" distR="0" wp14:anchorId="16CE16C9" wp14:editId="7B4CCA93">
          <wp:extent cx="90000" cy="74520"/>
          <wp:effectExtent l="0" t="0" r="5715"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rsidR="00E27324" w:rsidRPr="00CD0E4B" w:rsidRDefault="00E27324" w:rsidP="004839E3">
    <w:pPr>
      <w:pStyle w:val="Footer"/>
      <w:rPr>
        <w:color w:val="ACD08C" w:themeColor="accent3"/>
      </w:rPr>
    </w:pPr>
    <w:r w:rsidRPr="00CD0E4B">
      <w:rPr>
        <w:color w:val="ACD08C" w:themeColor="accent3"/>
      </w:rPr>
      <w:t>DFAT.GOV.AU</w:t>
    </w:r>
  </w:p>
  <w:p w:rsidR="00E27324" w:rsidRPr="004839E3" w:rsidRDefault="00E27324" w:rsidP="004839E3">
    <w:pPr>
      <w:pStyle w:val="Footer"/>
      <w:rPr>
        <w:lang w:val="en-AU"/>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324" w:rsidRPr="004839E3" w:rsidRDefault="00E27324" w:rsidP="004839E3">
    <w:pPr>
      <w:spacing w:before="0" w:after="0" w:line="240" w:lineRule="exact"/>
      <w:ind w:right="284"/>
      <w:jc w:val="right"/>
      <w:rPr>
        <w:color w:val="FFFFFF" w:themeColor="background1"/>
      </w:rPr>
    </w:pPr>
    <w:r w:rsidRPr="004839E3">
      <w:rPr>
        <w:noProof/>
        <w:color w:val="FFFFFF" w:themeColor="background1"/>
        <w:lang w:val="en-AU" w:eastAsia="en-AU"/>
      </w:rPr>
      <w:drawing>
        <wp:inline distT="0" distB="0" distL="0" distR="0" wp14:anchorId="09B3A5F0" wp14:editId="4BF1931F">
          <wp:extent cx="90000" cy="74520"/>
          <wp:effectExtent l="0" t="0" r="571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4839E3">
      <w:rPr>
        <w:color w:val="FFFFFF" w:themeColor="background1"/>
      </w:rPr>
      <w:t>@DFAT</w:t>
    </w:r>
  </w:p>
  <w:p w:rsidR="00E27324" w:rsidRDefault="00E27324" w:rsidP="004839E3">
    <w:pPr>
      <w:spacing w:before="0" w:after="0" w:line="240" w:lineRule="exact"/>
      <w:ind w:right="284"/>
      <w:jc w:val="right"/>
    </w:pPr>
    <w:r w:rsidRPr="004839E3">
      <w:rPr>
        <w:color w:val="ACD08C" w:themeColor="accent3"/>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324" w:rsidRPr="008C5A0E" w:rsidRDefault="00E27324" w:rsidP="001D663E">
      <w:pPr>
        <w:pStyle w:val="Footer"/>
        <w:pBdr>
          <w:top w:val="single" w:sz="4" w:space="1" w:color="495965" w:themeColor="text2"/>
        </w:pBdr>
      </w:pPr>
    </w:p>
  </w:footnote>
  <w:footnote w:type="continuationSeparator" w:id="0">
    <w:p w:rsidR="00E27324" w:rsidRDefault="00E27324" w:rsidP="00EF4574">
      <w:pPr>
        <w:spacing w:before="0" w:after="0" w:line="240" w:lineRule="auto"/>
      </w:pPr>
      <w:r>
        <w:continuationSeparator/>
      </w:r>
    </w:p>
  </w:footnote>
  <w:footnote w:id="1">
    <w:p w:rsidR="00E27324" w:rsidRPr="004B140D" w:rsidRDefault="00E27324">
      <w:pPr>
        <w:pStyle w:val="FootnoteText"/>
        <w:rPr>
          <w:lang w:val="en-AU"/>
        </w:rPr>
      </w:pPr>
      <w:r>
        <w:rPr>
          <w:rStyle w:val="FootnoteReference"/>
        </w:rPr>
        <w:footnoteRef/>
      </w:r>
      <w:r>
        <w:t xml:space="preserve"> </w:t>
      </w:r>
      <w:r>
        <w:rPr>
          <w:lang w:val="en-AU"/>
        </w:rPr>
        <w:t>MDF Independent Advisory Group Mission to Sri Lanka Report, April 2016 (internal DFAT document).</w:t>
      </w:r>
    </w:p>
  </w:footnote>
  <w:footnote w:id="2">
    <w:p w:rsidR="00E27324" w:rsidRPr="004B140D" w:rsidRDefault="00E27324">
      <w:pPr>
        <w:pStyle w:val="FootnoteText"/>
        <w:rPr>
          <w:lang w:val="en-AU"/>
        </w:rPr>
      </w:pPr>
      <w:r>
        <w:rPr>
          <w:rStyle w:val="FootnoteReference"/>
        </w:rPr>
        <w:footnoteRef/>
      </w:r>
      <w:r>
        <w:t xml:space="preserve"> </w:t>
      </w:r>
      <w:r>
        <w:rPr>
          <w:lang w:val="en-AU"/>
        </w:rPr>
        <w:t>ACRP3 Technical Support Team Field Monitoring Mission Report, May 2016 (internal DFAT document); Local Empowerment through Economic Development (LEED), June 2016 (internal DFAT document).</w:t>
      </w:r>
    </w:p>
  </w:footnote>
  <w:footnote w:id="3">
    <w:p w:rsidR="00E27324" w:rsidRPr="004B140D" w:rsidRDefault="00E27324">
      <w:pPr>
        <w:pStyle w:val="FootnoteText"/>
        <w:rPr>
          <w:lang w:val="en-AU"/>
        </w:rPr>
      </w:pPr>
      <w:r>
        <w:rPr>
          <w:rStyle w:val="FootnoteReference"/>
        </w:rPr>
        <w:footnoteRef/>
      </w:r>
      <w:r>
        <w:t xml:space="preserve"> Sri Lanka </w:t>
      </w:r>
      <w:r>
        <w:rPr>
          <w:lang w:val="en-AU"/>
        </w:rPr>
        <w:t>Community Forestry Project, Aide Memoire of the Sixth Program Supervisory Mission, January 2016 (internal DFAT document)</w:t>
      </w:r>
    </w:p>
  </w:footnote>
  <w:footnote w:id="4">
    <w:p w:rsidR="00E27324" w:rsidRPr="004B140D" w:rsidRDefault="00E27324">
      <w:pPr>
        <w:pStyle w:val="FootnoteText"/>
        <w:rPr>
          <w:lang w:val="en-AU"/>
        </w:rPr>
      </w:pPr>
      <w:r>
        <w:rPr>
          <w:rStyle w:val="FootnoteReference"/>
        </w:rPr>
        <w:footnoteRef/>
      </w:r>
      <w:r>
        <w:t xml:space="preserve"> See </w:t>
      </w:r>
      <w:hyperlink r:id="rId1" w:history="1">
        <w:r w:rsidRPr="001853F7">
          <w:rPr>
            <w:rStyle w:val="Hyperlink"/>
            <w:rFonts w:cstheme="minorBidi"/>
            <w:lang w:val="en-AU"/>
          </w:rPr>
          <w:t>http://documents.worldbank.org/curated/en/846371468933131350/Sri-Lanka-Competitiveness-20-FINAL.docx</w:t>
        </w:r>
      </w:hyperlink>
      <w:r>
        <w:rPr>
          <w:lang w:val="en-AU"/>
        </w:rPr>
        <w:t xml:space="preserve"> </w:t>
      </w:r>
    </w:p>
  </w:footnote>
  <w:footnote w:id="5">
    <w:p w:rsidR="00E27324" w:rsidRPr="004B140D" w:rsidRDefault="00E27324">
      <w:pPr>
        <w:pStyle w:val="FootnoteText"/>
        <w:rPr>
          <w:lang w:val="en-AU"/>
        </w:rPr>
      </w:pPr>
      <w:r>
        <w:rPr>
          <w:rStyle w:val="FootnoteReference"/>
        </w:rPr>
        <w:footnoteRef/>
      </w:r>
      <w:r>
        <w:t xml:space="preserve"> </w:t>
      </w:r>
      <w:r w:rsidRPr="00C64E41">
        <w:rPr>
          <w:lang w:val="en-AU"/>
        </w:rPr>
        <w:t>NELSIP March 2016 Implementation Review and Support Mission Aide Memoire (internal DFAT document)</w:t>
      </w:r>
      <w:r>
        <w:rPr>
          <w:lang w:val="en-AU"/>
        </w:rPr>
        <w:t>; TSEP Supervision and Implementation Support Mission, October 2015 (internal DFAT document)</w:t>
      </w:r>
    </w:p>
  </w:footnote>
  <w:footnote w:id="6">
    <w:p w:rsidR="00E27324" w:rsidRPr="004B140D" w:rsidRDefault="00E27324">
      <w:pPr>
        <w:pStyle w:val="FootnoteText"/>
        <w:rPr>
          <w:lang w:val="en-AU"/>
        </w:rPr>
      </w:pPr>
      <w:r>
        <w:rPr>
          <w:rStyle w:val="FootnoteReference"/>
        </w:rPr>
        <w:footnoteRef/>
      </w:r>
      <w:r>
        <w:t xml:space="preserve"> </w:t>
      </w:r>
      <w:r>
        <w:rPr>
          <w:lang w:val="en-AU"/>
        </w:rPr>
        <w:t>TAF Annual Monitoring Report (internal DFAT document)</w:t>
      </w:r>
    </w:p>
  </w:footnote>
  <w:footnote w:id="7">
    <w:p w:rsidR="00E27324" w:rsidRPr="004B140D" w:rsidRDefault="00E27324">
      <w:pPr>
        <w:pStyle w:val="FootnoteText"/>
        <w:rPr>
          <w:lang w:val="en-AU"/>
        </w:rPr>
      </w:pPr>
      <w:r>
        <w:rPr>
          <w:rStyle w:val="FootnoteReference"/>
        </w:rPr>
        <w:footnoteRef/>
      </w:r>
      <w:r>
        <w:t xml:space="preserve"> </w:t>
      </w:r>
      <w:r>
        <w:rPr>
          <w:lang w:val="en-AU"/>
        </w:rPr>
        <w:t xml:space="preserve">NELSIP March 2016 Implementation Review and Support Mission Aide Memoire (internal DFAT document); </w:t>
      </w:r>
      <w:r w:rsidRPr="00C64E41">
        <w:t>Sri Lanka - North East Local Services Improvement Project (NELSIP) : P113036 - Implementation Status Results Report</w:t>
      </w:r>
      <w:r>
        <w:t xml:space="preserve"> at </w:t>
      </w:r>
      <w:hyperlink r:id="rId2" w:history="1">
        <w:r w:rsidRPr="001853F7">
          <w:rPr>
            <w:rStyle w:val="Hyperlink"/>
            <w:rFonts w:cstheme="minorBidi"/>
          </w:rPr>
          <w:t>http://documents.worldbank.org/curated/en/360131468107347123/Sri-Lanka-North-East-Local-Services-Improvement-Project-NELSIP-P113036-Implementation-Status-Results-Report-Sequence-12</w:t>
        </w:r>
      </w:hyperlink>
      <w:r>
        <w:t xml:space="preserve"> </w:t>
      </w:r>
    </w:p>
  </w:footnote>
  <w:footnote w:id="8">
    <w:p w:rsidR="00E27324" w:rsidRPr="004B140D" w:rsidRDefault="00E27324">
      <w:pPr>
        <w:pStyle w:val="FootnoteText"/>
        <w:rPr>
          <w:lang w:val="en-AU"/>
        </w:rPr>
      </w:pPr>
      <w:r>
        <w:rPr>
          <w:rStyle w:val="FootnoteReference"/>
        </w:rPr>
        <w:footnoteRef/>
      </w:r>
      <w:r>
        <w:t xml:space="preserve"> </w:t>
      </w:r>
      <w:r>
        <w:rPr>
          <w:lang w:val="en-AU"/>
        </w:rPr>
        <w:t>ACRP3 Technical Support Team Field Monitoring Mission Report, May 2016 (internal DFAT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324" w:rsidRPr="00333501" w:rsidRDefault="00E27324" w:rsidP="008F56A8">
    <w:pPr>
      <w:pStyle w:val="Header"/>
      <w:jc w:val="left"/>
    </w:pPr>
    <w:r>
      <w:rPr>
        <w:noProof/>
        <w:lang w:val="en-AU" w:eastAsia="en-AU"/>
      </w:rPr>
      <w:drawing>
        <wp:anchor distT="0" distB="0" distL="114300" distR="114300" simplePos="0" relativeHeight="251671552" behindDoc="1" locked="1" layoutInCell="1" allowOverlap="1" wp14:anchorId="58320DC1" wp14:editId="13469BA7">
          <wp:simplePos x="0" y="0"/>
          <wp:positionH relativeFrom="page">
            <wp:posOffset>7620</wp:posOffset>
          </wp:positionH>
          <wp:positionV relativeFrom="page">
            <wp:posOffset>-6985</wp:posOffset>
          </wp:positionV>
          <wp:extent cx="7545705" cy="1070229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0702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324" w:rsidRPr="003D352D" w:rsidRDefault="00E27324" w:rsidP="003D352D">
    <w:pPr>
      <w:pStyle w:val="Header"/>
      <w:jc w:val="left"/>
    </w:pPr>
    <w:r>
      <w:rPr>
        <w:noProof/>
        <w:lang w:val="en-AU" w:eastAsia="en-AU"/>
      </w:rPr>
      <w:drawing>
        <wp:anchor distT="0" distB="0" distL="114300" distR="114300" simplePos="0" relativeHeight="251669504" behindDoc="1" locked="1" layoutInCell="1" allowOverlap="1" wp14:anchorId="4C045406" wp14:editId="5D18564D">
          <wp:simplePos x="0" y="0"/>
          <wp:positionH relativeFrom="page">
            <wp:posOffset>-23495</wp:posOffset>
          </wp:positionH>
          <wp:positionV relativeFrom="page">
            <wp:posOffset>15875</wp:posOffset>
          </wp:positionV>
          <wp:extent cx="7734935" cy="10829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734935" cy="10829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324" w:rsidRPr="003D352D" w:rsidRDefault="00E27324" w:rsidP="003D352D">
    <w:pPr>
      <w:pStyle w:val="Header"/>
      <w:jc w:val="left"/>
    </w:pPr>
    <w:r>
      <w:rPr>
        <w:noProof/>
        <w:lang w:val="en-AU" w:eastAsia="en-AU"/>
      </w:rPr>
      <w:drawing>
        <wp:anchor distT="0" distB="0" distL="114300" distR="114300" simplePos="0" relativeHeight="251673600" behindDoc="1" locked="1" layoutInCell="1" allowOverlap="1" wp14:anchorId="0F596B3B" wp14:editId="747382A2">
          <wp:simplePos x="0" y="0"/>
          <wp:positionH relativeFrom="page">
            <wp:posOffset>0</wp:posOffset>
          </wp:positionH>
          <wp:positionV relativeFrom="page">
            <wp:posOffset>0</wp:posOffset>
          </wp:positionV>
          <wp:extent cx="10694035" cy="7465695"/>
          <wp:effectExtent l="0" t="0" r="0" b="1905"/>
          <wp:wrapNone/>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94035" cy="74656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324" w:rsidRPr="003D352D" w:rsidRDefault="00E27324" w:rsidP="003D352D">
    <w:pPr>
      <w:pStyle w:val="Header"/>
      <w:jc w:val="left"/>
    </w:pPr>
    <w:r>
      <w:rPr>
        <w:noProof/>
        <w:lang w:val="en-AU" w:eastAsia="en-AU"/>
      </w:rPr>
      <w:drawing>
        <wp:anchor distT="0" distB="0" distL="114300" distR="114300" simplePos="0" relativeHeight="251675648" behindDoc="1" locked="1" layoutInCell="1" allowOverlap="1" wp14:anchorId="614F969B" wp14:editId="45519658">
          <wp:simplePos x="0" y="0"/>
          <wp:positionH relativeFrom="page">
            <wp:posOffset>-15875</wp:posOffset>
          </wp:positionH>
          <wp:positionV relativeFrom="page">
            <wp:posOffset>0</wp:posOffset>
          </wp:positionV>
          <wp:extent cx="10702290" cy="7458075"/>
          <wp:effectExtent l="0" t="0" r="3810" b="9525"/>
          <wp:wrapNone/>
          <wp:docPr id="39"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702290" cy="7458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324" w:rsidRPr="00333501" w:rsidRDefault="00E27324" w:rsidP="008F56A8">
    <w:pPr>
      <w:pStyle w:val="Header"/>
      <w:jc w:val="left"/>
    </w:pPr>
    <w:r>
      <w:rPr>
        <w:noProof/>
        <w:lang w:val="en-AU" w:eastAsia="en-AU"/>
      </w:rPr>
      <w:drawing>
        <wp:anchor distT="0" distB="0" distL="114300" distR="114300" simplePos="0" relativeHeight="251683840" behindDoc="1" locked="1" layoutInCell="1" allowOverlap="1" wp14:anchorId="20F242BB" wp14:editId="08F6C47F">
          <wp:simplePos x="0" y="0"/>
          <wp:positionH relativeFrom="page">
            <wp:posOffset>46990</wp:posOffset>
          </wp:positionH>
          <wp:positionV relativeFrom="page">
            <wp:posOffset>95250</wp:posOffset>
          </wp:positionV>
          <wp:extent cx="7561580" cy="10757535"/>
          <wp:effectExtent l="0" t="0" r="1270" b="5715"/>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1580" cy="10757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D7691"/>
    <w:multiLevelType w:val="hybridMultilevel"/>
    <w:tmpl w:val="F500B00C"/>
    <w:lvl w:ilvl="0" w:tplc="55CE49F6">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CD217A"/>
    <w:multiLevelType w:val="hybridMultilevel"/>
    <w:tmpl w:val="12246D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15C493E"/>
    <w:multiLevelType w:val="hybridMultilevel"/>
    <w:tmpl w:val="0E320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5D3C1EA7"/>
    <w:multiLevelType w:val="multilevel"/>
    <w:tmpl w:val="43428892"/>
    <w:numStyleLink w:val="BulletsList"/>
  </w:abstractNum>
  <w:abstractNum w:abstractNumId="2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0"/>
  </w:num>
  <w:num w:numId="10">
    <w:abstractNumId w:val="2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1"/>
  </w:num>
  <w:num w:numId="22">
    <w:abstractNumId w:val="15"/>
  </w:num>
  <w:num w:numId="23">
    <w:abstractNumId w:val="15"/>
  </w:num>
  <w:num w:numId="24">
    <w:abstractNumId w:val="21"/>
  </w:num>
  <w:num w:numId="25">
    <w:abstractNumId w:val="21"/>
  </w:num>
  <w:num w:numId="26">
    <w:abstractNumId w:val="21"/>
  </w:num>
  <w:num w:numId="27">
    <w:abstractNumId w:val="20"/>
  </w:num>
  <w:num w:numId="28">
    <w:abstractNumId w:val="11"/>
  </w:num>
  <w:num w:numId="29">
    <w:abstractNumId w:val="11"/>
  </w:num>
  <w:num w:numId="30">
    <w:abstractNumId w:val="11"/>
  </w:num>
  <w:num w:numId="31">
    <w:abstractNumId w:val="17"/>
  </w:num>
  <w:num w:numId="32">
    <w:abstractNumId w:val="19"/>
  </w:num>
  <w:num w:numId="33">
    <w:abstractNumId w:val="24"/>
  </w:num>
  <w:num w:numId="34">
    <w:abstractNumId w:val="18"/>
  </w:num>
  <w:num w:numId="35">
    <w:abstractNumId w:val="14"/>
  </w:num>
  <w:num w:numId="36">
    <w:abstractNumId w:val="13"/>
  </w:num>
  <w:num w:numId="37">
    <w:abstractNumId w:val="10"/>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0338E"/>
    <w:rsid w:val="00015316"/>
    <w:rsid w:val="0002080A"/>
    <w:rsid w:val="0002782F"/>
    <w:rsid w:val="00031512"/>
    <w:rsid w:val="00037C1B"/>
    <w:rsid w:val="00043D6D"/>
    <w:rsid w:val="00054E4D"/>
    <w:rsid w:val="000564F1"/>
    <w:rsid w:val="00057955"/>
    <w:rsid w:val="00060073"/>
    <w:rsid w:val="00060268"/>
    <w:rsid w:val="00084483"/>
    <w:rsid w:val="00085995"/>
    <w:rsid w:val="000A394E"/>
    <w:rsid w:val="000C4A3C"/>
    <w:rsid w:val="000D5F56"/>
    <w:rsid w:val="000D66D6"/>
    <w:rsid w:val="000E314A"/>
    <w:rsid w:val="00135717"/>
    <w:rsid w:val="00135EEC"/>
    <w:rsid w:val="00141AA1"/>
    <w:rsid w:val="0014332B"/>
    <w:rsid w:val="001541EA"/>
    <w:rsid w:val="00162DE2"/>
    <w:rsid w:val="00171C6A"/>
    <w:rsid w:val="001A4E8B"/>
    <w:rsid w:val="001A6EF4"/>
    <w:rsid w:val="001D663E"/>
    <w:rsid w:val="001E1DC0"/>
    <w:rsid w:val="001E2E5B"/>
    <w:rsid w:val="001E52B6"/>
    <w:rsid w:val="001E5FFF"/>
    <w:rsid w:val="00210199"/>
    <w:rsid w:val="0022514F"/>
    <w:rsid w:val="00226676"/>
    <w:rsid w:val="00236A53"/>
    <w:rsid w:val="00275DB7"/>
    <w:rsid w:val="00284957"/>
    <w:rsid w:val="0028602A"/>
    <w:rsid w:val="00294ED1"/>
    <w:rsid w:val="002A1D05"/>
    <w:rsid w:val="002A51CA"/>
    <w:rsid w:val="002A62C8"/>
    <w:rsid w:val="002B3E95"/>
    <w:rsid w:val="002B47F4"/>
    <w:rsid w:val="002B4986"/>
    <w:rsid w:val="002B5E10"/>
    <w:rsid w:val="002C2A69"/>
    <w:rsid w:val="002E063A"/>
    <w:rsid w:val="002E3532"/>
    <w:rsid w:val="003002C0"/>
    <w:rsid w:val="00301144"/>
    <w:rsid w:val="003122B4"/>
    <w:rsid w:val="003148B7"/>
    <w:rsid w:val="003158C3"/>
    <w:rsid w:val="003274CD"/>
    <w:rsid w:val="003300DF"/>
    <w:rsid w:val="00333501"/>
    <w:rsid w:val="003379EB"/>
    <w:rsid w:val="003457C4"/>
    <w:rsid w:val="0035119D"/>
    <w:rsid w:val="00352A07"/>
    <w:rsid w:val="00366DBA"/>
    <w:rsid w:val="00380104"/>
    <w:rsid w:val="003A33DE"/>
    <w:rsid w:val="003B3E62"/>
    <w:rsid w:val="003B4F12"/>
    <w:rsid w:val="003B63F8"/>
    <w:rsid w:val="003C043F"/>
    <w:rsid w:val="003C14B0"/>
    <w:rsid w:val="003D352D"/>
    <w:rsid w:val="003D42A8"/>
    <w:rsid w:val="003F7C5F"/>
    <w:rsid w:val="00400B0F"/>
    <w:rsid w:val="00402ACC"/>
    <w:rsid w:val="004120EC"/>
    <w:rsid w:val="004146F1"/>
    <w:rsid w:val="00421C5C"/>
    <w:rsid w:val="00423F31"/>
    <w:rsid w:val="00430F9E"/>
    <w:rsid w:val="00431899"/>
    <w:rsid w:val="00434B15"/>
    <w:rsid w:val="00440905"/>
    <w:rsid w:val="00455609"/>
    <w:rsid w:val="004839E3"/>
    <w:rsid w:val="00486804"/>
    <w:rsid w:val="004977A1"/>
    <w:rsid w:val="004B140D"/>
    <w:rsid w:val="004B3775"/>
    <w:rsid w:val="004D0BA0"/>
    <w:rsid w:val="004D7A89"/>
    <w:rsid w:val="004E0264"/>
    <w:rsid w:val="004E058F"/>
    <w:rsid w:val="004E3B87"/>
    <w:rsid w:val="00502089"/>
    <w:rsid w:val="00510921"/>
    <w:rsid w:val="00510AD3"/>
    <w:rsid w:val="00513348"/>
    <w:rsid w:val="005135B9"/>
    <w:rsid w:val="005200EC"/>
    <w:rsid w:val="005219D3"/>
    <w:rsid w:val="00526B30"/>
    <w:rsid w:val="0053088D"/>
    <w:rsid w:val="00533B5D"/>
    <w:rsid w:val="005511BF"/>
    <w:rsid w:val="0059146A"/>
    <w:rsid w:val="005B542F"/>
    <w:rsid w:val="005B5769"/>
    <w:rsid w:val="005B6CF8"/>
    <w:rsid w:val="005C0FC9"/>
    <w:rsid w:val="005D3655"/>
    <w:rsid w:val="005E606B"/>
    <w:rsid w:val="005F31C6"/>
    <w:rsid w:val="006117B8"/>
    <w:rsid w:val="006141D8"/>
    <w:rsid w:val="00615091"/>
    <w:rsid w:val="00623BA1"/>
    <w:rsid w:val="006346BC"/>
    <w:rsid w:val="00654D6F"/>
    <w:rsid w:val="0066652A"/>
    <w:rsid w:val="00680522"/>
    <w:rsid w:val="00681F08"/>
    <w:rsid w:val="00682167"/>
    <w:rsid w:val="006A0D1F"/>
    <w:rsid w:val="006A45DD"/>
    <w:rsid w:val="006A783C"/>
    <w:rsid w:val="006C374B"/>
    <w:rsid w:val="006C42AF"/>
    <w:rsid w:val="006C60F0"/>
    <w:rsid w:val="006C7E5B"/>
    <w:rsid w:val="006F27B1"/>
    <w:rsid w:val="0070510B"/>
    <w:rsid w:val="00711AF6"/>
    <w:rsid w:val="00711D8E"/>
    <w:rsid w:val="00712672"/>
    <w:rsid w:val="00721F53"/>
    <w:rsid w:val="007301D9"/>
    <w:rsid w:val="0073306D"/>
    <w:rsid w:val="0073331F"/>
    <w:rsid w:val="00734E3F"/>
    <w:rsid w:val="00736985"/>
    <w:rsid w:val="00737BCA"/>
    <w:rsid w:val="00745DF5"/>
    <w:rsid w:val="007528E7"/>
    <w:rsid w:val="0076250F"/>
    <w:rsid w:val="00771B53"/>
    <w:rsid w:val="00775AF6"/>
    <w:rsid w:val="00784031"/>
    <w:rsid w:val="00785E2D"/>
    <w:rsid w:val="00785EA7"/>
    <w:rsid w:val="0079453B"/>
    <w:rsid w:val="00794F4E"/>
    <w:rsid w:val="007B6200"/>
    <w:rsid w:val="007C5EDE"/>
    <w:rsid w:val="007F3395"/>
    <w:rsid w:val="007F3AF8"/>
    <w:rsid w:val="007F4A2A"/>
    <w:rsid w:val="00801B9F"/>
    <w:rsid w:val="008057FD"/>
    <w:rsid w:val="00812509"/>
    <w:rsid w:val="008150C9"/>
    <w:rsid w:val="00824AFC"/>
    <w:rsid w:val="00835EE1"/>
    <w:rsid w:val="008475F0"/>
    <w:rsid w:val="00860C49"/>
    <w:rsid w:val="00864210"/>
    <w:rsid w:val="00864C04"/>
    <w:rsid w:val="008A28C7"/>
    <w:rsid w:val="008A28CF"/>
    <w:rsid w:val="008A5AFE"/>
    <w:rsid w:val="008A6199"/>
    <w:rsid w:val="008B68D7"/>
    <w:rsid w:val="008C2F58"/>
    <w:rsid w:val="008C5A0E"/>
    <w:rsid w:val="008F56A8"/>
    <w:rsid w:val="009017E4"/>
    <w:rsid w:val="00916FB1"/>
    <w:rsid w:val="00941298"/>
    <w:rsid w:val="009650C2"/>
    <w:rsid w:val="009903F3"/>
    <w:rsid w:val="00990A61"/>
    <w:rsid w:val="00992C76"/>
    <w:rsid w:val="00996EED"/>
    <w:rsid w:val="009A0224"/>
    <w:rsid w:val="009B4D3B"/>
    <w:rsid w:val="009C42D6"/>
    <w:rsid w:val="009D7407"/>
    <w:rsid w:val="009E0866"/>
    <w:rsid w:val="009F5488"/>
    <w:rsid w:val="009F6423"/>
    <w:rsid w:val="00A02716"/>
    <w:rsid w:val="00A21B77"/>
    <w:rsid w:val="00A24A62"/>
    <w:rsid w:val="00A31C9F"/>
    <w:rsid w:val="00A329BB"/>
    <w:rsid w:val="00A4041F"/>
    <w:rsid w:val="00A4144F"/>
    <w:rsid w:val="00A5117D"/>
    <w:rsid w:val="00A56F14"/>
    <w:rsid w:val="00A67993"/>
    <w:rsid w:val="00A80F95"/>
    <w:rsid w:val="00A8197B"/>
    <w:rsid w:val="00A84162"/>
    <w:rsid w:val="00AA7BE3"/>
    <w:rsid w:val="00AB5E7F"/>
    <w:rsid w:val="00AC164A"/>
    <w:rsid w:val="00AC6965"/>
    <w:rsid w:val="00AE3864"/>
    <w:rsid w:val="00AF1B85"/>
    <w:rsid w:val="00AF2050"/>
    <w:rsid w:val="00B03CA8"/>
    <w:rsid w:val="00B07112"/>
    <w:rsid w:val="00B20513"/>
    <w:rsid w:val="00B331DC"/>
    <w:rsid w:val="00B40F89"/>
    <w:rsid w:val="00B438D3"/>
    <w:rsid w:val="00B51DF5"/>
    <w:rsid w:val="00B55E19"/>
    <w:rsid w:val="00B64DA2"/>
    <w:rsid w:val="00B65479"/>
    <w:rsid w:val="00BA393D"/>
    <w:rsid w:val="00BA4B6D"/>
    <w:rsid w:val="00BB26C5"/>
    <w:rsid w:val="00BC1EE7"/>
    <w:rsid w:val="00BD24FB"/>
    <w:rsid w:val="00BF4DE6"/>
    <w:rsid w:val="00C04DBE"/>
    <w:rsid w:val="00C4153F"/>
    <w:rsid w:val="00C42CDE"/>
    <w:rsid w:val="00C5182A"/>
    <w:rsid w:val="00C63EE9"/>
    <w:rsid w:val="00C64D61"/>
    <w:rsid w:val="00C64E41"/>
    <w:rsid w:val="00C6626C"/>
    <w:rsid w:val="00C87DE2"/>
    <w:rsid w:val="00CA1949"/>
    <w:rsid w:val="00CA37B1"/>
    <w:rsid w:val="00CB1959"/>
    <w:rsid w:val="00CB3684"/>
    <w:rsid w:val="00CC6E5F"/>
    <w:rsid w:val="00CD0E4B"/>
    <w:rsid w:val="00CE0155"/>
    <w:rsid w:val="00CE777A"/>
    <w:rsid w:val="00CF670F"/>
    <w:rsid w:val="00D00802"/>
    <w:rsid w:val="00D0296C"/>
    <w:rsid w:val="00D146A2"/>
    <w:rsid w:val="00D15A00"/>
    <w:rsid w:val="00D23100"/>
    <w:rsid w:val="00D2637C"/>
    <w:rsid w:val="00D46D10"/>
    <w:rsid w:val="00D64933"/>
    <w:rsid w:val="00D64BD1"/>
    <w:rsid w:val="00D72760"/>
    <w:rsid w:val="00D97205"/>
    <w:rsid w:val="00DA2FB2"/>
    <w:rsid w:val="00DB0C74"/>
    <w:rsid w:val="00DB1EBC"/>
    <w:rsid w:val="00DC259D"/>
    <w:rsid w:val="00DC4A0A"/>
    <w:rsid w:val="00DD1986"/>
    <w:rsid w:val="00DE084C"/>
    <w:rsid w:val="00DE4300"/>
    <w:rsid w:val="00E04445"/>
    <w:rsid w:val="00E27324"/>
    <w:rsid w:val="00E316EC"/>
    <w:rsid w:val="00E357B7"/>
    <w:rsid w:val="00E41EA8"/>
    <w:rsid w:val="00E4476E"/>
    <w:rsid w:val="00E53800"/>
    <w:rsid w:val="00E5731A"/>
    <w:rsid w:val="00E6081F"/>
    <w:rsid w:val="00E87226"/>
    <w:rsid w:val="00E900C3"/>
    <w:rsid w:val="00EA04B2"/>
    <w:rsid w:val="00EA20F3"/>
    <w:rsid w:val="00EB1B48"/>
    <w:rsid w:val="00EC2A20"/>
    <w:rsid w:val="00ED1CD6"/>
    <w:rsid w:val="00ED2831"/>
    <w:rsid w:val="00ED43D1"/>
    <w:rsid w:val="00EE4EE1"/>
    <w:rsid w:val="00EF12EA"/>
    <w:rsid w:val="00EF4574"/>
    <w:rsid w:val="00F06182"/>
    <w:rsid w:val="00F106FC"/>
    <w:rsid w:val="00F10703"/>
    <w:rsid w:val="00F12FCB"/>
    <w:rsid w:val="00F2684E"/>
    <w:rsid w:val="00F4350C"/>
    <w:rsid w:val="00F44952"/>
    <w:rsid w:val="00F5404C"/>
    <w:rsid w:val="00F57223"/>
    <w:rsid w:val="00F729EF"/>
    <w:rsid w:val="00F77CAE"/>
    <w:rsid w:val="00F81C56"/>
    <w:rsid w:val="00F82271"/>
    <w:rsid w:val="00F83428"/>
    <w:rsid w:val="00F96BB9"/>
    <w:rsid w:val="00F975D4"/>
    <w:rsid w:val="00FB4F75"/>
    <w:rsid w:val="00FB7ED0"/>
    <w:rsid w:val="00FC5022"/>
    <w:rsid w:val="00FC508D"/>
    <w:rsid w:val="00FD3115"/>
    <w:rsid w:val="00FD3B11"/>
    <w:rsid w:val="00FD73D0"/>
    <w:rsid w:val="00FE6D51"/>
    <w:rsid w:val="00FF01E1"/>
    <w:rsid w:val="00FF09F3"/>
    <w:rsid w:val="00FF0C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5B32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character" w:styleId="CommentReference">
    <w:name w:val="annotation reference"/>
    <w:basedOn w:val="DefaultParagraphFont"/>
    <w:uiPriority w:val="99"/>
    <w:semiHidden/>
    <w:unhideWhenUsed/>
    <w:rsid w:val="00D64933"/>
    <w:rPr>
      <w:sz w:val="16"/>
      <w:szCs w:val="16"/>
    </w:rPr>
  </w:style>
  <w:style w:type="paragraph" w:styleId="CommentText">
    <w:name w:val="annotation text"/>
    <w:basedOn w:val="Normal"/>
    <w:link w:val="CommentTextChar"/>
    <w:uiPriority w:val="99"/>
    <w:semiHidden/>
    <w:unhideWhenUsed/>
    <w:rsid w:val="00D64933"/>
    <w:pPr>
      <w:spacing w:line="240" w:lineRule="auto"/>
    </w:pPr>
    <w:rPr>
      <w:sz w:val="20"/>
      <w:szCs w:val="20"/>
    </w:rPr>
  </w:style>
  <w:style w:type="character" w:customStyle="1" w:styleId="CommentTextChar">
    <w:name w:val="Comment Text Char"/>
    <w:basedOn w:val="DefaultParagraphFont"/>
    <w:link w:val="CommentText"/>
    <w:uiPriority w:val="99"/>
    <w:semiHidden/>
    <w:rsid w:val="00D64933"/>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D64933"/>
    <w:rPr>
      <w:b/>
      <w:bCs/>
    </w:rPr>
  </w:style>
  <w:style w:type="character" w:customStyle="1" w:styleId="CommentSubjectChar">
    <w:name w:val="Comment Subject Char"/>
    <w:basedOn w:val="CommentTextChar"/>
    <w:link w:val="CommentSubject"/>
    <w:uiPriority w:val="99"/>
    <w:semiHidden/>
    <w:rsid w:val="00D64933"/>
    <w:rPr>
      <w:b/>
      <w:bCs/>
      <w:color w:val="495965" w:themeColor="text2"/>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documents.worldbank.org/curated/en/360131468107347123/Sri-Lanka-North-East-Local-Services-Improvement-Project-NELSIP-P113036-Implementation-Status-Results-Report-Sequence-12" TargetMode="External"/><Relationship Id="rId1" Type="http://schemas.openxmlformats.org/officeDocument/2006/relationships/hyperlink" Target="http://documents.worldbank.org/curated/en/846371468933131350/Sri-Lanka-Competitiveness-20-FINAL.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9A43BE-52A6-483E-B4EA-870129AEAA93}"/>
</file>

<file path=customXml/itemProps2.xml><?xml version="1.0" encoding="utf-8"?>
<ds:datastoreItem xmlns:ds="http://schemas.openxmlformats.org/officeDocument/2006/customXml" ds:itemID="{24FEBA9A-F6FF-4EEE-A348-366891907493}"/>
</file>

<file path=customXml/itemProps3.xml><?xml version="1.0" encoding="utf-8"?>
<ds:datastoreItem xmlns:ds="http://schemas.openxmlformats.org/officeDocument/2006/customXml" ds:itemID="{8EFF9E7A-58AF-47AC-91A2-B73BBC1AC58F}"/>
</file>

<file path=customXml/itemProps4.xml><?xml version="1.0" encoding="utf-8"?>
<ds:datastoreItem xmlns:ds="http://schemas.openxmlformats.org/officeDocument/2006/customXml" ds:itemID="{2EE21DCD-5E73-4523-BF5E-782BB66DD6AB}"/>
</file>

<file path=docProps/app.xml><?xml version="1.0" encoding="utf-8"?>
<Properties xmlns="http://schemas.openxmlformats.org/officeDocument/2006/extended-properties" xmlns:vt="http://schemas.openxmlformats.org/officeDocument/2006/docPropsVTypes">
  <Template>Normal.dotm</Template>
  <TotalTime>0</TotalTime>
  <Pages>11</Pages>
  <Words>3503</Words>
  <Characters>19969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2016-12-20T00:37:00Z</dcterms:created>
  <dcterms:modified xsi:type="dcterms:W3CDTF">2017-02-14T02:28:00Z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436f37a4-ac57-4fb9-a676-09644fe04b59</vt:lpwstr>
  </property>
  <property fmtid="{D5CDD505-2E9C-101B-9397-08002B2CF9AE}" pid="3" name="ContentTypeId">
    <vt:lpwstr>0x01010050F19AC2165D2E47A5E6B7F563E4CF00</vt:lpwstr>
  </property>
  <property fmtid="{D5CDD505-2E9C-101B-9397-08002B2CF9AE}" pid="4" name="Order">
    <vt:r8>1053200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y fmtid="{D5CDD505-2E9C-101B-9397-08002B2CF9AE}" pid="10" name="SEC">
    <vt:lpwstr>UNCLASSIFIED</vt:lpwstr>
  </property>
  <property fmtid="{D5CDD505-2E9C-101B-9397-08002B2CF9AE}" pid="11" name="DLM">
    <vt:lpwstr>No DLM</vt:lpwstr>
  </property>
</Properties>
</file>