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C2" w:rsidRPr="0072064D" w:rsidRDefault="00944BC2" w:rsidP="00944BC2">
      <w:pPr>
        <w:tabs>
          <w:tab w:val="left" w:pos="170"/>
        </w:tabs>
        <w:rPr>
          <w:color w:val="666699"/>
          <w:sz w:val="18"/>
          <w:szCs w:val="18"/>
        </w:rPr>
      </w:pPr>
      <w:bookmarkStart w:id="0" w:name="_GoBack"/>
      <w:bookmarkEnd w:id="0"/>
    </w:p>
    <w:p w:rsidR="00C657FB" w:rsidRDefault="00C657FB"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Evaluation of </w:t>
      </w:r>
      <w:r w:rsidR="0035152C">
        <w:rPr>
          <w:sz w:val="24"/>
          <w:lang w:eastAsia="en-AU"/>
        </w:rPr>
        <w:t>South Sudan NGO Early Recovery and Humanitarian Funding Round</w:t>
      </w:r>
    </w:p>
    <w:p w:rsidR="00C657FB" w:rsidRDefault="00116730"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DFAT </w:t>
      </w:r>
      <w:r w:rsidR="00F37B61">
        <w:rPr>
          <w:sz w:val="24"/>
          <w:lang w:eastAsia="en-AU"/>
        </w:rPr>
        <w:t>MANAGEMENT RESPONSE</w:t>
      </w:r>
    </w:p>
    <w:p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rsidTr="00175FFC">
        <w:trPr>
          <w:cantSplit/>
          <w:tblHeader/>
        </w:trPr>
        <w:tc>
          <w:tcPr>
            <w:tcW w:w="2660" w:type="dxa"/>
            <w:shd w:val="clear" w:color="auto" w:fill="E0E0E0"/>
            <w:vAlign w:val="center"/>
          </w:tcPr>
          <w:p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rsidR="009053C1" w:rsidRDefault="009053C1" w:rsidP="009053C1">
            <w:pPr>
              <w:pStyle w:val="Table-normal-text"/>
              <w:spacing w:before="120" w:after="120"/>
              <w:rPr>
                <w:b/>
              </w:rPr>
            </w:pPr>
            <w:r>
              <w:rPr>
                <w:b/>
              </w:rPr>
              <w:t xml:space="preserve">Sudan Humanitarian Assistance </w:t>
            </w:r>
          </w:p>
          <w:p w:rsidR="00C657FB" w:rsidRPr="00DD040E" w:rsidRDefault="009053C1" w:rsidP="009053C1">
            <w:pPr>
              <w:pStyle w:val="Table-normal-text"/>
              <w:spacing w:before="120" w:after="120"/>
              <w:rPr>
                <w:rFonts w:cs="Arial"/>
                <w:b/>
                <w:szCs w:val="20"/>
              </w:rPr>
            </w:pPr>
            <w:r w:rsidRPr="00DD040E">
              <w:rPr>
                <w:rFonts w:cs="Arial"/>
                <w:szCs w:val="20"/>
              </w:rPr>
              <w:t>(</w:t>
            </w:r>
            <w:r w:rsidRPr="00DD040E">
              <w:rPr>
                <w:rFonts w:cs="Arial"/>
                <w:szCs w:val="20"/>
                <w:bdr w:val="none" w:sz="0" w:space="0" w:color="auto" w:frame="1"/>
                <w:lang w:val="en"/>
              </w:rPr>
              <w:t>South Sudan NGO Early Recovery and Humanitarian Funding Round)</w:t>
            </w:r>
          </w:p>
        </w:tc>
      </w:tr>
      <w:tr w:rsidR="00C657FB" w:rsidRPr="00F43CEC" w:rsidTr="00175FFC">
        <w:trPr>
          <w:cantSplit/>
        </w:trPr>
        <w:tc>
          <w:tcPr>
            <w:tcW w:w="2660" w:type="dxa"/>
            <w:shd w:val="clear" w:color="auto" w:fill="auto"/>
          </w:tcPr>
          <w:p w:rsidR="00C657FB" w:rsidRPr="00F2320B" w:rsidRDefault="00C657FB" w:rsidP="00175FFC">
            <w:pPr>
              <w:pStyle w:val="Table-normal-text"/>
            </w:pPr>
            <w:proofErr w:type="spellStart"/>
            <w:r w:rsidRPr="00F2320B">
              <w:t>AidWorks</w:t>
            </w:r>
            <w:proofErr w:type="spellEnd"/>
            <w:r w:rsidRPr="00F2320B">
              <w:t xml:space="preserve"> initiative number</w:t>
            </w:r>
          </w:p>
        </w:tc>
        <w:tc>
          <w:tcPr>
            <w:tcW w:w="7229" w:type="dxa"/>
            <w:gridSpan w:val="3"/>
            <w:shd w:val="clear" w:color="auto" w:fill="auto"/>
          </w:tcPr>
          <w:p w:rsidR="00C657FB" w:rsidRPr="00F2320B" w:rsidRDefault="009053C1" w:rsidP="00175FFC">
            <w:pPr>
              <w:pStyle w:val="Table-normal-text"/>
            </w:pPr>
            <w:r>
              <w:t>INJ734</w:t>
            </w:r>
            <w:r w:rsidR="0035152C">
              <w:t xml:space="preserve"> / 11A458</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rsidR="00C657FB" w:rsidRPr="00F2320B" w:rsidRDefault="0035152C" w:rsidP="00175FFC">
            <w:pPr>
              <w:pStyle w:val="Table-normal-text"/>
            </w:pPr>
            <w:r>
              <w:t>24/12/10</w:t>
            </w:r>
          </w:p>
        </w:tc>
        <w:tc>
          <w:tcPr>
            <w:tcW w:w="1843" w:type="dxa"/>
            <w:shd w:val="clear" w:color="auto" w:fill="auto"/>
          </w:tcPr>
          <w:p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rsidR="00C657FB" w:rsidRPr="00F2320B" w:rsidRDefault="0035152C" w:rsidP="00175FFC">
            <w:pPr>
              <w:pStyle w:val="Table-normal-text"/>
            </w:pPr>
            <w:r>
              <w:t>30 June 2013</w:t>
            </w:r>
          </w:p>
        </w:tc>
      </w:tr>
      <w:tr w:rsidR="00C657FB" w:rsidRPr="00F43CEC" w:rsidTr="00175FFC">
        <w:trPr>
          <w:cantSplit/>
        </w:trPr>
        <w:tc>
          <w:tcPr>
            <w:tcW w:w="2660" w:type="dxa"/>
            <w:shd w:val="clear" w:color="auto" w:fill="auto"/>
          </w:tcPr>
          <w:p w:rsidR="00C657FB" w:rsidRPr="00F2320B" w:rsidRDefault="00C657FB" w:rsidP="00175FFC">
            <w:pPr>
              <w:pStyle w:val="Table-normal-text"/>
            </w:pPr>
            <w:r>
              <w:t>Total Australian $</w:t>
            </w:r>
          </w:p>
        </w:tc>
        <w:tc>
          <w:tcPr>
            <w:tcW w:w="7229" w:type="dxa"/>
            <w:gridSpan w:val="3"/>
            <w:shd w:val="clear" w:color="auto" w:fill="auto"/>
          </w:tcPr>
          <w:p w:rsidR="00C657FB" w:rsidRPr="00F2320B" w:rsidRDefault="0035152C" w:rsidP="00175FFC">
            <w:pPr>
              <w:pStyle w:val="Table-normal-text"/>
            </w:pPr>
            <w:r w:rsidRPr="0035152C">
              <w:t>$11,365,006.00</w:t>
            </w:r>
          </w:p>
        </w:tc>
      </w:tr>
      <w:tr w:rsidR="00C657FB" w:rsidRPr="00F43CEC" w:rsidTr="00175FFC">
        <w:trPr>
          <w:cantSplit/>
        </w:trPr>
        <w:tc>
          <w:tcPr>
            <w:tcW w:w="2660" w:type="dxa"/>
            <w:shd w:val="clear" w:color="auto" w:fill="auto"/>
          </w:tcPr>
          <w:p w:rsidR="00C657FB" w:rsidRPr="00F2320B" w:rsidRDefault="00C657FB" w:rsidP="00175FFC">
            <w:pPr>
              <w:pStyle w:val="Table-normal-text"/>
            </w:pPr>
            <w:r>
              <w:t>Total other $</w:t>
            </w:r>
          </w:p>
        </w:tc>
        <w:tc>
          <w:tcPr>
            <w:tcW w:w="7229" w:type="dxa"/>
            <w:gridSpan w:val="3"/>
            <w:shd w:val="clear" w:color="auto" w:fill="auto"/>
          </w:tcPr>
          <w:p w:rsidR="00C657FB" w:rsidRPr="00F2320B" w:rsidRDefault="00136501" w:rsidP="00175FFC">
            <w:pPr>
              <w:pStyle w:val="Table-normal-text"/>
            </w:pPr>
            <w:r>
              <w:t>N/A</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Delivery organisation(s)</w:t>
            </w:r>
          </w:p>
        </w:tc>
        <w:tc>
          <w:tcPr>
            <w:tcW w:w="7229" w:type="dxa"/>
            <w:gridSpan w:val="3"/>
            <w:shd w:val="clear" w:color="auto" w:fill="auto"/>
          </w:tcPr>
          <w:p w:rsidR="00C657FB" w:rsidRPr="00F2320B" w:rsidRDefault="0035152C" w:rsidP="00175FFC">
            <w:pPr>
              <w:pStyle w:val="Table-normal-text"/>
            </w:pPr>
            <w:r>
              <w:t>Care Australia, Oxfam Australia, Save the Children Australia, World Vision Australia</w:t>
            </w:r>
          </w:p>
        </w:tc>
      </w:tr>
      <w:tr w:rsidR="00C657FB" w:rsidRPr="00F43CEC" w:rsidTr="00175FFC">
        <w:trPr>
          <w:cantSplit/>
        </w:trPr>
        <w:tc>
          <w:tcPr>
            <w:tcW w:w="2660" w:type="dxa"/>
            <w:shd w:val="clear" w:color="auto" w:fill="auto"/>
          </w:tcPr>
          <w:p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rsidR="00C657FB" w:rsidRPr="00F2320B" w:rsidRDefault="0035152C" w:rsidP="0035152C">
            <w:pPr>
              <w:pStyle w:val="Table-normal-text"/>
            </w:pPr>
            <w:r>
              <w:t xml:space="preserve">Care in South Sudan, </w:t>
            </w:r>
            <w:proofErr w:type="spellStart"/>
            <w:r>
              <w:t>Intermon</w:t>
            </w:r>
            <w:proofErr w:type="spellEnd"/>
            <w:r>
              <w:t xml:space="preserve"> in South Sudan, Oxfam in South Sudan, Save the Children in South Sudan, World Vision in South Sudan</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Country/Region</w:t>
            </w:r>
          </w:p>
        </w:tc>
        <w:tc>
          <w:tcPr>
            <w:tcW w:w="7229" w:type="dxa"/>
            <w:gridSpan w:val="3"/>
            <w:shd w:val="clear" w:color="auto" w:fill="auto"/>
          </w:tcPr>
          <w:p w:rsidR="00C657FB" w:rsidRPr="00F2320B" w:rsidRDefault="0035152C" w:rsidP="00175FFC">
            <w:pPr>
              <w:pStyle w:val="Table-normal-text"/>
            </w:pPr>
            <w:r>
              <w:t>South Sudan</w:t>
            </w:r>
          </w:p>
        </w:tc>
      </w:tr>
      <w:tr w:rsidR="00C657FB" w:rsidRPr="00F43CEC" w:rsidTr="00175FFC">
        <w:trPr>
          <w:cantSplit/>
        </w:trPr>
        <w:tc>
          <w:tcPr>
            <w:tcW w:w="2660" w:type="dxa"/>
            <w:shd w:val="clear" w:color="auto" w:fill="auto"/>
          </w:tcPr>
          <w:p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rsidR="00C657FB" w:rsidRPr="00F2320B" w:rsidRDefault="0035152C" w:rsidP="00175FFC">
            <w:pPr>
              <w:pStyle w:val="Table-normal-text"/>
            </w:pPr>
            <w:r>
              <w:t>72010 – Material relief assistance and services</w:t>
            </w:r>
          </w:p>
        </w:tc>
      </w:tr>
      <w:tr w:rsidR="00C657FB" w:rsidRPr="00F43CEC" w:rsidTr="00175FFC">
        <w:trPr>
          <w:cantSplit/>
        </w:trPr>
        <w:tc>
          <w:tcPr>
            <w:tcW w:w="2660" w:type="dxa"/>
            <w:shd w:val="clear" w:color="auto" w:fill="auto"/>
          </w:tcPr>
          <w:p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rsidR="00494A71" w:rsidRPr="00DD040E" w:rsidRDefault="00494A71" w:rsidP="00494A71">
            <w:pPr>
              <w:pStyle w:val="Table-normal-text"/>
              <w:rPr>
                <w:rFonts w:cs="Arial"/>
                <w:szCs w:val="20"/>
              </w:rPr>
            </w:pPr>
            <w:r w:rsidRPr="00DD040E">
              <w:rPr>
                <w:rFonts w:cs="Arial"/>
                <w:szCs w:val="20"/>
              </w:rPr>
              <w:t xml:space="preserve">The overall objective of the </w:t>
            </w:r>
            <w:r w:rsidR="003D7BD3">
              <w:rPr>
                <w:rFonts w:cs="Arial"/>
                <w:szCs w:val="20"/>
              </w:rPr>
              <w:t xml:space="preserve">South </w:t>
            </w:r>
            <w:r w:rsidRPr="00DD040E">
              <w:rPr>
                <w:rFonts w:cs="Arial"/>
                <w:szCs w:val="20"/>
              </w:rPr>
              <w:t>Sudan Humanitarian initiative is to</w:t>
            </w:r>
            <w:r w:rsidR="00365176" w:rsidRPr="00DD040E">
              <w:rPr>
                <w:rFonts w:cs="Arial"/>
                <w:szCs w:val="20"/>
              </w:rPr>
              <w:t xml:space="preserve"> support communities </w:t>
            </w:r>
            <w:r w:rsidR="009A6F64" w:rsidRPr="00DD040E">
              <w:rPr>
                <w:rFonts w:cs="Arial"/>
                <w:szCs w:val="20"/>
              </w:rPr>
              <w:t>through the humanitarian transi</w:t>
            </w:r>
            <w:r w:rsidR="00E83DD9">
              <w:rPr>
                <w:rFonts w:cs="Arial"/>
                <w:szCs w:val="20"/>
              </w:rPr>
              <w:t>tion and early recovery period.</w:t>
            </w:r>
            <w:r w:rsidRPr="00DD040E">
              <w:rPr>
                <w:rFonts w:cs="Arial"/>
                <w:szCs w:val="20"/>
              </w:rPr>
              <w:t xml:space="preserve">  </w:t>
            </w:r>
            <w:r w:rsidR="00C440F4" w:rsidRPr="00DD040E">
              <w:rPr>
                <w:rFonts w:cs="Arial"/>
                <w:szCs w:val="20"/>
              </w:rPr>
              <w:t xml:space="preserve">The initiative is comprised of four activities implemented in South Sudan.  </w:t>
            </w:r>
          </w:p>
          <w:p w:rsidR="009A6F64" w:rsidRPr="00DD040E" w:rsidRDefault="009A6F64" w:rsidP="00494A71">
            <w:pPr>
              <w:pStyle w:val="Table-normal-text"/>
              <w:rPr>
                <w:rFonts w:cs="Arial"/>
                <w:szCs w:val="20"/>
              </w:rPr>
            </w:pPr>
            <w:r w:rsidRPr="00DD040E">
              <w:rPr>
                <w:rFonts w:cs="Arial"/>
                <w:szCs w:val="20"/>
              </w:rPr>
              <w:t xml:space="preserve">The South Sudan NGO Early Recovery and Humanitarian Funding Round </w:t>
            </w:r>
            <w:r w:rsidR="00E83DD9">
              <w:rPr>
                <w:rFonts w:cs="Arial"/>
                <w:szCs w:val="20"/>
              </w:rPr>
              <w:t xml:space="preserve">activity </w:t>
            </w:r>
            <w:r w:rsidRPr="00DD040E">
              <w:rPr>
                <w:rFonts w:cs="Arial"/>
                <w:szCs w:val="20"/>
              </w:rPr>
              <w:t xml:space="preserve">was valued at $11 million over two years. Over 2010-2012, four Australian </w:t>
            </w:r>
            <w:r w:rsidR="00494A71" w:rsidRPr="00DD040E">
              <w:rPr>
                <w:rFonts w:cs="Arial"/>
                <w:szCs w:val="20"/>
              </w:rPr>
              <w:t xml:space="preserve">non-government organisations (ANGOs) </w:t>
            </w:r>
            <w:r w:rsidRPr="00DD040E">
              <w:rPr>
                <w:rFonts w:cs="Arial"/>
                <w:szCs w:val="20"/>
              </w:rPr>
              <w:t>received approximately $3</w:t>
            </w:r>
            <w:r w:rsidR="00E83DD9">
              <w:rPr>
                <w:rFonts w:cs="Arial"/>
                <w:szCs w:val="20"/>
              </w:rPr>
              <w:t> </w:t>
            </w:r>
            <w:r w:rsidRPr="00DD040E">
              <w:rPr>
                <w:rFonts w:cs="Arial"/>
                <w:szCs w:val="20"/>
              </w:rPr>
              <w:t xml:space="preserve">million each to work across several sectors in five states in South Sudan.  In addition to the implementation of the projects, the ANGOs worked on development of policy analysis and cross program learning to inform future programming in South Sudan as well as working with diaspora in Australia. </w:t>
            </w:r>
          </w:p>
          <w:p w:rsidR="009C3113" w:rsidRPr="00DD040E" w:rsidRDefault="009C3113" w:rsidP="00494A71">
            <w:pPr>
              <w:pStyle w:val="Table-normal-text"/>
              <w:rPr>
                <w:rFonts w:cs="Arial"/>
                <w:szCs w:val="20"/>
              </w:rPr>
            </w:pPr>
            <w:r w:rsidRPr="00DD040E">
              <w:rPr>
                <w:rFonts w:cs="Arial"/>
                <w:szCs w:val="20"/>
              </w:rPr>
              <w:t>The overarching objective of the Funding Round was to support communities and community-led early recovery activities and thereby assist in laying a foundation for the Australian Government’s longer-term development programming in South Sudan.</w:t>
            </w:r>
          </w:p>
          <w:p w:rsidR="00C440F4" w:rsidRPr="00DD040E" w:rsidRDefault="00E83DD9" w:rsidP="00494A71">
            <w:pPr>
              <w:pStyle w:val="Table-normal-text"/>
              <w:rPr>
                <w:rFonts w:cs="Arial"/>
                <w:szCs w:val="20"/>
              </w:rPr>
            </w:pPr>
            <w:r>
              <w:rPr>
                <w:rFonts w:cs="Arial"/>
                <w:szCs w:val="20"/>
              </w:rPr>
              <w:t xml:space="preserve">The Funding Round </w:t>
            </w:r>
            <w:r w:rsidR="00C440F4" w:rsidRPr="00DD040E">
              <w:rPr>
                <w:rFonts w:cs="Arial"/>
                <w:szCs w:val="20"/>
              </w:rPr>
              <w:t xml:space="preserve">had </w:t>
            </w:r>
            <w:r w:rsidR="003B2309">
              <w:rPr>
                <w:rFonts w:cs="Arial"/>
                <w:szCs w:val="20"/>
              </w:rPr>
              <w:t>five</w:t>
            </w:r>
            <w:r w:rsidR="00C440F4" w:rsidRPr="00DD040E">
              <w:rPr>
                <w:rFonts w:cs="Arial"/>
                <w:szCs w:val="20"/>
              </w:rPr>
              <w:t xml:space="preserve"> objectives:</w:t>
            </w:r>
          </w:p>
          <w:p w:rsidR="00C440F4" w:rsidRPr="00DD040E" w:rsidRDefault="00C440F4" w:rsidP="009C3113">
            <w:pPr>
              <w:pStyle w:val="Table-normal-text"/>
              <w:numPr>
                <w:ilvl w:val="0"/>
                <w:numId w:val="44"/>
              </w:numPr>
              <w:rPr>
                <w:rFonts w:cs="Arial"/>
                <w:szCs w:val="20"/>
              </w:rPr>
            </w:pPr>
            <w:r w:rsidRPr="00DD040E">
              <w:rPr>
                <w:rFonts w:cs="Arial"/>
                <w:szCs w:val="20"/>
              </w:rPr>
              <w:t>Improving access to basic services including safe water, sanitation and hygiene and health services and facilities</w:t>
            </w:r>
          </w:p>
          <w:p w:rsidR="00C440F4" w:rsidRPr="00DD040E" w:rsidRDefault="00C440F4" w:rsidP="009C3113">
            <w:pPr>
              <w:pStyle w:val="Table-normal-text"/>
              <w:numPr>
                <w:ilvl w:val="0"/>
                <w:numId w:val="44"/>
              </w:numPr>
              <w:rPr>
                <w:rFonts w:cs="Arial"/>
                <w:szCs w:val="20"/>
              </w:rPr>
            </w:pPr>
            <w:r w:rsidRPr="00DD040E">
              <w:rPr>
                <w:rFonts w:cs="Arial"/>
                <w:szCs w:val="20"/>
              </w:rPr>
              <w:t>Supporting the creation of livelihood opportunities, including for women and youth</w:t>
            </w:r>
          </w:p>
          <w:p w:rsidR="00C440F4" w:rsidRPr="00DD040E" w:rsidRDefault="00C440F4" w:rsidP="009C3113">
            <w:pPr>
              <w:pStyle w:val="Table-normal-text"/>
              <w:numPr>
                <w:ilvl w:val="0"/>
                <w:numId w:val="44"/>
              </w:numPr>
              <w:rPr>
                <w:rFonts w:cs="Arial"/>
                <w:szCs w:val="20"/>
              </w:rPr>
            </w:pPr>
            <w:r w:rsidRPr="00DD040E">
              <w:rPr>
                <w:rFonts w:cs="Arial"/>
                <w:szCs w:val="20"/>
              </w:rPr>
              <w:t>Supporting the creation of basic infrastructure to help facilitate the resettlement and reintegration</w:t>
            </w:r>
          </w:p>
          <w:p w:rsidR="00C440F4" w:rsidRPr="00DD040E" w:rsidRDefault="00C440F4" w:rsidP="009C3113">
            <w:pPr>
              <w:pStyle w:val="Table-normal-text"/>
              <w:numPr>
                <w:ilvl w:val="0"/>
                <w:numId w:val="44"/>
              </w:numPr>
              <w:rPr>
                <w:rFonts w:cs="Arial"/>
                <w:szCs w:val="20"/>
              </w:rPr>
            </w:pPr>
            <w:r w:rsidRPr="00DD040E">
              <w:rPr>
                <w:rFonts w:cs="Arial"/>
                <w:szCs w:val="20"/>
              </w:rPr>
              <w:t>Reducing community-led armed violence and promoting reconciliation to facilitate recovery and development</w:t>
            </w:r>
          </w:p>
          <w:p w:rsidR="00C440F4" w:rsidRPr="00DD040E" w:rsidRDefault="009C3113" w:rsidP="009C3113">
            <w:pPr>
              <w:pStyle w:val="Table-normal-text"/>
              <w:numPr>
                <w:ilvl w:val="0"/>
                <w:numId w:val="44"/>
              </w:numPr>
              <w:rPr>
                <w:rFonts w:cs="Arial"/>
                <w:szCs w:val="20"/>
              </w:rPr>
            </w:pPr>
            <w:r w:rsidRPr="00DD040E">
              <w:rPr>
                <w:rFonts w:cs="Arial"/>
                <w:szCs w:val="20"/>
              </w:rPr>
              <w:t>Improving policy analysis and distillation of lessons learned from ANGO engagement in South Sudan, to inform future AusAID programming and funding prioritisation</w:t>
            </w:r>
            <w:r w:rsidR="00C440F4" w:rsidRPr="00DD040E">
              <w:rPr>
                <w:rFonts w:cs="Arial"/>
                <w:szCs w:val="20"/>
              </w:rPr>
              <w:t xml:space="preserve"> </w:t>
            </w:r>
          </w:p>
          <w:p w:rsidR="00494A71" w:rsidRPr="00F2320B" w:rsidRDefault="00494A71" w:rsidP="00494A71">
            <w:pPr>
              <w:pStyle w:val="Table-normal-text"/>
            </w:pPr>
          </w:p>
        </w:tc>
      </w:tr>
    </w:tbl>
    <w:p w:rsidR="00C657FB" w:rsidRDefault="00C657FB" w:rsidP="00C657FB">
      <w:pPr>
        <w:pStyle w:val="Heading2"/>
      </w:pPr>
      <w:r>
        <w:lastRenderedPageBreak/>
        <w:t>Evaluation Summary</w:t>
      </w:r>
    </w:p>
    <w:p w:rsidR="00365176" w:rsidRDefault="00C657FB" w:rsidP="00C657FB">
      <w:pPr>
        <w:rPr>
          <w:b/>
        </w:rPr>
      </w:pPr>
      <w:r w:rsidRPr="00123C3E">
        <w:rPr>
          <w:b/>
        </w:rPr>
        <w:t>Evaluation Objective:</w:t>
      </w:r>
      <w:r>
        <w:rPr>
          <w:b/>
        </w:rPr>
        <w:t xml:space="preserve"> </w:t>
      </w:r>
    </w:p>
    <w:p w:rsidR="00E91FAA" w:rsidRDefault="00E91FAA" w:rsidP="00C657FB">
      <w:r>
        <w:t xml:space="preserve">The purpose of the </w:t>
      </w:r>
      <w:r w:rsidR="00DD040E">
        <w:t>review</w:t>
      </w:r>
      <w:r>
        <w:t xml:space="preserve"> was twofold:  </w:t>
      </w:r>
    </w:p>
    <w:p w:rsidR="00E91FAA" w:rsidRDefault="00085083" w:rsidP="00E91FAA">
      <w:pPr>
        <w:pStyle w:val="ListParagraph"/>
        <w:numPr>
          <w:ilvl w:val="0"/>
          <w:numId w:val="43"/>
        </w:numPr>
      </w:pPr>
      <w:r>
        <w:t>To a</w:t>
      </w:r>
      <w:r w:rsidR="00365176" w:rsidRPr="00365176">
        <w:t>ppraise</w:t>
      </w:r>
      <w:r w:rsidR="00365176">
        <w:t xml:space="preserve"> the performance and outcomes of the </w:t>
      </w:r>
      <w:r w:rsidR="00365176" w:rsidRPr="00E91FAA">
        <w:rPr>
          <w:i/>
        </w:rPr>
        <w:t>South Sudan NGO Early Recovery Funding Round 2010-12</w:t>
      </w:r>
      <w:r w:rsidR="00E91FAA">
        <w:t xml:space="preserve"> and measure the extent to which the objectives of the Funding Round had been achieved; and</w:t>
      </w:r>
    </w:p>
    <w:p w:rsidR="00365176" w:rsidRDefault="00085083" w:rsidP="00E91FAA">
      <w:pPr>
        <w:pStyle w:val="ListParagraph"/>
        <w:numPr>
          <w:ilvl w:val="0"/>
          <w:numId w:val="43"/>
        </w:numPr>
      </w:pPr>
      <w:r>
        <w:t>To a</w:t>
      </w:r>
      <w:r w:rsidR="00365176">
        <w:t>ssess the merit of th</w:t>
      </w:r>
      <w:r w:rsidR="00E91FAA">
        <w:t>e</w:t>
      </w:r>
      <w:r w:rsidR="00494A71">
        <w:t xml:space="preserve"> early recovery </w:t>
      </w:r>
      <w:r w:rsidR="00365176">
        <w:t>modality in the South Sudanese context</w:t>
      </w:r>
      <w:r w:rsidR="00E91FAA">
        <w:t>.</w:t>
      </w:r>
    </w:p>
    <w:p w:rsidR="00E91FAA" w:rsidRDefault="00494A71" w:rsidP="00E91FAA">
      <w:r>
        <w:t>The review was</w:t>
      </w:r>
      <w:r w:rsidR="00E91FAA">
        <w:t xml:space="preserve"> </w:t>
      </w:r>
      <w:r>
        <w:t>i</w:t>
      </w:r>
      <w:r w:rsidR="00E91FAA">
        <w:t>ntended</w:t>
      </w:r>
      <w:r w:rsidR="0049365D">
        <w:t xml:space="preserve"> to</w:t>
      </w:r>
      <w:r w:rsidR="00E91FAA">
        <w:t xml:space="preserve"> </w:t>
      </w:r>
      <w:r>
        <w:t>meet the Australian aid program’s</w:t>
      </w:r>
      <w:r w:rsidR="00C440F4">
        <w:t xml:space="preserve"> performance and </w:t>
      </w:r>
      <w:r>
        <w:t>accountability requirements</w:t>
      </w:r>
      <w:r w:rsidR="00C440F4">
        <w:t xml:space="preserve"> and </w:t>
      </w:r>
      <w:r w:rsidR="00E91FAA">
        <w:t xml:space="preserve">inform any potential future engagement in South Sudan and early recovery </w:t>
      </w:r>
      <w:r w:rsidR="003B2309">
        <w:t xml:space="preserve">activities </w:t>
      </w:r>
      <w:r w:rsidR="00E91FAA">
        <w:t xml:space="preserve">in Africa more broadly.  </w:t>
      </w:r>
      <w:r w:rsidR="009A6F64" w:rsidRPr="009A6F64">
        <w:t xml:space="preserve">The </w:t>
      </w:r>
      <w:r w:rsidR="009A6F64">
        <w:t>review</w:t>
      </w:r>
      <w:r w:rsidR="009A6F64" w:rsidRPr="009A6F64">
        <w:t xml:space="preserve"> was undertaken as an end of program review rather than the previously planned mid-term review.  The </w:t>
      </w:r>
      <w:r w:rsidR="009A6F64">
        <w:t xml:space="preserve">review was comprised of a </w:t>
      </w:r>
      <w:r w:rsidR="00785E7F">
        <w:t>desk</w:t>
      </w:r>
      <w:r w:rsidR="009A6F64" w:rsidRPr="009A6F64">
        <w:t xml:space="preserve"> review and field visit to Juba to coincide with a planned ‘</w:t>
      </w:r>
      <w:r w:rsidR="003D7BD3">
        <w:t xml:space="preserve">NGO </w:t>
      </w:r>
      <w:r w:rsidR="009A6F64" w:rsidRPr="009A6F64">
        <w:t>learning event’</w:t>
      </w:r>
      <w:r w:rsidR="00D16C9E">
        <w:t>.</w:t>
      </w:r>
      <w:r w:rsidR="009A6F64" w:rsidRPr="009A6F64">
        <w:t xml:space="preserve"> </w:t>
      </w:r>
      <w:r w:rsidR="00E91FAA">
        <w:t xml:space="preserve">  </w:t>
      </w:r>
    </w:p>
    <w:p w:rsidR="00C657FB" w:rsidRPr="00394FD3" w:rsidRDefault="00C657FB" w:rsidP="00C657FB">
      <w:r w:rsidRPr="00123C3E">
        <w:rPr>
          <w:b/>
        </w:rPr>
        <w:t>Evaluation Completion Date:</w:t>
      </w:r>
      <w:r>
        <w:rPr>
          <w:b/>
        </w:rPr>
        <w:t xml:space="preserve"> </w:t>
      </w:r>
      <w:r w:rsidR="005E03AF" w:rsidRPr="005E03AF">
        <w:t>16</w:t>
      </w:r>
      <w:r w:rsidR="00C00B86" w:rsidRPr="005E03AF">
        <w:t xml:space="preserve"> September</w:t>
      </w:r>
      <w:r w:rsidR="005E03AF" w:rsidRPr="005E03AF">
        <w:t xml:space="preserve"> 2013</w:t>
      </w:r>
    </w:p>
    <w:p w:rsidR="00365176" w:rsidRPr="00C00B86" w:rsidRDefault="00C657FB" w:rsidP="000D316D">
      <w:r w:rsidRPr="00123C3E">
        <w:rPr>
          <w:b/>
        </w:rPr>
        <w:t>Evaluation Team:</w:t>
      </w:r>
      <w:r>
        <w:rPr>
          <w:b/>
        </w:rPr>
        <w:t xml:space="preserve"> </w:t>
      </w:r>
      <w:r w:rsidR="00365176" w:rsidRPr="00365176">
        <w:t xml:space="preserve">Dr Harry </w:t>
      </w:r>
      <w:proofErr w:type="spellStart"/>
      <w:r w:rsidR="00365176" w:rsidRPr="00365176">
        <w:t>Jeene</w:t>
      </w:r>
      <w:proofErr w:type="spellEnd"/>
      <w:r w:rsidRPr="00365176">
        <w:t xml:space="preserve"> (</w:t>
      </w:r>
      <w:r w:rsidR="005E03AF">
        <w:t xml:space="preserve">Evaluation </w:t>
      </w:r>
      <w:r w:rsidRPr="00365176">
        <w:t xml:space="preserve">Team Leader), </w:t>
      </w:r>
      <w:r w:rsidR="00365176" w:rsidRPr="00365176">
        <w:t xml:space="preserve">Joseph </w:t>
      </w:r>
      <w:proofErr w:type="spellStart"/>
      <w:r w:rsidR="00365176" w:rsidRPr="00365176">
        <w:t>Sabu</w:t>
      </w:r>
      <w:proofErr w:type="spellEnd"/>
      <w:r w:rsidRPr="00365176">
        <w:t xml:space="preserve"> </w:t>
      </w:r>
      <w:r w:rsidR="005E03AF">
        <w:t xml:space="preserve">(Evaluation Team Member) </w:t>
      </w:r>
      <w:r w:rsidRPr="00365176">
        <w:t xml:space="preserve">and </w:t>
      </w:r>
      <w:r w:rsidR="00365176" w:rsidRPr="00365176">
        <w:t>Katherine Smith</w:t>
      </w:r>
      <w:r w:rsidRPr="00365176">
        <w:t xml:space="preserve"> (</w:t>
      </w:r>
      <w:r w:rsidR="00B728EF">
        <w:t>DFAT</w:t>
      </w:r>
      <w:r w:rsidRPr="00365176">
        <w:t xml:space="preserve"> Evaluation Manager)</w:t>
      </w:r>
    </w:p>
    <w:p w:rsidR="005E3939" w:rsidRPr="008B3156" w:rsidRDefault="004C5939" w:rsidP="000D316D">
      <w:pPr>
        <w:rPr>
          <w:b/>
          <w:sz w:val="22"/>
          <w:szCs w:val="22"/>
          <w:lang w:eastAsia="en-AU"/>
        </w:rPr>
      </w:pPr>
      <w:r>
        <w:rPr>
          <w:b/>
          <w:sz w:val="22"/>
          <w:szCs w:val="22"/>
          <w:lang w:eastAsia="en-AU"/>
        </w:rPr>
        <w:t>DFAT</w:t>
      </w:r>
      <w:r w:rsidR="00367DA3" w:rsidRPr="008B3156">
        <w:rPr>
          <w:b/>
          <w:sz w:val="22"/>
          <w:szCs w:val="22"/>
          <w:lang w:eastAsia="en-AU"/>
        </w:rPr>
        <w:t>’s response to the evaluation report</w:t>
      </w:r>
    </w:p>
    <w:p w:rsidR="008A27E9" w:rsidRDefault="0030293C" w:rsidP="00E83DD9">
      <w:pPr>
        <w:rPr>
          <w:rFonts w:cs="Arial"/>
        </w:rPr>
      </w:pPr>
      <w:r>
        <w:rPr>
          <w:rFonts w:cs="Arial"/>
        </w:rPr>
        <w:t>The report provides interesting contextual information</w:t>
      </w:r>
      <w:r w:rsidR="008B0DCD">
        <w:rPr>
          <w:rFonts w:cs="Arial"/>
        </w:rPr>
        <w:t xml:space="preserve"> for South Sudan</w:t>
      </w:r>
      <w:r w:rsidR="00785E7F">
        <w:rPr>
          <w:rFonts w:cs="Arial"/>
        </w:rPr>
        <w:t xml:space="preserve"> and insights on the viability of the early recovery approach, particularly at field level</w:t>
      </w:r>
      <w:r w:rsidR="003B2309">
        <w:rPr>
          <w:rFonts w:cs="Arial"/>
        </w:rPr>
        <w:t>.</w:t>
      </w:r>
      <w:r w:rsidR="00785E7F">
        <w:rPr>
          <w:rFonts w:cs="Arial"/>
        </w:rPr>
        <w:t xml:space="preserve">  The report helpfully identifies particular areas for further investigation, such as the role of women in peac</w:t>
      </w:r>
      <w:r w:rsidR="00924ED9">
        <w:rPr>
          <w:rFonts w:cs="Arial"/>
        </w:rPr>
        <w:t>e</w:t>
      </w:r>
      <w:r w:rsidR="00785E7F">
        <w:rPr>
          <w:rFonts w:cs="Arial"/>
        </w:rPr>
        <w:t xml:space="preserve"> building.</w:t>
      </w:r>
      <w:r w:rsidR="00E83DD9">
        <w:rPr>
          <w:rFonts w:cs="Arial"/>
        </w:rPr>
        <w:t xml:space="preserve">  </w:t>
      </w:r>
      <w:r w:rsidR="003B2309">
        <w:rPr>
          <w:rFonts w:cs="Arial"/>
        </w:rPr>
        <w:t xml:space="preserve">However, </w:t>
      </w:r>
      <w:r w:rsidR="00DC5504">
        <w:rPr>
          <w:rFonts w:cs="Arial"/>
        </w:rPr>
        <w:t xml:space="preserve">the report contains </w:t>
      </w:r>
      <w:r w:rsidR="008A27E9">
        <w:rPr>
          <w:rFonts w:cs="Arial"/>
        </w:rPr>
        <w:t>recommendations</w:t>
      </w:r>
      <w:r w:rsidR="00DC5504">
        <w:rPr>
          <w:rFonts w:cs="Arial"/>
        </w:rPr>
        <w:t xml:space="preserve"> that</w:t>
      </w:r>
      <w:r w:rsidR="008A27E9">
        <w:rPr>
          <w:rFonts w:cs="Arial"/>
        </w:rPr>
        <w:t xml:space="preserve"> deviate from the </w:t>
      </w:r>
      <w:r w:rsidR="00700E49">
        <w:rPr>
          <w:rFonts w:cs="Arial"/>
        </w:rPr>
        <w:t xml:space="preserve">scope outlined in the </w:t>
      </w:r>
      <w:r w:rsidR="008A27E9">
        <w:rPr>
          <w:rFonts w:cs="Arial"/>
        </w:rPr>
        <w:t xml:space="preserve">Terms of Reference </w:t>
      </w:r>
      <w:r w:rsidR="00700E49">
        <w:rPr>
          <w:rFonts w:cs="Arial"/>
        </w:rPr>
        <w:t xml:space="preserve">(TOR) </w:t>
      </w:r>
      <w:r w:rsidR="008A27E9">
        <w:rPr>
          <w:rFonts w:cs="Arial"/>
        </w:rPr>
        <w:t>in several instances; clear and factual responses</w:t>
      </w:r>
      <w:r w:rsidR="00700E49">
        <w:rPr>
          <w:rFonts w:cs="Arial"/>
        </w:rPr>
        <w:t xml:space="preserve"> </w:t>
      </w:r>
      <w:r w:rsidR="00DC5504">
        <w:rPr>
          <w:rFonts w:cs="Arial"/>
        </w:rPr>
        <w:t xml:space="preserve">to </w:t>
      </w:r>
      <w:r w:rsidR="008A27E9">
        <w:rPr>
          <w:rFonts w:cs="Arial"/>
        </w:rPr>
        <w:t>key evaluation questions are missing</w:t>
      </w:r>
      <w:r w:rsidR="00700E49">
        <w:rPr>
          <w:rFonts w:cs="Arial"/>
        </w:rPr>
        <w:t xml:space="preserve"> in some cases</w:t>
      </w:r>
      <w:r w:rsidR="008A27E9">
        <w:rPr>
          <w:rFonts w:cs="Arial"/>
        </w:rPr>
        <w:t xml:space="preserve">; and </w:t>
      </w:r>
      <w:r w:rsidR="00700E49">
        <w:rPr>
          <w:rFonts w:cs="Arial"/>
        </w:rPr>
        <w:t>subjective statements</w:t>
      </w:r>
      <w:r w:rsidR="008A27E9">
        <w:rPr>
          <w:rFonts w:cs="Arial"/>
        </w:rPr>
        <w:t xml:space="preserve"> are made throughout the report without</w:t>
      </w:r>
      <w:r w:rsidR="00700E49">
        <w:rPr>
          <w:rFonts w:cs="Arial"/>
        </w:rPr>
        <w:t xml:space="preserve"> supporting </w:t>
      </w:r>
      <w:r w:rsidR="00DD040E">
        <w:rPr>
          <w:rFonts w:cs="Arial"/>
        </w:rPr>
        <w:t xml:space="preserve">analysis or </w:t>
      </w:r>
      <w:r w:rsidR="008A27E9">
        <w:rPr>
          <w:rFonts w:cs="Arial"/>
        </w:rPr>
        <w:t>evidence-based data</w:t>
      </w:r>
      <w:r w:rsidR="00700E49">
        <w:rPr>
          <w:rFonts w:cs="Arial"/>
        </w:rPr>
        <w:t xml:space="preserve">.  </w:t>
      </w:r>
      <w:r w:rsidR="008A27E9">
        <w:rPr>
          <w:rFonts w:cs="Arial"/>
        </w:rPr>
        <w:t xml:space="preserve">  </w:t>
      </w:r>
    </w:p>
    <w:p w:rsidR="00700E49" w:rsidRDefault="00E83DD9" w:rsidP="00C657FB">
      <w:pPr>
        <w:rPr>
          <w:rFonts w:cs="Arial"/>
        </w:rPr>
      </w:pPr>
      <w:r>
        <w:rPr>
          <w:rFonts w:cs="Arial"/>
        </w:rPr>
        <w:t>DFAT</w:t>
      </w:r>
      <w:r w:rsidR="008A27E9">
        <w:rPr>
          <w:rFonts w:cs="Arial"/>
        </w:rPr>
        <w:t xml:space="preserve"> acknowledges the team was constrained in data collection and unable to travel outside </w:t>
      </w:r>
      <w:r w:rsidR="00085083">
        <w:rPr>
          <w:rFonts w:cs="Arial"/>
        </w:rPr>
        <w:t xml:space="preserve">of </w:t>
      </w:r>
      <w:r w:rsidR="008A27E9">
        <w:rPr>
          <w:rFonts w:cs="Arial"/>
        </w:rPr>
        <w:t xml:space="preserve">Juba. </w:t>
      </w:r>
      <w:r w:rsidR="00700E49">
        <w:rPr>
          <w:rFonts w:cs="Arial"/>
        </w:rPr>
        <w:t xml:space="preserve"> </w:t>
      </w:r>
      <w:r w:rsidR="003B2309">
        <w:rPr>
          <w:rFonts w:cs="Arial"/>
        </w:rPr>
        <w:t xml:space="preserve">The review would have benefitted from more discussion on the </w:t>
      </w:r>
      <w:r w:rsidR="00AE1384">
        <w:rPr>
          <w:rFonts w:cs="Arial"/>
        </w:rPr>
        <w:t xml:space="preserve">draft </w:t>
      </w:r>
      <w:r w:rsidR="003B2309">
        <w:rPr>
          <w:rFonts w:cs="Arial"/>
        </w:rPr>
        <w:t xml:space="preserve">evaluation plan at an earlier stage </w:t>
      </w:r>
      <w:r w:rsidR="00785E7F">
        <w:rPr>
          <w:rFonts w:cs="Arial"/>
        </w:rPr>
        <w:t xml:space="preserve">and longer time frames </w:t>
      </w:r>
      <w:r w:rsidR="003B2309">
        <w:rPr>
          <w:rFonts w:cs="Arial"/>
        </w:rPr>
        <w:t xml:space="preserve">to ensure data collected was robust and triangulated. </w:t>
      </w:r>
      <w:r w:rsidR="00AE1384">
        <w:rPr>
          <w:rFonts w:cs="Arial"/>
        </w:rPr>
        <w:t xml:space="preserve"> </w:t>
      </w:r>
      <w:r w:rsidR="00700E49">
        <w:rPr>
          <w:rFonts w:cs="Arial"/>
        </w:rPr>
        <w:t>T</w:t>
      </w:r>
      <w:r w:rsidR="008A27E9">
        <w:rPr>
          <w:rFonts w:cs="Arial"/>
        </w:rPr>
        <w:t>he learning event provided an opportunity to discuss the results being achieved under the Fu</w:t>
      </w:r>
      <w:r w:rsidR="00700E49">
        <w:rPr>
          <w:rFonts w:cs="Arial"/>
        </w:rPr>
        <w:t>nding Round with field staff, but information from this event cannot be considered sufficient to meet the data requirements of this review.</w:t>
      </w:r>
      <w:r w:rsidR="004608D2" w:rsidRPr="004608D2">
        <w:t xml:space="preserve"> </w:t>
      </w:r>
      <w:r w:rsidR="004608D2" w:rsidRPr="004608D2">
        <w:rPr>
          <w:rFonts w:cs="Arial"/>
        </w:rPr>
        <w:t xml:space="preserve">Further discussion on the scope and draft recommendations during the review </w:t>
      </w:r>
      <w:r w:rsidR="004608D2">
        <w:rPr>
          <w:rFonts w:cs="Arial"/>
        </w:rPr>
        <w:t xml:space="preserve">would </w:t>
      </w:r>
      <w:r w:rsidR="004608D2" w:rsidRPr="004608D2">
        <w:rPr>
          <w:rFonts w:cs="Arial"/>
        </w:rPr>
        <w:t xml:space="preserve">have </w:t>
      </w:r>
      <w:r w:rsidR="004608D2">
        <w:rPr>
          <w:rFonts w:cs="Arial"/>
        </w:rPr>
        <w:t>resulted in a more focussed report that directly addressed the TOR.</w:t>
      </w:r>
    </w:p>
    <w:p w:rsidR="00CC3B69" w:rsidRPr="002A7332" w:rsidRDefault="004C5939" w:rsidP="002A7332">
      <w:pPr>
        <w:rPr>
          <w:rFonts w:ascii="Franklin Gothic Book" w:hAnsi="Franklin Gothic Book" w:cs="Franklin Gothic Book"/>
          <w:szCs w:val="20"/>
          <w:lang w:eastAsia="en-AU"/>
        </w:rPr>
      </w:pPr>
      <w:r>
        <w:rPr>
          <w:rFonts w:cs="Arial"/>
        </w:rPr>
        <w:t>DFAT</w:t>
      </w:r>
      <w:r w:rsidR="00700E49">
        <w:rPr>
          <w:rFonts w:cs="Arial"/>
        </w:rPr>
        <w:t xml:space="preserve"> is not in a position to </w:t>
      </w:r>
      <w:r w:rsidR="00DD040E">
        <w:rPr>
          <w:rFonts w:cs="Arial"/>
        </w:rPr>
        <w:t xml:space="preserve">respond directly to the recommendations regarding future </w:t>
      </w:r>
      <w:r w:rsidR="00DC5504">
        <w:rPr>
          <w:rFonts w:cs="Arial"/>
        </w:rPr>
        <w:t xml:space="preserve">development </w:t>
      </w:r>
      <w:r w:rsidR="00DD040E">
        <w:rPr>
          <w:rFonts w:cs="Arial"/>
        </w:rPr>
        <w:t xml:space="preserve">funding to </w:t>
      </w:r>
      <w:r w:rsidR="00700E49">
        <w:rPr>
          <w:rFonts w:cs="Arial"/>
        </w:rPr>
        <w:t>South Sudan</w:t>
      </w:r>
      <w:r w:rsidR="00F054D0">
        <w:rPr>
          <w:rFonts w:cs="Arial"/>
        </w:rPr>
        <w:t xml:space="preserve">. </w:t>
      </w:r>
      <w:r w:rsidR="00CC3B69">
        <w:rPr>
          <w:rFonts w:cs="Arial"/>
        </w:rPr>
        <w:t xml:space="preserve">One year has elapsed since the completion of the report </w:t>
      </w:r>
      <w:r w:rsidR="00CC3B69" w:rsidRPr="00CC3B69">
        <w:rPr>
          <w:rFonts w:cs="Arial"/>
        </w:rPr>
        <w:t>in September 2013</w:t>
      </w:r>
      <w:r w:rsidR="002A7332">
        <w:rPr>
          <w:rFonts w:cs="Arial"/>
        </w:rPr>
        <w:t>. T</w:t>
      </w:r>
      <w:r w:rsidR="002A7332" w:rsidRPr="00CC3B69">
        <w:rPr>
          <w:rFonts w:cs="Arial"/>
        </w:rPr>
        <w:t xml:space="preserve">he political and security </w:t>
      </w:r>
      <w:r w:rsidR="002A7332">
        <w:rPr>
          <w:rFonts w:cs="Arial"/>
        </w:rPr>
        <w:t>circumstances</w:t>
      </w:r>
      <w:r w:rsidR="002A7332" w:rsidRPr="00CC3B69">
        <w:rPr>
          <w:rFonts w:cs="Arial"/>
        </w:rPr>
        <w:t xml:space="preserve"> in South Sudan </w:t>
      </w:r>
      <w:r w:rsidR="002A7332">
        <w:rPr>
          <w:rFonts w:cs="Arial"/>
        </w:rPr>
        <w:t xml:space="preserve">have </w:t>
      </w:r>
      <w:r w:rsidR="002A7332" w:rsidRPr="00CC3B69">
        <w:rPr>
          <w:rFonts w:cs="Arial"/>
        </w:rPr>
        <w:t xml:space="preserve">changed </w:t>
      </w:r>
      <w:r w:rsidR="002A7332">
        <w:rPr>
          <w:rFonts w:cs="Arial"/>
        </w:rPr>
        <w:t xml:space="preserve">in that time </w:t>
      </w:r>
      <w:r w:rsidR="002A7332" w:rsidRPr="00CC3B69">
        <w:rPr>
          <w:rFonts w:cs="Arial"/>
        </w:rPr>
        <w:t xml:space="preserve">following an outbreak of violence in the capital, Juba, in December 2013, which quickly spread across parts of the country. The humanitarian situation in South Sudan subsequently deteriorated and the </w:t>
      </w:r>
      <w:r w:rsidR="002A7332">
        <w:rPr>
          <w:rFonts w:cs="Arial"/>
        </w:rPr>
        <w:t xml:space="preserve">security </w:t>
      </w:r>
      <w:r w:rsidR="002A7332" w:rsidRPr="00CC3B69">
        <w:rPr>
          <w:rFonts w:cs="Arial"/>
        </w:rPr>
        <w:t xml:space="preserve">situation remains volatile.  </w:t>
      </w:r>
      <w:r w:rsidR="002A7332">
        <w:rPr>
          <w:rFonts w:cs="Arial"/>
        </w:rPr>
        <w:t xml:space="preserve">Since </w:t>
      </w:r>
      <w:r w:rsidR="002A7332" w:rsidRPr="00CC3B69">
        <w:rPr>
          <w:rFonts w:cs="Arial"/>
        </w:rPr>
        <w:t>September 2013</w:t>
      </w:r>
      <w:r w:rsidR="002A7332">
        <w:rPr>
          <w:rFonts w:cs="Arial"/>
        </w:rPr>
        <w:t>, there has also been a consolidation of DFAT’s Sub-</w:t>
      </w:r>
      <w:r w:rsidR="002A7332" w:rsidRPr="00CC3B69">
        <w:rPr>
          <w:rFonts w:cs="Arial"/>
        </w:rPr>
        <w:t>Saharan Africa program</w:t>
      </w:r>
      <w:r w:rsidR="002A7332">
        <w:rPr>
          <w:rFonts w:cs="Arial"/>
        </w:rPr>
        <w:t xml:space="preserve"> </w:t>
      </w:r>
      <w:r w:rsidR="002A7332" w:rsidRPr="00CC3B69">
        <w:rPr>
          <w:rFonts w:cs="Arial"/>
        </w:rPr>
        <w:t xml:space="preserve">and </w:t>
      </w:r>
      <w:r w:rsidR="002A7332">
        <w:rPr>
          <w:rFonts w:cs="Arial"/>
        </w:rPr>
        <w:t xml:space="preserve">the program’s </w:t>
      </w:r>
      <w:r w:rsidR="002A7332" w:rsidRPr="00CC3B69">
        <w:rPr>
          <w:rFonts w:cs="Arial"/>
        </w:rPr>
        <w:t xml:space="preserve">strategic objectives </w:t>
      </w:r>
      <w:r w:rsidR="002A7332">
        <w:rPr>
          <w:rFonts w:cs="Arial"/>
        </w:rPr>
        <w:t xml:space="preserve">have been </w:t>
      </w:r>
      <w:r w:rsidR="002A7332" w:rsidRPr="00CC3B69">
        <w:rPr>
          <w:rFonts w:cs="Arial"/>
        </w:rPr>
        <w:t xml:space="preserve">refined to reflect the Government’s policy priorities and our national interest. </w:t>
      </w:r>
      <w:r w:rsidR="002A7332">
        <w:rPr>
          <w:rFonts w:cs="Arial"/>
        </w:rPr>
        <w:t xml:space="preserve">Australia will continue to consider humanitarian funding for Africa within Government priorities and available budget. </w:t>
      </w:r>
    </w:p>
    <w:p w:rsidR="00CC3B69" w:rsidRDefault="00CC3B69" w:rsidP="00C657FB">
      <w:pPr>
        <w:rPr>
          <w:rFonts w:cs="Arial"/>
        </w:rPr>
      </w:pPr>
    </w:p>
    <w:p w:rsidR="00EC4202" w:rsidRPr="00EC4202" w:rsidRDefault="00EC4202" w:rsidP="00C657FB">
      <w:pPr>
        <w:rPr>
          <w:rFonts w:cs="Arial"/>
          <w:sz w:val="2"/>
          <w:szCs w:val="2"/>
        </w:rPr>
      </w:pPr>
    </w:p>
    <w:p w:rsidR="00C657FB" w:rsidRPr="008B3156" w:rsidRDefault="004C5939" w:rsidP="00F054D0">
      <w:pPr>
        <w:keepNext/>
        <w:rPr>
          <w:b/>
          <w:sz w:val="22"/>
          <w:szCs w:val="22"/>
          <w:lang w:eastAsia="en-AU"/>
        </w:rPr>
      </w:pPr>
      <w:r>
        <w:rPr>
          <w:b/>
          <w:sz w:val="22"/>
          <w:szCs w:val="22"/>
          <w:lang w:eastAsia="en-AU"/>
        </w:rPr>
        <w:lastRenderedPageBreak/>
        <w:t>DFAT</w:t>
      </w:r>
      <w:r w:rsidR="00F63B43" w:rsidRPr="008B3156">
        <w:rPr>
          <w:b/>
          <w:sz w:val="22"/>
          <w:szCs w:val="22"/>
          <w:lang w:eastAsia="en-AU"/>
        </w:rPr>
        <w:t>’s r</w:t>
      </w:r>
      <w:r w:rsidR="00C657FB" w:rsidRPr="008B3156">
        <w:rPr>
          <w:b/>
          <w:sz w:val="22"/>
          <w:szCs w:val="22"/>
          <w:lang w:eastAsia="en-AU"/>
        </w:rPr>
        <w:t>esponse to the specific rec</w:t>
      </w:r>
      <w:r w:rsidR="00367DA3" w:rsidRPr="008B3156">
        <w:rPr>
          <w:b/>
          <w:sz w:val="22"/>
          <w:szCs w:val="22"/>
          <w:lang w:eastAsia="en-AU"/>
        </w:rPr>
        <w:t>ommendations made in the report</w:t>
      </w:r>
    </w:p>
    <w:p w:rsidR="00C657FB" w:rsidRDefault="00C657FB" w:rsidP="00F054D0">
      <w:pPr>
        <w:keepNext/>
        <w:rPr>
          <w:rFonts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2590"/>
        <w:gridCol w:w="2639"/>
        <w:gridCol w:w="2574"/>
        <w:gridCol w:w="1944"/>
      </w:tblGrid>
      <w:tr w:rsidR="00F641BA" w:rsidRPr="00E6298A" w:rsidTr="00045FB4">
        <w:trPr>
          <w:cantSplit/>
        </w:trPr>
        <w:tc>
          <w:tcPr>
            <w:tcW w:w="2590" w:type="dxa"/>
            <w:shd w:val="clear" w:color="auto" w:fill="FFEC9B"/>
            <w:vAlign w:val="center"/>
          </w:tcPr>
          <w:p w:rsidR="00E6298A" w:rsidRPr="00E6298A" w:rsidRDefault="00E6298A" w:rsidP="00F054D0">
            <w:pPr>
              <w:pStyle w:val="Heading2"/>
              <w:spacing w:before="120" w:after="120"/>
              <w:jc w:val="center"/>
              <w:rPr>
                <w:sz w:val="20"/>
                <w:szCs w:val="20"/>
              </w:rPr>
            </w:pPr>
            <w:r w:rsidRPr="00E6298A">
              <w:rPr>
                <w:sz w:val="20"/>
                <w:szCs w:val="20"/>
              </w:rPr>
              <w:t>Recommendation</w:t>
            </w:r>
          </w:p>
        </w:tc>
        <w:tc>
          <w:tcPr>
            <w:tcW w:w="2639" w:type="dxa"/>
            <w:tcBorders>
              <w:right w:val="single" w:sz="4" w:space="0" w:color="auto"/>
            </w:tcBorders>
            <w:shd w:val="clear" w:color="auto" w:fill="FFEC9B"/>
            <w:vAlign w:val="center"/>
          </w:tcPr>
          <w:p w:rsidR="00E6298A" w:rsidRPr="00E6298A" w:rsidRDefault="00E6298A" w:rsidP="00F054D0">
            <w:pPr>
              <w:keepNext/>
              <w:spacing w:after="120"/>
              <w:jc w:val="center"/>
              <w:rPr>
                <w:rFonts w:cs="Arial"/>
                <w:b/>
                <w:szCs w:val="20"/>
              </w:rPr>
            </w:pPr>
            <w:r w:rsidRPr="00E6298A">
              <w:rPr>
                <w:rFonts w:cs="Arial"/>
                <w:b/>
                <w:szCs w:val="20"/>
              </w:rPr>
              <w:t>Response</w:t>
            </w:r>
          </w:p>
        </w:tc>
        <w:tc>
          <w:tcPr>
            <w:tcW w:w="2574" w:type="dxa"/>
            <w:tcBorders>
              <w:left w:val="single" w:sz="4" w:space="0" w:color="auto"/>
            </w:tcBorders>
            <w:shd w:val="clear" w:color="auto" w:fill="FFEC9B"/>
            <w:vAlign w:val="center"/>
          </w:tcPr>
          <w:p w:rsidR="00E6298A" w:rsidRPr="00E6298A" w:rsidRDefault="00E6298A" w:rsidP="00F054D0">
            <w:pPr>
              <w:keepNext/>
              <w:spacing w:after="120"/>
              <w:jc w:val="center"/>
              <w:rPr>
                <w:rFonts w:cs="Arial"/>
                <w:b/>
                <w:szCs w:val="20"/>
              </w:rPr>
            </w:pPr>
            <w:r w:rsidRPr="00E6298A">
              <w:rPr>
                <w:rFonts w:cs="Arial"/>
                <w:b/>
                <w:szCs w:val="20"/>
              </w:rPr>
              <w:t>Actions</w:t>
            </w:r>
          </w:p>
        </w:tc>
        <w:tc>
          <w:tcPr>
            <w:tcW w:w="1944" w:type="dxa"/>
            <w:tcBorders>
              <w:left w:val="single" w:sz="4" w:space="0" w:color="auto"/>
            </w:tcBorders>
            <w:shd w:val="clear" w:color="auto" w:fill="FFEC9B"/>
            <w:vAlign w:val="center"/>
          </w:tcPr>
          <w:p w:rsidR="00E6298A" w:rsidRPr="00E6298A" w:rsidRDefault="00E6298A" w:rsidP="00F054D0">
            <w:pPr>
              <w:keepNext/>
              <w:spacing w:after="120"/>
              <w:jc w:val="center"/>
              <w:rPr>
                <w:rFonts w:cs="Arial"/>
                <w:szCs w:val="20"/>
              </w:rPr>
            </w:pPr>
            <w:r w:rsidRPr="00E6298A">
              <w:rPr>
                <w:b/>
                <w:szCs w:val="20"/>
              </w:rPr>
              <w:t>Responsibility</w:t>
            </w:r>
          </w:p>
        </w:tc>
      </w:tr>
      <w:tr w:rsidR="00B675A6" w:rsidRPr="00F43CEC" w:rsidTr="00045FB4">
        <w:trPr>
          <w:cantSplit/>
          <w:trHeight w:val="422"/>
        </w:trPr>
        <w:tc>
          <w:tcPr>
            <w:tcW w:w="9747" w:type="dxa"/>
            <w:gridSpan w:val="4"/>
            <w:shd w:val="clear" w:color="auto" w:fill="auto"/>
          </w:tcPr>
          <w:p w:rsidR="00B675A6" w:rsidRPr="00845B17" w:rsidRDefault="00B675A6" w:rsidP="00F054D0">
            <w:pPr>
              <w:keepNext/>
              <w:spacing w:after="120"/>
              <w:rPr>
                <w:rFonts w:cs="Arial"/>
                <w:highlight w:val="lightGray"/>
              </w:rPr>
            </w:pPr>
            <w:r w:rsidRPr="00B675A6">
              <w:rPr>
                <w:rFonts w:cs="Arial"/>
              </w:rPr>
              <w:t>On the early recovery approach</w:t>
            </w:r>
          </w:p>
        </w:tc>
      </w:tr>
      <w:tr w:rsidR="00F641BA" w:rsidRPr="00F43CEC" w:rsidTr="00045FB4">
        <w:trPr>
          <w:cantSplit/>
          <w:trHeight w:val="885"/>
        </w:trPr>
        <w:tc>
          <w:tcPr>
            <w:tcW w:w="2590" w:type="dxa"/>
            <w:shd w:val="clear" w:color="auto" w:fill="auto"/>
          </w:tcPr>
          <w:p w:rsidR="00E6298A" w:rsidRPr="00632714" w:rsidRDefault="00B675A6" w:rsidP="00783EFE">
            <w:pPr>
              <w:numPr>
                <w:ilvl w:val="0"/>
                <w:numId w:val="38"/>
              </w:numPr>
              <w:spacing w:after="120"/>
              <w:ind w:left="426" w:hanging="426"/>
              <w:rPr>
                <w:b/>
              </w:rPr>
            </w:pPr>
            <w:r>
              <w:rPr>
                <w:b/>
              </w:rPr>
              <w:t>The Early Recovery approach should be considered for scaling up in the fragile context of South Sudan.</w:t>
            </w:r>
          </w:p>
        </w:tc>
        <w:tc>
          <w:tcPr>
            <w:tcW w:w="2639" w:type="dxa"/>
            <w:tcBorders>
              <w:right w:val="single" w:sz="4" w:space="0" w:color="auto"/>
            </w:tcBorders>
            <w:shd w:val="clear" w:color="auto" w:fill="auto"/>
          </w:tcPr>
          <w:p w:rsidR="00E6298A" w:rsidRPr="007C09B6" w:rsidRDefault="007C09B6" w:rsidP="00175FFC">
            <w:pPr>
              <w:spacing w:after="120"/>
              <w:rPr>
                <w:rFonts w:cs="Arial"/>
                <w:i/>
              </w:rPr>
            </w:pPr>
            <w:r w:rsidRPr="007C09B6">
              <w:rPr>
                <w:rFonts w:cs="Arial"/>
                <w:i/>
              </w:rPr>
              <w:t>Agree</w:t>
            </w:r>
          </w:p>
          <w:p w:rsidR="00DD040E" w:rsidRPr="00F43CEC" w:rsidRDefault="00DD040E" w:rsidP="004B17E2">
            <w:pPr>
              <w:spacing w:after="120"/>
              <w:rPr>
                <w:rFonts w:cs="Arial"/>
              </w:rPr>
            </w:pPr>
          </w:p>
        </w:tc>
        <w:tc>
          <w:tcPr>
            <w:tcW w:w="2574" w:type="dxa"/>
            <w:tcBorders>
              <w:left w:val="single" w:sz="4" w:space="0" w:color="auto"/>
            </w:tcBorders>
            <w:shd w:val="clear" w:color="auto" w:fill="auto"/>
          </w:tcPr>
          <w:p w:rsidR="00C00B86" w:rsidRPr="00F43CEC" w:rsidRDefault="00C6659F" w:rsidP="005834F8">
            <w:pPr>
              <w:spacing w:after="120"/>
              <w:rPr>
                <w:rFonts w:cs="Arial"/>
              </w:rPr>
            </w:pPr>
            <w:r>
              <w:rPr>
                <w:rFonts w:cs="Arial"/>
              </w:rPr>
              <w:t>DFAT</w:t>
            </w:r>
            <w:r w:rsidR="00991316">
              <w:rPr>
                <w:rFonts w:cs="Arial"/>
              </w:rPr>
              <w:t xml:space="preserve"> will consider </w:t>
            </w:r>
            <w:r w:rsidR="003B2309">
              <w:rPr>
                <w:rFonts w:cs="Arial"/>
              </w:rPr>
              <w:t>the early r</w:t>
            </w:r>
            <w:r w:rsidR="00991316">
              <w:rPr>
                <w:rFonts w:cs="Arial"/>
              </w:rPr>
              <w:t xml:space="preserve">ecovery </w:t>
            </w:r>
            <w:r w:rsidR="003B2309">
              <w:rPr>
                <w:rFonts w:cs="Arial"/>
              </w:rPr>
              <w:t>approach i</w:t>
            </w:r>
            <w:r w:rsidR="00DD040E">
              <w:rPr>
                <w:rFonts w:cs="Arial"/>
              </w:rPr>
              <w:t xml:space="preserve">n </w:t>
            </w:r>
            <w:r w:rsidR="001D1E07">
              <w:rPr>
                <w:rFonts w:cs="Arial"/>
              </w:rPr>
              <w:t>future programming</w:t>
            </w:r>
            <w:r w:rsidR="00EE3CD6">
              <w:rPr>
                <w:rFonts w:cs="Arial"/>
              </w:rPr>
              <w:t xml:space="preserve">, where </w:t>
            </w:r>
            <w:r w:rsidR="00C34879">
              <w:rPr>
                <w:rFonts w:cs="Arial"/>
              </w:rPr>
              <w:t>possible</w:t>
            </w:r>
            <w:r w:rsidR="003B2309">
              <w:rPr>
                <w:rFonts w:cs="Arial"/>
              </w:rPr>
              <w:t>.</w:t>
            </w:r>
          </w:p>
        </w:tc>
        <w:tc>
          <w:tcPr>
            <w:tcW w:w="1944" w:type="dxa"/>
            <w:tcBorders>
              <w:left w:val="single" w:sz="4" w:space="0" w:color="auto"/>
            </w:tcBorders>
            <w:shd w:val="clear" w:color="auto" w:fill="auto"/>
          </w:tcPr>
          <w:p w:rsidR="00E6298A" w:rsidRPr="00F43CEC" w:rsidRDefault="00D16C9E" w:rsidP="00DB3366">
            <w:pPr>
              <w:spacing w:after="120"/>
              <w:rPr>
                <w:rFonts w:cs="Arial"/>
              </w:rPr>
            </w:pPr>
            <w:r>
              <w:rPr>
                <w:rFonts w:cs="Arial"/>
              </w:rPr>
              <w:t>Africa program</w:t>
            </w:r>
          </w:p>
        </w:tc>
      </w:tr>
      <w:tr w:rsidR="00F641BA" w:rsidRPr="00F43CEC" w:rsidTr="00045FB4">
        <w:trPr>
          <w:cantSplit/>
          <w:trHeight w:val="885"/>
        </w:trPr>
        <w:tc>
          <w:tcPr>
            <w:tcW w:w="2590" w:type="dxa"/>
            <w:shd w:val="clear" w:color="auto" w:fill="auto"/>
          </w:tcPr>
          <w:p w:rsidR="00E6298A" w:rsidRDefault="008B0DCD" w:rsidP="00DB3366">
            <w:pPr>
              <w:numPr>
                <w:ilvl w:val="0"/>
                <w:numId w:val="38"/>
              </w:numPr>
              <w:spacing w:after="120"/>
              <w:ind w:left="426" w:hanging="426"/>
              <w:rPr>
                <w:b/>
              </w:rPr>
            </w:pPr>
            <w:r>
              <w:rPr>
                <w:b/>
              </w:rPr>
              <w:t>The</w:t>
            </w:r>
            <w:r w:rsidR="00B675A6">
              <w:rPr>
                <w:b/>
              </w:rPr>
              <w:t xml:space="preserve"> ‘gender and peace’ approach has high potential and could be expanded.</w:t>
            </w:r>
          </w:p>
        </w:tc>
        <w:tc>
          <w:tcPr>
            <w:tcW w:w="2639" w:type="dxa"/>
            <w:tcBorders>
              <w:right w:val="single" w:sz="4" w:space="0" w:color="auto"/>
            </w:tcBorders>
            <w:shd w:val="clear" w:color="auto" w:fill="auto"/>
          </w:tcPr>
          <w:p w:rsidR="007C09B6" w:rsidRPr="007C09B6" w:rsidRDefault="00E6298A" w:rsidP="00C263B2">
            <w:pPr>
              <w:spacing w:after="120"/>
              <w:rPr>
                <w:rFonts w:cs="Arial"/>
                <w:i/>
              </w:rPr>
            </w:pPr>
            <w:r w:rsidRPr="007C09B6">
              <w:rPr>
                <w:rFonts w:cs="Arial"/>
                <w:i/>
              </w:rPr>
              <w:t xml:space="preserve">Agree </w:t>
            </w:r>
          </w:p>
          <w:p w:rsidR="00B675A6" w:rsidRPr="00F43CEC" w:rsidRDefault="00B675A6" w:rsidP="004B17E2">
            <w:pPr>
              <w:spacing w:after="120"/>
              <w:rPr>
                <w:rFonts w:cs="Arial"/>
              </w:rPr>
            </w:pPr>
          </w:p>
        </w:tc>
        <w:tc>
          <w:tcPr>
            <w:tcW w:w="2574" w:type="dxa"/>
            <w:tcBorders>
              <w:left w:val="single" w:sz="4" w:space="0" w:color="auto"/>
            </w:tcBorders>
            <w:shd w:val="clear" w:color="auto" w:fill="auto"/>
          </w:tcPr>
          <w:p w:rsidR="004240C2" w:rsidRPr="00F43CEC" w:rsidRDefault="004B17E2" w:rsidP="00AF3EDC">
            <w:pPr>
              <w:spacing w:after="120"/>
              <w:rPr>
                <w:rFonts w:cs="Arial"/>
              </w:rPr>
            </w:pPr>
            <w:r>
              <w:rPr>
                <w:rFonts w:cs="Arial"/>
              </w:rPr>
              <w:t>G</w:t>
            </w:r>
            <w:r w:rsidRPr="007C09B6">
              <w:rPr>
                <w:rFonts w:cs="Arial"/>
              </w:rPr>
              <w:t xml:space="preserve">ender equality </w:t>
            </w:r>
            <w:r w:rsidR="00C34879">
              <w:rPr>
                <w:rFonts w:cs="Arial"/>
              </w:rPr>
              <w:t>i</w:t>
            </w:r>
            <w:r w:rsidRPr="007C09B6">
              <w:rPr>
                <w:rFonts w:cs="Arial"/>
              </w:rPr>
              <w:t xml:space="preserve">s a critical cross-cutting theme </w:t>
            </w:r>
            <w:r w:rsidR="00AF3EDC">
              <w:rPr>
                <w:rFonts w:cs="Arial"/>
              </w:rPr>
              <w:t>in</w:t>
            </w:r>
            <w:r w:rsidRPr="007C09B6">
              <w:rPr>
                <w:rFonts w:cs="Arial"/>
              </w:rPr>
              <w:t xml:space="preserve"> the aid program</w:t>
            </w:r>
            <w:r>
              <w:rPr>
                <w:rFonts w:cs="Arial"/>
              </w:rPr>
              <w:t xml:space="preserve"> and </w:t>
            </w:r>
            <w:r w:rsidR="004608D2">
              <w:rPr>
                <w:rFonts w:cs="Arial"/>
              </w:rPr>
              <w:t xml:space="preserve">will continue to </w:t>
            </w:r>
            <w:r w:rsidR="00241883" w:rsidRPr="00241883">
              <w:rPr>
                <w:rFonts w:cs="Arial"/>
              </w:rPr>
              <w:t>be integrated into aid investments.</w:t>
            </w:r>
          </w:p>
        </w:tc>
        <w:tc>
          <w:tcPr>
            <w:tcW w:w="1944" w:type="dxa"/>
            <w:tcBorders>
              <w:left w:val="single" w:sz="4" w:space="0" w:color="auto"/>
            </w:tcBorders>
            <w:shd w:val="clear" w:color="auto" w:fill="auto"/>
          </w:tcPr>
          <w:p w:rsidR="00E6298A" w:rsidRPr="00F43CEC" w:rsidRDefault="00241883" w:rsidP="00DB3366">
            <w:pPr>
              <w:spacing w:after="120"/>
              <w:rPr>
                <w:rFonts w:cs="Arial"/>
              </w:rPr>
            </w:pPr>
            <w:r>
              <w:rPr>
                <w:rFonts w:cs="Arial"/>
              </w:rPr>
              <w:t>Africa program</w:t>
            </w:r>
            <w:r w:rsidR="00613F99">
              <w:rPr>
                <w:rFonts w:cs="Arial"/>
              </w:rPr>
              <w:t xml:space="preserve"> will share the lessons of this review with relevant areas.</w:t>
            </w:r>
          </w:p>
        </w:tc>
      </w:tr>
      <w:tr w:rsidR="00F641BA" w:rsidRPr="00F43CEC" w:rsidTr="00045FB4">
        <w:trPr>
          <w:cantSplit/>
          <w:trHeight w:val="885"/>
        </w:trPr>
        <w:tc>
          <w:tcPr>
            <w:tcW w:w="2590" w:type="dxa"/>
            <w:shd w:val="clear" w:color="auto" w:fill="auto"/>
          </w:tcPr>
          <w:p w:rsidR="009F0225" w:rsidRPr="00632714" w:rsidRDefault="00B675A6" w:rsidP="00452A3E">
            <w:pPr>
              <w:numPr>
                <w:ilvl w:val="0"/>
                <w:numId w:val="38"/>
              </w:numPr>
              <w:spacing w:after="120"/>
              <w:ind w:left="426" w:hanging="426"/>
              <w:rPr>
                <w:b/>
              </w:rPr>
            </w:pPr>
            <w:r>
              <w:rPr>
                <w:b/>
              </w:rPr>
              <w:t xml:space="preserve">Future funding rounds that focus on early recovery should develop flexible ways of cooperation within AusAID to try and bridge this gap [between humanitarian and development </w:t>
            </w:r>
            <w:r w:rsidR="006A2916">
              <w:rPr>
                <w:b/>
              </w:rPr>
              <w:t>areas</w:t>
            </w:r>
            <w:r>
              <w:rPr>
                <w:b/>
              </w:rPr>
              <w:t>].</w:t>
            </w:r>
          </w:p>
        </w:tc>
        <w:tc>
          <w:tcPr>
            <w:tcW w:w="2639" w:type="dxa"/>
            <w:tcBorders>
              <w:right w:val="single" w:sz="4" w:space="0" w:color="auto"/>
            </w:tcBorders>
            <w:shd w:val="clear" w:color="auto" w:fill="auto"/>
          </w:tcPr>
          <w:p w:rsidR="009F0225" w:rsidRDefault="00241883" w:rsidP="009F0225">
            <w:pPr>
              <w:spacing w:after="120"/>
              <w:rPr>
                <w:rFonts w:cs="Arial"/>
                <w:i/>
              </w:rPr>
            </w:pPr>
            <w:r>
              <w:rPr>
                <w:rFonts w:cs="Arial"/>
                <w:i/>
              </w:rPr>
              <w:t>Noted</w:t>
            </w:r>
          </w:p>
          <w:p w:rsidR="006A2916" w:rsidRPr="006A2916" w:rsidRDefault="006A2916" w:rsidP="00DB3366">
            <w:pPr>
              <w:spacing w:after="120"/>
              <w:rPr>
                <w:rFonts w:cs="Arial"/>
              </w:rPr>
            </w:pPr>
          </w:p>
        </w:tc>
        <w:tc>
          <w:tcPr>
            <w:tcW w:w="2574" w:type="dxa"/>
            <w:tcBorders>
              <w:left w:val="single" w:sz="4" w:space="0" w:color="auto"/>
            </w:tcBorders>
            <w:shd w:val="clear" w:color="auto" w:fill="auto"/>
          </w:tcPr>
          <w:p w:rsidR="001F550A" w:rsidRPr="00F43CEC" w:rsidRDefault="00EE3CD6" w:rsidP="00045FB4">
            <w:pPr>
              <w:spacing w:after="120"/>
              <w:rPr>
                <w:rFonts w:cs="Arial"/>
              </w:rPr>
            </w:pPr>
            <w:r>
              <w:rPr>
                <w:rFonts w:cs="Arial"/>
              </w:rPr>
              <w:t>The Africa program will continue to strengthen, where possible, the linkages between its early recovery and longer-term development programming in Africa country programs; however t</w:t>
            </w:r>
            <w:r w:rsidR="001D1E07" w:rsidRPr="00BC548A">
              <w:rPr>
                <w:rFonts w:cs="Arial"/>
              </w:rPr>
              <w:t>his recommendation has implica</w:t>
            </w:r>
            <w:r w:rsidR="001D1E07">
              <w:rPr>
                <w:rFonts w:cs="Arial"/>
              </w:rPr>
              <w:t>tions beyond the Africa program and is beyond the scope of the TOR.</w:t>
            </w:r>
          </w:p>
        </w:tc>
        <w:tc>
          <w:tcPr>
            <w:tcW w:w="1944" w:type="dxa"/>
            <w:tcBorders>
              <w:left w:val="single" w:sz="4" w:space="0" w:color="auto"/>
            </w:tcBorders>
            <w:shd w:val="clear" w:color="auto" w:fill="auto"/>
          </w:tcPr>
          <w:p w:rsidR="00EA177B" w:rsidRPr="00F43CEC" w:rsidRDefault="00613F99" w:rsidP="009F0225">
            <w:pPr>
              <w:spacing w:after="120"/>
              <w:rPr>
                <w:rFonts w:cs="Arial"/>
              </w:rPr>
            </w:pPr>
            <w:r>
              <w:rPr>
                <w:rFonts w:cs="Arial"/>
              </w:rPr>
              <w:t>Africa program will share the lessons of this review with relevant areas.</w:t>
            </w:r>
          </w:p>
        </w:tc>
      </w:tr>
      <w:tr w:rsidR="00B675A6" w:rsidRPr="00F43CEC" w:rsidTr="00045FB4">
        <w:trPr>
          <w:cantSplit/>
          <w:trHeight w:val="378"/>
        </w:trPr>
        <w:tc>
          <w:tcPr>
            <w:tcW w:w="9747" w:type="dxa"/>
            <w:gridSpan w:val="4"/>
            <w:shd w:val="clear" w:color="auto" w:fill="auto"/>
          </w:tcPr>
          <w:p w:rsidR="00B675A6" w:rsidRDefault="00B675A6" w:rsidP="00DB3366">
            <w:pPr>
              <w:spacing w:after="120"/>
              <w:rPr>
                <w:rFonts w:cs="Arial"/>
              </w:rPr>
            </w:pPr>
            <w:r>
              <w:rPr>
                <w:rFonts w:cs="Arial"/>
              </w:rPr>
              <w:t>On monitoring and evaluation</w:t>
            </w:r>
          </w:p>
        </w:tc>
      </w:tr>
      <w:tr w:rsidR="00F641BA" w:rsidRPr="00F43CEC" w:rsidTr="00045FB4">
        <w:trPr>
          <w:cantSplit/>
          <w:trHeight w:val="885"/>
        </w:trPr>
        <w:tc>
          <w:tcPr>
            <w:tcW w:w="2590" w:type="dxa"/>
            <w:shd w:val="clear" w:color="auto" w:fill="auto"/>
          </w:tcPr>
          <w:p w:rsidR="009F0225" w:rsidRDefault="00B675A6" w:rsidP="00DB3366">
            <w:pPr>
              <w:numPr>
                <w:ilvl w:val="0"/>
                <w:numId w:val="38"/>
              </w:numPr>
              <w:spacing w:after="120"/>
              <w:ind w:left="426" w:hanging="426"/>
              <w:rPr>
                <w:b/>
              </w:rPr>
            </w:pPr>
            <w:r>
              <w:rPr>
                <w:b/>
              </w:rPr>
              <w:t xml:space="preserve">[Early recovery activities] require a longer proposal design phase and sufficient resource allocation, human and financial, to </w:t>
            </w:r>
            <w:r w:rsidR="008B0DCD">
              <w:rPr>
                <w:b/>
              </w:rPr>
              <w:t>M&amp;E</w:t>
            </w:r>
            <w:r>
              <w:rPr>
                <w:b/>
              </w:rPr>
              <w:t xml:space="preserve"> throughout implementation</w:t>
            </w:r>
            <w:r w:rsidR="00EA177B">
              <w:rPr>
                <w:b/>
              </w:rPr>
              <w:t>.</w:t>
            </w:r>
          </w:p>
        </w:tc>
        <w:tc>
          <w:tcPr>
            <w:tcW w:w="2639" w:type="dxa"/>
            <w:tcBorders>
              <w:right w:val="single" w:sz="4" w:space="0" w:color="auto"/>
            </w:tcBorders>
            <w:shd w:val="clear" w:color="auto" w:fill="auto"/>
          </w:tcPr>
          <w:p w:rsidR="00BC548A" w:rsidRPr="00DB3366" w:rsidRDefault="00241883" w:rsidP="00F17676">
            <w:pPr>
              <w:spacing w:after="120"/>
              <w:rPr>
                <w:rFonts w:cs="Arial"/>
              </w:rPr>
            </w:pPr>
            <w:r>
              <w:rPr>
                <w:rFonts w:cs="Arial"/>
                <w:i/>
              </w:rPr>
              <w:t>Noted</w:t>
            </w:r>
            <w:r w:rsidRPr="00F17676">
              <w:rPr>
                <w:rFonts w:cs="Arial"/>
                <w:i/>
              </w:rPr>
              <w:t xml:space="preserve"> </w:t>
            </w:r>
          </w:p>
          <w:p w:rsidR="009F0225" w:rsidRPr="00F43CEC" w:rsidRDefault="009F0225" w:rsidP="00452A3E">
            <w:pPr>
              <w:spacing w:after="120"/>
              <w:rPr>
                <w:rFonts w:cs="Arial"/>
              </w:rPr>
            </w:pPr>
          </w:p>
        </w:tc>
        <w:tc>
          <w:tcPr>
            <w:tcW w:w="2574" w:type="dxa"/>
            <w:tcBorders>
              <w:left w:val="single" w:sz="4" w:space="0" w:color="auto"/>
            </w:tcBorders>
            <w:shd w:val="clear" w:color="auto" w:fill="auto"/>
          </w:tcPr>
          <w:p w:rsidR="00416FCA" w:rsidRDefault="00416FCA" w:rsidP="00F17676">
            <w:pPr>
              <w:spacing w:after="120"/>
              <w:rPr>
                <w:rFonts w:cs="Arial"/>
              </w:rPr>
            </w:pPr>
            <w:r>
              <w:rPr>
                <w:rFonts w:cs="Arial"/>
              </w:rPr>
              <w:t>Given the humanitarian imperative and the need for a rapid response in post-independence South Sudan, a pilot call for proposals was issued for early recovery</w:t>
            </w:r>
            <w:r w:rsidR="00EE3CD6">
              <w:rPr>
                <w:rFonts w:cs="Arial"/>
              </w:rPr>
              <w:t xml:space="preserve"> activities</w:t>
            </w:r>
            <w:r w:rsidR="00A11C6A">
              <w:rPr>
                <w:rFonts w:cs="Arial"/>
              </w:rPr>
              <w:t>.</w:t>
            </w:r>
          </w:p>
          <w:p w:rsidR="00416FCA" w:rsidRPr="00F43CEC" w:rsidRDefault="00416FCA" w:rsidP="00416FCA">
            <w:pPr>
              <w:spacing w:after="120"/>
              <w:rPr>
                <w:rFonts w:cs="Arial"/>
              </w:rPr>
            </w:pPr>
            <w:r>
              <w:rPr>
                <w:rFonts w:cs="Arial"/>
              </w:rPr>
              <w:t xml:space="preserve">The Africa program will consider ways to balance strengthened M&amp;E with response flexibility in early recovery programming. </w:t>
            </w:r>
          </w:p>
        </w:tc>
        <w:tc>
          <w:tcPr>
            <w:tcW w:w="1944" w:type="dxa"/>
            <w:tcBorders>
              <w:left w:val="single" w:sz="4" w:space="0" w:color="auto"/>
            </w:tcBorders>
            <w:shd w:val="clear" w:color="auto" w:fill="auto"/>
          </w:tcPr>
          <w:p w:rsidR="00416FCA" w:rsidRPr="00F43CEC" w:rsidRDefault="00416FCA" w:rsidP="009F0225">
            <w:pPr>
              <w:spacing w:after="120"/>
              <w:rPr>
                <w:rFonts w:cs="Arial"/>
              </w:rPr>
            </w:pPr>
            <w:r>
              <w:rPr>
                <w:rFonts w:cs="Arial"/>
              </w:rPr>
              <w:t>Africa program</w:t>
            </w:r>
          </w:p>
        </w:tc>
      </w:tr>
      <w:tr w:rsidR="00B675A6" w:rsidRPr="00F43CEC" w:rsidTr="00045FB4">
        <w:trPr>
          <w:cantSplit/>
          <w:trHeight w:val="421"/>
        </w:trPr>
        <w:tc>
          <w:tcPr>
            <w:tcW w:w="9747" w:type="dxa"/>
            <w:gridSpan w:val="4"/>
            <w:shd w:val="clear" w:color="auto" w:fill="auto"/>
          </w:tcPr>
          <w:p w:rsidR="00B675A6" w:rsidRPr="00845B17" w:rsidRDefault="00B675A6" w:rsidP="009F0225">
            <w:pPr>
              <w:spacing w:after="120"/>
              <w:rPr>
                <w:rFonts w:cs="Arial"/>
                <w:highlight w:val="lightGray"/>
              </w:rPr>
            </w:pPr>
            <w:r w:rsidRPr="00B675A6">
              <w:rPr>
                <w:rFonts w:cs="Arial"/>
              </w:rPr>
              <w:t>On learning in a fragile environment</w:t>
            </w:r>
          </w:p>
        </w:tc>
      </w:tr>
      <w:tr w:rsidR="00F641BA" w:rsidRPr="00F43CEC" w:rsidTr="00045FB4">
        <w:trPr>
          <w:cantSplit/>
          <w:trHeight w:val="885"/>
        </w:trPr>
        <w:tc>
          <w:tcPr>
            <w:tcW w:w="2590" w:type="dxa"/>
            <w:shd w:val="clear" w:color="auto" w:fill="auto"/>
          </w:tcPr>
          <w:p w:rsidR="009F0225" w:rsidRPr="00632714" w:rsidRDefault="00B675A6" w:rsidP="009F0225">
            <w:pPr>
              <w:numPr>
                <w:ilvl w:val="0"/>
                <w:numId w:val="38"/>
              </w:numPr>
              <w:spacing w:after="120"/>
              <w:ind w:left="426" w:hanging="426"/>
              <w:rPr>
                <w:b/>
              </w:rPr>
            </w:pPr>
            <w:r>
              <w:rPr>
                <w:b/>
              </w:rPr>
              <w:lastRenderedPageBreak/>
              <w:t>Any learning component must have clear deliverables, activities and budgets, with full clarity of who does what. This requires close donor-NGO interaction and follow-up</w:t>
            </w:r>
            <w:r w:rsidR="00F00774">
              <w:rPr>
                <w:b/>
              </w:rPr>
              <w:t>.</w:t>
            </w:r>
          </w:p>
        </w:tc>
        <w:tc>
          <w:tcPr>
            <w:tcW w:w="2639" w:type="dxa"/>
            <w:tcBorders>
              <w:right w:val="single" w:sz="4" w:space="0" w:color="auto"/>
            </w:tcBorders>
            <w:shd w:val="clear" w:color="auto" w:fill="auto"/>
          </w:tcPr>
          <w:p w:rsidR="009F0225" w:rsidRPr="008B2E54" w:rsidRDefault="009F0225" w:rsidP="009F0225">
            <w:pPr>
              <w:spacing w:after="120"/>
              <w:rPr>
                <w:rFonts w:cs="Arial"/>
                <w:i/>
              </w:rPr>
            </w:pPr>
            <w:r w:rsidRPr="008B2E54">
              <w:rPr>
                <w:rFonts w:cs="Arial"/>
                <w:i/>
              </w:rPr>
              <w:t xml:space="preserve">Agree </w:t>
            </w:r>
          </w:p>
          <w:p w:rsidR="009F0225" w:rsidRPr="00F43CEC" w:rsidRDefault="00151D87" w:rsidP="00DB3366">
            <w:pPr>
              <w:spacing w:after="120"/>
              <w:rPr>
                <w:rFonts w:cs="Arial"/>
              </w:rPr>
            </w:pPr>
            <w:r>
              <w:rPr>
                <w:rFonts w:cs="Arial"/>
              </w:rPr>
              <w:t>To maximise the opportunities for learning (</w:t>
            </w:r>
            <w:r w:rsidR="004B17E2">
              <w:rPr>
                <w:rFonts w:cs="Arial"/>
              </w:rPr>
              <w:t xml:space="preserve">collaborative learning </w:t>
            </w:r>
            <w:r>
              <w:rPr>
                <w:rFonts w:cs="Arial"/>
              </w:rPr>
              <w:t xml:space="preserve">and distillation of lessons learned), early consultation </w:t>
            </w:r>
            <w:r w:rsidR="00416FCA">
              <w:rPr>
                <w:rFonts w:cs="Arial"/>
              </w:rPr>
              <w:t xml:space="preserve">is beneficial for </w:t>
            </w:r>
            <w:r>
              <w:rPr>
                <w:rFonts w:cs="Arial"/>
              </w:rPr>
              <w:t xml:space="preserve">setting </w:t>
            </w:r>
            <w:r w:rsidR="00416FCA">
              <w:rPr>
                <w:rFonts w:cs="Arial"/>
              </w:rPr>
              <w:t>agreed</w:t>
            </w:r>
            <w:r>
              <w:rPr>
                <w:rFonts w:cs="Arial"/>
              </w:rPr>
              <w:t xml:space="preserve"> deliverables and setting out responsibilitie</w:t>
            </w:r>
            <w:r w:rsidR="001D1E07">
              <w:rPr>
                <w:rFonts w:cs="Arial"/>
              </w:rPr>
              <w:t>s. C</w:t>
            </w:r>
            <w:r w:rsidR="004B17E2">
              <w:rPr>
                <w:rFonts w:cs="Arial"/>
              </w:rPr>
              <w:t>reating early opportunities for sharing and</w:t>
            </w:r>
            <w:r w:rsidRPr="004B17E2">
              <w:rPr>
                <w:rFonts w:cs="Arial"/>
              </w:rPr>
              <w:t xml:space="preserve"> </w:t>
            </w:r>
            <w:r w:rsidR="004B17E2" w:rsidRPr="004B17E2">
              <w:rPr>
                <w:rFonts w:cs="Arial"/>
              </w:rPr>
              <w:t>consolidating</w:t>
            </w:r>
            <w:r w:rsidRPr="004B17E2">
              <w:rPr>
                <w:rFonts w:cs="Arial"/>
              </w:rPr>
              <w:t xml:space="preserve"> lessons learned</w:t>
            </w:r>
            <w:r w:rsidR="001D1E07">
              <w:rPr>
                <w:rFonts w:cs="Arial"/>
              </w:rPr>
              <w:t xml:space="preserve"> is also important</w:t>
            </w:r>
            <w:r w:rsidRPr="004B17E2">
              <w:rPr>
                <w:rFonts w:cs="Arial"/>
              </w:rPr>
              <w:t>.</w:t>
            </w:r>
          </w:p>
        </w:tc>
        <w:tc>
          <w:tcPr>
            <w:tcW w:w="2574" w:type="dxa"/>
            <w:tcBorders>
              <w:left w:val="single" w:sz="4" w:space="0" w:color="auto"/>
            </w:tcBorders>
            <w:shd w:val="clear" w:color="auto" w:fill="auto"/>
          </w:tcPr>
          <w:p w:rsidR="008B2E54" w:rsidRPr="00F43CEC" w:rsidRDefault="00416FCA" w:rsidP="00E2029F">
            <w:pPr>
              <w:spacing w:after="120"/>
              <w:rPr>
                <w:rFonts w:cs="Arial"/>
              </w:rPr>
            </w:pPr>
            <w:r>
              <w:rPr>
                <w:rFonts w:cs="Arial"/>
              </w:rPr>
              <w:t>In instances where learning is a primary program objective, m</w:t>
            </w:r>
            <w:r w:rsidR="008B2E54">
              <w:rPr>
                <w:rFonts w:cs="Arial"/>
              </w:rPr>
              <w:t xml:space="preserve">echanisms for NGO-donor collaboration and communication </w:t>
            </w:r>
            <w:r w:rsidR="00E2029F">
              <w:rPr>
                <w:rFonts w:cs="Arial"/>
              </w:rPr>
              <w:t>would</w:t>
            </w:r>
            <w:r w:rsidR="008B2E54">
              <w:rPr>
                <w:rFonts w:cs="Arial"/>
              </w:rPr>
              <w:t xml:space="preserve"> be considered </w:t>
            </w:r>
            <w:r w:rsidR="00E2029F">
              <w:rPr>
                <w:rFonts w:cs="Arial"/>
              </w:rPr>
              <w:t>during program</w:t>
            </w:r>
            <w:r w:rsidR="001D1E07">
              <w:rPr>
                <w:rFonts w:cs="Arial"/>
              </w:rPr>
              <w:t xml:space="preserve"> </w:t>
            </w:r>
            <w:r w:rsidR="008B2E54">
              <w:rPr>
                <w:rFonts w:cs="Arial"/>
              </w:rPr>
              <w:t>design.</w:t>
            </w:r>
            <w:r w:rsidR="00E2029F">
              <w:rPr>
                <w:rFonts w:cs="Arial"/>
              </w:rPr>
              <w:t xml:space="preserve"> </w:t>
            </w:r>
          </w:p>
        </w:tc>
        <w:tc>
          <w:tcPr>
            <w:tcW w:w="1944" w:type="dxa"/>
            <w:tcBorders>
              <w:left w:val="single" w:sz="4" w:space="0" w:color="auto"/>
            </w:tcBorders>
            <w:shd w:val="clear" w:color="auto" w:fill="auto"/>
          </w:tcPr>
          <w:p w:rsidR="009F0225" w:rsidRPr="00F43CEC" w:rsidRDefault="00241883" w:rsidP="009F0225">
            <w:pPr>
              <w:spacing w:after="120"/>
              <w:rPr>
                <w:rFonts w:cs="Arial"/>
              </w:rPr>
            </w:pPr>
            <w:r>
              <w:rPr>
                <w:rFonts w:cs="Arial"/>
              </w:rPr>
              <w:t>Africa program</w:t>
            </w:r>
          </w:p>
        </w:tc>
      </w:tr>
      <w:tr w:rsidR="00F641BA" w:rsidRPr="00F43CEC" w:rsidTr="00045FB4">
        <w:trPr>
          <w:cantSplit/>
          <w:trHeight w:val="885"/>
        </w:trPr>
        <w:tc>
          <w:tcPr>
            <w:tcW w:w="2590" w:type="dxa"/>
            <w:shd w:val="clear" w:color="auto" w:fill="auto"/>
          </w:tcPr>
          <w:p w:rsidR="009F0225" w:rsidRDefault="00D850B5" w:rsidP="00F00774">
            <w:pPr>
              <w:numPr>
                <w:ilvl w:val="0"/>
                <w:numId w:val="38"/>
              </w:numPr>
              <w:spacing w:after="120"/>
              <w:ind w:left="426" w:hanging="426"/>
              <w:rPr>
                <w:b/>
              </w:rPr>
            </w:pPr>
            <w:r>
              <w:rPr>
                <w:b/>
              </w:rPr>
              <w:t>Early determination of key questions, and decisions on methodologies, should be developed with the involvement of all stakeholders. Involvement of academia might be beneficial to increase rigour</w:t>
            </w:r>
            <w:r w:rsidR="00416FCA">
              <w:rPr>
                <w:b/>
              </w:rPr>
              <w:t>, while including South Sudan in a learning framework such as AACES could place the learning in a broader context.</w:t>
            </w:r>
          </w:p>
        </w:tc>
        <w:tc>
          <w:tcPr>
            <w:tcW w:w="2639" w:type="dxa"/>
            <w:tcBorders>
              <w:right w:val="single" w:sz="4" w:space="0" w:color="auto"/>
            </w:tcBorders>
            <w:shd w:val="clear" w:color="auto" w:fill="auto"/>
          </w:tcPr>
          <w:p w:rsidR="009F0225" w:rsidRPr="008B2E54" w:rsidRDefault="009F0225" w:rsidP="009F0225">
            <w:pPr>
              <w:spacing w:after="120"/>
              <w:rPr>
                <w:rFonts w:cs="Arial"/>
                <w:i/>
              </w:rPr>
            </w:pPr>
            <w:r w:rsidRPr="008B2E54">
              <w:rPr>
                <w:rFonts w:cs="Arial"/>
                <w:i/>
              </w:rPr>
              <w:t xml:space="preserve">Agree </w:t>
            </w:r>
          </w:p>
          <w:p w:rsidR="009F0225" w:rsidRDefault="004B17E2" w:rsidP="004B17E2">
            <w:pPr>
              <w:spacing w:after="120"/>
              <w:rPr>
                <w:rFonts w:cs="Arial"/>
              </w:rPr>
            </w:pPr>
            <w:r>
              <w:rPr>
                <w:rFonts w:cs="Arial"/>
              </w:rPr>
              <w:t xml:space="preserve">Stakeholder consultation is an important component of program development.  </w:t>
            </w:r>
          </w:p>
          <w:p w:rsidR="00416FCA" w:rsidRPr="00F43CEC" w:rsidRDefault="00416FCA" w:rsidP="004B17E2">
            <w:pPr>
              <w:spacing w:after="120"/>
              <w:rPr>
                <w:rFonts w:cs="Arial"/>
              </w:rPr>
            </w:pPr>
            <w:r>
              <w:rPr>
                <w:rFonts w:cs="Arial"/>
              </w:rPr>
              <w:t xml:space="preserve">South Sudan is not a focus country of the AACES, however broader opportunities for learning across the Africa program should be explored. </w:t>
            </w:r>
          </w:p>
        </w:tc>
        <w:tc>
          <w:tcPr>
            <w:tcW w:w="2574" w:type="dxa"/>
            <w:tcBorders>
              <w:left w:val="single" w:sz="4" w:space="0" w:color="auto"/>
            </w:tcBorders>
            <w:shd w:val="clear" w:color="auto" w:fill="auto"/>
          </w:tcPr>
          <w:p w:rsidR="007B601F" w:rsidRDefault="004B17E2" w:rsidP="007B601F">
            <w:pPr>
              <w:spacing w:after="120"/>
              <w:rPr>
                <w:rFonts w:cs="Arial"/>
              </w:rPr>
            </w:pPr>
            <w:r>
              <w:rPr>
                <w:rFonts w:cs="Arial"/>
              </w:rPr>
              <w:t>The Africa program a</w:t>
            </w:r>
            <w:r w:rsidR="007B601F">
              <w:rPr>
                <w:rFonts w:cs="Arial"/>
              </w:rPr>
              <w:t>cknowledg</w:t>
            </w:r>
            <w:r>
              <w:rPr>
                <w:rFonts w:cs="Arial"/>
              </w:rPr>
              <w:t>es</w:t>
            </w:r>
            <w:r w:rsidR="007B601F">
              <w:rPr>
                <w:rFonts w:cs="Arial"/>
              </w:rPr>
              <w:t xml:space="preserve"> the</w:t>
            </w:r>
            <w:r w:rsidR="001D1E07">
              <w:rPr>
                <w:rFonts w:cs="Arial"/>
              </w:rPr>
              <w:t xml:space="preserve"> valuable</w:t>
            </w:r>
            <w:r w:rsidR="007B601F">
              <w:rPr>
                <w:rFonts w:cs="Arial"/>
              </w:rPr>
              <w:t xml:space="preserve"> in-country experience and extensive networks of NGO partners</w:t>
            </w:r>
            <w:r w:rsidR="00416FCA">
              <w:rPr>
                <w:rFonts w:cs="Arial"/>
              </w:rPr>
              <w:t>.</w:t>
            </w:r>
            <w:r w:rsidR="007B601F">
              <w:rPr>
                <w:rFonts w:cs="Arial"/>
              </w:rPr>
              <w:t xml:space="preserve"> </w:t>
            </w:r>
            <w:r w:rsidR="00EE3CD6">
              <w:rPr>
                <w:rFonts w:cs="Arial"/>
              </w:rPr>
              <w:t xml:space="preserve">Opportunities exist for lessons learned in South Sudan to be shared across the broader Africa program. </w:t>
            </w:r>
          </w:p>
          <w:p w:rsidR="00416FCA" w:rsidRPr="00F43CEC" w:rsidRDefault="00416FCA" w:rsidP="004B17E2">
            <w:pPr>
              <w:spacing w:after="120"/>
              <w:rPr>
                <w:rFonts w:cs="Arial"/>
              </w:rPr>
            </w:pPr>
            <w:r>
              <w:rPr>
                <w:rFonts w:cs="Arial"/>
              </w:rPr>
              <w:t>As a general principle, a</w:t>
            </w:r>
            <w:r w:rsidR="007B601F">
              <w:rPr>
                <w:rFonts w:cs="Arial"/>
              </w:rPr>
              <w:t>cademic linkages</w:t>
            </w:r>
            <w:r w:rsidR="004B17E2">
              <w:rPr>
                <w:rFonts w:cs="Arial"/>
              </w:rPr>
              <w:t xml:space="preserve"> and the application of research </w:t>
            </w:r>
            <w:r w:rsidR="00A61164">
              <w:rPr>
                <w:rFonts w:cs="Arial"/>
              </w:rPr>
              <w:t>are</w:t>
            </w:r>
            <w:r>
              <w:rPr>
                <w:rFonts w:cs="Arial"/>
              </w:rPr>
              <w:t xml:space="preserve"> </w:t>
            </w:r>
            <w:r w:rsidR="007B601F">
              <w:rPr>
                <w:rFonts w:cs="Arial"/>
              </w:rPr>
              <w:t>drawn upon</w:t>
            </w:r>
            <w:r>
              <w:rPr>
                <w:rFonts w:cs="Arial"/>
              </w:rPr>
              <w:t>, where possible,</w:t>
            </w:r>
            <w:r w:rsidR="007B601F">
              <w:rPr>
                <w:rFonts w:cs="Arial"/>
              </w:rPr>
              <w:t xml:space="preserve"> to ensure </w:t>
            </w:r>
            <w:r w:rsidR="001D1E07">
              <w:rPr>
                <w:rFonts w:cs="Arial"/>
              </w:rPr>
              <w:t>that</w:t>
            </w:r>
            <w:r w:rsidR="004B17E2">
              <w:rPr>
                <w:rFonts w:cs="Arial"/>
              </w:rPr>
              <w:t xml:space="preserve"> program</w:t>
            </w:r>
            <w:r w:rsidR="001D1E07">
              <w:rPr>
                <w:rFonts w:cs="Arial"/>
              </w:rPr>
              <w:t>s</w:t>
            </w:r>
            <w:r w:rsidR="004B17E2">
              <w:rPr>
                <w:rFonts w:cs="Arial"/>
              </w:rPr>
              <w:t xml:space="preserve"> </w:t>
            </w:r>
            <w:r w:rsidR="001D1E07">
              <w:rPr>
                <w:rFonts w:cs="Arial"/>
              </w:rPr>
              <w:t>are</w:t>
            </w:r>
            <w:r w:rsidR="004B17E2">
              <w:rPr>
                <w:rFonts w:cs="Arial"/>
              </w:rPr>
              <w:t xml:space="preserve"> delivered in accordance with </w:t>
            </w:r>
            <w:r w:rsidR="007B601F">
              <w:rPr>
                <w:rFonts w:cs="Arial"/>
              </w:rPr>
              <w:t>recognised best practice</w:t>
            </w:r>
            <w:r w:rsidR="00EE3CD6">
              <w:rPr>
                <w:rFonts w:cs="Arial"/>
              </w:rPr>
              <w:t>.</w:t>
            </w:r>
          </w:p>
        </w:tc>
        <w:tc>
          <w:tcPr>
            <w:tcW w:w="1944" w:type="dxa"/>
            <w:tcBorders>
              <w:left w:val="single" w:sz="4" w:space="0" w:color="auto"/>
            </w:tcBorders>
            <w:shd w:val="clear" w:color="auto" w:fill="auto"/>
          </w:tcPr>
          <w:p w:rsidR="009F0225" w:rsidRPr="00F43CEC" w:rsidRDefault="00230E82" w:rsidP="009F0225">
            <w:pPr>
              <w:spacing w:after="120"/>
              <w:rPr>
                <w:rFonts w:cs="Arial"/>
              </w:rPr>
            </w:pPr>
            <w:r>
              <w:rPr>
                <w:rFonts w:cs="Arial"/>
              </w:rPr>
              <w:t>Africa program</w:t>
            </w:r>
          </w:p>
        </w:tc>
      </w:tr>
      <w:tr w:rsidR="00D850B5" w:rsidRPr="00F43CEC" w:rsidTr="00045FB4">
        <w:trPr>
          <w:cantSplit/>
          <w:trHeight w:val="508"/>
        </w:trPr>
        <w:tc>
          <w:tcPr>
            <w:tcW w:w="9747" w:type="dxa"/>
            <w:gridSpan w:val="4"/>
            <w:tcBorders>
              <w:top w:val="single" w:sz="4" w:space="0" w:color="808080"/>
              <w:left w:val="single" w:sz="4" w:space="0" w:color="808080"/>
              <w:bottom w:val="single" w:sz="4" w:space="0" w:color="808080"/>
              <w:right w:val="single" w:sz="4" w:space="0" w:color="808080"/>
            </w:tcBorders>
            <w:shd w:val="clear" w:color="auto" w:fill="auto"/>
          </w:tcPr>
          <w:p w:rsidR="00D850B5" w:rsidRDefault="00D850B5" w:rsidP="007C6BCC">
            <w:pPr>
              <w:spacing w:after="120"/>
              <w:rPr>
                <w:rFonts w:cs="Arial"/>
              </w:rPr>
            </w:pPr>
            <w:r>
              <w:rPr>
                <w:rFonts w:cs="Arial"/>
              </w:rPr>
              <w:t>On diaspora involvement</w:t>
            </w:r>
          </w:p>
        </w:tc>
      </w:tr>
      <w:tr w:rsidR="00F641BA" w:rsidRPr="00F43CEC" w:rsidTr="00045FB4">
        <w:trPr>
          <w:cantSplit/>
          <w:trHeight w:val="885"/>
        </w:trPr>
        <w:tc>
          <w:tcPr>
            <w:tcW w:w="2590" w:type="dxa"/>
            <w:tcBorders>
              <w:top w:val="single" w:sz="4" w:space="0" w:color="808080"/>
              <w:left w:val="single" w:sz="4" w:space="0" w:color="808080"/>
              <w:bottom w:val="single" w:sz="4" w:space="0" w:color="808080"/>
              <w:right w:val="single" w:sz="4" w:space="0" w:color="808080"/>
            </w:tcBorders>
            <w:shd w:val="clear" w:color="auto" w:fill="auto"/>
          </w:tcPr>
          <w:p w:rsidR="00F00774" w:rsidRPr="00632714" w:rsidRDefault="00D850B5" w:rsidP="007C6BCC">
            <w:pPr>
              <w:numPr>
                <w:ilvl w:val="0"/>
                <w:numId w:val="38"/>
              </w:numPr>
              <w:spacing w:after="120"/>
              <w:ind w:left="426" w:hanging="426"/>
              <w:rPr>
                <w:b/>
              </w:rPr>
            </w:pPr>
            <w:r>
              <w:rPr>
                <w:b/>
              </w:rPr>
              <w:t>Expanding [diaspora training] curricula to include investment opportunities should be considered.</w:t>
            </w:r>
          </w:p>
        </w:tc>
        <w:tc>
          <w:tcPr>
            <w:tcW w:w="2639" w:type="dxa"/>
            <w:tcBorders>
              <w:top w:val="single" w:sz="4" w:space="0" w:color="808080"/>
              <w:left w:val="single" w:sz="4" w:space="0" w:color="808080"/>
              <w:bottom w:val="single" w:sz="4" w:space="0" w:color="808080"/>
              <w:right w:val="single" w:sz="4" w:space="0" w:color="auto"/>
            </w:tcBorders>
            <w:shd w:val="clear" w:color="auto" w:fill="auto"/>
          </w:tcPr>
          <w:p w:rsidR="00F00774" w:rsidRPr="00F641BA" w:rsidRDefault="006E5D82" w:rsidP="007C6BCC">
            <w:pPr>
              <w:spacing w:after="120"/>
              <w:rPr>
                <w:rFonts w:cs="Arial"/>
                <w:i/>
              </w:rPr>
            </w:pPr>
            <w:r>
              <w:rPr>
                <w:rFonts w:cs="Arial"/>
                <w:i/>
              </w:rPr>
              <w:t>Noted</w:t>
            </w:r>
          </w:p>
          <w:p w:rsidR="00F00774" w:rsidRPr="00F43CEC" w:rsidRDefault="00F00774" w:rsidP="00F641BA">
            <w:pPr>
              <w:spacing w:after="120"/>
              <w:rPr>
                <w:rFonts w:cs="Arial"/>
              </w:rPr>
            </w:pPr>
          </w:p>
        </w:tc>
        <w:tc>
          <w:tcPr>
            <w:tcW w:w="2574" w:type="dxa"/>
            <w:tcBorders>
              <w:top w:val="single" w:sz="4" w:space="0" w:color="808080"/>
              <w:left w:val="single" w:sz="4" w:space="0" w:color="auto"/>
              <w:bottom w:val="single" w:sz="4" w:space="0" w:color="808080"/>
              <w:right w:val="single" w:sz="4" w:space="0" w:color="808080"/>
            </w:tcBorders>
            <w:shd w:val="clear" w:color="auto" w:fill="auto"/>
          </w:tcPr>
          <w:p w:rsidR="006E5D82" w:rsidRPr="00F43CEC" w:rsidRDefault="004B17E2" w:rsidP="006E5D82">
            <w:pPr>
              <w:spacing w:after="120"/>
              <w:rPr>
                <w:rFonts w:cs="Arial"/>
              </w:rPr>
            </w:pPr>
            <w:r w:rsidRPr="00BC548A">
              <w:rPr>
                <w:rFonts w:cs="Arial"/>
              </w:rPr>
              <w:t xml:space="preserve">This recommendation </w:t>
            </w:r>
            <w:r>
              <w:rPr>
                <w:rFonts w:cs="Arial"/>
              </w:rPr>
              <w:t>does not provide advice in accordance with the parameters of the TOR.</w:t>
            </w:r>
          </w:p>
        </w:tc>
        <w:tc>
          <w:tcPr>
            <w:tcW w:w="1944" w:type="dxa"/>
            <w:tcBorders>
              <w:top w:val="single" w:sz="4" w:space="0" w:color="808080"/>
              <w:left w:val="single" w:sz="4" w:space="0" w:color="auto"/>
              <w:bottom w:val="single" w:sz="4" w:space="0" w:color="808080"/>
              <w:right w:val="single" w:sz="4" w:space="0" w:color="808080"/>
            </w:tcBorders>
            <w:shd w:val="clear" w:color="auto" w:fill="auto"/>
          </w:tcPr>
          <w:p w:rsidR="00F00774" w:rsidRPr="00F43CEC" w:rsidRDefault="00F00774" w:rsidP="007C6BCC">
            <w:pPr>
              <w:spacing w:after="120"/>
              <w:rPr>
                <w:rFonts w:cs="Arial"/>
              </w:rPr>
            </w:pPr>
          </w:p>
        </w:tc>
      </w:tr>
      <w:tr w:rsidR="00F641BA" w:rsidRPr="00F43CEC" w:rsidTr="00045FB4">
        <w:trPr>
          <w:cantSplit/>
          <w:trHeight w:val="885"/>
        </w:trPr>
        <w:tc>
          <w:tcPr>
            <w:tcW w:w="2590" w:type="dxa"/>
            <w:tcBorders>
              <w:top w:val="single" w:sz="4" w:space="0" w:color="808080"/>
              <w:left w:val="single" w:sz="4" w:space="0" w:color="808080"/>
              <w:bottom w:val="single" w:sz="4" w:space="0" w:color="808080"/>
              <w:right w:val="single" w:sz="4" w:space="0" w:color="808080"/>
            </w:tcBorders>
            <w:shd w:val="clear" w:color="auto" w:fill="auto"/>
          </w:tcPr>
          <w:p w:rsidR="00F00774" w:rsidRDefault="00D850B5" w:rsidP="007C6BCC">
            <w:pPr>
              <w:numPr>
                <w:ilvl w:val="0"/>
                <w:numId w:val="38"/>
              </w:numPr>
              <w:spacing w:after="120"/>
              <w:ind w:left="426" w:hanging="426"/>
              <w:rPr>
                <w:b/>
              </w:rPr>
            </w:pPr>
            <w:r>
              <w:rPr>
                <w:b/>
              </w:rPr>
              <w:t>Great care should be taken to ensure that any involvement with members of the diaspora is perceived as giving equal access to the whole political spectrum.</w:t>
            </w:r>
          </w:p>
        </w:tc>
        <w:tc>
          <w:tcPr>
            <w:tcW w:w="2639" w:type="dxa"/>
            <w:tcBorders>
              <w:top w:val="single" w:sz="4" w:space="0" w:color="808080"/>
              <w:left w:val="single" w:sz="4" w:space="0" w:color="808080"/>
              <w:bottom w:val="single" w:sz="4" w:space="0" w:color="808080"/>
              <w:right w:val="single" w:sz="4" w:space="0" w:color="auto"/>
            </w:tcBorders>
            <w:shd w:val="clear" w:color="auto" w:fill="auto"/>
          </w:tcPr>
          <w:p w:rsidR="00F641BA" w:rsidRPr="00F641BA" w:rsidRDefault="00872E09" w:rsidP="00F641BA">
            <w:pPr>
              <w:spacing w:after="120"/>
              <w:rPr>
                <w:rFonts w:cs="Arial"/>
                <w:i/>
              </w:rPr>
            </w:pPr>
            <w:r>
              <w:rPr>
                <w:rFonts w:cs="Arial"/>
                <w:i/>
              </w:rPr>
              <w:t>Noted</w:t>
            </w:r>
            <w:r w:rsidR="00F00774" w:rsidRPr="00F641BA">
              <w:rPr>
                <w:rFonts w:cs="Arial"/>
                <w:i/>
              </w:rPr>
              <w:t xml:space="preserve"> </w:t>
            </w:r>
          </w:p>
          <w:p w:rsidR="00F00774" w:rsidRPr="00F43CEC" w:rsidRDefault="00F00774" w:rsidP="00E2029F">
            <w:pPr>
              <w:spacing w:after="120"/>
              <w:rPr>
                <w:rFonts w:cs="Arial"/>
              </w:rPr>
            </w:pPr>
          </w:p>
        </w:tc>
        <w:tc>
          <w:tcPr>
            <w:tcW w:w="2574" w:type="dxa"/>
            <w:tcBorders>
              <w:top w:val="single" w:sz="4" w:space="0" w:color="808080"/>
              <w:left w:val="single" w:sz="4" w:space="0" w:color="auto"/>
              <w:bottom w:val="single" w:sz="4" w:space="0" w:color="808080"/>
              <w:right w:val="single" w:sz="4" w:space="0" w:color="808080"/>
            </w:tcBorders>
            <w:shd w:val="clear" w:color="auto" w:fill="auto"/>
          </w:tcPr>
          <w:p w:rsidR="00F00774" w:rsidRPr="00F43CEC" w:rsidRDefault="004B187B" w:rsidP="004C6887">
            <w:pPr>
              <w:spacing w:after="120"/>
              <w:rPr>
                <w:rFonts w:cs="Arial"/>
              </w:rPr>
            </w:pPr>
            <w:r>
              <w:rPr>
                <w:rFonts w:cs="Arial"/>
              </w:rPr>
              <w:t>DFAT</w:t>
            </w:r>
            <w:r w:rsidR="00532BD4">
              <w:rPr>
                <w:rFonts w:cs="Arial"/>
              </w:rPr>
              <w:t xml:space="preserve"> will continue to engage with the diaspora</w:t>
            </w:r>
            <w:r w:rsidR="004B17E2">
              <w:rPr>
                <w:rFonts w:cs="Arial"/>
              </w:rPr>
              <w:t>,</w:t>
            </w:r>
            <w:r w:rsidR="00532BD4">
              <w:rPr>
                <w:rFonts w:cs="Arial"/>
              </w:rPr>
              <w:t xml:space="preserve"> as appropriate</w:t>
            </w:r>
            <w:r w:rsidR="00416FCA">
              <w:rPr>
                <w:rFonts w:cs="Arial"/>
              </w:rPr>
              <w:t>.</w:t>
            </w:r>
            <w:r w:rsidR="004B17E2">
              <w:rPr>
                <w:rFonts w:cs="Arial"/>
              </w:rPr>
              <w:t xml:space="preserve"> </w:t>
            </w:r>
            <w:r w:rsidR="00872E09">
              <w:rPr>
                <w:rFonts w:cs="Arial"/>
              </w:rPr>
              <w:t xml:space="preserve">Perceptions </w:t>
            </w:r>
            <w:r w:rsidR="00511B6E">
              <w:rPr>
                <w:rFonts w:cs="Arial"/>
              </w:rPr>
              <w:t xml:space="preserve">within the diaspora </w:t>
            </w:r>
            <w:r w:rsidR="00872E09">
              <w:rPr>
                <w:rFonts w:cs="Arial"/>
              </w:rPr>
              <w:t xml:space="preserve">about </w:t>
            </w:r>
            <w:r w:rsidR="004C6887" w:rsidRPr="004C6887">
              <w:rPr>
                <w:rFonts w:cs="Arial"/>
              </w:rPr>
              <w:t>whether DFAT has given equal access to the whole political spectrum</w:t>
            </w:r>
            <w:r w:rsidR="004C6887">
              <w:rPr>
                <w:rFonts w:cs="Arial"/>
              </w:rPr>
              <w:t xml:space="preserve"> are beyond DFAT’s control. </w:t>
            </w:r>
          </w:p>
        </w:tc>
        <w:tc>
          <w:tcPr>
            <w:tcW w:w="1944" w:type="dxa"/>
            <w:tcBorders>
              <w:top w:val="single" w:sz="4" w:space="0" w:color="808080"/>
              <w:left w:val="single" w:sz="4" w:space="0" w:color="auto"/>
              <w:bottom w:val="single" w:sz="4" w:space="0" w:color="808080"/>
              <w:right w:val="single" w:sz="4" w:space="0" w:color="808080"/>
            </w:tcBorders>
            <w:shd w:val="clear" w:color="auto" w:fill="auto"/>
          </w:tcPr>
          <w:p w:rsidR="00F00774" w:rsidRPr="00F43CEC" w:rsidRDefault="006E5D82" w:rsidP="007C6BCC">
            <w:pPr>
              <w:spacing w:after="120"/>
              <w:rPr>
                <w:rFonts w:cs="Arial"/>
              </w:rPr>
            </w:pPr>
            <w:r>
              <w:rPr>
                <w:rFonts w:cs="Arial"/>
              </w:rPr>
              <w:t>Africa</w:t>
            </w:r>
            <w:r w:rsidR="00532BD4">
              <w:rPr>
                <w:rFonts w:cs="Arial"/>
              </w:rPr>
              <w:t xml:space="preserve"> program</w:t>
            </w:r>
          </w:p>
        </w:tc>
      </w:tr>
      <w:tr w:rsidR="00D850B5" w:rsidRPr="00F43CEC" w:rsidTr="00045FB4">
        <w:trPr>
          <w:cantSplit/>
          <w:trHeight w:val="476"/>
        </w:trPr>
        <w:tc>
          <w:tcPr>
            <w:tcW w:w="9747" w:type="dxa"/>
            <w:gridSpan w:val="4"/>
            <w:tcBorders>
              <w:top w:val="single" w:sz="4" w:space="0" w:color="808080"/>
              <w:left w:val="single" w:sz="4" w:space="0" w:color="808080"/>
              <w:bottom w:val="single" w:sz="4" w:space="0" w:color="808080"/>
              <w:right w:val="single" w:sz="4" w:space="0" w:color="808080"/>
            </w:tcBorders>
            <w:shd w:val="clear" w:color="auto" w:fill="auto"/>
          </w:tcPr>
          <w:p w:rsidR="00D850B5" w:rsidRPr="00F43CEC" w:rsidRDefault="00D850B5" w:rsidP="00A61164">
            <w:pPr>
              <w:keepNext/>
              <w:spacing w:after="120"/>
              <w:rPr>
                <w:rFonts w:cs="Arial"/>
              </w:rPr>
            </w:pPr>
            <w:r>
              <w:rPr>
                <w:rFonts w:cs="Arial"/>
              </w:rPr>
              <w:lastRenderedPageBreak/>
              <w:t xml:space="preserve">On </w:t>
            </w:r>
            <w:r w:rsidR="004B187B">
              <w:rPr>
                <w:rFonts w:cs="Arial"/>
              </w:rPr>
              <w:t>DFAT</w:t>
            </w:r>
            <w:r>
              <w:rPr>
                <w:rFonts w:cs="Arial"/>
              </w:rPr>
              <w:t xml:space="preserve"> management</w:t>
            </w:r>
          </w:p>
        </w:tc>
      </w:tr>
      <w:tr w:rsidR="00F641BA" w:rsidRPr="00F43CEC" w:rsidTr="00045FB4">
        <w:trPr>
          <w:cantSplit/>
          <w:trHeight w:val="885"/>
        </w:trPr>
        <w:tc>
          <w:tcPr>
            <w:tcW w:w="2590" w:type="dxa"/>
            <w:tcBorders>
              <w:top w:val="single" w:sz="4" w:space="0" w:color="808080"/>
              <w:left w:val="single" w:sz="4" w:space="0" w:color="808080"/>
              <w:bottom w:val="single" w:sz="4" w:space="0" w:color="808080"/>
              <w:right w:val="single" w:sz="4" w:space="0" w:color="808080"/>
            </w:tcBorders>
            <w:shd w:val="clear" w:color="auto" w:fill="auto"/>
          </w:tcPr>
          <w:p w:rsidR="00D850B5" w:rsidRDefault="00D850B5" w:rsidP="00DB3366">
            <w:pPr>
              <w:numPr>
                <w:ilvl w:val="0"/>
                <w:numId w:val="38"/>
              </w:numPr>
              <w:spacing w:after="120"/>
              <w:ind w:left="426" w:hanging="426"/>
              <w:rPr>
                <w:b/>
              </w:rPr>
            </w:pPr>
            <w:r>
              <w:rPr>
                <w:b/>
              </w:rPr>
              <w:t>Bi-annual reporting would be more appropriate for early recovery grant mechanisms in a fluid context, to make sure that all actors are aware of changing circumstances</w:t>
            </w:r>
            <w:r w:rsidR="008B0DCD">
              <w:rPr>
                <w:b/>
              </w:rPr>
              <w:t xml:space="preserve"> and agree on the required adjustments in the action</w:t>
            </w:r>
            <w:r>
              <w:rPr>
                <w:b/>
              </w:rPr>
              <w:t>.</w:t>
            </w:r>
          </w:p>
        </w:tc>
        <w:tc>
          <w:tcPr>
            <w:tcW w:w="2639" w:type="dxa"/>
            <w:tcBorders>
              <w:top w:val="single" w:sz="4" w:space="0" w:color="808080"/>
              <w:left w:val="single" w:sz="4" w:space="0" w:color="808080"/>
              <w:bottom w:val="single" w:sz="4" w:space="0" w:color="808080"/>
              <w:right w:val="single" w:sz="4" w:space="0" w:color="auto"/>
            </w:tcBorders>
            <w:shd w:val="clear" w:color="auto" w:fill="auto"/>
          </w:tcPr>
          <w:p w:rsidR="00D523AE" w:rsidRDefault="00532BD4" w:rsidP="00D523AE">
            <w:pPr>
              <w:spacing w:after="120"/>
              <w:rPr>
                <w:rFonts w:cs="Arial"/>
              </w:rPr>
            </w:pPr>
            <w:r>
              <w:rPr>
                <w:rFonts w:cs="Arial"/>
                <w:i/>
              </w:rPr>
              <w:t xml:space="preserve">Partially </w:t>
            </w:r>
            <w:r w:rsidR="00D850B5" w:rsidRPr="00D523AE">
              <w:rPr>
                <w:rFonts w:cs="Arial"/>
                <w:i/>
              </w:rPr>
              <w:t>Agree</w:t>
            </w:r>
            <w:r w:rsidR="00D850B5" w:rsidRPr="00F43CEC">
              <w:rPr>
                <w:rFonts w:cs="Arial"/>
              </w:rPr>
              <w:t xml:space="preserve"> </w:t>
            </w:r>
          </w:p>
          <w:p w:rsidR="00D523AE" w:rsidRDefault="00532BD4" w:rsidP="00D523AE">
            <w:pPr>
              <w:spacing w:after="120"/>
              <w:rPr>
                <w:rFonts w:cs="Arial"/>
              </w:rPr>
            </w:pPr>
            <w:r>
              <w:rPr>
                <w:rFonts w:cs="Arial"/>
              </w:rPr>
              <w:t xml:space="preserve">Early recovery contexts are particularly </w:t>
            </w:r>
            <w:r w:rsidR="00BD7EDB">
              <w:rPr>
                <w:rFonts w:cs="Arial"/>
              </w:rPr>
              <w:t xml:space="preserve">fluid </w:t>
            </w:r>
            <w:r>
              <w:rPr>
                <w:rFonts w:cs="Arial"/>
              </w:rPr>
              <w:t xml:space="preserve">and require ongoing </w:t>
            </w:r>
            <w:r w:rsidR="00BD7EDB">
              <w:rPr>
                <w:rFonts w:cs="Arial"/>
              </w:rPr>
              <w:t>oversight</w:t>
            </w:r>
            <w:r>
              <w:rPr>
                <w:rFonts w:cs="Arial"/>
              </w:rPr>
              <w:t xml:space="preserve">, including in terms of </w:t>
            </w:r>
            <w:r w:rsidR="00BD7EDB">
              <w:rPr>
                <w:rFonts w:cs="Arial"/>
              </w:rPr>
              <w:t>review</w:t>
            </w:r>
            <w:r>
              <w:rPr>
                <w:rFonts w:cs="Arial"/>
              </w:rPr>
              <w:t>ing</w:t>
            </w:r>
            <w:r w:rsidR="00BD7EDB">
              <w:rPr>
                <w:rFonts w:cs="Arial"/>
              </w:rPr>
              <w:t xml:space="preserve"> inputs and objectives.</w:t>
            </w:r>
          </w:p>
          <w:p w:rsidR="00532BD4" w:rsidRPr="00F43CEC" w:rsidRDefault="00532BD4" w:rsidP="00D523AE">
            <w:pPr>
              <w:spacing w:after="120"/>
              <w:rPr>
                <w:rFonts w:cs="Arial"/>
              </w:rPr>
            </w:pPr>
          </w:p>
          <w:p w:rsidR="00D850B5" w:rsidRPr="00F43CEC" w:rsidRDefault="00D850B5" w:rsidP="00971284">
            <w:pPr>
              <w:spacing w:after="120"/>
              <w:rPr>
                <w:rFonts w:cs="Arial"/>
              </w:rPr>
            </w:pPr>
          </w:p>
        </w:tc>
        <w:tc>
          <w:tcPr>
            <w:tcW w:w="2574" w:type="dxa"/>
            <w:tcBorders>
              <w:top w:val="single" w:sz="4" w:space="0" w:color="808080"/>
              <w:left w:val="single" w:sz="4" w:space="0" w:color="auto"/>
              <w:bottom w:val="single" w:sz="4" w:space="0" w:color="808080"/>
              <w:right w:val="single" w:sz="4" w:space="0" w:color="808080"/>
            </w:tcBorders>
            <w:shd w:val="clear" w:color="auto" w:fill="auto"/>
          </w:tcPr>
          <w:p w:rsidR="00532BD4" w:rsidRPr="00F43CEC" w:rsidRDefault="00532BD4" w:rsidP="00120BD4">
            <w:pPr>
              <w:spacing w:after="120"/>
              <w:rPr>
                <w:rFonts w:cs="Arial"/>
              </w:rPr>
            </w:pPr>
            <w:r>
              <w:rPr>
                <w:rFonts w:cs="Arial"/>
              </w:rPr>
              <w:t xml:space="preserve">The frequency of </w:t>
            </w:r>
            <w:r w:rsidR="004B17E2">
              <w:rPr>
                <w:rFonts w:cs="Arial"/>
              </w:rPr>
              <w:t xml:space="preserve">required </w:t>
            </w:r>
            <w:r>
              <w:rPr>
                <w:rFonts w:cs="Arial"/>
              </w:rPr>
              <w:t xml:space="preserve">reporting will be determined </w:t>
            </w:r>
            <w:r w:rsidR="00120BD4">
              <w:rPr>
                <w:rFonts w:cs="Arial"/>
              </w:rPr>
              <w:t>with consideration to</w:t>
            </w:r>
            <w:r>
              <w:rPr>
                <w:rFonts w:cs="Arial"/>
              </w:rPr>
              <w:t xml:space="preserve"> the context and the nature of activities.  </w:t>
            </w:r>
          </w:p>
        </w:tc>
        <w:tc>
          <w:tcPr>
            <w:tcW w:w="1944" w:type="dxa"/>
            <w:tcBorders>
              <w:top w:val="single" w:sz="4" w:space="0" w:color="808080"/>
              <w:left w:val="single" w:sz="4" w:space="0" w:color="auto"/>
              <w:bottom w:val="single" w:sz="4" w:space="0" w:color="808080"/>
              <w:right w:val="single" w:sz="4" w:space="0" w:color="808080"/>
            </w:tcBorders>
            <w:shd w:val="clear" w:color="auto" w:fill="auto"/>
          </w:tcPr>
          <w:p w:rsidR="00D850B5" w:rsidRPr="00F43CEC" w:rsidRDefault="00532BD4" w:rsidP="007C6BCC">
            <w:pPr>
              <w:spacing w:after="120"/>
              <w:rPr>
                <w:rFonts w:cs="Arial"/>
              </w:rPr>
            </w:pPr>
            <w:r>
              <w:rPr>
                <w:rFonts w:cs="Arial"/>
              </w:rPr>
              <w:t>Africa program</w:t>
            </w:r>
          </w:p>
        </w:tc>
      </w:tr>
      <w:tr w:rsidR="00F641BA" w:rsidRPr="00F43CEC" w:rsidTr="00045FB4">
        <w:trPr>
          <w:cantSplit/>
          <w:trHeight w:val="885"/>
        </w:trPr>
        <w:tc>
          <w:tcPr>
            <w:tcW w:w="2590" w:type="dxa"/>
            <w:tcBorders>
              <w:top w:val="single" w:sz="4" w:space="0" w:color="808080"/>
              <w:left w:val="single" w:sz="4" w:space="0" w:color="808080"/>
              <w:bottom w:val="single" w:sz="4" w:space="0" w:color="808080"/>
              <w:right w:val="single" w:sz="4" w:space="0" w:color="808080"/>
            </w:tcBorders>
            <w:shd w:val="clear" w:color="auto" w:fill="auto"/>
          </w:tcPr>
          <w:p w:rsidR="00D850B5" w:rsidRDefault="00D850B5" w:rsidP="00EE4F9E">
            <w:pPr>
              <w:numPr>
                <w:ilvl w:val="0"/>
                <w:numId w:val="38"/>
              </w:numPr>
              <w:spacing w:after="120"/>
              <w:ind w:left="426" w:hanging="426"/>
              <w:rPr>
                <w:b/>
              </w:rPr>
            </w:pPr>
            <w:r>
              <w:rPr>
                <w:b/>
              </w:rPr>
              <w:t xml:space="preserve">A flexible mechanism is required and </w:t>
            </w:r>
            <w:r w:rsidR="00270DE3">
              <w:rPr>
                <w:b/>
              </w:rPr>
              <w:t>a somewhat less formal dialogue between donor a</w:t>
            </w:r>
            <w:r w:rsidR="00EE4F9E">
              <w:rPr>
                <w:b/>
              </w:rPr>
              <w:t>nd NGO can work well, where</w:t>
            </w:r>
            <w:r w:rsidR="00270DE3">
              <w:rPr>
                <w:b/>
              </w:rPr>
              <w:t xml:space="preserve"> the process is documented and continuity guaranteed.</w:t>
            </w:r>
          </w:p>
        </w:tc>
        <w:tc>
          <w:tcPr>
            <w:tcW w:w="2639" w:type="dxa"/>
            <w:tcBorders>
              <w:top w:val="single" w:sz="4" w:space="0" w:color="808080"/>
              <w:left w:val="single" w:sz="4" w:space="0" w:color="808080"/>
              <w:bottom w:val="single" w:sz="4" w:space="0" w:color="808080"/>
              <w:right w:val="single" w:sz="4" w:space="0" w:color="auto"/>
            </w:tcBorders>
            <w:shd w:val="clear" w:color="auto" w:fill="auto"/>
          </w:tcPr>
          <w:p w:rsidR="00BD7EDB" w:rsidRPr="00BD7EDB" w:rsidRDefault="00416FCA" w:rsidP="00BD7EDB">
            <w:pPr>
              <w:spacing w:after="120"/>
              <w:rPr>
                <w:rFonts w:cs="Arial"/>
                <w:i/>
              </w:rPr>
            </w:pPr>
            <w:r>
              <w:rPr>
                <w:rFonts w:cs="Arial"/>
                <w:i/>
              </w:rPr>
              <w:t>Agree</w:t>
            </w:r>
          </w:p>
          <w:p w:rsidR="00D850B5" w:rsidRPr="00F43CEC" w:rsidRDefault="00532BD4" w:rsidP="004B17E2">
            <w:pPr>
              <w:spacing w:after="120"/>
              <w:rPr>
                <w:rFonts w:cs="Arial"/>
              </w:rPr>
            </w:pPr>
            <w:r>
              <w:rPr>
                <w:rFonts w:cs="Arial"/>
              </w:rPr>
              <w:t>P</w:t>
            </w:r>
            <w:r w:rsidR="00733CF7">
              <w:rPr>
                <w:rFonts w:cs="Arial"/>
              </w:rPr>
              <w:t>rogramming in rapidly changing contexts, and through trusted partners, requires that program design</w:t>
            </w:r>
            <w:r>
              <w:rPr>
                <w:rFonts w:cs="Arial"/>
              </w:rPr>
              <w:t>s</w:t>
            </w:r>
            <w:r w:rsidR="00733CF7">
              <w:rPr>
                <w:rFonts w:cs="Arial"/>
              </w:rPr>
              <w:t xml:space="preserve"> allow for a degree of flexibility in execution</w:t>
            </w:r>
            <w:r w:rsidR="004B17E2">
              <w:rPr>
                <w:rFonts w:cs="Arial"/>
              </w:rPr>
              <w:t>, with an appropriate level of engagement between the donor and implementing partners.</w:t>
            </w:r>
          </w:p>
        </w:tc>
        <w:tc>
          <w:tcPr>
            <w:tcW w:w="2574" w:type="dxa"/>
            <w:tcBorders>
              <w:top w:val="single" w:sz="4" w:space="0" w:color="808080"/>
              <w:left w:val="single" w:sz="4" w:space="0" w:color="auto"/>
              <w:bottom w:val="single" w:sz="4" w:space="0" w:color="808080"/>
              <w:right w:val="single" w:sz="4" w:space="0" w:color="808080"/>
            </w:tcBorders>
            <w:shd w:val="clear" w:color="auto" w:fill="auto"/>
          </w:tcPr>
          <w:p w:rsidR="004B17E2" w:rsidRPr="00F43CEC" w:rsidRDefault="00416FCA" w:rsidP="00416FCA">
            <w:pPr>
              <w:spacing w:after="120"/>
              <w:rPr>
                <w:rFonts w:cs="Arial"/>
              </w:rPr>
            </w:pPr>
            <w:r>
              <w:rPr>
                <w:rFonts w:cs="Arial"/>
              </w:rPr>
              <w:t>The Africa</w:t>
            </w:r>
            <w:r w:rsidR="004B17E2">
              <w:rPr>
                <w:rFonts w:cs="Arial"/>
              </w:rPr>
              <w:t xml:space="preserve"> program </w:t>
            </w:r>
            <w:r>
              <w:rPr>
                <w:rFonts w:cs="Arial"/>
              </w:rPr>
              <w:t>recognises t</w:t>
            </w:r>
            <w:r w:rsidR="00EE3CD6">
              <w:rPr>
                <w:rFonts w:cs="Arial"/>
              </w:rPr>
              <w:t>he value of strong communication with implementing partners</w:t>
            </w:r>
            <w:r>
              <w:rPr>
                <w:rFonts w:cs="Arial"/>
              </w:rPr>
              <w:t xml:space="preserve"> and will continue to implement suitable communication mechanisms as appropriate.</w:t>
            </w:r>
          </w:p>
        </w:tc>
        <w:tc>
          <w:tcPr>
            <w:tcW w:w="1944" w:type="dxa"/>
            <w:tcBorders>
              <w:top w:val="single" w:sz="4" w:space="0" w:color="808080"/>
              <w:left w:val="single" w:sz="4" w:space="0" w:color="auto"/>
              <w:bottom w:val="single" w:sz="4" w:space="0" w:color="808080"/>
              <w:right w:val="single" w:sz="4" w:space="0" w:color="808080"/>
            </w:tcBorders>
            <w:shd w:val="clear" w:color="auto" w:fill="auto"/>
          </w:tcPr>
          <w:p w:rsidR="00D850B5" w:rsidRPr="00F43CEC" w:rsidRDefault="004B17E2" w:rsidP="007C6BCC">
            <w:pPr>
              <w:spacing w:after="120"/>
              <w:rPr>
                <w:rFonts w:cs="Arial"/>
              </w:rPr>
            </w:pPr>
            <w:r>
              <w:rPr>
                <w:rFonts w:cs="Arial"/>
              </w:rPr>
              <w:t>Africa program</w:t>
            </w:r>
          </w:p>
        </w:tc>
      </w:tr>
      <w:tr w:rsidR="00F641BA" w:rsidRPr="00F43CEC" w:rsidTr="00045FB4">
        <w:trPr>
          <w:cantSplit/>
          <w:trHeight w:val="1775"/>
        </w:trPr>
        <w:tc>
          <w:tcPr>
            <w:tcW w:w="2590" w:type="dxa"/>
            <w:tcBorders>
              <w:top w:val="single" w:sz="4" w:space="0" w:color="808080"/>
              <w:left w:val="single" w:sz="4" w:space="0" w:color="808080"/>
              <w:bottom w:val="single" w:sz="4" w:space="0" w:color="808080"/>
              <w:right w:val="single" w:sz="4" w:space="0" w:color="808080"/>
            </w:tcBorders>
            <w:shd w:val="clear" w:color="auto" w:fill="auto"/>
          </w:tcPr>
          <w:p w:rsidR="00D850B5" w:rsidRDefault="00270DE3" w:rsidP="007C6BCC">
            <w:pPr>
              <w:numPr>
                <w:ilvl w:val="0"/>
                <w:numId w:val="38"/>
              </w:numPr>
              <w:spacing w:after="120"/>
              <w:ind w:left="426" w:hanging="426"/>
              <w:rPr>
                <w:b/>
              </w:rPr>
            </w:pPr>
            <w:r>
              <w:rPr>
                <w:b/>
              </w:rPr>
              <w:t>Moving the management to the Nairobi office should be considered for future grants.</w:t>
            </w:r>
          </w:p>
        </w:tc>
        <w:tc>
          <w:tcPr>
            <w:tcW w:w="2639" w:type="dxa"/>
            <w:tcBorders>
              <w:top w:val="single" w:sz="4" w:space="0" w:color="808080"/>
              <w:left w:val="single" w:sz="4" w:space="0" w:color="808080"/>
              <w:bottom w:val="single" w:sz="4" w:space="0" w:color="808080"/>
              <w:right w:val="single" w:sz="4" w:space="0" w:color="auto"/>
            </w:tcBorders>
            <w:shd w:val="clear" w:color="auto" w:fill="auto"/>
          </w:tcPr>
          <w:p w:rsidR="00D850B5" w:rsidRPr="00733CF7" w:rsidRDefault="004B187B" w:rsidP="00733CF7">
            <w:pPr>
              <w:spacing w:after="120"/>
              <w:rPr>
                <w:rFonts w:cs="Arial"/>
                <w:i/>
              </w:rPr>
            </w:pPr>
            <w:r>
              <w:rPr>
                <w:rFonts w:cs="Arial"/>
                <w:i/>
              </w:rPr>
              <w:t>Noted</w:t>
            </w:r>
          </w:p>
          <w:p w:rsidR="004B17E2" w:rsidRPr="00F43CEC" w:rsidRDefault="004B17E2" w:rsidP="004B17E2">
            <w:pPr>
              <w:spacing w:after="120"/>
              <w:rPr>
                <w:rFonts w:cs="Arial"/>
              </w:rPr>
            </w:pPr>
          </w:p>
        </w:tc>
        <w:tc>
          <w:tcPr>
            <w:tcW w:w="2574" w:type="dxa"/>
            <w:tcBorders>
              <w:top w:val="single" w:sz="4" w:space="0" w:color="808080"/>
              <w:left w:val="single" w:sz="4" w:space="0" w:color="auto"/>
              <w:bottom w:val="single" w:sz="4" w:space="0" w:color="808080"/>
              <w:right w:val="single" w:sz="4" w:space="0" w:color="808080"/>
            </w:tcBorders>
            <w:shd w:val="clear" w:color="auto" w:fill="auto"/>
          </w:tcPr>
          <w:p w:rsidR="004B17E2" w:rsidRPr="00F43CEC" w:rsidRDefault="004B17E2" w:rsidP="009E33B8">
            <w:pPr>
              <w:spacing w:after="120"/>
              <w:rPr>
                <w:rFonts w:cs="Arial"/>
              </w:rPr>
            </w:pPr>
            <w:r>
              <w:rPr>
                <w:rFonts w:cs="Arial"/>
              </w:rPr>
              <w:t xml:space="preserve">While proximity to program implementation is important, program management arrangements will be determined </w:t>
            </w:r>
            <w:r w:rsidR="009E33B8">
              <w:rPr>
                <w:rFonts w:cs="Arial"/>
              </w:rPr>
              <w:t>by</w:t>
            </w:r>
            <w:r w:rsidR="00416FCA">
              <w:rPr>
                <w:rFonts w:cs="Arial"/>
              </w:rPr>
              <w:t xml:space="preserve"> resource</w:t>
            </w:r>
            <w:r w:rsidR="009E33B8">
              <w:rPr>
                <w:rFonts w:cs="Arial"/>
              </w:rPr>
              <w:t xml:space="preserve"> and other considerations</w:t>
            </w:r>
            <w:r w:rsidR="00416FCA">
              <w:rPr>
                <w:rFonts w:cs="Arial"/>
              </w:rPr>
              <w:t>.</w:t>
            </w:r>
          </w:p>
        </w:tc>
        <w:tc>
          <w:tcPr>
            <w:tcW w:w="1944" w:type="dxa"/>
            <w:tcBorders>
              <w:top w:val="single" w:sz="4" w:space="0" w:color="808080"/>
              <w:left w:val="single" w:sz="4" w:space="0" w:color="auto"/>
              <w:bottom w:val="single" w:sz="4" w:space="0" w:color="808080"/>
              <w:right w:val="single" w:sz="4" w:space="0" w:color="808080"/>
            </w:tcBorders>
            <w:shd w:val="clear" w:color="auto" w:fill="auto"/>
          </w:tcPr>
          <w:p w:rsidR="00D850B5" w:rsidRPr="00F43CEC" w:rsidRDefault="001D1E07" w:rsidP="007C6BCC">
            <w:pPr>
              <w:spacing w:after="120"/>
              <w:rPr>
                <w:rFonts w:cs="Arial"/>
              </w:rPr>
            </w:pPr>
            <w:r>
              <w:rPr>
                <w:rFonts w:cs="Arial"/>
              </w:rPr>
              <w:t>Africa program</w:t>
            </w:r>
          </w:p>
        </w:tc>
      </w:tr>
      <w:tr w:rsidR="00F641BA" w:rsidRPr="00F43CEC" w:rsidTr="00045FB4">
        <w:trPr>
          <w:cantSplit/>
          <w:trHeight w:val="885"/>
        </w:trPr>
        <w:tc>
          <w:tcPr>
            <w:tcW w:w="2590" w:type="dxa"/>
            <w:tcBorders>
              <w:top w:val="single" w:sz="4" w:space="0" w:color="808080"/>
              <w:left w:val="single" w:sz="4" w:space="0" w:color="808080"/>
              <w:bottom w:val="single" w:sz="4" w:space="0" w:color="808080"/>
              <w:right w:val="single" w:sz="4" w:space="0" w:color="808080"/>
            </w:tcBorders>
            <w:shd w:val="clear" w:color="auto" w:fill="auto"/>
          </w:tcPr>
          <w:p w:rsidR="00D850B5" w:rsidRDefault="00270DE3" w:rsidP="007C6BCC">
            <w:pPr>
              <w:numPr>
                <w:ilvl w:val="0"/>
                <w:numId w:val="38"/>
              </w:numPr>
              <w:spacing w:after="120"/>
              <w:ind w:left="426" w:hanging="426"/>
              <w:rPr>
                <w:b/>
              </w:rPr>
            </w:pPr>
            <w:r>
              <w:rPr>
                <w:b/>
              </w:rPr>
              <w:t>In view of the considerable portfolio of AusAID in South Sudan, a light in-country presence should also be explored.</w:t>
            </w:r>
          </w:p>
        </w:tc>
        <w:tc>
          <w:tcPr>
            <w:tcW w:w="2639" w:type="dxa"/>
            <w:tcBorders>
              <w:top w:val="single" w:sz="4" w:space="0" w:color="808080"/>
              <w:left w:val="single" w:sz="4" w:space="0" w:color="808080"/>
              <w:bottom w:val="single" w:sz="4" w:space="0" w:color="808080"/>
              <w:right w:val="single" w:sz="4" w:space="0" w:color="auto"/>
            </w:tcBorders>
            <w:shd w:val="clear" w:color="auto" w:fill="auto"/>
          </w:tcPr>
          <w:p w:rsidR="00244C30" w:rsidRPr="00244C30" w:rsidRDefault="00B95C48" w:rsidP="00244C30">
            <w:pPr>
              <w:spacing w:after="120"/>
              <w:rPr>
                <w:rFonts w:cs="Arial"/>
                <w:i/>
              </w:rPr>
            </w:pPr>
            <w:r>
              <w:rPr>
                <w:rFonts w:cs="Arial"/>
                <w:i/>
              </w:rPr>
              <w:t>Noted</w:t>
            </w:r>
          </w:p>
          <w:p w:rsidR="00D850B5" w:rsidRPr="00F43CEC" w:rsidRDefault="00D850B5" w:rsidP="00B95C48">
            <w:pPr>
              <w:spacing w:after="120"/>
              <w:rPr>
                <w:rFonts w:cs="Arial"/>
              </w:rPr>
            </w:pPr>
          </w:p>
        </w:tc>
        <w:tc>
          <w:tcPr>
            <w:tcW w:w="2574" w:type="dxa"/>
            <w:tcBorders>
              <w:top w:val="single" w:sz="4" w:space="0" w:color="808080"/>
              <w:left w:val="single" w:sz="4" w:space="0" w:color="auto"/>
              <w:bottom w:val="single" w:sz="4" w:space="0" w:color="808080"/>
              <w:right w:val="single" w:sz="4" w:space="0" w:color="808080"/>
            </w:tcBorders>
            <w:shd w:val="clear" w:color="auto" w:fill="auto"/>
          </w:tcPr>
          <w:p w:rsidR="00B95C48" w:rsidRPr="00045FB4" w:rsidRDefault="00FB090E" w:rsidP="00045FB4">
            <w:pPr>
              <w:spacing w:after="120"/>
              <w:rPr>
                <w:rFonts w:cs="Arial"/>
              </w:rPr>
            </w:pPr>
            <w:r>
              <w:t>T</w:t>
            </w:r>
            <w:r w:rsidR="00416FCA">
              <w:t>his recommendation is beyond the scope of the TOR</w:t>
            </w:r>
            <w:r w:rsidR="001D1E07">
              <w:t>.</w:t>
            </w:r>
            <w:r w:rsidR="00416FCA">
              <w:t xml:space="preserve"> </w:t>
            </w:r>
          </w:p>
        </w:tc>
        <w:tc>
          <w:tcPr>
            <w:tcW w:w="1944" w:type="dxa"/>
            <w:tcBorders>
              <w:top w:val="single" w:sz="4" w:space="0" w:color="808080"/>
              <w:left w:val="single" w:sz="4" w:space="0" w:color="auto"/>
              <w:bottom w:val="single" w:sz="4" w:space="0" w:color="808080"/>
              <w:right w:val="single" w:sz="4" w:space="0" w:color="808080"/>
            </w:tcBorders>
            <w:shd w:val="clear" w:color="auto" w:fill="auto"/>
          </w:tcPr>
          <w:p w:rsidR="00D850B5" w:rsidRPr="00F43CEC" w:rsidRDefault="00D850B5" w:rsidP="007C6BCC">
            <w:pPr>
              <w:spacing w:after="120"/>
              <w:rPr>
                <w:rFonts w:cs="Arial"/>
              </w:rPr>
            </w:pPr>
          </w:p>
        </w:tc>
      </w:tr>
      <w:tr w:rsidR="00F641BA" w:rsidRPr="00F43CEC" w:rsidTr="00045FB4">
        <w:trPr>
          <w:cantSplit/>
          <w:trHeight w:val="885"/>
        </w:trPr>
        <w:tc>
          <w:tcPr>
            <w:tcW w:w="2590" w:type="dxa"/>
            <w:tcBorders>
              <w:top w:val="single" w:sz="4" w:space="0" w:color="808080"/>
              <w:left w:val="single" w:sz="4" w:space="0" w:color="808080"/>
              <w:bottom w:val="single" w:sz="4" w:space="0" w:color="808080"/>
              <w:right w:val="single" w:sz="4" w:space="0" w:color="808080"/>
            </w:tcBorders>
            <w:shd w:val="clear" w:color="auto" w:fill="auto"/>
          </w:tcPr>
          <w:p w:rsidR="00D850B5" w:rsidRDefault="00270DE3" w:rsidP="007C6BCC">
            <w:pPr>
              <w:numPr>
                <w:ilvl w:val="0"/>
                <w:numId w:val="38"/>
              </w:numPr>
              <w:spacing w:after="120"/>
              <w:ind w:left="426" w:hanging="426"/>
              <w:rPr>
                <w:b/>
              </w:rPr>
            </w:pPr>
            <w:r>
              <w:rPr>
                <w:b/>
              </w:rPr>
              <w:t>AusAID should urgently lift the travel ban outside Juba in order to enable field visits.</w:t>
            </w:r>
          </w:p>
        </w:tc>
        <w:tc>
          <w:tcPr>
            <w:tcW w:w="2639" w:type="dxa"/>
            <w:tcBorders>
              <w:top w:val="single" w:sz="4" w:space="0" w:color="808080"/>
              <w:left w:val="single" w:sz="4" w:space="0" w:color="808080"/>
              <w:bottom w:val="single" w:sz="4" w:space="0" w:color="808080"/>
              <w:right w:val="single" w:sz="4" w:space="0" w:color="auto"/>
            </w:tcBorders>
            <w:shd w:val="clear" w:color="auto" w:fill="auto"/>
          </w:tcPr>
          <w:p w:rsidR="00D850B5" w:rsidRDefault="00B95C48" w:rsidP="00D652AE">
            <w:pPr>
              <w:spacing w:after="120"/>
              <w:rPr>
                <w:rFonts w:cs="Arial"/>
                <w:i/>
              </w:rPr>
            </w:pPr>
            <w:r>
              <w:rPr>
                <w:rFonts w:cs="Arial"/>
                <w:i/>
              </w:rPr>
              <w:t>Noted</w:t>
            </w:r>
          </w:p>
          <w:p w:rsidR="00D652AE" w:rsidRPr="00D652AE" w:rsidRDefault="00D652AE" w:rsidP="00E84DE9">
            <w:pPr>
              <w:spacing w:after="120"/>
              <w:rPr>
                <w:rFonts w:cs="Arial"/>
              </w:rPr>
            </w:pPr>
          </w:p>
        </w:tc>
        <w:tc>
          <w:tcPr>
            <w:tcW w:w="2574" w:type="dxa"/>
            <w:tcBorders>
              <w:top w:val="single" w:sz="4" w:space="0" w:color="808080"/>
              <w:left w:val="single" w:sz="4" w:space="0" w:color="auto"/>
              <w:bottom w:val="single" w:sz="4" w:space="0" w:color="808080"/>
              <w:right w:val="single" w:sz="4" w:space="0" w:color="808080"/>
            </w:tcBorders>
            <w:shd w:val="clear" w:color="auto" w:fill="auto"/>
          </w:tcPr>
          <w:p w:rsidR="004B17E2" w:rsidRDefault="00A31801" w:rsidP="004B17E2">
            <w:pPr>
              <w:spacing w:after="120"/>
              <w:rPr>
                <w:rFonts w:cs="Arial"/>
              </w:rPr>
            </w:pPr>
            <w:r>
              <w:rPr>
                <w:rFonts w:cs="Arial"/>
              </w:rPr>
              <w:t>T</w:t>
            </w:r>
            <w:r w:rsidR="00EE3CD6">
              <w:rPr>
                <w:rFonts w:cs="Arial"/>
              </w:rPr>
              <w:t>his recomme</w:t>
            </w:r>
            <w:r w:rsidR="004B17E2" w:rsidRPr="00BC548A">
              <w:rPr>
                <w:rFonts w:cs="Arial"/>
              </w:rPr>
              <w:t xml:space="preserve">ndation </w:t>
            </w:r>
            <w:r w:rsidR="004B17E2">
              <w:rPr>
                <w:rFonts w:cs="Arial"/>
              </w:rPr>
              <w:t>is beyond the scope of the TOR.</w:t>
            </w:r>
          </w:p>
          <w:p w:rsidR="00D850B5" w:rsidRPr="00F43CEC" w:rsidRDefault="00D850B5" w:rsidP="004B17E2">
            <w:pPr>
              <w:spacing w:after="120"/>
              <w:rPr>
                <w:rFonts w:cs="Arial"/>
              </w:rPr>
            </w:pPr>
          </w:p>
        </w:tc>
        <w:tc>
          <w:tcPr>
            <w:tcW w:w="1944" w:type="dxa"/>
            <w:tcBorders>
              <w:top w:val="single" w:sz="4" w:space="0" w:color="808080"/>
              <w:left w:val="single" w:sz="4" w:space="0" w:color="auto"/>
              <w:bottom w:val="single" w:sz="4" w:space="0" w:color="808080"/>
              <w:right w:val="single" w:sz="4" w:space="0" w:color="808080"/>
            </w:tcBorders>
            <w:shd w:val="clear" w:color="auto" w:fill="auto"/>
          </w:tcPr>
          <w:p w:rsidR="00D850B5" w:rsidRPr="00F43CEC" w:rsidRDefault="00D850B5" w:rsidP="00527AA5">
            <w:pPr>
              <w:spacing w:after="120"/>
              <w:rPr>
                <w:rFonts w:cs="Arial"/>
              </w:rPr>
            </w:pPr>
          </w:p>
        </w:tc>
      </w:tr>
      <w:tr w:rsidR="00270DE3" w:rsidRPr="00F43CEC" w:rsidTr="00045FB4">
        <w:trPr>
          <w:cantSplit/>
          <w:trHeight w:val="430"/>
        </w:trPr>
        <w:tc>
          <w:tcPr>
            <w:tcW w:w="9747" w:type="dxa"/>
            <w:gridSpan w:val="4"/>
            <w:tcBorders>
              <w:top w:val="single" w:sz="4" w:space="0" w:color="808080"/>
              <w:left w:val="single" w:sz="4" w:space="0" w:color="808080"/>
              <w:bottom w:val="single" w:sz="4" w:space="0" w:color="808080"/>
              <w:right w:val="single" w:sz="4" w:space="0" w:color="808080"/>
            </w:tcBorders>
            <w:shd w:val="clear" w:color="auto" w:fill="auto"/>
          </w:tcPr>
          <w:p w:rsidR="00270DE3" w:rsidRPr="00F43CEC" w:rsidRDefault="00270DE3" w:rsidP="00E71D46">
            <w:pPr>
              <w:keepNext/>
              <w:spacing w:after="120"/>
              <w:rPr>
                <w:rFonts w:cs="Arial"/>
              </w:rPr>
            </w:pPr>
            <w:r>
              <w:rPr>
                <w:rFonts w:cs="Arial"/>
              </w:rPr>
              <w:lastRenderedPageBreak/>
              <w:t xml:space="preserve">On </w:t>
            </w:r>
            <w:r w:rsidR="00904615">
              <w:rPr>
                <w:rFonts w:cs="Arial"/>
              </w:rPr>
              <w:t>DFAT</w:t>
            </w:r>
            <w:r>
              <w:rPr>
                <w:rFonts w:cs="Arial"/>
              </w:rPr>
              <w:t xml:space="preserve"> funding options for South Sudan</w:t>
            </w:r>
          </w:p>
        </w:tc>
      </w:tr>
      <w:tr w:rsidR="001D1E07" w:rsidRPr="00F43CEC" w:rsidTr="00045FB4">
        <w:trPr>
          <w:cantSplit/>
          <w:trHeight w:val="885"/>
        </w:trPr>
        <w:tc>
          <w:tcPr>
            <w:tcW w:w="2590" w:type="dxa"/>
            <w:tcBorders>
              <w:top w:val="single" w:sz="4" w:space="0" w:color="808080"/>
              <w:left w:val="single" w:sz="4" w:space="0" w:color="808080"/>
              <w:bottom w:val="nil"/>
              <w:right w:val="single" w:sz="4" w:space="0" w:color="808080"/>
            </w:tcBorders>
            <w:shd w:val="clear" w:color="auto" w:fill="auto"/>
          </w:tcPr>
          <w:p w:rsidR="001D1E07" w:rsidRDefault="001D1E07" w:rsidP="00085083">
            <w:pPr>
              <w:numPr>
                <w:ilvl w:val="0"/>
                <w:numId w:val="38"/>
              </w:numPr>
              <w:spacing w:after="120"/>
              <w:ind w:left="426" w:hanging="426"/>
              <w:rPr>
                <w:b/>
              </w:rPr>
            </w:pPr>
            <w:r>
              <w:rPr>
                <w:b/>
              </w:rPr>
              <w:t>In a fluid context such as South Sudan, providing stand-alone grants through reputable ANGOs is an appropriate approach, and this could be repeated in further actions, provided the capacity of both the NGOs and the donor to accompany the process is assured.</w:t>
            </w:r>
          </w:p>
        </w:tc>
        <w:tc>
          <w:tcPr>
            <w:tcW w:w="2639" w:type="dxa"/>
            <w:tcBorders>
              <w:top w:val="single" w:sz="4" w:space="0" w:color="808080"/>
              <w:left w:val="single" w:sz="4" w:space="0" w:color="808080"/>
              <w:bottom w:val="nil"/>
              <w:right w:val="single" w:sz="4" w:space="0" w:color="auto"/>
            </w:tcBorders>
            <w:shd w:val="clear" w:color="auto" w:fill="auto"/>
          </w:tcPr>
          <w:p w:rsidR="001D1E07" w:rsidRDefault="001D1E07" w:rsidP="00085083">
            <w:pPr>
              <w:spacing w:after="120"/>
              <w:rPr>
                <w:rFonts w:cs="Arial"/>
                <w:i/>
              </w:rPr>
            </w:pPr>
            <w:r>
              <w:rPr>
                <w:rFonts w:cs="Arial"/>
                <w:i/>
              </w:rPr>
              <w:t>Noted</w:t>
            </w:r>
          </w:p>
          <w:p w:rsidR="001D1E07" w:rsidRDefault="001D1E07" w:rsidP="00085083">
            <w:pPr>
              <w:spacing w:after="120"/>
              <w:rPr>
                <w:rFonts w:cs="Arial"/>
              </w:rPr>
            </w:pPr>
            <w:r>
              <w:rPr>
                <w:rFonts w:cs="Arial"/>
              </w:rPr>
              <w:t>ANGOs, with a history of programming and engagement in</w:t>
            </w:r>
            <w:r w:rsidR="00045FB4">
              <w:rPr>
                <w:rFonts w:cs="Arial"/>
              </w:rPr>
              <w:t>-country</w:t>
            </w:r>
            <w:r>
              <w:rPr>
                <w:rFonts w:cs="Arial"/>
              </w:rPr>
              <w:t>, are often well-placed to undertake earl</w:t>
            </w:r>
            <w:r w:rsidR="00045FB4">
              <w:rPr>
                <w:rFonts w:cs="Arial"/>
              </w:rPr>
              <w:t>y recovery activities.</w:t>
            </w:r>
            <w:r>
              <w:rPr>
                <w:rFonts w:cs="Arial"/>
              </w:rPr>
              <w:t xml:space="preserve"> ANGOs are accredited to ensure value for money and compliance with policy.</w:t>
            </w:r>
          </w:p>
          <w:p w:rsidR="001D1E07" w:rsidRDefault="001D1E07" w:rsidP="00085083">
            <w:pPr>
              <w:spacing w:after="120"/>
              <w:rPr>
                <w:rFonts w:cs="Arial"/>
              </w:rPr>
            </w:pPr>
          </w:p>
          <w:p w:rsidR="001D1E07" w:rsidRPr="00883588" w:rsidRDefault="001D1E07" w:rsidP="00085083">
            <w:pPr>
              <w:spacing w:after="120"/>
              <w:rPr>
                <w:rFonts w:cs="Arial"/>
              </w:rPr>
            </w:pPr>
          </w:p>
        </w:tc>
        <w:tc>
          <w:tcPr>
            <w:tcW w:w="2574" w:type="dxa"/>
            <w:tcBorders>
              <w:top w:val="single" w:sz="4" w:space="0" w:color="808080"/>
              <w:left w:val="single" w:sz="4" w:space="0" w:color="auto"/>
              <w:bottom w:val="nil"/>
              <w:right w:val="single" w:sz="4" w:space="0" w:color="808080"/>
            </w:tcBorders>
            <w:shd w:val="clear" w:color="auto" w:fill="auto"/>
          </w:tcPr>
          <w:p w:rsidR="001D1E07" w:rsidRDefault="00A31801" w:rsidP="00085083">
            <w:pPr>
              <w:spacing w:after="120"/>
              <w:rPr>
                <w:rFonts w:cs="Arial"/>
              </w:rPr>
            </w:pPr>
            <w:r>
              <w:rPr>
                <w:rFonts w:cs="Arial"/>
              </w:rPr>
              <w:t>DFAT</w:t>
            </w:r>
            <w:r w:rsidR="001D1E07">
              <w:rPr>
                <w:rFonts w:cs="Arial"/>
              </w:rPr>
              <w:t xml:space="preserve"> will continue to engage </w:t>
            </w:r>
            <w:r w:rsidR="00045FB4">
              <w:rPr>
                <w:rFonts w:cs="Arial"/>
              </w:rPr>
              <w:t>A</w:t>
            </w:r>
            <w:r w:rsidR="001D1E07">
              <w:rPr>
                <w:rFonts w:cs="Arial"/>
              </w:rPr>
              <w:t>NGO partners and consider direct funding when this meets design objectives.</w:t>
            </w:r>
          </w:p>
          <w:p w:rsidR="001D1E07" w:rsidRPr="00F43CEC" w:rsidRDefault="001D1E07" w:rsidP="00085083">
            <w:pPr>
              <w:spacing w:after="120"/>
              <w:rPr>
                <w:rFonts w:cs="Arial"/>
              </w:rPr>
            </w:pPr>
            <w:r>
              <w:rPr>
                <w:rFonts w:cs="Arial"/>
              </w:rPr>
              <w:t>.</w:t>
            </w:r>
          </w:p>
        </w:tc>
        <w:tc>
          <w:tcPr>
            <w:tcW w:w="1944" w:type="dxa"/>
            <w:tcBorders>
              <w:top w:val="single" w:sz="4" w:space="0" w:color="808080"/>
              <w:left w:val="single" w:sz="4" w:space="0" w:color="auto"/>
              <w:bottom w:val="nil"/>
              <w:right w:val="single" w:sz="4" w:space="0" w:color="808080"/>
            </w:tcBorders>
            <w:shd w:val="clear" w:color="auto" w:fill="auto"/>
          </w:tcPr>
          <w:p w:rsidR="001D1E07" w:rsidRPr="00F43CEC" w:rsidRDefault="001D1E07" w:rsidP="00085083">
            <w:pPr>
              <w:spacing w:after="120"/>
              <w:rPr>
                <w:rFonts w:cs="Arial"/>
              </w:rPr>
            </w:pPr>
            <w:r>
              <w:rPr>
                <w:rFonts w:cs="Arial"/>
              </w:rPr>
              <w:t xml:space="preserve">Africa program </w:t>
            </w:r>
          </w:p>
        </w:tc>
      </w:tr>
      <w:tr w:rsidR="00D54FC2" w:rsidRPr="00F43CEC" w:rsidTr="001D1E07">
        <w:trPr>
          <w:cantSplit/>
          <w:trHeight w:val="885"/>
        </w:trPr>
        <w:tc>
          <w:tcPr>
            <w:tcW w:w="2590" w:type="dxa"/>
            <w:tcBorders>
              <w:top w:val="single" w:sz="4" w:space="0" w:color="808080"/>
              <w:left w:val="single" w:sz="4" w:space="0" w:color="808080"/>
              <w:bottom w:val="single" w:sz="4" w:space="0" w:color="auto"/>
              <w:right w:val="single" w:sz="4" w:space="0" w:color="808080"/>
            </w:tcBorders>
            <w:shd w:val="clear" w:color="auto" w:fill="auto"/>
          </w:tcPr>
          <w:p w:rsidR="00D54FC2" w:rsidRDefault="001D1E07" w:rsidP="00045FB4">
            <w:pPr>
              <w:numPr>
                <w:ilvl w:val="0"/>
                <w:numId w:val="38"/>
              </w:numPr>
              <w:spacing w:after="120"/>
              <w:ind w:left="426" w:hanging="426"/>
              <w:rPr>
                <w:b/>
              </w:rPr>
            </w:pPr>
            <w:r w:rsidRPr="001D1E07">
              <w:rPr>
                <w:b/>
              </w:rPr>
              <w:t>The complementarity of Australian, international and local NGOs worked well, certainly at field level. A consortium of Australian NGOs with one lead agency and the same INGO/LNGO mix would likely have produced similar results at similar cost. Both options would be suitable for further actions.</w:t>
            </w:r>
          </w:p>
        </w:tc>
        <w:tc>
          <w:tcPr>
            <w:tcW w:w="2639" w:type="dxa"/>
            <w:tcBorders>
              <w:top w:val="single" w:sz="4" w:space="0" w:color="808080"/>
              <w:left w:val="single" w:sz="4" w:space="0" w:color="808080"/>
              <w:bottom w:val="single" w:sz="4" w:space="0" w:color="auto"/>
              <w:right w:val="single" w:sz="4" w:space="0" w:color="auto"/>
            </w:tcBorders>
            <w:shd w:val="clear" w:color="auto" w:fill="auto"/>
          </w:tcPr>
          <w:p w:rsidR="001D1E07" w:rsidRPr="00416FCA" w:rsidRDefault="001D1E07" w:rsidP="001D1E07">
            <w:pPr>
              <w:spacing w:after="120"/>
              <w:rPr>
                <w:rFonts w:cs="Arial"/>
                <w:i/>
              </w:rPr>
            </w:pPr>
            <w:r w:rsidRPr="00416FCA">
              <w:rPr>
                <w:rFonts w:cs="Arial"/>
                <w:i/>
              </w:rPr>
              <w:t>Noted</w:t>
            </w:r>
          </w:p>
          <w:p w:rsidR="00971284" w:rsidRPr="00883588" w:rsidRDefault="00971284" w:rsidP="00971284">
            <w:pPr>
              <w:spacing w:after="120"/>
              <w:rPr>
                <w:rFonts w:cs="Arial"/>
              </w:rPr>
            </w:pPr>
          </w:p>
        </w:tc>
        <w:tc>
          <w:tcPr>
            <w:tcW w:w="2574" w:type="dxa"/>
            <w:tcBorders>
              <w:top w:val="single" w:sz="4" w:space="0" w:color="808080"/>
              <w:left w:val="single" w:sz="4" w:space="0" w:color="auto"/>
              <w:bottom w:val="single" w:sz="4" w:space="0" w:color="auto"/>
              <w:right w:val="single" w:sz="4" w:space="0" w:color="808080"/>
            </w:tcBorders>
            <w:shd w:val="clear" w:color="auto" w:fill="auto"/>
          </w:tcPr>
          <w:p w:rsidR="00D54FC2" w:rsidRPr="00F43CEC" w:rsidRDefault="001D1E07" w:rsidP="00EE4F9E">
            <w:pPr>
              <w:spacing w:after="120"/>
              <w:rPr>
                <w:rFonts w:cs="Arial"/>
              </w:rPr>
            </w:pPr>
            <w:r>
              <w:rPr>
                <w:rFonts w:cs="Arial"/>
              </w:rPr>
              <w:t xml:space="preserve">This recommendation is not based on data or evidence. </w:t>
            </w:r>
          </w:p>
        </w:tc>
        <w:tc>
          <w:tcPr>
            <w:tcW w:w="1944" w:type="dxa"/>
            <w:tcBorders>
              <w:top w:val="single" w:sz="4" w:space="0" w:color="808080"/>
              <w:left w:val="single" w:sz="4" w:space="0" w:color="auto"/>
              <w:bottom w:val="single" w:sz="4" w:space="0" w:color="auto"/>
              <w:right w:val="single" w:sz="4" w:space="0" w:color="808080"/>
            </w:tcBorders>
            <w:shd w:val="clear" w:color="auto" w:fill="auto"/>
          </w:tcPr>
          <w:p w:rsidR="00D54FC2" w:rsidRPr="00F43CEC" w:rsidRDefault="00D54FC2" w:rsidP="007C6BCC">
            <w:pPr>
              <w:spacing w:after="120"/>
              <w:rPr>
                <w:rFonts w:cs="Arial"/>
              </w:rPr>
            </w:pPr>
          </w:p>
        </w:tc>
      </w:tr>
      <w:tr w:rsidR="001D1E07" w:rsidRPr="00F43CEC" w:rsidTr="00045FB4">
        <w:trPr>
          <w:cantSplit/>
          <w:trHeight w:val="2201"/>
        </w:trPr>
        <w:tc>
          <w:tcPr>
            <w:tcW w:w="2590" w:type="dxa"/>
            <w:tcBorders>
              <w:top w:val="single" w:sz="4" w:space="0" w:color="auto"/>
              <w:left w:val="single" w:sz="4" w:space="0" w:color="808080"/>
              <w:bottom w:val="single" w:sz="4" w:space="0" w:color="808080"/>
              <w:right w:val="single" w:sz="4" w:space="0" w:color="808080"/>
            </w:tcBorders>
            <w:shd w:val="clear" w:color="auto" w:fill="auto"/>
          </w:tcPr>
          <w:p w:rsidR="001D1E07" w:rsidRDefault="001D1E07" w:rsidP="007C6BCC">
            <w:pPr>
              <w:numPr>
                <w:ilvl w:val="0"/>
                <w:numId w:val="38"/>
              </w:numPr>
              <w:spacing w:after="120"/>
              <w:ind w:left="426" w:hanging="426"/>
              <w:rPr>
                <w:b/>
              </w:rPr>
            </w:pPr>
            <w:r>
              <w:rPr>
                <w:b/>
              </w:rPr>
              <w:t>The option of directly funding international NGOs in order to realise cost savings needs further investigation.</w:t>
            </w:r>
          </w:p>
        </w:tc>
        <w:tc>
          <w:tcPr>
            <w:tcW w:w="2639" w:type="dxa"/>
            <w:tcBorders>
              <w:top w:val="single" w:sz="4" w:space="0" w:color="auto"/>
              <w:left w:val="single" w:sz="4" w:space="0" w:color="808080"/>
              <w:bottom w:val="single" w:sz="4" w:space="0" w:color="808080"/>
              <w:right w:val="single" w:sz="4" w:space="0" w:color="auto"/>
            </w:tcBorders>
            <w:shd w:val="clear" w:color="auto" w:fill="auto"/>
          </w:tcPr>
          <w:p w:rsidR="001D1E07" w:rsidRDefault="001D1E07" w:rsidP="00EE4F9E">
            <w:pPr>
              <w:spacing w:after="120"/>
              <w:rPr>
                <w:rFonts w:cs="Arial"/>
                <w:i/>
              </w:rPr>
            </w:pPr>
            <w:r>
              <w:rPr>
                <w:rFonts w:cs="Arial"/>
                <w:i/>
              </w:rPr>
              <w:t>Noted</w:t>
            </w:r>
          </w:p>
          <w:p w:rsidR="001D1E07" w:rsidRPr="00EE4F9E" w:rsidRDefault="001D1E07" w:rsidP="00971284">
            <w:pPr>
              <w:spacing w:after="120"/>
              <w:rPr>
                <w:rFonts w:cs="Arial"/>
                <w:i/>
              </w:rPr>
            </w:pPr>
          </w:p>
        </w:tc>
        <w:tc>
          <w:tcPr>
            <w:tcW w:w="2574" w:type="dxa"/>
            <w:tcBorders>
              <w:top w:val="single" w:sz="4" w:space="0" w:color="auto"/>
              <w:left w:val="single" w:sz="4" w:space="0" w:color="auto"/>
              <w:bottom w:val="single" w:sz="4" w:space="0" w:color="808080"/>
              <w:right w:val="single" w:sz="4" w:space="0" w:color="808080"/>
            </w:tcBorders>
            <w:shd w:val="clear" w:color="auto" w:fill="auto"/>
          </w:tcPr>
          <w:p w:rsidR="001D1E07" w:rsidRPr="00F43CEC" w:rsidRDefault="00A31801" w:rsidP="00045FB4">
            <w:pPr>
              <w:spacing w:after="120"/>
              <w:rPr>
                <w:rFonts w:cs="Arial"/>
              </w:rPr>
            </w:pPr>
            <w:r>
              <w:rPr>
                <w:rFonts w:cs="Arial"/>
              </w:rPr>
              <w:t>DFAT</w:t>
            </w:r>
            <w:r w:rsidR="001D1E07">
              <w:rPr>
                <w:rFonts w:cs="Arial"/>
              </w:rPr>
              <w:t xml:space="preserve"> recognises the benefit of engaging INGOs, which have entrenched local networks and valuable experience. Funding arrangements will continue to reflect program needs and value for money considerations.</w:t>
            </w:r>
          </w:p>
        </w:tc>
        <w:tc>
          <w:tcPr>
            <w:tcW w:w="1944" w:type="dxa"/>
            <w:tcBorders>
              <w:top w:val="single" w:sz="4" w:space="0" w:color="auto"/>
              <w:left w:val="single" w:sz="4" w:space="0" w:color="auto"/>
              <w:bottom w:val="single" w:sz="4" w:space="0" w:color="808080"/>
              <w:right w:val="single" w:sz="4" w:space="0" w:color="808080"/>
            </w:tcBorders>
            <w:shd w:val="clear" w:color="auto" w:fill="auto"/>
          </w:tcPr>
          <w:p w:rsidR="001D1E07" w:rsidRPr="00F43CEC" w:rsidRDefault="001D1E07" w:rsidP="007C6BCC">
            <w:pPr>
              <w:spacing w:after="120"/>
              <w:rPr>
                <w:rFonts w:cs="Arial"/>
              </w:rPr>
            </w:pPr>
            <w:r>
              <w:rPr>
                <w:rFonts w:cs="Arial"/>
              </w:rPr>
              <w:t>Africa program</w:t>
            </w:r>
          </w:p>
        </w:tc>
      </w:tr>
      <w:tr w:rsidR="001D1E07" w:rsidRPr="00F43CEC" w:rsidTr="00045FB4">
        <w:trPr>
          <w:cantSplit/>
          <w:trHeight w:val="885"/>
        </w:trPr>
        <w:tc>
          <w:tcPr>
            <w:tcW w:w="2590" w:type="dxa"/>
            <w:tcBorders>
              <w:top w:val="single" w:sz="4" w:space="0" w:color="808080"/>
              <w:left w:val="single" w:sz="4" w:space="0" w:color="808080"/>
              <w:bottom w:val="single" w:sz="4" w:space="0" w:color="808080"/>
              <w:right w:val="single" w:sz="4" w:space="0" w:color="808080"/>
            </w:tcBorders>
            <w:shd w:val="clear" w:color="auto" w:fill="auto"/>
          </w:tcPr>
          <w:p w:rsidR="001D1E07" w:rsidRDefault="001D1E07" w:rsidP="00DB3366">
            <w:pPr>
              <w:numPr>
                <w:ilvl w:val="0"/>
                <w:numId w:val="38"/>
              </w:numPr>
              <w:spacing w:after="120"/>
              <w:ind w:left="426" w:hanging="426"/>
              <w:rPr>
                <w:b/>
              </w:rPr>
            </w:pPr>
            <w:r>
              <w:rPr>
                <w:b/>
              </w:rPr>
              <w:lastRenderedPageBreak/>
              <w:t>As a mid-sized donor, AusAID should continue to support selected UN bodies and pooled funding mechanisms following the principles of the ‘New Deal’. Value for Money should be carefully considered for these funding options.</w:t>
            </w:r>
          </w:p>
        </w:tc>
        <w:tc>
          <w:tcPr>
            <w:tcW w:w="2639" w:type="dxa"/>
            <w:tcBorders>
              <w:top w:val="single" w:sz="4" w:space="0" w:color="808080"/>
              <w:left w:val="single" w:sz="4" w:space="0" w:color="808080"/>
              <w:bottom w:val="single" w:sz="4" w:space="0" w:color="808080"/>
              <w:right w:val="single" w:sz="4" w:space="0" w:color="auto"/>
            </w:tcBorders>
            <w:shd w:val="clear" w:color="auto" w:fill="auto"/>
          </w:tcPr>
          <w:p w:rsidR="001D1E07" w:rsidRDefault="001D1E07" w:rsidP="00F003BF">
            <w:pPr>
              <w:spacing w:after="120"/>
              <w:rPr>
                <w:rFonts w:cs="Arial"/>
                <w:i/>
              </w:rPr>
            </w:pPr>
            <w:r>
              <w:rPr>
                <w:rFonts w:cs="Arial"/>
                <w:i/>
              </w:rPr>
              <w:t>Agree</w:t>
            </w:r>
          </w:p>
          <w:p w:rsidR="001D1E07" w:rsidRPr="00F43CEC" w:rsidRDefault="001D1E07" w:rsidP="00A31801">
            <w:pPr>
              <w:spacing w:after="120"/>
              <w:rPr>
                <w:rFonts w:cs="Arial"/>
              </w:rPr>
            </w:pPr>
            <w:r>
              <w:rPr>
                <w:rFonts w:cs="Arial"/>
              </w:rPr>
              <w:t xml:space="preserve">UN bodies may represent the best-equipped partners in difficult and insecure contexts. </w:t>
            </w:r>
            <w:r w:rsidR="00A31801">
              <w:rPr>
                <w:rFonts w:cs="Arial"/>
              </w:rPr>
              <w:t>I</w:t>
            </w:r>
            <w:r>
              <w:rPr>
                <w:rFonts w:cs="Arial"/>
              </w:rPr>
              <w:t xml:space="preserve">nvestment in pooled funds </w:t>
            </w:r>
            <w:r w:rsidR="00A31801">
              <w:rPr>
                <w:rFonts w:cs="Arial"/>
              </w:rPr>
              <w:t>supports</w:t>
            </w:r>
            <w:r>
              <w:rPr>
                <w:rFonts w:cs="Arial"/>
              </w:rPr>
              <w:t xml:space="preserve"> donor coordination in line with the New Deal. </w:t>
            </w:r>
          </w:p>
        </w:tc>
        <w:tc>
          <w:tcPr>
            <w:tcW w:w="2574" w:type="dxa"/>
            <w:tcBorders>
              <w:top w:val="single" w:sz="4" w:space="0" w:color="808080"/>
              <w:left w:val="single" w:sz="4" w:space="0" w:color="auto"/>
              <w:bottom w:val="single" w:sz="4" w:space="0" w:color="808080"/>
              <w:right w:val="single" w:sz="4" w:space="0" w:color="808080"/>
            </w:tcBorders>
            <w:shd w:val="clear" w:color="auto" w:fill="auto"/>
          </w:tcPr>
          <w:p w:rsidR="001D1E07" w:rsidRPr="00F43CEC" w:rsidRDefault="001D1E07" w:rsidP="00A31801">
            <w:pPr>
              <w:spacing w:after="120"/>
              <w:rPr>
                <w:rFonts w:cs="Arial"/>
              </w:rPr>
            </w:pPr>
            <w:r>
              <w:rPr>
                <w:rFonts w:cs="Arial"/>
              </w:rPr>
              <w:t>Funding arrangements will continue to</w:t>
            </w:r>
            <w:r w:rsidR="00A31801">
              <w:rPr>
                <w:rFonts w:cs="Arial"/>
              </w:rPr>
              <w:t xml:space="preserve"> consider the most effective delivery mechanisms and value for money</w:t>
            </w:r>
            <w:r>
              <w:rPr>
                <w:rFonts w:cs="Arial"/>
              </w:rPr>
              <w:t>.</w:t>
            </w:r>
          </w:p>
        </w:tc>
        <w:tc>
          <w:tcPr>
            <w:tcW w:w="1944" w:type="dxa"/>
            <w:tcBorders>
              <w:top w:val="single" w:sz="4" w:space="0" w:color="808080"/>
              <w:left w:val="single" w:sz="4" w:space="0" w:color="auto"/>
              <w:bottom w:val="single" w:sz="4" w:space="0" w:color="808080"/>
              <w:right w:val="single" w:sz="4" w:space="0" w:color="808080"/>
            </w:tcBorders>
            <w:shd w:val="clear" w:color="auto" w:fill="auto"/>
          </w:tcPr>
          <w:p w:rsidR="001D1E07" w:rsidRPr="00F43CEC" w:rsidRDefault="001D1E07" w:rsidP="007C6BCC">
            <w:pPr>
              <w:spacing w:after="120"/>
              <w:rPr>
                <w:rFonts w:cs="Arial"/>
              </w:rPr>
            </w:pPr>
            <w:r>
              <w:rPr>
                <w:rFonts w:cs="Arial"/>
              </w:rPr>
              <w:t xml:space="preserve"> Africa program</w:t>
            </w:r>
          </w:p>
        </w:tc>
      </w:tr>
      <w:tr w:rsidR="001D1E07" w:rsidRPr="00F43CEC" w:rsidTr="00045FB4">
        <w:trPr>
          <w:cantSplit/>
          <w:trHeight w:val="885"/>
        </w:trPr>
        <w:tc>
          <w:tcPr>
            <w:tcW w:w="2590" w:type="dxa"/>
            <w:tcBorders>
              <w:top w:val="single" w:sz="4" w:space="0" w:color="808080"/>
              <w:left w:val="single" w:sz="4" w:space="0" w:color="808080"/>
              <w:bottom w:val="single" w:sz="4" w:space="0" w:color="808080"/>
              <w:right w:val="single" w:sz="4" w:space="0" w:color="808080"/>
            </w:tcBorders>
            <w:shd w:val="clear" w:color="auto" w:fill="auto"/>
          </w:tcPr>
          <w:p w:rsidR="001D1E07" w:rsidRDefault="001D1E07" w:rsidP="00040142">
            <w:pPr>
              <w:numPr>
                <w:ilvl w:val="0"/>
                <w:numId w:val="38"/>
              </w:numPr>
              <w:spacing w:after="120"/>
              <w:ind w:left="426" w:hanging="426"/>
              <w:rPr>
                <w:b/>
              </w:rPr>
            </w:pPr>
            <w:r>
              <w:rPr>
                <w:b/>
              </w:rPr>
              <w:t>Australia has prioritised Mining for Development and inclusion of South Sudan in this initiative could be explored.</w:t>
            </w:r>
          </w:p>
        </w:tc>
        <w:tc>
          <w:tcPr>
            <w:tcW w:w="2639" w:type="dxa"/>
            <w:tcBorders>
              <w:top w:val="single" w:sz="4" w:space="0" w:color="808080"/>
              <w:left w:val="single" w:sz="4" w:space="0" w:color="808080"/>
              <w:bottom w:val="single" w:sz="4" w:space="0" w:color="808080"/>
              <w:right w:val="single" w:sz="4" w:space="0" w:color="auto"/>
            </w:tcBorders>
            <w:shd w:val="clear" w:color="auto" w:fill="auto"/>
          </w:tcPr>
          <w:p w:rsidR="001D1E07" w:rsidRPr="00DD5C3A" w:rsidRDefault="001D1E07" w:rsidP="00AD4819">
            <w:pPr>
              <w:spacing w:after="120"/>
              <w:rPr>
                <w:rFonts w:cs="Arial"/>
              </w:rPr>
            </w:pPr>
            <w:r>
              <w:rPr>
                <w:rFonts w:cs="Arial"/>
                <w:i/>
              </w:rPr>
              <w:t xml:space="preserve">Noted </w:t>
            </w:r>
          </w:p>
        </w:tc>
        <w:tc>
          <w:tcPr>
            <w:tcW w:w="2574" w:type="dxa"/>
            <w:tcBorders>
              <w:top w:val="single" w:sz="4" w:space="0" w:color="808080"/>
              <w:left w:val="single" w:sz="4" w:space="0" w:color="auto"/>
              <w:bottom w:val="single" w:sz="4" w:space="0" w:color="808080"/>
              <w:right w:val="single" w:sz="4" w:space="0" w:color="808080"/>
            </w:tcBorders>
            <w:shd w:val="clear" w:color="auto" w:fill="auto"/>
          </w:tcPr>
          <w:p w:rsidR="001D1E07" w:rsidRPr="00737A2D" w:rsidRDefault="001D1E07" w:rsidP="00737A2D">
            <w:r w:rsidRPr="00BC548A">
              <w:rPr>
                <w:rFonts w:cs="Arial"/>
              </w:rPr>
              <w:t xml:space="preserve">This recommendation </w:t>
            </w:r>
            <w:r>
              <w:rPr>
                <w:rFonts w:cs="Arial"/>
              </w:rPr>
              <w:t>does not provide advice in accordance with the parameters of the TOR.</w:t>
            </w:r>
          </w:p>
        </w:tc>
        <w:tc>
          <w:tcPr>
            <w:tcW w:w="1944" w:type="dxa"/>
            <w:tcBorders>
              <w:top w:val="single" w:sz="4" w:space="0" w:color="808080"/>
              <w:left w:val="single" w:sz="4" w:space="0" w:color="auto"/>
              <w:bottom w:val="single" w:sz="4" w:space="0" w:color="808080"/>
              <w:right w:val="single" w:sz="4" w:space="0" w:color="808080"/>
            </w:tcBorders>
            <w:shd w:val="clear" w:color="auto" w:fill="auto"/>
          </w:tcPr>
          <w:p w:rsidR="001D1E07" w:rsidRPr="00F43CEC" w:rsidRDefault="001D1E07" w:rsidP="007C6BCC">
            <w:pPr>
              <w:spacing w:after="120"/>
              <w:rPr>
                <w:rFonts w:cs="Arial"/>
              </w:rPr>
            </w:pPr>
          </w:p>
        </w:tc>
      </w:tr>
      <w:tr w:rsidR="001D1E07" w:rsidRPr="00F43CEC" w:rsidTr="00045FB4">
        <w:trPr>
          <w:cantSplit/>
          <w:trHeight w:val="410"/>
        </w:trPr>
        <w:tc>
          <w:tcPr>
            <w:tcW w:w="9747" w:type="dxa"/>
            <w:gridSpan w:val="4"/>
            <w:tcBorders>
              <w:top w:val="single" w:sz="4" w:space="0" w:color="808080"/>
              <w:left w:val="single" w:sz="4" w:space="0" w:color="808080"/>
              <w:bottom w:val="single" w:sz="4" w:space="0" w:color="808080"/>
              <w:right w:val="single" w:sz="4" w:space="0" w:color="808080"/>
            </w:tcBorders>
            <w:shd w:val="clear" w:color="auto" w:fill="auto"/>
          </w:tcPr>
          <w:p w:rsidR="001D1E07" w:rsidRPr="00F43CEC" w:rsidRDefault="001D1E07" w:rsidP="007C6BCC">
            <w:pPr>
              <w:spacing w:after="120"/>
              <w:rPr>
                <w:rFonts w:cs="Arial"/>
              </w:rPr>
            </w:pPr>
            <w:r>
              <w:rPr>
                <w:rFonts w:cs="Arial"/>
              </w:rPr>
              <w:t>On transferring lessons</w:t>
            </w:r>
          </w:p>
        </w:tc>
      </w:tr>
      <w:tr w:rsidR="001D1E07" w:rsidRPr="00F43CEC" w:rsidTr="00045FB4">
        <w:trPr>
          <w:cantSplit/>
          <w:trHeight w:val="885"/>
        </w:trPr>
        <w:tc>
          <w:tcPr>
            <w:tcW w:w="2590" w:type="dxa"/>
            <w:tcBorders>
              <w:top w:val="single" w:sz="4" w:space="0" w:color="808080"/>
              <w:left w:val="single" w:sz="4" w:space="0" w:color="808080"/>
              <w:bottom w:val="single" w:sz="4" w:space="0" w:color="808080"/>
              <w:right w:val="single" w:sz="4" w:space="0" w:color="808080"/>
            </w:tcBorders>
            <w:shd w:val="clear" w:color="auto" w:fill="auto"/>
          </w:tcPr>
          <w:p w:rsidR="001D1E07" w:rsidRDefault="001D1E07" w:rsidP="00040142">
            <w:pPr>
              <w:numPr>
                <w:ilvl w:val="0"/>
                <w:numId w:val="38"/>
              </w:numPr>
              <w:spacing w:after="120"/>
              <w:ind w:left="426" w:hanging="426"/>
              <w:rPr>
                <w:b/>
              </w:rPr>
            </w:pPr>
            <w:r>
              <w:rPr>
                <w:b/>
              </w:rPr>
              <w:t>AusAID should make maximum use of ANGOs involved in this funding round in developing of the new AusAID South Sudan country strategy.</w:t>
            </w:r>
          </w:p>
        </w:tc>
        <w:tc>
          <w:tcPr>
            <w:tcW w:w="2639" w:type="dxa"/>
            <w:tcBorders>
              <w:top w:val="single" w:sz="4" w:space="0" w:color="808080"/>
              <w:left w:val="single" w:sz="4" w:space="0" w:color="808080"/>
              <w:bottom w:val="single" w:sz="4" w:space="0" w:color="808080"/>
              <w:right w:val="single" w:sz="4" w:space="0" w:color="auto"/>
            </w:tcBorders>
            <w:shd w:val="clear" w:color="auto" w:fill="auto"/>
          </w:tcPr>
          <w:p w:rsidR="001D1E07" w:rsidRPr="00C04264" w:rsidRDefault="00A31801" w:rsidP="00D850B5">
            <w:pPr>
              <w:spacing w:after="120"/>
              <w:rPr>
                <w:rFonts w:cs="Arial"/>
                <w:i/>
              </w:rPr>
            </w:pPr>
            <w:r>
              <w:rPr>
                <w:rFonts w:cs="Arial"/>
                <w:i/>
              </w:rPr>
              <w:t>Noted</w:t>
            </w:r>
          </w:p>
          <w:p w:rsidR="001D1E07" w:rsidRPr="00F43CEC" w:rsidRDefault="001D1E07" w:rsidP="001D1E07">
            <w:pPr>
              <w:spacing w:after="120"/>
              <w:rPr>
                <w:rFonts w:cs="Arial"/>
              </w:rPr>
            </w:pPr>
          </w:p>
        </w:tc>
        <w:tc>
          <w:tcPr>
            <w:tcW w:w="2574" w:type="dxa"/>
            <w:tcBorders>
              <w:top w:val="single" w:sz="4" w:space="0" w:color="808080"/>
              <w:left w:val="single" w:sz="4" w:space="0" w:color="auto"/>
              <w:bottom w:val="single" w:sz="4" w:space="0" w:color="808080"/>
              <w:right w:val="single" w:sz="4" w:space="0" w:color="808080"/>
            </w:tcBorders>
            <w:shd w:val="clear" w:color="auto" w:fill="auto"/>
          </w:tcPr>
          <w:p w:rsidR="001D1E07" w:rsidRDefault="001D1E07" w:rsidP="00AD4819">
            <w:pPr>
              <w:spacing w:after="120"/>
              <w:rPr>
                <w:rFonts w:cs="Arial"/>
              </w:rPr>
            </w:pPr>
            <w:r>
              <w:rPr>
                <w:rFonts w:cs="Arial"/>
              </w:rPr>
              <w:t>ANGOs bring useful experience to inform country programming in Africa.</w:t>
            </w:r>
          </w:p>
          <w:p w:rsidR="001D1E07" w:rsidRPr="00F43CEC" w:rsidRDefault="00CC1F44" w:rsidP="00AD4819">
            <w:pPr>
              <w:spacing w:after="120"/>
              <w:rPr>
                <w:rFonts w:cs="Arial"/>
              </w:rPr>
            </w:pPr>
            <w:r>
              <w:rPr>
                <w:rFonts w:cs="Arial"/>
              </w:rPr>
              <w:t>DFAT</w:t>
            </w:r>
            <w:r w:rsidR="001D1E07">
              <w:rPr>
                <w:rFonts w:cs="Arial"/>
              </w:rPr>
              <w:t xml:space="preserve"> will continue to consult with ANGOs to strengthen program development, as appropriate and as resources permit. </w:t>
            </w:r>
          </w:p>
        </w:tc>
        <w:tc>
          <w:tcPr>
            <w:tcW w:w="1944" w:type="dxa"/>
            <w:tcBorders>
              <w:top w:val="single" w:sz="4" w:space="0" w:color="808080"/>
              <w:left w:val="single" w:sz="4" w:space="0" w:color="auto"/>
              <w:bottom w:val="single" w:sz="4" w:space="0" w:color="808080"/>
              <w:right w:val="single" w:sz="4" w:space="0" w:color="808080"/>
            </w:tcBorders>
            <w:shd w:val="clear" w:color="auto" w:fill="auto"/>
          </w:tcPr>
          <w:p w:rsidR="001D1E07" w:rsidRPr="00F43CEC" w:rsidRDefault="001D1E07" w:rsidP="007C6BCC">
            <w:pPr>
              <w:spacing w:after="120"/>
              <w:rPr>
                <w:rFonts w:cs="Arial"/>
              </w:rPr>
            </w:pPr>
            <w:r>
              <w:rPr>
                <w:rFonts w:cs="Arial"/>
              </w:rPr>
              <w:t>Africa program</w:t>
            </w:r>
          </w:p>
        </w:tc>
      </w:tr>
      <w:tr w:rsidR="001D1E07" w:rsidRPr="00F43CEC" w:rsidTr="00045FB4">
        <w:trPr>
          <w:cantSplit/>
          <w:trHeight w:val="885"/>
        </w:trPr>
        <w:tc>
          <w:tcPr>
            <w:tcW w:w="2590" w:type="dxa"/>
            <w:tcBorders>
              <w:top w:val="single" w:sz="4" w:space="0" w:color="808080"/>
              <w:left w:val="single" w:sz="4" w:space="0" w:color="808080"/>
              <w:bottom w:val="single" w:sz="4" w:space="0" w:color="808080"/>
              <w:right w:val="single" w:sz="4" w:space="0" w:color="808080"/>
            </w:tcBorders>
            <w:shd w:val="clear" w:color="auto" w:fill="auto"/>
          </w:tcPr>
          <w:p w:rsidR="001D1E07" w:rsidRDefault="001D1E07" w:rsidP="007C6BCC">
            <w:pPr>
              <w:numPr>
                <w:ilvl w:val="0"/>
                <w:numId w:val="38"/>
              </w:numPr>
              <w:spacing w:after="120"/>
              <w:ind w:left="426" w:hanging="426"/>
              <w:rPr>
                <w:b/>
              </w:rPr>
            </w:pPr>
            <w:r>
              <w:rPr>
                <w:b/>
              </w:rPr>
              <w:t>Caution should be exercised in transferring the lessons learned in South Sudan to other post-conflict contexts.</w:t>
            </w:r>
          </w:p>
        </w:tc>
        <w:tc>
          <w:tcPr>
            <w:tcW w:w="2639" w:type="dxa"/>
            <w:tcBorders>
              <w:top w:val="single" w:sz="4" w:space="0" w:color="808080"/>
              <w:left w:val="single" w:sz="4" w:space="0" w:color="808080"/>
              <w:bottom w:val="single" w:sz="4" w:space="0" w:color="808080"/>
              <w:right w:val="single" w:sz="4" w:space="0" w:color="auto"/>
            </w:tcBorders>
            <w:shd w:val="clear" w:color="auto" w:fill="auto"/>
          </w:tcPr>
          <w:p w:rsidR="001D1E07" w:rsidRDefault="001D1E07" w:rsidP="00AD4819">
            <w:pPr>
              <w:spacing w:after="120"/>
              <w:rPr>
                <w:rFonts w:cs="Arial"/>
              </w:rPr>
            </w:pPr>
            <w:r>
              <w:rPr>
                <w:rFonts w:cs="Arial"/>
                <w:i/>
              </w:rPr>
              <w:t>Noted</w:t>
            </w:r>
          </w:p>
          <w:p w:rsidR="001D1E07" w:rsidRPr="00A041E7" w:rsidRDefault="001D1E07" w:rsidP="00AD4819">
            <w:pPr>
              <w:spacing w:after="120"/>
              <w:rPr>
                <w:rFonts w:cs="Arial"/>
              </w:rPr>
            </w:pPr>
          </w:p>
        </w:tc>
        <w:tc>
          <w:tcPr>
            <w:tcW w:w="2574" w:type="dxa"/>
            <w:tcBorders>
              <w:top w:val="single" w:sz="4" w:space="0" w:color="808080"/>
              <w:left w:val="single" w:sz="4" w:space="0" w:color="auto"/>
              <w:bottom w:val="single" w:sz="4" w:space="0" w:color="808080"/>
              <w:right w:val="single" w:sz="4" w:space="0" w:color="808080"/>
            </w:tcBorders>
            <w:shd w:val="clear" w:color="auto" w:fill="auto"/>
          </w:tcPr>
          <w:p w:rsidR="001D1E07" w:rsidRPr="00F43CEC" w:rsidRDefault="001D1E07" w:rsidP="00045FB4">
            <w:pPr>
              <w:spacing w:after="120"/>
              <w:rPr>
                <w:rFonts w:cs="Arial"/>
              </w:rPr>
            </w:pPr>
          </w:p>
        </w:tc>
        <w:tc>
          <w:tcPr>
            <w:tcW w:w="1944" w:type="dxa"/>
            <w:tcBorders>
              <w:top w:val="single" w:sz="4" w:space="0" w:color="808080"/>
              <w:left w:val="single" w:sz="4" w:space="0" w:color="auto"/>
              <w:bottom w:val="single" w:sz="4" w:space="0" w:color="808080"/>
              <w:right w:val="single" w:sz="4" w:space="0" w:color="808080"/>
            </w:tcBorders>
            <w:shd w:val="clear" w:color="auto" w:fill="auto"/>
          </w:tcPr>
          <w:p w:rsidR="001D1E07" w:rsidRPr="00F43CEC" w:rsidRDefault="001D1E07" w:rsidP="007C6BCC">
            <w:pPr>
              <w:spacing w:after="120"/>
              <w:rPr>
                <w:rFonts w:cs="Arial"/>
              </w:rPr>
            </w:pPr>
          </w:p>
        </w:tc>
      </w:tr>
      <w:tr w:rsidR="001D1E07" w:rsidRPr="00F43CEC" w:rsidTr="00045FB4">
        <w:trPr>
          <w:cantSplit/>
          <w:trHeight w:val="1598"/>
        </w:trPr>
        <w:tc>
          <w:tcPr>
            <w:tcW w:w="2590" w:type="dxa"/>
            <w:tcBorders>
              <w:top w:val="single" w:sz="4" w:space="0" w:color="808080"/>
              <w:left w:val="single" w:sz="4" w:space="0" w:color="808080"/>
              <w:bottom w:val="single" w:sz="4" w:space="0" w:color="808080"/>
              <w:right w:val="single" w:sz="4" w:space="0" w:color="808080"/>
            </w:tcBorders>
            <w:shd w:val="clear" w:color="auto" w:fill="auto"/>
          </w:tcPr>
          <w:p w:rsidR="001D1E07" w:rsidRDefault="001D1E07" w:rsidP="00B728EF">
            <w:pPr>
              <w:keepNext/>
              <w:numPr>
                <w:ilvl w:val="0"/>
                <w:numId w:val="38"/>
              </w:numPr>
              <w:spacing w:after="120"/>
              <w:ind w:left="426" w:hanging="426"/>
              <w:rPr>
                <w:b/>
              </w:rPr>
            </w:pPr>
            <w:r>
              <w:rPr>
                <w:b/>
              </w:rPr>
              <w:lastRenderedPageBreak/>
              <w:t>Having conflicting groups produce sectoral outcomes together can be a tool for additional peace building.</w:t>
            </w:r>
          </w:p>
        </w:tc>
        <w:tc>
          <w:tcPr>
            <w:tcW w:w="2639" w:type="dxa"/>
            <w:vMerge w:val="restart"/>
            <w:tcBorders>
              <w:top w:val="single" w:sz="4" w:space="0" w:color="808080"/>
              <w:left w:val="single" w:sz="4" w:space="0" w:color="808080"/>
              <w:right w:val="single" w:sz="4" w:space="0" w:color="auto"/>
            </w:tcBorders>
            <w:shd w:val="clear" w:color="auto" w:fill="auto"/>
          </w:tcPr>
          <w:p w:rsidR="001D1E07" w:rsidRPr="00A041E7" w:rsidRDefault="00C169C5" w:rsidP="00B728EF">
            <w:pPr>
              <w:keepNext/>
              <w:spacing w:after="120"/>
              <w:rPr>
                <w:rFonts w:cs="Arial"/>
                <w:i/>
              </w:rPr>
            </w:pPr>
            <w:r>
              <w:rPr>
                <w:rFonts w:cs="Arial"/>
                <w:i/>
              </w:rPr>
              <w:t>Noted</w:t>
            </w:r>
          </w:p>
          <w:p w:rsidR="001D1E07" w:rsidRPr="00F43CEC" w:rsidRDefault="001D1E07" w:rsidP="00B728EF">
            <w:pPr>
              <w:keepNext/>
              <w:spacing w:after="120"/>
              <w:rPr>
                <w:rFonts w:cs="Arial"/>
              </w:rPr>
            </w:pPr>
          </w:p>
        </w:tc>
        <w:tc>
          <w:tcPr>
            <w:tcW w:w="2574" w:type="dxa"/>
            <w:vMerge w:val="restart"/>
            <w:tcBorders>
              <w:top w:val="single" w:sz="4" w:space="0" w:color="808080"/>
              <w:left w:val="single" w:sz="4" w:space="0" w:color="auto"/>
              <w:right w:val="single" w:sz="4" w:space="0" w:color="808080"/>
            </w:tcBorders>
            <w:shd w:val="clear" w:color="auto" w:fill="auto"/>
          </w:tcPr>
          <w:p w:rsidR="001D1E07" w:rsidRPr="00F43CEC" w:rsidRDefault="001D1E07" w:rsidP="00C169C5">
            <w:pPr>
              <w:keepNext/>
              <w:spacing w:after="120"/>
              <w:rPr>
                <w:rFonts w:cs="Arial"/>
              </w:rPr>
            </w:pPr>
            <w:r>
              <w:rPr>
                <w:rFonts w:cs="Arial"/>
              </w:rPr>
              <w:t>Recognising ‘</w:t>
            </w:r>
            <w:proofErr w:type="gramStart"/>
            <w:r>
              <w:rPr>
                <w:rFonts w:cs="Arial"/>
              </w:rPr>
              <w:t>do</w:t>
            </w:r>
            <w:proofErr w:type="gramEnd"/>
            <w:r>
              <w:rPr>
                <w:rFonts w:cs="Arial"/>
              </w:rPr>
              <w:t xml:space="preserve"> no harm’ and other conflict-sensitive development principles, </w:t>
            </w:r>
            <w:r w:rsidR="00C169C5">
              <w:rPr>
                <w:rFonts w:cs="Arial"/>
              </w:rPr>
              <w:t xml:space="preserve">DFAT seeks to leverage peace building opportunities as appropriate to context. </w:t>
            </w:r>
          </w:p>
        </w:tc>
        <w:tc>
          <w:tcPr>
            <w:tcW w:w="1944" w:type="dxa"/>
            <w:vMerge w:val="restart"/>
            <w:tcBorders>
              <w:top w:val="single" w:sz="4" w:space="0" w:color="808080"/>
              <w:left w:val="single" w:sz="4" w:space="0" w:color="auto"/>
              <w:right w:val="single" w:sz="4" w:space="0" w:color="808080"/>
            </w:tcBorders>
            <w:shd w:val="clear" w:color="auto" w:fill="auto"/>
          </w:tcPr>
          <w:p w:rsidR="001D1E07" w:rsidRPr="00F43CEC" w:rsidRDefault="001D1E07" w:rsidP="00B728EF">
            <w:pPr>
              <w:keepNext/>
              <w:spacing w:after="120"/>
              <w:rPr>
                <w:rFonts w:cs="Arial"/>
              </w:rPr>
            </w:pPr>
          </w:p>
        </w:tc>
      </w:tr>
      <w:tr w:rsidR="001D1E07" w:rsidRPr="00F43CEC" w:rsidTr="00045FB4">
        <w:trPr>
          <w:cantSplit/>
          <w:trHeight w:val="885"/>
        </w:trPr>
        <w:tc>
          <w:tcPr>
            <w:tcW w:w="2590" w:type="dxa"/>
            <w:tcBorders>
              <w:top w:val="single" w:sz="4" w:space="0" w:color="808080"/>
              <w:left w:val="single" w:sz="4" w:space="0" w:color="808080"/>
              <w:bottom w:val="single" w:sz="4" w:space="0" w:color="808080"/>
              <w:right w:val="single" w:sz="4" w:space="0" w:color="808080"/>
            </w:tcBorders>
            <w:shd w:val="clear" w:color="auto" w:fill="auto"/>
          </w:tcPr>
          <w:p w:rsidR="001D1E07" w:rsidRDefault="001D1E07" w:rsidP="007C6BCC">
            <w:pPr>
              <w:numPr>
                <w:ilvl w:val="0"/>
                <w:numId w:val="38"/>
              </w:numPr>
              <w:spacing w:after="120"/>
              <w:ind w:left="426" w:hanging="426"/>
              <w:rPr>
                <w:b/>
              </w:rPr>
            </w:pPr>
            <w:r>
              <w:rPr>
                <w:b/>
              </w:rPr>
              <w:t>The emerging theory of change where women of ethnic groups in tension with each other create common economic resources deserves further exploration.</w:t>
            </w:r>
          </w:p>
        </w:tc>
        <w:tc>
          <w:tcPr>
            <w:tcW w:w="2639" w:type="dxa"/>
            <w:vMerge/>
            <w:tcBorders>
              <w:left w:val="single" w:sz="4" w:space="0" w:color="808080"/>
              <w:bottom w:val="single" w:sz="4" w:space="0" w:color="808080"/>
              <w:right w:val="single" w:sz="4" w:space="0" w:color="auto"/>
            </w:tcBorders>
            <w:shd w:val="clear" w:color="auto" w:fill="auto"/>
          </w:tcPr>
          <w:p w:rsidR="001D1E07" w:rsidRPr="00F43CEC" w:rsidRDefault="001D1E07" w:rsidP="00D850B5">
            <w:pPr>
              <w:spacing w:after="120"/>
              <w:rPr>
                <w:rFonts w:cs="Arial"/>
              </w:rPr>
            </w:pPr>
          </w:p>
        </w:tc>
        <w:tc>
          <w:tcPr>
            <w:tcW w:w="2574" w:type="dxa"/>
            <w:vMerge/>
            <w:tcBorders>
              <w:left w:val="single" w:sz="4" w:space="0" w:color="auto"/>
              <w:bottom w:val="single" w:sz="4" w:space="0" w:color="808080"/>
              <w:right w:val="single" w:sz="4" w:space="0" w:color="808080"/>
            </w:tcBorders>
            <w:shd w:val="clear" w:color="auto" w:fill="auto"/>
          </w:tcPr>
          <w:p w:rsidR="001D1E07" w:rsidRPr="00F43CEC" w:rsidRDefault="001D1E07" w:rsidP="007C6BCC">
            <w:pPr>
              <w:spacing w:after="120"/>
              <w:rPr>
                <w:rFonts w:cs="Arial"/>
              </w:rPr>
            </w:pPr>
          </w:p>
        </w:tc>
        <w:tc>
          <w:tcPr>
            <w:tcW w:w="1944" w:type="dxa"/>
            <w:vMerge/>
            <w:tcBorders>
              <w:left w:val="single" w:sz="4" w:space="0" w:color="auto"/>
              <w:bottom w:val="single" w:sz="4" w:space="0" w:color="808080"/>
              <w:right w:val="single" w:sz="4" w:space="0" w:color="808080"/>
            </w:tcBorders>
            <w:shd w:val="clear" w:color="auto" w:fill="auto"/>
          </w:tcPr>
          <w:p w:rsidR="001D1E07" w:rsidRPr="00F43CEC" w:rsidRDefault="001D1E07" w:rsidP="007C6BCC">
            <w:pPr>
              <w:spacing w:after="120"/>
              <w:rPr>
                <w:rFonts w:cs="Arial"/>
              </w:rPr>
            </w:pPr>
          </w:p>
        </w:tc>
      </w:tr>
    </w:tbl>
    <w:p w:rsidR="00913F5E" w:rsidRPr="00040142" w:rsidRDefault="00913F5E" w:rsidP="00C657FB">
      <w:pPr>
        <w:pStyle w:val="Heading2"/>
        <w:rPr>
          <w:sz w:val="2"/>
          <w:szCs w:val="2"/>
        </w:rPr>
      </w:pPr>
    </w:p>
    <w:sectPr w:rsidR="00913F5E" w:rsidRPr="00040142"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BC" w:rsidRDefault="00F210BC">
      <w:pPr>
        <w:pStyle w:val="Table-list-number"/>
      </w:pPr>
      <w:r>
        <w:separator/>
      </w:r>
    </w:p>
  </w:endnote>
  <w:endnote w:type="continuationSeparator" w:id="0">
    <w:p w:rsidR="00F210BC" w:rsidRDefault="00F210BC">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CFF" w:rsidRDefault="00C64C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CD6" w:rsidRPr="00AE52D5" w:rsidRDefault="00EE3CD6"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C64CFF">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C64CFF">
      <w:rPr>
        <w:rStyle w:val="PageNumber"/>
        <w:noProof/>
      </w:rPr>
      <w:t>8</w:t>
    </w:r>
    <w:r w:rsidRPr="00AE52D5">
      <w:rPr>
        <w:rStyle w:val="PageNumber"/>
      </w:rPr>
      <w:fldChar w:fldCharType="end"/>
    </w:r>
  </w:p>
  <w:p w:rsidR="00EE3CD6" w:rsidRPr="00AE52D5" w:rsidRDefault="00EE3CD6"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rsidR="00EE3CD6" w:rsidRPr="000815FC" w:rsidRDefault="00EE3CD6"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CFF" w:rsidRDefault="00C64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BC" w:rsidRDefault="00F210BC">
      <w:pPr>
        <w:pStyle w:val="Table-list-number"/>
      </w:pPr>
      <w:r>
        <w:separator/>
      </w:r>
    </w:p>
  </w:footnote>
  <w:footnote w:type="continuationSeparator" w:id="0">
    <w:p w:rsidR="00F210BC" w:rsidRDefault="00F210BC">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CFF" w:rsidRDefault="00C64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CD6" w:rsidRPr="00077243" w:rsidRDefault="00EE3CD6"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CFF" w:rsidRDefault="00C64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3">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6">
    <w:nsid w:val="3B643A48"/>
    <w:multiLevelType w:val="hybridMultilevel"/>
    <w:tmpl w:val="5C8856D0"/>
    <w:lvl w:ilvl="0" w:tplc="A984C8D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483AB1"/>
    <w:multiLevelType w:val="hybridMultilevel"/>
    <w:tmpl w:val="8EE20F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4926179"/>
    <w:multiLevelType w:val="hybridMultilevel"/>
    <w:tmpl w:val="CAF23638"/>
    <w:lvl w:ilvl="0" w:tplc="A984C8D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41B3406"/>
    <w:multiLevelType w:val="hybridMultilevel"/>
    <w:tmpl w:val="973A3892"/>
    <w:lvl w:ilvl="0" w:tplc="0C09000F">
      <w:start w:val="1"/>
      <w:numFmt w:val="decimal"/>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2">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CE4871"/>
    <w:multiLevelType w:val="hybridMultilevel"/>
    <w:tmpl w:val="C44E9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3"/>
  </w:num>
  <w:num w:numId="2">
    <w:abstractNumId w:val="9"/>
  </w:num>
  <w:num w:numId="3">
    <w:abstractNumId w:val="20"/>
  </w:num>
  <w:num w:numId="4">
    <w:abstractNumId w:val="13"/>
  </w:num>
  <w:num w:numId="5">
    <w:abstractNumId w:val="31"/>
  </w:num>
  <w:num w:numId="6">
    <w:abstractNumId w:val="32"/>
  </w:num>
  <w:num w:numId="7">
    <w:abstractNumId w:val="1"/>
  </w:num>
  <w:num w:numId="8">
    <w:abstractNumId w:val="27"/>
  </w:num>
  <w:num w:numId="9">
    <w:abstractNumId w:val="3"/>
  </w:num>
  <w:num w:numId="10">
    <w:abstractNumId w:val="31"/>
  </w:num>
  <w:num w:numId="11">
    <w:abstractNumId w:val="31"/>
  </w:num>
  <w:num w:numId="12">
    <w:abstractNumId w:val="9"/>
  </w:num>
  <w:num w:numId="13">
    <w:abstractNumId w:val="20"/>
  </w:num>
  <w:num w:numId="14">
    <w:abstractNumId w:val="13"/>
  </w:num>
  <w:num w:numId="15">
    <w:abstractNumId w:val="13"/>
  </w:num>
  <w:num w:numId="16">
    <w:abstractNumId w:val="31"/>
  </w:num>
  <w:num w:numId="17">
    <w:abstractNumId w:val="32"/>
  </w:num>
  <w:num w:numId="18">
    <w:abstractNumId w:val="1"/>
  </w:num>
  <w:num w:numId="19">
    <w:abstractNumId w:val="2"/>
  </w:num>
  <w:num w:numId="20">
    <w:abstractNumId w:val="14"/>
  </w:num>
  <w:num w:numId="21">
    <w:abstractNumId w:val="30"/>
  </w:num>
  <w:num w:numId="22">
    <w:abstractNumId w:val="10"/>
  </w:num>
  <w:num w:numId="23">
    <w:abstractNumId w:val="0"/>
  </w:num>
  <w:num w:numId="24">
    <w:abstractNumId w:val="8"/>
  </w:num>
  <w:num w:numId="25">
    <w:abstractNumId w:val="25"/>
  </w:num>
  <w:num w:numId="26">
    <w:abstractNumId w:val="17"/>
  </w:num>
  <w:num w:numId="27">
    <w:abstractNumId w:val="11"/>
  </w:num>
  <w:num w:numId="28">
    <w:abstractNumId w:val="24"/>
  </w:num>
  <w:num w:numId="29">
    <w:abstractNumId w:val="22"/>
  </w:num>
  <w:num w:numId="30">
    <w:abstractNumId w:val="29"/>
  </w:num>
  <w:num w:numId="31">
    <w:abstractNumId w:val="26"/>
  </w:num>
  <w:num w:numId="32">
    <w:abstractNumId w:val="12"/>
  </w:num>
  <w:num w:numId="33">
    <w:abstractNumId w:val="23"/>
  </w:num>
  <w:num w:numId="34">
    <w:abstractNumId w:val="21"/>
  </w:num>
  <w:num w:numId="35">
    <w:abstractNumId w:val="15"/>
  </w:num>
  <w:num w:numId="36">
    <w:abstractNumId w:val="4"/>
  </w:num>
  <w:num w:numId="37">
    <w:abstractNumId w:val="34"/>
  </w:num>
  <w:num w:numId="38">
    <w:abstractNumId w:val="28"/>
  </w:num>
  <w:num w:numId="39">
    <w:abstractNumId w:val="5"/>
  </w:num>
  <w:num w:numId="40">
    <w:abstractNumId w:val="6"/>
  </w:num>
  <w:num w:numId="41">
    <w:abstractNumId w:val="7"/>
  </w:num>
  <w:num w:numId="42">
    <w:abstractNumId w:val="18"/>
  </w:num>
  <w:num w:numId="43">
    <w:abstractNumId w:val="19"/>
  </w:num>
  <w:num w:numId="4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BD"/>
    <w:rsid w:val="000272E0"/>
    <w:rsid w:val="00031779"/>
    <w:rsid w:val="00040142"/>
    <w:rsid w:val="000412DD"/>
    <w:rsid w:val="0004238C"/>
    <w:rsid w:val="00045FB4"/>
    <w:rsid w:val="00052316"/>
    <w:rsid w:val="00054700"/>
    <w:rsid w:val="00067C95"/>
    <w:rsid w:val="0007162A"/>
    <w:rsid w:val="00071CEC"/>
    <w:rsid w:val="000728D3"/>
    <w:rsid w:val="000733A7"/>
    <w:rsid w:val="00073B45"/>
    <w:rsid w:val="000765F5"/>
    <w:rsid w:val="00077243"/>
    <w:rsid w:val="000815FC"/>
    <w:rsid w:val="00084FF6"/>
    <w:rsid w:val="00085083"/>
    <w:rsid w:val="000869CE"/>
    <w:rsid w:val="00094CE2"/>
    <w:rsid w:val="000A6635"/>
    <w:rsid w:val="000A77DB"/>
    <w:rsid w:val="000B520A"/>
    <w:rsid w:val="000B7AFD"/>
    <w:rsid w:val="000C4574"/>
    <w:rsid w:val="000C5E9C"/>
    <w:rsid w:val="000D316D"/>
    <w:rsid w:val="000D38AE"/>
    <w:rsid w:val="000E1475"/>
    <w:rsid w:val="000E1958"/>
    <w:rsid w:val="000E7D42"/>
    <w:rsid w:val="000F51D5"/>
    <w:rsid w:val="000F5FF5"/>
    <w:rsid w:val="0010006D"/>
    <w:rsid w:val="001000B3"/>
    <w:rsid w:val="00102362"/>
    <w:rsid w:val="00104963"/>
    <w:rsid w:val="001077BF"/>
    <w:rsid w:val="00112A7C"/>
    <w:rsid w:val="00113C84"/>
    <w:rsid w:val="00116730"/>
    <w:rsid w:val="00116D39"/>
    <w:rsid w:val="00120BD4"/>
    <w:rsid w:val="00121F43"/>
    <w:rsid w:val="001236CF"/>
    <w:rsid w:val="00123C3E"/>
    <w:rsid w:val="0012582F"/>
    <w:rsid w:val="00133D2F"/>
    <w:rsid w:val="00134B6C"/>
    <w:rsid w:val="00136501"/>
    <w:rsid w:val="001378B7"/>
    <w:rsid w:val="00140289"/>
    <w:rsid w:val="00144AF1"/>
    <w:rsid w:val="001461C8"/>
    <w:rsid w:val="001467C6"/>
    <w:rsid w:val="0014790A"/>
    <w:rsid w:val="00151891"/>
    <w:rsid w:val="00151D87"/>
    <w:rsid w:val="00153F2A"/>
    <w:rsid w:val="00156AC4"/>
    <w:rsid w:val="001614B0"/>
    <w:rsid w:val="0016457C"/>
    <w:rsid w:val="00173632"/>
    <w:rsid w:val="00175FFC"/>
    <w:rsid w:val="00177AC0"/>
    <w:rsid w:val="00184728"/>
    <w:rsid w:val="001874BC"/>
    <w:rsid w:val="001917F6"/>
    <w:rsid w:val="00192533"/>
    <w:rsid w:val="001A2EE6"/>
    <w:rsid w:val="001A52D2"/>
    <w:rsid w:val="001B1EE4"/>
    <w:rsid w:val="001B5DEE"/>
    <w:rsid w:val="001C2E19"/>
    <w:rsid w:val="001C3306"/>
    <w:rsid w:val="001D1E07"/>
    <w:rsid w:val="001D7353"/>
    <w:rsid w:val="001E3D24"/>
    <w:rsid w:val="001E4372"/>
    <w:rsid w:val="001E4FCC"/>
    <w:rsid w:val="001F466C"/>
    <w:rsid w:val="001F548E"/>
    <w:rsid w:val="001F550A"/>
    <w:rsid w:val="00201759"/>
    <w:rsid w:val="00206132"/>
    <w:rsid w:val="00214F7F"/>
    <w:rsid w:val="00221D53"/>
    <w:rsid w:val="00223581"/>
    <w:rsid w:val="00230E82"/>
    <w:rsid w:val="00232239"/>
    <w:rsid w:val="00241883"/>
    <w:rsid w:val="002425E0"/>
    <w:rsid w:val="00244C30"/>
    <w:rsid w:val="00245265"/>
    <w:rsid w:val="002466EE"/>
    <w:rsid w:val="00250414"/>
    <w:rsid w:val="00250CB9"/>
    <w:rsid w:val="002524DA"/>
    <w:rsid w:val="002540CB"/>
    <w:rsid w:val="002546B7"/>
    <w:rsid w:val="00255DF0"/>
    <w:rsid w:val="00264366"/>
    <w:rsid w:val="00266EB5"/>
    <w:rsid w:val="00270DE3"/>
    <w:rsid w:val="00276F45"/>
    <w:rsid w:val="002804E4"/>
    <w:rsid w:val="002824B7"/>
    <w:rsid w:val="002839B9"/>
    <w:rsid w:val="0029717D"/>
    <w:rsid w:val="002A7332"/>
    <w:rsid w:val="002B2279"/>
    <w:rsid w:val="002B2BA6"/>
    <w:rsid w:val="002B5216"/>
    <w:rsid w:val="002D1173"/>
    <w:rsid w:val="002D4C96"/>
    <w:rsid w:val="002E0EA2"/>
    <w:rsid w:val="002E7065"/>
    <w:rsid w:val="002E7A09"/>
    <w:rsid w:val="002F001E"/>
    <w:rsid w:val="002F13CD"/>
    <w:rsid w:val="002F3803"/>
    <w:rsid w:val="0030264B"/>
    <w:rsid w:val="0030293C"/>
    <w:rsid w:val="00310523"/>
    <w:rsid w:val="00310FA6"/>
    <w:rsid w:val="00326D2A"/>
    <w:rsid w:val="00334E51"/>
    <w:rsid w:val="00342870"/>
    <w:rsid w:val="00345F77"/>
    <w:rsid w:val="00350917"/>
    <w:rsid w:val="0035152C"/>
    <w:rsid w:val="0035724B"/>
    <w:rsid w:val="00365176"/>
    <w:rsid w:val="00367DA3"/>
    <w:rsid w:val="003719DB"/>
    <w:rsid w:val="00371B8D"/>
    <w:rsid w:val="00373EB2"/>
    <w:rsid w:val="0037535E"/>
    <w:rsid w:val="0039002F"/>
    <w:rsid w:val="00390A59"/>
    <w:rsid w:val="00394C72"/>
    <w:rsid w:val="00397F85"/>
    <w:rsid w:val="003A09AD"/>
    <w:rsid w:val="003A273C"/>
    <w:rsid w:val="003A36D5"/>
    <w:rsid w:val="003A4D26"/>
    <w:rsid w:val="003B2309"/>
    <w:rsid w:val="003B518A"/>
    <w:rsid w:val="003C0A67"/>
    <w:rsid w:val="003C106F"/>
    <w:rsid w:val="003C24EC"/>
    <w:rsid w:val="003C25ED"/>
    <w:rsid w:val="003D0C24"/>
    <w:rsid w:val="003D236A"/>
    <w:rsid w:val="003D4CAC"/>
    <w:rsid w:val="003D548A"/>
    <w:rsid w:val="003D5CFC"/>
    <w:rsid w:val="003D6E0A"/>
    <w:rsid w:val="003D7317"/>
    <w:rsid w:val="003D7BD3"/>
    <w:rsid w:val="003E0DFE"/>
    <w:rsid w:val="003E2603"/>
    <w:rsid w:val="003E3E3E"/>
    <w:rsid w:val="003E6561"/>
    <w:rsid w:val="003E7BC4"/>
    <w:rsid w:val="003F0F7E"/>
    <w:rsid w:val="003F2997"/>
    <w:rsid w:val="003F43CF"/>
    <w:rsid w:val="003F43F9"/>
    <w:rsid w:val="003F7C64"/>
    <w:rsid w:val="004032D0"/>
    <w:rsid w:val="00406563"/>
    <w:rsid w:val="00406867"/>
    <w:rsid w:val="00406CD2"/>
    <w:rsid w:val="00411862"/>
    <w:rsid w:val="00416565"/>
    <w:rsid w:val="00416FCA"/>
    <w:rsid w:val="004221A5"/>
    <w:rsid w:val="00423EA8"/>
    <w:rsid w:val="004240C2"/>
    <w:rsid w:val="00434134"/>
    <w:rsid w:val="00444D45"/>
    <w:rsid w:val="00452A3E"/>
    <w:rsid w:val="00454766"/>
    <w:rsid w:val="004555E2"/>
    <w:rsid w:val="00455F94"/>
    <w:rsid w:val="00456E9B"/>
    <w:rsid w:val="004608D2"/>
    <w:rsid w:val="00461D80"/>
    <w:rsid w:val="00466CDA"/>
    <w:rsid w:val="004707CB"/>
    <w:rsid w:val="00473AA7"/>
    <w:rsid w:val="00476FDC"/>
    <w:rsid w:val="0047719C"/>
    <w:rsid w:val="0049365D"/>
    <w:rsid w:val="00494A71"/>
    <w:rsid w:val="00496DB3"/>
    <w:rsid w:val="004A100E"/>
    <w:rsid w:val="004A56A0"/>
    <w:rsid w:val="004B17E2"/>
    <w:rsid w:val="004B187B"/>
    <w:rsid w:val="004C00C0"/>
    <w:rsid w:val="004C429D"/>
    <w:rsid w:val="004C5939"/>
    <w:rsid w:val="004C675F"/>
    <w:rsid w:val="004C6887"/>
    <w:rsid w:val="004D3454"/>
    <w:rsid w:val="004E0A16"/>
    <w:rsid w:val="004E150A"/>
    <w:rsid w:val="004E37BD"/>
    <w:rsid w:val="004F5F17"/>
    <w:rsid w:val="00504668"/>
    <w:rsid w:val="00504689"/>
    <w:rsid w:val="005077AB"/>
    <w:rsid w:val="00511B6E"/>
    <w:rsid w:val="005149FE"/>
    <w:rsid w:val="005154F9"/>
    <w:rsid w:val="0052010E"/>
    <w:rsid w:val="00522766"/>
    <w:rsid w:val="00523BBF"/>
    <w:rsid w:val="005248E9"/>
    <w:rsid w:val="00527AA5"/>
    <w:rsid w:val="00530283"/>
    <w:rsid w:val="00532BD4"/>
    <w:rsid w:val="00541BD9"/>
    <w:rsid w:val="005477B9"/>
    <w:rsid w:val="00550E26"/>
    <w:rsid w:val="00550E94"/>
    <w:rsid w:val="00562478"/>
    <w:rsid w:val="005672CB"/>
    <w:rsid w:val="00576EED"/>
    <w:rsid w:val="005829CA"/>
    <w:rsid w:val="005834F8"/>
    <w:rsid w:val="00585D6D"/>
    <w:rsid w:val="00586B72"/>
    <w:rsid w:val="0059065C"/>
    <w:rsid w:val="005928E6"/>
    <w:rsid w:val="00593DB7"/>
    <w:rsid w:val="0059519C"/>
    <w:rsid w:val="00596949"/>
    <w:rsid w:val="005A4455"/>
    <w:rsid w:val="005A47C3"/>
    <w:rsid w:val="005A6B4A"/>
    <w:rsid w:val="005A7156"/>
    <w:rsid w:val="005A7776"/>
    <w:rsid w:val="005D008B"/>
    <w:rsid w:val="005D3F4B"/>
    <w:rsid w:val="005D5799"/>
    <w:rsid w:val="005E03AF"/>
    <w:rsid w:val="005E0F91"/>
    <w:rsid w:val="005E3939"/>
    <w:rsid w:val="005E6ADF"/>
    <w:rsid w:val="00606C4A"/>
    <w:rsid w:val="00611E1D"/>
    <w:rsid w:val="0061231E"/>
    <w:rsid w:val="00613F99"/>
    <w:rsid w:val="00614E79"/>
    <w:rsid w:val="00614EC8"/>
    <w:rsid w:val="006153BC"/>
    <w:rsid w:val="00630522"/>
    <w:rsid w:val="00632714"/>
    <w:rsid w:val="00636F15"/>
    <w:rsid w:val="00642F53"/>
    <w:rsid w:val="00654BC0"/>
    <w:rsid w:val="00656E2F"/>
    <w:rsid w:val="00670D9D"/>
    <w:rsid w:val="00674005"/>
    <w:rsid w:val="00677BF8"/>
    <w:rsid w:val="00681953"/>
    <w:rsid w:val="00681FC6"/>
    <w:rsid w:val="00683EB4"/>
    <w:rsid w:val="006868F2"/>
    <w:rsid w:val="00691182"/>
    <w:rsid w:val="00696A03"/>
    <w:rsid w:val="006A069A"/>
    <w:rsid w:val="006A1CD8"/>
    <w:rsid w:val="006A2916"/>
    <w:rsid w:val="006A33F8"/>
    <w:rsid w:val="006A6864"/>
    <w:rsid w:val="006B0754"/>
    <w:rsid w:val="006B0F3C"/>
    <w:rsid w:val="006B204D"/>
    <w:rsid w:val="006B4A7A"/>
    <w:rsid w:val="006B5E30"/>
    <w:rsid w:val="006B7BFE"/>
    <w:rsid w:val="006C2142"/>
    <w:rsid w:val="006D31BA"/>
    <w:rsid w:val="006D7297"/>
    <w:rsid w:val="006E0843"/>
    <w:rsid w:val="006E08F6"/>
    <w:rsid w:val="006E5D82"/>
    <w:rsid w:val="006F1425"/>
    <w:rsid w:val="00700E49"/>
    <w:rsid w:val="007104C5"/>
    <w:rsid w:val="00716471"/>
    <w:rsid w:val="0072064D"/>
    <w:rsid w:val="007336DD"/>
    <w:rsid w:val="00733CF7"/>
    <w:rsid w:val="00734975"/>
    <w:rsid w:val="00737A2D"/>
    <w:rsid w:val="00743FDA"/>
    <w:rsid w:val="00744139"/>
    <w:rsid w:val="007478C2"/>
    <w:rsid w:val="00747B90"/>
    <w:rsid w:val="00755ECE"/>
    <w:rsid w:val="007617BD"/>
    <w:rsid w:val="00762F7B"/>
    <w:rsid w:val="00767EB4"/>
    <w:rsid w:val="007717B2"/>
    <w:rsid w:val="0077265D"/>
    <w:rsid w:val="0077790F"/>
    <w:rsid w:val="007820D0"/>
    <w:rsid w:val="00783EFE"/>
    <w:rsid w:val="00783F58"/>
    <w:rsid w:val="00785E7F"/>
    <w:rsid w:val="00792394"/>
    <w:rsid w:val="007B042E"/>
    <w:rsid w:val="007B601F"/>
    <w:rsid w:val="007B6DFB"/>
    <w:rsid w:val="007C09B6"/>
    <w:rsid w:val="007C0E48"/>
    <w:rsid w:val="007C5FAB"/>
    <w:rsid w:val="007C6BCC"/>
    <w:rsid w:val="007D2631"/>
    <w:rsid w:val="007D5554"/>
    <w:rsid w:val="007E19D0"/>
    <w:rsid w:val="007E37A6"/>
    <w:rsid w:val="007E4E22"/>
    <w:rsid w:val="007E4FE8"/>
    <w:rsid w:val="007E60A1"/>
    <w:rsid w:val="007E694D"/>
    <w:rsid w:val="007F3EE5"/>
    <w:rsid w:val="00800650"/>
    <w:rsid w:val="00802A54"/>
    <w:rsid w:val="00804AEF"/>
    <w:rsid w:val="00804D49"/>
    <w:rsid w:val="00806888"/>
    <w:rsid w:val="00813E3C"/>
    <w:rsid w:val="00814D47"/>
    <w:rsid w:val="0081654C"/>
    <w:rsid w:val="00816584"/>
    <w:rsid w:val="00817570"/>
    <w:rsid w:val="00831FE2"/>
    <w:rsid w:val="00837F0A"/>
    <w:rsid w:val="00843412"/>
    <w:rsid w:val="00843D42"/>
    <w:rsid w:val="008454C7"/>
    <w:rsid w:val="00845B17"/>
    <w:rsid w:val="00847FA2"/>
    <w:rsid w:val="00863C41"/>
    <w:rsid w:val="00864A76"/>
    <w:rsid w:val="00867D55"/>
    <w:rsid w:val="00872E09"/>
    <w:rsid w:val="0087604D"/>
    <w:rsid w:val="00883588"/>
    <w:rsid w:val="00886689"/>
    <w:rsid w:val="00887304"/>
    <w:rsid w:val="00894472"/>
    <w:rsid w:val="00896CEB"/>
    <w:rsid w:val="008A27E9"/>
    <w:rsid w:val="008B0DCD"/>
    <w:rsid w:val="008B1418"/>
    <w:rsid w:val="008B2E54"/>
    <w:rsid w:val="008B3156"/>
    <w:rsid w:val="008B7666"/>
    <w:rsid w:val="008B7EFE"/>
    <w:rsid w:val="008D105C"/>
    <w:rsid w:val="008D6B75"/>
    <w:rsid w:val="008D716B"/>
    <w:rsid w:val="008D7666"/>
    <w:rsid w:val="008E0C4C"/>
    <w:rsid w:val="008F363F"/>
    <w:rsid w:val="008F36C7"/>
    <w:rsid w:val="00904615"/>
    <w:rsid w:val="009053C1"/>
    <w:rsid w:val="0091135C"/>
    <w:rsid w:val="00913F5E"/>
    <w:rsid w:val="00921CBF"/>
    <w:rsid w:val="00923B0C"/>
    <w:rsid w:val="009247FD"/>
    <w:rsid w:val="00924ED9"/>
    <w:rsid w:val="00933765"/>
    <w:rsid w:val="00936948"/>
    <w:rsid w:val="00943438"/>
    <w:rsid w:val="00944BC2"/>
    <w:rsid w:val="009526A3"/>
    <w:rsid w:val="00953FAD"/>
    <w:rsid w:val="0095688C"/>
    <w:rsid w:val="00963C76"/>
    <w:rsid w:val="00963FE5"/>
    <w:rsid w:val="00971284"/>
    <w:rsid w:val="00971EDB"/>
    <w:rsid w:val="00975B9A"/>
    <w:rsid w:val="00975EFF"/>
    <w:rsid w:val="00982318"/>
    <w:rsid w:val="00983442"/>
    <w:rsid w:val="00991316"/>
    <w:rsid w:val="00993D41"/>
    <w:rsid w:val="009A4B0D"/>
    <w:rsid w:val="009A6F64"/>
    <w:rsid w:val="009B1EDE"/>
    <w:rsid w:val="009B4B2D"/>
    <w:rsid w:val="009B6244"/>
    <w:rsid w:val="009B6A20"/>
    <w:rsid w:val="009C235A"/>
    <w:rsid w:val="009C3113"/>
    <w:rsid w:val="009C34DA"/>
    <w:rsid w:val="009C73C2"/>
    <w:rsid w:val="009D62FF"/>
    <w:rsid w:val="009D6DE1"/>
    <w:rsid w:val="009D7187"/>
    <w:rsid w:val="009E33B8"/>
    <w:rsid w:val="009E74C0"/>
    <w:rsid w:val="009F0225"/>
    <w:rsid w:val="00A02130"/>
    <w:rsid w:val="00A041E7"/>
    <w:rsid w:val="00A04888"/>
    <w:rsid w:val="00A11C6A"/>
    <w:rsid w:val="00A236A7"/>
    <w:rsid w:val="00A2540E"/>
    <w:rsid w:val="00A268C7"/>
    <w:rsid w:val="00A31801"/>
    <w:rsid w:val="00A32596"/>
    <w:rsid w:val="00A33696"/>
    <w:rsid w:val="00A36EBD"/>
    <w:rsid w:val="00A435F6"/>
    <w:rsid w:val="00A44E49"/>
    <w:rsid w:val="00A5059C"/>
    <w:rsid w:val="00A519CC"/>
    <w:rsid w:val="00A5273A"/>
    <w:rsid w:val="00A53647"/>
    <w:rsid w:val="00A558C5"/>
    <w:rsid w:val="00A55C90"/>
    <w:rsid w:val="00A61164"/>
    <w:rsid w:val="00A71362"/>
    <w:rsid w:val="00A75B48"/>
    <w:rsid w:val="00A85757"/>
    <w:rsid w:val="00A91D3A"/>
    <w:rsid w:val="00A94B71"/>
    <w:rsid w:val="00AA4991"/>
    <w:rsid w:val="00AB6960"/>
    <w:rsid w:val="00AC3332"/>
    <w:rsid w:val="00AD056C"/>
    <w:rsid w:val="00AD1B8A"/>
    <w:rsid w:val="00AD4819"/>
    <w:rsid w:val="00AD4966"/>
    <w:rsid w:val="00AE1384"/>
    <w:rsid w:val="00AE250D"/>
    <w:rsid w:val="00AE52D5"/>
    <w:rsid w:val="00AE5F85"/>
    <w:rsid w:val="00AE7561"/>
    <w:rsid w:val="00AF1433"/>
    <w:rsid w:val="00AF367C"/>
    <w:rsid w:val="00AF3EDC"/>
    <w:rsid w:val="00AF4FCA"/>
    <w:rsid w:val="00B008B4"/>
    <w:rsid w:val="00B04101"/>
    <w:rsid w:val="00B045C1"/>
    <w:rsid w:val="00B06A1E"/>
    <w:rsid w:val="00B07AD5"/>
    <w:rsid w:val="00B11A4D"/>
    <w:rsid w:val="00B2593F"/>
    <w:rsid w:val="00B35F23"/>
    <w:rsid w:val="00B362C7"/>
    <w:rsid w:val="00B369D1"/>
    <w:rsid w:val="00B41A17"/>
    <w:rsid w:val="00B42FA5"/>
    <w:rsid w:val="00B432DE"/>
    <w:rsid w:val="00B4437C"/>
    <w:rsid w:val="00B45B59"/>
    <w:rsid w:val="00B675A6"/>
    <w:rsid w:val="00B67F3E"/>
    <w:rsid w:val="00B728EF"/>
    <w:rsid w:val="00B75863"/>
    <w:rsid w:val="00B759EE"/>
    <w:rsid w:val="00B766F4"/>
    <w:rsid w:val="00B8200C"/>
    <w:rsid w:val="00B84249"/>
    <w:rsid w:val="00B86E2F"/>
    <w:rsid w:val="00B91940"/>
    <w:rsid w:val="00B93E67"/>
    <w:rsid w:val="00B9551F"/>
    <w:rsid w:val="00B95C48"/>
    <w:rsid w:val="00BA3C47"/>
    <w:rsid w:val="00BB53D4"/>
    <w:rsid w:val="00BC2C84"/>
    <w:rsid w:val="00BC548A"/>
    <w:rsid w:val="00BC5D5C"/>
    <w:rsid w:val="00BD7EDB"/>
    <w:rsid w:val="00BF3562"/>
    <w:rsid w:val="00BF3735"/>
    <w:rsid w:val="00C00100"/>
    <w:rsid w:val="00C00B86"/>
    <w:rsid w:val="00C01019"/>
    <w:rsid w:val="00C04264"/>
    <w:rsid w:val="00C0509D"/>
    <w:rsid w:val="00C0520A"/>
    <w:rsid w:val="00C11F06"/>
    <w:rsid w:val="00C13229"/>
    <w:rsid w:val="00C169C5"/>
    <w:rsid w:val="00C16B9D"/>
    <w:rsid w:val="00C20446"/>
    <w:rsid w:val="00C263B2"/>
    <w:rsid w:val="00C34879"/>
    <w:rsid w:val="00C42279"/>
    <w:rsid w:val="00C440F4"/>
    <w:rsid w:val="00C441FE"/>
    <w:rsid w:val="00C467F1"/>
    <w:rsid w:val="00C4776D"/>
    <w:rsid w:val="00C51434"/>
    <w:rsid w:val="00C53398"/>
    <w:rsid w:val="00C6299D"/>
    <w:rsid w:val="00C64683"/>
    <w:rsid w:val="00C64B11"/>
    <w:rsid w:val="00C64CFF"/>
    <w:rsid w:val="00C65145"/>
    <w:rsid w:val="00C657FB"/>
    <w:rsid w:val="00C65A25"/>
    <w:rsid w:val="00C65DDC"/>
    <w:rsid w:val="00C6659F"/>
    <w:rsid w:val="00C66DAE"/>
    <w:rsid w:val="00C679C9"/>
    <w:rsid w:val="00C700FD"/>
    <w:rsid w:val="00C77C7A"/>
    <w:rsid w:val="00C8100B"/>
    <w:rsid w:val="00C8709B"/>
    <w:rsid w:val="00C978E2"/>
    <w:rsid w:val="00CA2397"/>
    <w:rsid w:val="00CA5F98"/>
    <w:rsid w:val="00CB0D9F"/>
    <w:rsid w:val="00CB13C6"/>
    <w:rsid w:val="00CB24A3"/>
    <w:rsid w:val="00CC1F44"/>
    <w:rsid w:val="00CC30D7"/>
    <w:rsid w:val="00CC3B69"/>
    <w:rsid w:val="00CC5199"/>
    <w:rsid w:val="00CC7AE9"/>
    <w:rsid w:val="00CD0227"/>
    <w:rsid w:val="00CE0C47"/>
    <w:rsid w:val="00CF08F0"/>
    <w:rsid w:val="00D02F70"/>
    <w:rsid w:val="00D16C9E"/>
    <w:rsid w:val="00D17961"/>
    <w:rsid w:val="00D273CD"/>
    <w:rsid w:val="00D34B08"/>
    <w:rsid w:val="00D35C20"/>
    <w:rsid w:val="00D402D0"/>
    <w:rsid w:val="00D4711F"/>
    <w:rsid w:val="00D523AE"/>
    <w:rsid w:val="00D54FC2"/>
    <w:rsid w:val="00D651CD"/>
    <w:rsid w:val="00D652AE"/>
    <w:rsid w:val="00D66ACD"/>
    <w:rsid w:val="00D709F8"/>
    <w:rsid w:val="00D721A2"/>
    <w:rsid w:val="00D72611"/>
    <w:rsid w:val="00D81AE0"/>
    <w:rsid w:val="00D82FCE"/>
    <w:rsid w:val="00D850B5"/>
    <w:rsid w:val="00D87023"/>
    <w:rsid w:val="00D91610"/>
    <w:rsid w:val="00D9527A"/>
    <w:rsid w:val="00D95EB1"/>
    <w:rsid w:val="00D97C41"/>
    <w:rsid w:val="00DB1297"/>
    <w:rsid w:val="00DB1D76"/>
    <w:rsid w:val="00DB20B2"/>
    <w:rsid w:val="00DB3366"/>
    <w:rsid w:val="00DB472A"/>
    <w:rsid w:val="00DC06C0"/>
    <w:rsid w:val="00DC4205"/>
    <w:rsid w:val="00DC5504"/>
    <w:rsid w:val="00DC5878"/>
    <w:rsid w:val="00DC73A5"/>
    <w:rsid w:val="00DC7D35"/>
    <w:rsid w:val="00DD040E"/>
    <w:rsid w:val="00DD5C3A"/>
    <w:rsid w:val="00DE11AB"/>
    <w:rsid w:val="00DE2470"/>
    <w:rsid w:val="00DF62D0"/>
    <w:rsid w:val="00E10870"/>
    <w:rsid w:val="00E12A1C"/>
    <w:rsid w:val="00E12F7B"/>
    <w:rsid w:val="00E20030"/>
    <w:rsid w:val="00E2029F"/>
    <w:rsid w:val="00E2285E"/>
    <w:rsid w:val="00E245E4"/>
    <w:rsid w:val="00E27F4A"/>
    <w:rsid w:val="00E30F79"/>
    <w:rsid w:val="00E317BA"/>
    <w:rsid w:val="00E33E4E"/>
    <w:rsid w:val="00E36400"/>
    <w:rsid w:val="00E44075"/>
    <w:rsid w:val="00E50AA1"/>
    <w:rsid w:val="00E5268B"/>
    <w:rsid w:val="00E57B1B"/>
    <w:rsid w:val="00E605EE"/>
    <w:rsid w:val="00E6298A"/>
    <w:rsid w:val="00E64261"/>
    <w:rsid w:val="00E67963"/>
    <w:rsid w:val="00E71D46"/>
    <w:rsid w:val="00E75C56"/>
    <w:rsid w:val="00E77EAF"/>
    <w:rsid w:val="00E83DD9"/>
    <w:rsid w:val="00E84DE9"/>
    <w:rsid w:val="00E854B4"/>
    <w:rsid w:val="00E86F3D"/>
    <w:rsid w:val="00E879FB"/>
    <w:rsid w:val="00E9095B"/>
    <w:rsid w:val="00E91FAA"/>
    <w:rsid w:val="00E9260F"/>
    <w:rsid w:val="00E9448D"/>
    <w:rsid w:val="00EA177B"/>
    <w:rsid w:val="00EA1AA0"/>
    <w:rsid w:val="00EA5124"/>
    <w:rsid w:val="00EA6987"/>
    <w:rsid w:val="00EA6FCD"/>
    <w:rsid w:val="00EB3E0E"/>
    <w:rsid w:val="00EB3F2D"/>
    <w:rsid w:val="00EB74F2"/>
    <w:rsid w:val="00EC262F"/>
    <w:rsid w:val="00EC4202"/>
    <w:rsid w:val="00EC54C2"/>
    <w:rsid w:val="00EC6A26"/>
    <w:rsid w:val="00EE3CD6"/>
    <w:rsid w:val="00EE4F9E"/>
    <w:rsid w:val="00EF02B3"/>
    <w:rsid w:val="00EF116F"/>
    <w:rsid w:val="00EF51DB"/>
    <w:rsid w:val="00F003BF"/>
    <w:rsid w:val="00F00774"/>
    <w:rsid w:val="00F00F21"/>
    <w:rsid w:val="00F01177"/>
    <w:rsid w:val="00F054D0"/>
    <w:rsid w:val="00F0610B"/>
    <w:rsid w:val="00F13AF9"/>
    <w:rsid w:val="00F17676"/>
    <w:rsid w:val="00F210BC"/>
    <w:rsid w:val="00F22FFA"/>
    <w:rsid w:val="00F31F3B"/>
    <w:rsid w:val="00F36188"/>
    <w:rsid w:val="00F3700D"/>
    <w:rsid w:val="00F37B61"/>
    <w:rsid w:val="00F37DD4"/>
    <w:rsid w:val="00F4512D"/>
    <w:rsid w:val="00F52AAB"/>
    <w:rsid w:val="00F52EA1"/>
    <w:rsid w:val="00F5304D"/>
    <w:rsid w:val="00F55A4E"/>
    <w:rsid w:val="00F570DB"/>
    <w:rsid w:val="00F63B43"/>
    <w:rsid w:val="00F641BA"/>
    <w:rsid w:val="00F67830"/>
    <w:rsid w:val="00F774FA"/>
    <w:rsid w:val="00F83E3B"/>
    <w:rsid w:val="00F931EC"/>
    <w:rsid w:val="00FA1ACB"/>
    <w:rsid w:val="00FA2BD3"/>
    <w:rsid w:val="00FA429C"/>
    <w:rsid w:val="00FA5AC3"/>
    <w:rsid w:val="00FB090E"/>
    <w:rsid w:val="00FB4715"/>
    <w:rsid w:val="00FB5F87"/>
    <w:rsid w:val="00FC2E73"/>
    <w:rsid w:val="00FC32FD"/>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E91F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E91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B1069-AA62-4EBC-8080-C4F8DE2515A8}"/>
</file>

<file path=customXml/itemProps2.xml><?xml version="1.0" encoding="utf-8"?>
<ds:datastoreItem xmlns:ds="http://schemas.openxmlformats.org/officeDocument/2006/customXml" ds:itemID="{3F4906EF-C6A2-4DF0-A8D4-87A84227BF16}"/>
</file>

<file path=customXml/itemProps3.xml><?xml version="1.0" encoding="utf-8"?>
<ds:datastoreItem xmlns:ds="http://schemas.openxmlformats.org/officeDocument/2006/customXml" ds:itemID="{F87D0225-C5EB-40CA-B25B-18F987E30BBE}"/>
</file>

<file path=customXml/itemProps4.xml><?xml version="1.0" encoding="utf-8"?>
<ds:datastoreItem xmlns:ds="http://schemas.openxmlformats.org/officeDocument/2006/customXml" ds:itemID="{273109F7-5CAA-45DE-A379-75A4A30176D1}"/>
</file>

<file path=docProps/app.xml><?xml version="1.0" encoding="utf-8"?>
<Properties xmlns="http://schemas.openxmlformats.org/officeDocument/2006/extended-properties" xmlns:vt="http://schemas.openxmlformats.org/officeDocument/2006/docPropsVTypes">
  <Template>7870591F</Template>
  <TotalTime>0</TotalTime>
  <Pages>8</Pages>
  <Words>2082</Words>
  <Characters>12065</Characters>
  <Application>Microsoft Office Word</Application>
  <DocSecurity>0</DocSecurity>
  <Lines>594</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2015-02-17T02:26:00Z</dcterms:created>
  <dcterms:modified xsi:type="dcterms:W3CDTF">2015-02-17T02:26:00Z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936900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