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9201BE" w:rsidRDefault="00F332E3">
      <w:pPr>
        <w:pStyle w:val="Title"/>
        <w:ind w:right="-702"/>
        <w:rPr>
          <w:color w:val="AD495D"/>
        </w:rPr>
      </w:pPr>
      <w:r>
        <w:rPr>
          <w:noProof/>
          <w:color w:val="AD495D"/>
          <w:lang w:val="en-US" w:eastAsia="en-US"/>
        </w:rPr>
        <w:drawing>
          <wp:anchor distT="0" distB="0" distL="114300" distR="114300" simplePos="0" relativeHeight="251657728" behindDoc="1" locked="0" layoutInCell="1" allowOverlap="1" wp14:anchorId="049BB21B" wp14:editId="640C640A">
            <wp:simplePos x="0" y="0"/>
            <wp:positionH relativeFrom="page">
              <wp:posOffset>0</wp:posOffset>
            </wp:positionH>
            <wp:positionV relativeFrom="page">
              <wp:posOffset>0</wp:posOffset>
            </wp:positionV>
            <wp:extent cx="7560310" cy="3024505"/>
            <wp:effectExtent l="0" t="0" r="2540" b="4445"/>
            <wp:wrapNone/>
            <wp:docPr id="1198" name="Picture 1198"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0E7">
        <w:rPr>
          <w:color w:val="AD495D"/>
        </w:rPr>
        <w:t xml:space="preserve">South Asia </w:t>
      </w:r>
      <w:r w:rsidR="00FB4B5B">
        <w:rPr>
          <w:color w:val="AD495D"/>
        </w:rPr>
        <w:t>r</w:t>
      </w:r>
      <w:r w:rsidR="009000E7">
        <w:rPr>
          <w:color w:val="AD495D"/>
        </w:rPr>
        <w:t>egional, India, Maldives and Bhutan development cooperation report 2010</w:t>
      </w:r>
    </w:p>
    <w:p w:rsidR="001C49F1" w:rsidRPr="009201BE" w:rsidRDefault="00EE18AB">
      <w:pPr>
        <w:pStyle w:val="Date"/>
        <w:rPr>
          <w:color w:val="AD495D"/>
        </w:rPr>
      </w:pPr>
      <w:r>
        <w:rPr>
          <w:color w:val="AD495D"/>
        </w:rPr>
        <w:t>July 2011</w:t>
      </w:r>
    </w:p>
    <w:sdt>
      <w:sdtPr>
        <w:id w:val="-798456866"/>
        <w:docPartObj>
          <w:docPartGallery w:val="Table of Contents"/>
          <w:docPartUnique/>
        </w:docPartObj>
      </w:sdtPr>
      <w:sdtEndPr>
        <w:rPr>
          <w:rFonts w:ascii="Times New Roman" w:eastAsia="Times New Roman" w:hAnsi="Times New Roman" w:cs="Times New Roman"/>
          <w:noProof/>
          <w:color w:val="auto"/>
          <w:sz w:val="20"/>
          <w:szCs w:val="24"/>
          <w:lang w:val="en-AU" w:eastAsia="en-AU"/>
        </w:rPr>
      </w:sdtEndPr>
      <w:sdtContent>
        <w:p w:rsidR="001C49F1" w:rsidRDefault="001C49F1">
          <w:pPr>
            <w:pStyle w:val="TOCHeading"/>
          </w:pPr>
          <w:r>
            <w:t>Contents</w:t>
          </w:r>
        </w:p>
        <w:p w:rsidR="001C49F1" w:rsidRDefault="001C49F1">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1923036" w:history="1">
            <w:r w:rsidRPr="002A0F24">
              <w:rPr>
                <w:rStyle w:val="Hyperlink"/>
                <w:noProof/>
              </w:rPr>
              <w:t>Context</w:t>
            </w:r>
            <w:r>
              <w:rPr>
                <w:noProof/>
                <w:webHidden/>
              </w:rPr>
              <w:tab/>
            </w:r>
            <w:r>
              <w:rPr>
                <w:noProof/>
                <w:webHidden/>
              </w:rPr>
              <w:fldChar w:fldCharType="begin"/>
            </w:r>
            <w:r>
              <w:rPr>
                <w:noProof/>
                <w:webHidden/>
              </w:rPr>
              <w:instrText xml:space="preserve"> PAGEREF _Toc361923036 \h </w:instrText>
            </w:r>
            <w:r>
              <w:rPr>
                <w:noProof/>
                <w:webHidden/>
              </w:rPr>
            </w:r>
            <w:r>
              <w:rPr>
                <w:noProof/>
                <w:webHidden/>
              </w:rPr>
              <w:fldChar w:fldCharType="separate"/>
            </w:r>
            <w:r>
              <w:rPr>
                <w:noProof/>
                <w:webHidden/>
              </w:rPr>
              <w:t>2</w:t>
            </w:r>
            <w:r>
              <w:rPr>
                <w:noProof/>
                <w:webHidden/>
              </w:rPr>
              <w:fldChar w:fldCharType="end"/>
            </w:r>
          </w:hyperlink>
        </w:p>
        <w:p w:rsidR="001C49F1" w:rsidRDefault="001C49F1">
          <w:pPr>
            <w:pStyle w:val="TOC2"/>
            <w:rPr>
              <w:rFonts w:asciiTheme="minorHAnsi" w:eastAsiaTheme="minorEastAsia" w:hAnsiTheme="minorHAnsi" w:cstheme="minorBidi"/>
              <w:noProof/>
              <w:color w:val="auto"/>
              <w:sz w:val="22"/>
              <w:szCs w:val="22"/>
              <w:lang w:val="en-US" w:eastAsia="en-US"/>
            </w:rPr>
          </w:pPr>
          <w:hyperlink w:anchor="_Toc361923037" w:history="1">
            <w:r w:rsidRPr="002A0F24">
              <w:rPr>
                <w:rStyle w:val="Hyperlink"/>
                <w:noProof/>
                <w:kern w:val="28"/>
              </w:rPr>
              <w:t>South Asia region</w:t>
            </w:r>
            <w:r>
              <w:rPr>
                <w:noProof/>
                <w:webHidden/>
              </w:rPr>
              <w:tab/>
            </w:r>
            <w:r>
              <w:rPr>
                <w:noProof/>
                <w:webHidden/>
              </w:rPr>
              <w:fldChar w:fldCharType="begin"/>
            </w:r>
            <w:r>
              <w:rPr>
                <w:noProof/>
                <w:webHidden/>
              </w:rPr>
              <w:instrText xml:space="preserve"> PAGEREF _Toc361923037 \h </w:instrText>
            </w:r>
            <w:r>
              <w:rPr>
                <w:noProof/>
                <w:webHidden/>
              </w:rPr>
            </w:r>
            <w:r>
              <w:rPr>
                <w:noProof/>
                <w:webHidden/>
              </w:rPr>
              <w:fldChar w:fldCharType="separate"/>
            </w:r>
            <w:r>
              <w:rPr>
                <w:noProof/>
                <w:webHidden/>
              </w:rPr>
              <w:t>2</w:t>
            </w:r>
            <w:r>
              <w:rPr>
                <w:noProof/>
                <w:webHidden/>
              </w:rPr>
              <w:fldChar w:fldCharType="end"/>
            </w:r>
          </w:hyperlink>
        </w:p>
        <w:p w:rsidR="001C49F1" w:rsidRDefault="001C49F1">
          <w:pPr>
            <w:pStyle w:val="TOC2"/>
            <w:rPr>
              <w:rFonts w:asciiTheme="minorHAnsi" w:eastAsiaTheme="minorEastAsia" w:hAnsiTheme="minorHAnsi" w:cstheme="minorBidi"/>
              <w:noProof/>
              <w:color w:val="auto"/>
              <w:sz w:val="22"/>
              <w:szCs w:val="22"/>
              <w:lang w:val="en-US" w:eastAsia="en-US"/>
            </w:rPr>
          </w:pPr>
          <w:hyperlink w:anchor="_Toc361923038" w:history="1">
            <w:r w:rsidRPr="002A0F24">
              <w:rPr>
                <w:rStyle w:val="Hyperlink"/>
                <w:noProof/>
              </w:rPr>
              <w:t>India</w:t>
            </w:r>
            <w:r>
              <w:rPr>
                <w:noProof/>
                <w:webHidden/>
              </w:rPr>
              <w:tab/>
            </w:r>
            <w:r>
              <w:rPr>
                <w:noProof/>
                <w:webHidden/>
              </w:rPr>
              <w:fldChar w:fldCharType="begin"/>
            </w:r>
            <w:r>
              <w:rPr>
                <w:noProof/>
                <w:webHidden/>
              </w:rPr>
              <w:instrText xml:space="preserve"> PAGEREF _Toc361923038 \h </w:instrText>
            </w:r>
            <w:r>
              <w:rPr>
                <w:noProof/>
                <w:webHidden/>
              </w:rPr>
            </w:r>
            <w:r>
              <w:rPr>
                <w:noProof/>
                <w:webHidden/>
              </w:rPr>
              <w:fldChar w:fldCharType="separate"/>
            </w:r>
            <w:r>
              <w:rPr>
                <w:noProof/>
                <w:webHidden/>
              </w:rPr>
              <w:t>3</w:t>
            </w:r>
            <w:r>
              <w:rPr>
                <w:noProof/>
                <w:webHidden/>
              </w:rPr>
              <w:fldChar w:fldCharType="end"/>
            </w:r>
          </w:hyperlink>
        </w:p>
        <w:p w:rsidR="001C49F1" w:rsidRDefault="001C49F1">
          <w:pPr>
            <w:pStyle w:val="TOC2"/>
            <w:rPr>
              <w:rFonts w:asciiTheme="minorHAnsi" w:eastAsiaTheme="minorEastAsia" w:hAnsiTheme="minorHAnsi" w:cstheme="minorBidi"/>
              <w:noProof/>
              <w:color w:val="auto"/>
              <w:sz w:val="22"/>
              <w:szCs w:val="22"/>
              <w:lang w:val="en-US" w:eastAsia="en-US"/>
            </w:rPr>
          </w:pPr>
          <w:hyperlink w:anchor="_Toc361923039" w:history="1">
            <w:r w:rsidRPr="002A0F24">
              <w:rPr>
                <w:rStyle w:val="Hyperlink"/>
                <w:noProof/>
              </w:rPr>
              <w:t>Maldives and Bhutan</w:t>
            </w:r>
            <w:r>
              <w:rPr>
                <w:noProof/>
                <w:webHidden/>
              </w:rPr>
              <w:tab/>
            </w:r>
            <w:r>
              <w:rPr>
                <w:noProof/>
                <w:webHidden/>
              </w:rPr>
              <w:fldChar w:fldCharType="begin"/>
            </w:r>
            <w:r>
              <w:rPr>
                <w:noProof/>
                <w:webHidden/>
              </w:rPr>
              <w:instrText xml:space="preserve"> PAGEREF _Toc361923039 \h </w:instrText>
            </w:r>
            <w:r>
              <w:rPr>
                <w:noProof/>
                <w:webHidden/>
              </w:rPr>
            </w:r>
            <w:r>
              <w:rPr>
                <w:noProof/>
                <w:webHidden/>
              </w:rPr>
              <w:fldChar w:fldCharType="separate"/>
            </w:r>
            <w:r>
              <w:rPr>
                <w:noProof/>
                <w:webHidden/>
              </w:rPr>
              <w:t>4</w:t>
            </w:r>
            <w:r>
              <w:rPr>
                <w:noProof/>
                <w:webHidden/>
              </w:rPr>
              <w:fldChar w:fldCharType="end"/>
            </w:r>
          </w:hyperlink>
        </w:p>
        <w:p w:rsidR="001C49F1" w:rsidRDefault="001C49F1">
          <w:pPr>
            <w:pStyle w:val="TOC2"/>
            <w:rPr>
              <w:rFonts w:asciiTheme="minorHAnsi" w:eastAsiaTheme="minorEastAsia" w:hAnsiTheme="minorHAnsi" w:cstheme="minorBidi"/>
              <w:noProof/>
              <w:color w:val="auto"/>
              <w:sz w:val="22"/>
              <w:szCs w:val="22"/>
              <w:lang w:val="en-US" w:eastAsia="en-US"/>
            </w:rPr>
          </w:pPr>
          <w:hyperlink w:anchor="_Toc361923040" w:history="1">
            <w:r w:rsidRPr="002A0F24">
              <w:rPr>
                <w:rStyle w:val="Hyperlink"/>
                <w:noProof/>
              </w:rPr>
              <w:t>Australian aid through the South Asia Regional, India, Maldives and Bhutan programs</w:t>
            </w:r>
            <w:r>
              <w:rPr>
                <w:noProof/>
                <w:webHidden/>
              </w:rPr>
              <w:tab/>
            </w:r>
            <w:r>
              <w:rPr>
                <w:noProof/>
                <w:webHidden/>
              </w:rPr>
              <w:fldChar w:fldCharType="begin"/>
            </w:r>
            <w:r>
              <w:rPr>
                <w:noProof/>
                <w:webHidden/>
              </w:rPr>
              <w:instrText xml:space="preserve"> PAGEREF _Toc361923040 \h </w:instrText>
            </w:r>
            <w:r>
              <w:rPr>
                <w:noProof/>
                <w:webHidden/>
              </w:rPr>
            </w:r>
            <w:r>
              <w:rPr>
                <w:noProof/>
                <w:webHidden/>
              </w:rPr>
              <w:fldChar w:fldCharType="separate"/>
            </w:r>
            <w:r>
              <w:rPr>
                <w:noProof/>
                <w:webHidden/>
              </w:rPr>
              <w:t>4</w:t>
            </w:r>
            <w:r>
              <w:rPr>
                <w:noProof/>
                <w:webHidden/>
              </w:rPr>
              <w:fldChar w:fldCharType="end"/>
            </w:r>
          </w:hyperlink>
        </w:p>
        <w:p w:rsidR="001C49F1" w:rsidRDefault="001C49F1">
          <w:pPr>
            <w:pStyle w:val="TOC1"/>
            <w:rPr>
              <w:rFonts w:asciiTheme="minorHAnsi" w:eastAsiaTheme="minorEastAsia" w:hAnsiTheme="minorHAnsi" w:cstheme="minorBidi"/>
              <w:noProof/>
              <w:color w:val="auto"/>
              <w:sz w:val="22"/>
              <w:szCs w:val="22"/>
              <w:lang w:val="en-US" w:eastAsia="en-US"/>
            </w:rPr>
          </w:pPr>
          <w:hyperlink w:anchor="_Toc361923041" w:history="1">
            <w:r w:rsidRPr="002A0F24">
              <w:rPr>
                <w:rStyle w:val="Hyperlink"/>
                <w:noProof/>
              </w:rPr>
              <w:t>Program objectives</w:t>
            </w:r>
            <w:r>
              <w:rPr>
                <w:noProof/>
                <w:webHidden/>
              </w:rPr>
              <w:tab/>
            </w:r>
            <w:r>
              <w:rPr>
                <w:noProof/>
                <w:webHidden/>
              </w:rPr>
              <w:fldChar w:fldCharType="begin"/>
            </w:r>
            <w:r>
              <w:rPr>
                <w:noProof/>
                <w:webHidden/>
              </w:rPr>
              <w:instrText xml:space="preserve"> PAGEREF _Toc361923041 \h </w:instrText>
            </w:r>
            <w:r>
              <w:rPr>
                <w:noProof/>
                <w:webHidden/>
              </w:rPr>
            </w:r>
            <w:r>
              <w:rPr>
                <w:noProof/>
                <w:webHidden/>
              </w:rPr>
              <w:fldChar w:fldCharType="separate"/>
            </w:r>
            <w:r>
              <w:rPr>
                <w:noProof/>
                <w:webHidden/>
              </w:rPr>
              <w:t>4</w:t>
            </w:r>
            <w:r>
              <w:rPr>
                <w:noProof/>
                <w:webHidden/>
              </w:rPr>
              <w:fldChar w:fldCharType="end"/>
            </w:r>
          </w:hyperlink>
        </w:p>
        <w:p w:rsidR="001C49F1" w:rsidRDefault="001C49F1">
          <w:pPr>
            <w:pStyle w:val="TOC2"/>
            <w:rPr>
              <w:rFonts w:asciiTheme="minorHAnsi" w:eastAsiaTheme="minorEastAsia" w:hAnsiTheme="minorHAnsi" w:cstheme="minorBidi"/>
              <w:noProof/>
              <w:color w:val="auto"/>
              <w:sz w:val="22"/>
              <w:szCs w:val="22"/>
              <w:lang w:val="en-US" w:eastAsia="en-US"/>
            </w:rPr>
          </w:pPr>
          <w:hyperlink w:anchor="_Toc361923042" w:history="1">
            <w:r w:rsidRPr="002A0F24">
              <w:rPr>
                <w:rStyle w:val="Hyperlink"/>
                <w:noProof/>
              </w:rPr>
              <w:t>Expenditure</w:t>
            </w:r>
            <w:r>
              <w:rPr>
                <w:noProof/>
                <w:webHidden/>
              </w:rPr>
              <w:tab/>
            </w:r>
            <w:r>
              <w:rPr>
                <w:noProof/>
                <w:webHidden/>
              </w:rPr>
              <w:fldChar w:fldCharType="begin"/>
            </w:r>
            <w:r>
              <w:rPr>
                <w:noProof/>
                <w:webHidden/>
              </w:rPr>
              <w:instrText xml:space="preserve"> PAGEREF _Toc361923042 \h </w:instrText>
            </w:r>
            <w:r>
              <w:rPr>
                <w:noProof/>
                <w:webHidden/>
              </w:rPr>
            </w:r>
            <w:r>
              <w:rPr>
                <w:noProof/>
                <w:webHidden/>
              </w:rPr>
              <w:fldChar w:fldCharType="separate"/>
            </w:r>
            <w:r>
              <w:rPr>
                <w:noProof/>
                <w:webHidden/>
              </w:rPr>
              <w:t>5</w:t>
            </w:r>
            <w:r>
              <w:rPr>
                <w:noProof/>
                <w:webHidden/>
              </w:rPr>
              <w:fldChar w:fldCharType="end"/>
            </w:r>
          </w:hyperlink>
        </w:p>
        <w:p w:rsidR="001C49F1" w:rsidRDefault="001C49F1">
          <w:pPr>
            <w:pStyle w:val="TOC1"/>
            <w:rPr>
              <w:rFonts w:asciiTheme="minorHAnsi" w:eastAsiaTheme="minorEastAsia" w:hAnsiTheme="minorHAnsi" w:cstheme="minorBidi"/>
              <w:noProof/>
              <w:color w:val="auto"/>
              <w:sz w:val="22"/>
              <w:szCs w:val="22"/>
              <w:lang w:val="en-US" w:eastAsia="en-US"/>
            </w:rPr>
          </w:pPr>
          <w:hyperlink w:anchor="_Toc361923043" w:history="1">
            <w:r w:rsidRPr="002A0F24">
              <w:rPr>
                <w:rStyle w:val="Hyperlink"/>
                <w:noProof/>
              </w:rPr>
              <w:t xml:space="preserve"> </w:t>
            </w:r>
            <w:r w:rsidRPr="002A0F24">
              <w:rPr>
                <w:rStyle w:val="Hyperlink"/>
                <w:rFonts w:ascii="Arial" w:hAnsi="Arial" w:cs="Arial"/>
                <w:noProof/>
                <w:vertAlign w:val="subscript"/>
              </w:rPr>
              <w:t>The figures in this table only represent</w:t>
            </w:r>
            <w:r w:rsidRPr="002A0F24">
              <w:rPr>
                <w:rStyle w:val="Hyperlink"/>
                <w:rFonts w:ascii="Arial" w:hAnsi="Arial" w:cs="Arial"/>
                <w:noProof/>
              </w:rPr>
              <w:t xml:space="preserve"> </w:t>
            </w:r>
            <w:r w:rsidRPr="002A0F24">
              <w:rPr>
                <w:rStyle w:val="Hyperlink"/>
                <w:rFonts w:ascii="Arial" w:hAnsi="Arial" w:cs="Arial"/>
                <w:noProof/>
                <w:vertAlign w:val="subscript"/>
              </w:rPr>
              <w:t>expenditure in 2010–11 for programs that are reported in this Development Cooperation Report.</w:t>
            </w:r>
            <w:r>
              <w:rPr>
                <w:noProof/>
                <w:webHidden/>
              </w:rPr>
              <w:tab/>
            </w:r>
            <w:r>
              <w:rPr>
                <w:noProof/>
                <w:webHidden/>
              </w:rPr>
              <w:fldChar w:fldCharType="begin"/>
            </w:r>
            <w:r>
              <w:rPr>
                <w:noProof/>
                <w:webHidden/>
              </w:rPr>
              <w:instrText xml:space="preserve"> PAGEREF _Toc361923043 \h </w:instrText>
            </w:r>
            <w:r>
              <w:rPr>
                <w:noProof/>
                <w:webHidden/>
              </w:rPr>
            </w:r>
            <w:r>
              <w:rPr>
                <w:noProof/>
                <w:webHidden/>
              </w:rPr>
              <w:fldChar w:fldCharType="separate"/>
            </w:r>
            <w:r>
              <w:rPr>
                <w:noProof/>
                <w:webHidden/>
              </w:rPr>
              <w:t>5</w:t>
            </w:r>
            <w:r>
              <w:rPr>
                <w:noProof/>
                <w:webHidden/>
              </w:rPr>
              <w:fldChar w:fldCharType="end"/>
            </w:r>
          </w:hyperlink>
        </w:p>
        <w:p w:rsidR="001C49F1" w:rsidRDefault="001C49F1">
          <w:pPr>
            <w:pStyle w:val="TOC1"/>
            <w:rPr>
              <w:rFonts w:asciiTheme="minorHAnsi" w:eastAsiaTheme="minorEastAsia" w:hAnsiTheme="minorHAnsi" w:cstheme="minorBidi"/>
              <w:noProof/>
              <w:color w:val="auto"/>
              <w:sz w:val="22"/>
              <w:szCs w:val="22"/>
              <w:lang w:val="en-US" w:eastAsia="en-US"/>
            </w:rPr>
          </w:pPr>
          <w:hyperlink w:anchor="_Toc361923044" w:history="1">
            <w:r w:rsidRPr="002A0F24">
              <w:rPr>
                <w:rStyle w:val="Hyperlink"/>
                <w:noProof/>
              </w:rPr>
              <w:t>Progress towards objectives</w:t>
            </w:r>
            <w:r>
              <w:rPr>
                <w:noProof/>
                <w:webHidden/>
              </w:rPr>
              <w:tab/>
            </w:r>
            <w:r>
              <w:rPr>
                <w:noProof/>
                <w:webHidden/>
              </w:rPr>
              <w:fldChar w:fldCharType="begin"/>
            </w:r>
            <w:r>
              <w:rPr>
                <w:noProof/>
                <w:webHidden/>
              </w:rPr>
              <w:instrText xml:space="preserve"> PAGEREF _Toc361923044 \h </w:instrText>
            </w:r>
            <w:r>
              <w:rPr>
                <w:noProof/>
                <w:webHidden/>
              </w:rPr>
            </w:r>
            <w:r>
              <w:rPr>
                <w:noProof/>
                <w:webHidden/>
              </w:rPr>
              <w:fldChar w:fldCharType="separate"/>
            </w:r>
            <w:r>
              <w:rPr>
                <w:noProof/>
                <w:webHidden/>
              </w:rPr>
              <w:t>5</w:t>
            </w:r>
            <w:r>
              <w:rPr>
                <w:noProof/>
                <w:webHidden/>
              </w:rPr>
              <w:fldChar w:fldCharType="end"/>
            </w:r>
          </w:hyperlink>
        </w:p>
        <w:p w:rsidR="001C49F1" w:rsidRDefault="001C49F1">
          <w:pPr>
            <w:pStyle w:val="TOC2"/>
            <w:rPr>
              <w:rFonts w:asciiTheme="minorHAnsi" w:eastAsiaTheme="minorEastAsia" w:hAnsiTheme="minorHAnsi" w:cstheme="minorBidi"/>
              <w:noProof/>
              <w:color w:val="auto"/>
              <w:sz w:val="22"/>
              <w:szCs w:val="22"/>
              <w:lang w:val="en-US" w:eastAsia="en-US"/>
            </w:rPr>
          </w:pPr>
          <w:hyperlink w:anchor="_Toc361923045" w:history="1">
            <w:r w:rsidRPr="002A0F24">
              <w:rPr>
                <w:rStyle w:val="Hyperlink"/>
                <w:noProof/>
              </w:rPr>
              <w:t>Objective 1: To promote inclusive economic and social development through improved access to and quality of basic services and enhanced economic management and integration</w:t>
            </w:r>
            <w:r>
              <w:rPr>
                <w:noProof/>
                <w:webHidden/>
              </w:rPr>
              <w:tab/>
            </w:r>
            <w:r>
              <w:rPr>
                <w:noProof/>
                <w:webHidden/>
              </w:rPr>
              <w:fldChar w:fldCharType="begin"/>
            </w:r>
            <w:r>
              <w:rPr>
                <w:noProof/>
                <w:webHidden/>
              </w:rPr>
              <w:instrText xml:space="preserve"> PAGEREF _Toc361923045 \h </w:instrText>
            </w:r>
            <w:r>
              <w:rPr>
                <w:noProof/>
                <w:webHidden/>
              </w:rPr>
            </w:r>
            <w:r>
              <w:rPr>
                <w:noProof/>
                <w:webHidden/>
              </w:rPr>
              <w:fldChar w:fldCharType="separate"/>
            </w:r>
            <w:r>
              <w:rPr>
                <w:noProof/>
                <w:webHidden/>
              </w:rPr>
              <w:t>6</w:t>
            </w:r>
            <w:r>
              <w:rPr>
                <w:noProof/>
                <w:webHidden/>
              </w:rPr>
              <w:fldChar w:fldCharType="end"/>
            </w:r>
          </w:hyperlink>
        </w:p>
        <w:p w:rsidR="001C49F1" w:rsidRDefault="001C49F1">
          <w:pPr>
            <w:pStyle w:val="TOC3"/>
            <w:rPr>
              <w:rFonts w:asciiTheme="minorHAnsi" w:eastAsiaTheme="minorEastAsia" w:hAnsiTheme="minorHAnsi" w:cstheme="minorBidi"/>
              <w:noProof/>
              <w:sz w:val="22"/>
              <w:szCs w:val="22"/>
              <w:lang w:val="en-US" w:eastAsia="en-US"/>
            </w:rPr>
          </w:pPr>
          <w:hyperlink w:anchor="_Toc361923046" w:history="1">
            <w:r w:rsidRPr="002A0F24">
              <w:rPr>
                <w:rStyle w:val="Hyperlink"/>
                <w:noProof/>
              </w:rPr>
              <w:t>Health—HIV/AIDs</w:t>
            </w:r>
            <w:r>
              <w:rPr>
                <w:noProof/>
                <w:webHidden/>
              </w:rPr>
              <w:tab/>
            </w:r>
            <w:r>
              <w:rPr>
                <w:noProof/>
                <w:webHidden/>
              </w:rPr>
              <w:fldChar w:fldCharType="begin"/>
            </w:r>
            <w:r>
              <w:rPr>
                <w:noProof/>
                <w:webHidden/>
              </w:rPr>
              <w:instrText xml:space="preserve"> PAGEREF _Toc361923046 \h </w:instrText>
            </w:r>
            <w:r>
              <w:rPr>
                <w:noProof/>
                <w:webHidden/>
              </w:rPr>
            </w:r>
            <w:r>
              <w:rPr>
                <w:noProof/>
                <w:webHidden/>
              </w:rPr>
              <w:fldChar w:fldCharType="separate"/>
            </w:r>
            <w:r>
              <w:rPr>
                <w:noProof/>
                <w:webHidden/>
              </w:rPr>
              <w:t>6</w:t>
            </w:r>
            <w:r>
              <w:rPr>
                <w:noProof/>
                <w:webHidden/>
              </w:rPr>
              <w:fldChar w:fldCharType="end"/>
            </w:r>
          </w:hyperlink>
        </w:p>
        <w:p w:rsidR="001C49F1" w:rsidRDefault="001C49F1">
          <w:pPr>
            <w:pStyle w:val="TOC3"/>
            <w:rPr>
              <w:rFonts w:asciiTheme="minorHAnsi" w:eastAsiaTheme="minorEastAsia" w:hAnsiTheme="minorHAnsi" w:cstheme="minorBidi"/>
              <w:noProof/>
              <w:sz w:val="22"/>
              <w:szCs w:val="22"/>
              <w:lang w:val="en-US" w:eastAsia="en-US"/>
            </w:rPr>
          </w:pPr>
          <w:hyperlink w:anchor="_Toc361923047" w:history="1">
            <w:r w:rsidRPr="002A0F24">
              <w:rPr>
                <w:rStyle w:val="Hyperlink"/>
                <w:noProof/>
              </w:rPr>
              <w:t>Water and sanitation</w:t>
            </w:r>
            <w:r>
              <w:rPr>
                <w:noProof/>
                <w:webHidden/>
              </w:rPr>
              <w:tab/>
            </w:r>
            <w:r>
              <w:rPr>
                <w:noProof/>
                <w:webHidden/>
              </w:rPr>
              <w:fldChar w:fldCharType="begin"/>
            </w:r>
            <w:r>
              <w:rPr>
                <w:noProof/>
                <w:webHidden/>
              </w:rPr>
              <w:instrText xml:space="preserve"> PAGEREF _Toc361923047 \h </w:instrText>
            </w:r>
            <w:r>
              <w:rPr>
                <w:noProof/>
                <w:webHidden/>
              </w:rPr>
            </w:r>
            <w:r>
              <w:rPr>
                <w:noProof/>
                <w:webHidden/>
              </w:rPr>
              <w:fldChar w:fldCharType="separate"/>
            </w:r>
            <w:r>
              <w:rPr>
                <w:noProof/>
                <w:webHidden/>
              </w:rPr>
              <w:t>6</w:t>
            </w:r>
            <w:r>
              <w:rPr>
                <w:noProof/>
                <w:webHidden/>
              </w:rPr>
              <w:fldChar w:fldCharType="end"/>
            </w:r>
          </w:hyperlink>
        </w:p>
        <w:p w:rsidR="001C49F1" w:rsidRDefault="001C49F1">
          <w:pPr>
            <w:pStyle w:val="TOC3"/>
            <w:rPr>
              <w:rFonts w:asciiTheme="minorHAnsi" w:eastAsiaTheme="minorEastAsia" w:hAnsiTheme="minorHAnsi" w:cstheme="minorBidi"/>
              <w:noProof/>
              <w:sz w:val="22"/>
              <w:szCs w:val="22"/>
              <w:lang w:val="en-US" w:eastAsia="en-US"/>
            </w:rPr>
          </w:pPr>
          <w:hyperlink w:anchor="_Toc361923048" w:history="1">
            <w:r w:rsidRPr="002A0F24">
              <w:rPr>
                <w:rStyle w:val="Hyperlink"/>
                <w:noProof/>
              </w:rPr>
              <w:t>Governance</w:t>
            </w:r>
            <w:r>
              <w:rPr>
                <w:noProof/>
                <w:webHidden/>
              </w:rPr>
              <w:tab/>
            </w:r>
            <w:r>
              <w:rPr>
                <w:noProof/>
                <w:webHidden/>
              </w:rPr>
              <w:fldChar w:fldCharType="begin"/>
            </w:r>
            <w:r>
              <w:rPr>
                <w:noProof/>
                <w:webHidden/>
              </w:rPr>
              <w:instrText xml:space="preserve"> PAGEREF _Toc361923048 \h </w:instrText>
            </w:r>
            <w:r>
              <w:rPr>
                <w:noProof/>
                <w:webHidden/>
              </w:rPr>
            </w:r>
            <w:r>
              <w:rPr>
                <w:noProof/>
                <w:webHidden/>
              </w:rPr>
              <w:fldChar w:fldCharType="separate"/>
            </w:r>
            <w:r>
              <w:rPr>
                <w:noProof/>
                <w:webHidden/>
              </w:rPr>
              <w:t>7</w:t>
            </w:r>
            <w:r>
              <w:rPr>
                <w:noProof/>
                <w:webHidden/>
              </w:rPr>
              <w:fldChar w:fldCharType="end"/>
            </w:r>
          </w:hyperlink>
        </w:p>
        <w:p w:rsidR="001C49F1" w:rsidRDefault="001C49F1">
          <w:pPr>
            <w:pStyle w:val="TOC3"/>
            <w:rPr>
              <w:rFonts w:asciiTheme="minorHAnsi" w:eastAsiaTheme="minorEastAsia" w:hAnsiTheme="minorHAnsi" w:cstheme="minorBidi"/>
              <w:noProof/>
              <w:sz w:val="22"/>
              <w:szCs w:val="22"/>
              <w:lang w:val="en-US" w:eastAsia="en-US"/>
            </w:rPr>
          </w:pPr>
          <w:hyperlink w:anchor="_Toc361923049" w:history="1">
            <w:r w:rsidRPr="002A0F24">
              <w:rPr>
                <w:rStyle w:val="Hyperlink"/>
                <w:noProof/>
              </w:rPr>
              <w:t>Human resource development and educationt</w:t>
            </w:r>
            <w:r>
              <w:rPr>
                <w:noProof/>
                <w:webHidden/>
              </w:rPr>
              <w:tab/>
            </w:r>
            <w:r>
              <w:rPr>
                <w:noProof/>
                <w:webHidden/>
              </w:rPr>
              <w:fldChar w:fldCharType="begin"/>
            </w:r>
            <w:r>
              <w:rPr>
                <w:noProof/>
                <w:webHidden/>
              </w:rPr>
              <w:instrText xml:space="preserve"> PAGEREF _Toc361923049 \h </w:instrText>
            </w:r>
            <w:r>
              <w:rPr>
                <w:noProof/>
                <w:webHidden/>
              </w:rPr>
            </w:r>
            <w:r>
              <w:rPr>
                <w:noProof/>
                <w:webHidden/>
              </w:rPr>
              <w:fldChar w:fldCharType="separate"/>
            </w:r>
            <w:r>
              <w:rPr>
                <w:noProof/>
                <w:webHidden/>
              </w:rPr>
              <w:t>8</w:t>
            </w:r>
            <w:r>
              <w:rPr>
                <w:noProof/>
                <w:webHidden/>
              </w:rPr>
              <w:fldChar w:fldCharType="end"/>
            </w:r>
          </w:hyperlink>
        </w:p>
        <w:p w:rsidR="001C49F1" w:rsidRDefault="001C49F1">
          <w:pPr>
            <w:pStyle w:val="TOC2"/>
            <w:rPr>
              <w:rFonts w:asciiTheme="minorHAnsi" w:eastAsiaTheme="minorEastAsia" w:hAnsiTheme="minorHAnsi" w:cstheme="minorBidi"/>
              <w:noProof/>
              <w:color w:val="auto"/>
              <w:sz w:val="22"/>
              <w:szCs w:val="22"/>
              <w:lang w:val="en-US" w:eastAsia="en-US"/>
            </w:rPr>
          </w:pPr>
          <w:hyperlink w:anchor="_Toc361923050" w:history="1">
            <w:r w:rsidRPr="002A0F24">
              <w:rPr>
                <w:rStyle w:val="Hyperlink"/>
                <w:noProof/>
              </w:rPr>
              <w:t>Objective 2: To enhance adaptation of communities affected by climate change through enhanced water resource management and food and energy security</w:t>
            </w:r>
            <w:r>
              <w:rPr>
                <w:noProof/>
                <w:webHidden/>
              </w:rPr>
              <w:tab/>
            </w:r>
            <w:r>
              <w:rPr>
                <w:noProof/>
                <w:webHidden/>
              </w:rPr>
              <w:fldChar w:fldCharType="begin"/>
            </w:r>
            <w:r>
              <w:rPr>
                <w:noProof/>
                <w:webHidden/>
              </w:rPr>
              <w:instrText xml:space="preserve"> PAGEREF _Toc361923050 \h </w:instrText>
            </w:r>
            <w:r>
              <w:rPr>
                <w:noProof/>
                <w:webHidden/>
              </w:rPr>
            </w:r>
            <w:r>
              <w:rPr>
                <w:noProof/>
                <w:webHidden/>
              </w:rPr>
              <w:fldChar w:fldCharType="separate"/>
            </w:r>
            <w:r>
              <w:rPr>
                <w:noProof/>
                <w:webHidden/>
              </w:rPr>
              <w:t>9</w:t>
            </w:r>
            <w:r>
              <w:rPr>
                <w:noProof/>
                <w:webHidden/>
              </w:rPr>
              <w:fldChar w:fldCharType="end"/>
            </w:r>
          </w:hyperlink>
        </w:p>
        <w:p w:rsidR="001C49F1" w:rsidRDefault="001C49F1">
          <w:pPr>
            <w:pStyle w:val="TOC3"/>
            <w:rPr>
              <w:rFonts w:asciiTheme="minorHAnsi" w:eastAsiaTheme="minorEastAsia" w:hAnsiTheme="minorHAnsi" w:cstheme="minorBidi"/>
              <w:noProof/>
              <w:sz w:val="22"/>
              <w:szCs w:val="22"/>
              <w:lang w:val="en-US" w:eastAsia="en-US"/>
            </w:rPr>
          </w:pPr>
          <w:hyperlink w:anchor="_Toc361923051" w:history="1">
            <w:r w:rsidRPr="002A0F24">
              <w:rPr>
                <w:rStyle w:val="Hyperlink"/>
                <w:noProof/>
              </w:rPr>
              <w:t>Climate change</w:t>
            </w:r>
            <w:r>
              <w:rPr>
                <w:noProof/>
                <w:webHidden/>
              </w:rPr>
              <w:tab/>
            </w:r>
            <w:r>
              <w:rPr>
                <w:noProof/>
                <w:webHidden/>
              </w:rPr>
              <w:fldChar w:fldCharType="begin"/>
            </w:r>
            <w:r>
              <w:rPr>
                <w:noProof/>
                <w:webHidden/>
              </w:rPr>
              <w:instrText xml:space="preserve"> PAGEREF _Toc361923051 \h </w:instrText>
            </w:r>
            <w:r>
              <w:rPr>
                <w:noProof/>
                <w:webHidden/>
              </w:rPr>
            </w:r>
            <w:r>
              <w:rPr>
                <w:noProof/>
                <w:webHidden/>
              </w:rPr>
              <w:fldChar w:fldCharType="separate"/>
            </w:r>
            <w:r>
              <w:rPr>
                <w:noProof/>
                <w:webHidden/>
              </w:rPr>
              <w:t>9</w:t>
            </w:r>
            <w:r>
              <w:rPr>
                <w:noProof/>
                <w:webHidden/>
              </w:rPr>
              <w:fldChar w:fldCharType="end"/>
            </w:r>
          </w:hyperlink>
        </w:p>
        <w:p w:rsidR="001C49F1" w:rsidRDefault="001C49F1">
          <w:pPr>
            <w:pStyle w:val="TOC1"/>
            <w:rPr>
              <w:rFonts w:asciiTheme="minorHAnsi" w:eastAsiaTheme="minorEastAsia" w:hAnsiTheme="minorHAnsi" w:cstheme="minorBidi"/>
              <w:noProof/>
              <w:color w:val="auto"/>
              <w:sz w:val="22"/>
              <w:szCs w:val="22"/>
              <w:lang w:val="en-US" w:eastAsia="en-US"/>
            </w:rPr>
          </w:pPr>
          <w:hyperlink w:anchor="_Toc361923052" w:history="1">
            <w:r w:rsidRPr="002A0F24">
              <w:rPr>
                <w:rStyle w:val="Hyperlink"/>
                <w:noProof/>
              </w:rPr>
              <w:t>Program quality</w:t>
            </w:r>
            <w:r>
              <w:rPr>
                <w:noProof/>
                <w:webHidden/>
              </w:rPr>
              <w:tab/>
            </w:r>
            <w:r>
              <w:rPr>
                <w:noProof/>
                <w:webHidden/>
              </w:rPr>
              <w:fldChar w:fldCharType="begin"/>
            </w:r>
            <w:r>
              <w:rPr>
                <w:noProof/>
                <w:webHidden/>
              </w:rPr>
              <w:instrText xml:space="preserve"> PAGEREF _Toc361923052 \h </w:instrText>
            </w:r>
            <w:r>
              <w:rPr>
                <w:noProof/>
                <w:webHidden/>
              </w:rPr>
            </w:r>
            <w:r>
              <w:rPr>
                <w:noProof/>
                <w:webHidden/>
              </w:rPr>
              <w:fldChar w:fldCharType="separate"/>
            </w:r>
            <w:r>
              <w:rPr>
                <w:noProof/>
                <w:webHidden/>
              </w:rPr>
              <w:t>9</w:t>
            </w:r>
            <w:r>
              <w:rPr>
                <w:noProof/>
                <w:webHidden/>
              </w:rPr>
              <w:fldChar w:fldCharType="end"/>
            </w:r>
          </w:hyperlink>
        </w:p>
        <w:p w:rsidR="001C49F1" w:rsidRDefault="001C49F1">
          <w:pPr>
            <w:pStyle w:val="TOC1"/>
            <w:rPr>
              <w:rFonts w:asciiTheme="minorHAnsi" w:eastAsiaTheme="minorEastAsia" w:hAnsiTheme="minorHAnsi" w:cstheme="minorBidi"/>
              <w:noProof/>
              <w:color w:val="auto"/>
              <w:sz w:val="22"/>
              <w:szCs w:val="22"/>
              <w:lang w:val="en-US" w:eastAsia="en-US"/>
            </w:rPr>
          </w:pPr>
          <w:hyperlink w:anchor="_Toc361923053" w:history="1">
            <w:r w:rsidRPr="002A0F24">
              <w:rPr>
                <w:rStyle w:val="Hyperlink"/>
                <w:noProof/>
              </w:rPr>
              <w:t>Next steps</w:t>
            </w:r>
            <w:r>
              <w:rPr>
                <w:noProof/>
                <w:webHidden/>
              </w:rPr>
              <w:tab/>
            </w:r>
            <w:r>
              <w:rPr>
                <w:noProof/>
                <w:webHidden/>
              </w:rPr>
              <w:fldChar w:fldCharType="begin"/>
            </w:r>
            <w:r>
              <w:rPr>
                <w:noProof/>
                <w:webHidden/>
              </w:rPr>
              <w:instrText xml:space="preserve"> PAGEREF _Toc361923053 \h </w:instrText>
            </w:r>
            <w:r>
              <w:rPr>
                <w:noProof/>
                <w:webHidden/>
              </w:rPr>
            </w:r>
            <w:r>
              <w:rPr>
                <w:noProof/>
                <w:webHidden/>
              </w:rPr>
              <w:fldChar w:fldCharType="separate"/>
            </w:r>
            <w:r>
              <w:rPr>
                <w:noProof/>
                <w:webHidden/>
              </w:rPr>
              <w:t>10</w:t>
            </w:r>
            <w:r>
              <w:rPr>
                <w:noProof/>
                <w:webHidden/>
              </w:rPr>
              <w:fldChar w:fldCharType="end"/>
            </w:r>
          </w:hyperlink>
        </w:p>
        <w:p w:rsidR="001C49F1" w:rsidRDefault="001C49F1">
          <w:r>
            <w:rPr>
              <w:b/>
              <w:bCs/>
              <w:noProof/>
            </w:rPr>
            <w:fldChar w:fldCharType="end"/>
          </w:r>
        </w:p>
      </w:sdtContent>
    </w:sdt>
    <w:p w:rsidR="001C49F1" w:rsidRDefault="001C49F1">
      <w:pPr>
        <w:rPr>
          <w:rFonts w:ascii="Georgia" w:hAnsi="Georgia"/>
          <w:sz w:val="19"/>
          <w:szCs w:val="19"/>
        </w:rPr>
      </w:pPr>
      <w:r>
        <w:br w:type="page"/>
      </w:r>
    </w:p>
    <w:p w:rsidR="00EE18AB" w:rsidRDefault="00EE18AB" w:rsidP="00EE18AB">
      <w:pPr>
        <w:pStyle w:val="BodyText"/>
      </w:pPr>
      <w:r>
        <w:lastRenderedPageBreak/>
        <w:t xml:space="preserve">Australia’s development assistance to South Asia includes bilateral programs to Bangladesh, </w:t>
      </w:r>
      <w:r w:rsidR="00FB4B5B">
        <w:t>Bhutan, India, Maldives</w:t>
      </w:r>
      <w:r>
        <w:t xml:space="preserve">, Nepal, </w:t>
      </w:r>
      <w:r w:rsidR="00FB4B5B">
        <w:t xml:space="preserve">and Sri Lanka as well as </w:t>
      </w:r>
      <w:r>
        <w:t xml:space="preserve">a regional program that targets </w:t>
      </w:r>
      <w:proofErr w:type="gramStart"/>
      <w:r>
        <w:t>challenges</w:t>
      </w:r>
      <w:proofErr w:type="gramEnd"/>
      <w:r>
        <w:t xml:space="preserve"> common to the countries in the region. This report summarises the aid program’s progress in 2010 towards the objectives of So</w:t>
      </w:r>
      <w:r w:rsidR="009000E7">
        <w:t>uth Asia regional,</w:t>
      </w:r>
      <w:r>
        <w:t xml:space="preserve"> India, Bhutan and Maldives</w:t>
      </w:r>
      <w:r w:rsidR="009000E7">
        <w:t xml:space="preserve"> programs. </w:t>
      </w:r>
      <w:r w:rsidR="00FB4B5B">
        <w:t>It</w:t>
      </w:r>
      <w:r>
        <w:t xml:space="preserve"> co</w:t>
      </w:r>
      <w:r w:rsidR="009000E7">
        <w:t>mplement</w:t>
      </w:r>
      <w:r w:rsidR="00FB4B5B">
        <w:t>s</w:t>
      </w:r>
      <w:r w:rsidR="009000E7">
        <w:t xml:space="preserve"> stand-alone reports</w:t>
      </w:r>
      <w:r>
        <w:t xml:space="preserve"> being developed for Bangladesh,</w:t>
      </w:r>
      <w:r w:rsidR="003C3DCB">
        <w:t xml:space="preserve"> </w:t>
      </w:r>
      <w:r>
        <w:t>Sri Lanka</w:t>
      </w:r>
      <w:r w:rsidR="003C3DCB">
        <w:t xml:space="preserve"> and Nepal</w:t>
      </w:r>
      <w:r>
        <w:t xml:space="preserve"> </w:t>
      </w:r>
      <w:r w:rsidR="009000E7">
        <w:t xml:space="preserve">programs </w:t>
      </w:r>
      <w:r>
        <w:t xml:space="preserve">to provide a fuller picture of Australia’s development assistance to South Asia. </w:t>
      </w:r>
      <w:r w:rsidR="00F464BC">
        <w:t>Reports on South Asia programs’ progress in previous years are available on the Australian Agency for International Development’s (</w:t>
      </w:r>
      <w:proofErr w:type="spellStart"/>
      <w:r w:rsidR="00F464BC">
        <w:t>AusAID’s</w:t>
      </w:r>
      <w:proofErr w:type="spellEnd"/>
      <w:r w:rsidR="00F464BC">
        <w:t>) website.</w:t>
      </w:r>
    </w:p>
    <w:p w:rsidR="0042107B" w:rsidRPr="00B76E5E" w:rsidRDefault="00F464BC" w:rsidP="004559D3">
      <w:pPr>
        <w:pStyle w:val="Heading1"/>
        <w:rPr>
          <w:highlight w:val="yellow"/>
        </w:rPr>
      </w:pPr>
      <w:bookmarkStart w:id="0" w:name="_Toc361923036"/>
      <w:r>
        <w:t>C</w:t>
      </w:r>
      <w:r w:rsidR="0042107B" w:rsidRPr="006D2DEC">
        <w:t>ontext</w:t>
      </w:r>
      <w:bookmarkEnd w:id="0"/>
    </w:p>
    <w:p w:rsidR="00F464BC" w:rsidRPr="00D21020" w:rsidRDefault="00F464BC" w:rsidP="00F35025">
      <w:pPr>
        <w:pStyle w:val="Heading2"/>
        <w:numPr>
          <w:ilvl w:val="0"/>
          <w:numId w:val="0"/>
        </w:numPr>
        <w:rPr>
          <w:kern w:val="28"/>
        </w:rPr>
      </w:pPr>
      <w:bookmarkStart w:id="1" w:name="_Toc361923037"/>
      <w:r w:rsidRPr="00D21020">
        <w:rPr>
          <w:kern w:val="28"/>
        </w:rPr>
        <w:t xml:space="preserve">South Asia </w:t>
      </w:r>
      <w:r w:rsidR="00FB4B5B" w:rsidRPr="00D21020">
        <w:rPr>
          <w:kern w:val="28"/>
        </w:rPr>
        <w:t>r</w:t>
      </w:r>
      <w:r w:rsidRPr="00D21020">
        <w:rPr>
          <w:kern w:val="28"/>
        </w:rPr>
        <w:t>egion</w:t>
      </w:r>
      <w:bookmarkEnd w:id="1"/>
    </w:p>
    <w:p w:rsidR="00F464BC" w:rsidRDefault="00F464BC" w:rsidP="00F464BC">
      <w:pPr>
        <w:pStyle w:val="BodyText"/>
      </w:pPr>
      <w:r>
        <w:t>South Asia’s regional growth, accelerated to an estimated 8.7</w:t>
      </w:r>
      <w:r w:rsidR="00FB4B5B">
        <w:t> </w:t>
      </w:r>
      <w:r>
        <w:t>per</w:t>
      </w:r>
      <w:r w:rsidR="005D4E52">
        <w:t xml:space="preserve"> </w:t>
      </w:r>
      <w:r>
        <w:t>cent in 2010</w:t>
      </w:r>
      <w:r w:rsidR="00CF13B5">
        <w:t>–</w:t>
      </w:r>
      <w:r w:rsidR="00D671BD">
        <w:t>11 from 7.0</w:t>
      </w:r>
      <w:r w:rsidR="00FB4B5B">
        <w:t> </w:t>
      </w:r>
      <w:r w:rsidR="00D671BD">
        <w:t>per</w:t>
      </w:r>
      <w:r w:rsidR="005D4E52">
        <w:t xml:space="preserve"> </w:t>
      </w:r>
      <w:r w:rsidR="00D671BD">
        <w:t>cent in 2009</w:t>
      </w:r>
      <w:r w:rsidR="00CF13B5">
        <w:t>–</w:t>
      </w:r>
      <w:r w:rsidR="00D671BD">
        <w:t xml:space="preserve">10. This was </w:t>
      </w:r>
      <w:r>
        <w:t>buoyed by very strong growth in India, which represents 80</w:t>
      </w:r>
      <w:r w:rsidR="00FB4B5B">
        <w:t> </w:t>
      </w:r>
      <w:r>
        <w:t>per</w:t>
      </w:r>
      <w:r w:rsidR="005D4E52">
        <w:t xml:space="preserve"> </w:t>
      </w:r>
      <w:r>
        <w:t>ce</w:t>
      </w:r>
      <w:r w:rsidR="00575599">
        <w:t>nt of regional growth. However,</w:t>
      </w:r>
      <w:r>
        <w:t xml:space="preserve"> growth </w:t>
      </w:r>
      <w:r w:rsidR="00575599">
        <w:t xml:space="preserve">in the region </w:t>
      </w:r>
      <w:r>
        <w:t xml:space="preserve">is concentrated in certain sub-regions, particularly </w:t>
      </w:r>
      <w:r w:rsidR="00FB4B5B">
        <w:t xml:space="preserve">in their </w:t>
      </w:r>
      <w:r>
        <w:t xml:space="preserve">large urban centres. </w:t>
      </w:r>
      <w:r w:rsidRPr="003E00C8">
        <w:t>Disadvantaged sub-regions with poorly connected infrastructure, trade and political arrangement</w:t>
      </w:r>
      <w:r>
        <w:t>s, vulnerable groups (</w:t>
      </w:r>
      <w:r w:rsidR="00CF13B5">
        <w:t>for example,</w:t>
      </w:r>
      <w:r>
        <w:t xml:space="preserve"> marginal ethnic and caste groups)</w:t>
      </w:r>
      <w:r w:rsidR="00D671BD">
        <w:t xml:space="preserve"> and women</w:t>
      </w:r>
      <w:r w:rsidRPr="003E00C8">
        <w:t xml:space="preserve"> are falling further behind.</w:t>
      </w:r>
      <w:r>
        <w:t xml:space="preserve"> More inclusive development is </w:t>
      </w:r>
      <w:r w:rsidR="00FB4B5B">
        <w:t xml:space="preserve">needed </w:t>
      </w:r>
      <w:r>
        <w:t xml:space="preserve">to achieve the </w:t>
      </w:r>
      <w:r w:rsidR="008E6759">
        <w:t>Millennium Development Goals</w:t>
      </w:r>
      <w:r>
        <w:t xml:space="preserve"> and support the estimated 40</w:t>
      </w:r>
      <w:r w:rsidR="00FB4B5B">
        <w:t> </w:t>
      </w:r>
      <w:r w:rsidR="005D4E52">
        <w:t>per cent</w:t>
      </w:r>
      <w:r>
        <w:t xml:space="preserve"> of the population</w:t>
      </w:r>
      <w:r w:rsidR="00FB4B5B">
        <w:t xml:space="preserve"> (</w:t>
      </w:r>
      <w:r>
        <w:t>560</w:t>
      </w:r>
      <w:r w:rsidR="00FB4B5B">
        <w:t> </w:t>
      </w:r>
      <w:r>
        <w:t>million people</w:t>
      </w:r>
      <w:r w:rsidR="00FB4B5B">
        <w:t>)</w:t>
      </w:r>
      <w:r>
        <w:t xml:space="preserve"> that still live on less than US$1.25 a</w:t>
      </w:r>
      <w:r w:rsidR="00FB4B5B">
        <w:t> </w:t>
      </w:r>
      <w:r>
        <w:t>day</w:t>
      </w:r>
      <w:r w:rsidR="00FA6F12">
        <w:t xml:space="preserve">. </w:t>
      </w:r>
    </w:p>
    <w:p w:rsidR="00F464BC" w:rsidRPr="0008534B" w:rsidRDefault="00F464BC" w:rsidP="00F464BC">
      <w:pPr>
        <w:pStyle w:val="BodyText"/>
      </w:pPr>
      <w:r>
        <w:t>Over recent years, t</w:t>
      </w:r>
      <w:r w:rsidRPr="00510258">
        <w:t xml:space="preserve">he </w:t>
      </w:r>
      <w:r w:rsidR="00FB4B5B">
        <w:t xml:space="preserve">South Asia </w:t>
      </w:r>
      <w:r w:rsidRPr="00510258">
        <w:t xml:space="preserve">region </w:t>
      </w:r>
      <w:r>
        <w:t>has made progress in meeting</w:t>
      </w:r>
      <w:r w:rsidR="00CF13B5">
        <w:t xml:space="preserve"> Millennium Development Goals</w:t>
      </w:r>
      <w:r>
        <w:t xml:space="preserve"> targets including </w:t>
      </w:r>
      <w:r w:rsidRPr="00510258">
        <w:t>reduc</w:t>
      </w:r>
      <w:r>
        <w:t>ed</w:t>
      </w:r>
      <w:r w:rsidRPr="00510258">
        <w:t xml:space="preserve"> under-five mortality</w:t>
      </w:r>
      <w:r>
        <w:t xml:space="preserve"> rates,</w:t>
      </w:r>
      <w:r w:rsidRPr="00510258">
        <w:t xml:space="preserve"> </w:t>
      </w:r>
      <w:r>
        <w:t>increased</w:t>
      </w:r>
      <w:r w:rsidRPr="00510258">
        <w:t xml:space="preserve"> school enrolments and</w:t>
      </w:r>
      <w:r>
        <w:t xml:space="preserve"> improved</w:t>
      </w:r>
      <w:r w:rsidRPr="00510258">
        <w:t xml:space="preserve"> gender equality in primary and secondary schools. However, many challenges remain. South</w:t>
      </w:r>
      <w:r>
        <w:t> </w:t>
      </w:r>
      <w:r w:rsidRPr="00510258">
        <w:t>Asia has both the highest rates and the largest numbers of malnourished children</w:t>
      </w:r>
      <w:r w:rsidR="00575599">
        <w:t xml:space="preserve"> in the world</w:t>
      </w:r>
      <w:r w:rsidRPr="00510258">
        <w:t>. Maternal mortality rates are high in India, Bangladesh and Nepal and the majority of births are not attended by skilled health professionals.</w:t>
      </w:r>
      <w:r>
        <w:t xml:space="preserve"> </w:t>
      </w:r>
      <w:r w:rsidRPr="00510258">
        <w:t xml:space="preserve">Women have only half as many years of schooling as men and almost half </w:t>
      </w:r>
      <w:r>
        <w:t xml:space="preserve">of </w:t>
      </w:r>
      <w:r w:rsidRPr="00510258">
        <w:t>the adult women in South</w:t>
      </w:r>
      <w:r>
        <w:t> </w:t>
      </w:r>
      <w:r w:rsidRPr="00510258">
        <w:t xml:space="preserve">Asia are illiterate. Dropout rates for girls across the region are higher than those </w:t>
      </w:r>
      <w:r w:rsidR="00FB4B5B">
        <w:t>for</w:t>
      </w:r>
      <w:r w:rsidR="00FB4B5B" w:rsidRPr="00510258">
        <w:t xml:space="preserve"> </w:t>
      </w:r>
      <w:r w:rsidRPr="00510258">
        <w:t xml:space="preserve">boys. </w:t>
      </w:r>
      <w:r w:rsidRPr="006F1E4B">
        <w:t>More than 900</w:t>
      </w:r>
      <w:r w:rsidR="00FB4B5B">
        <w:t> </w:t>
      </w:r>
      <w:r w:rsidRPr="006F1E4B">
        <w:t xml:space="preserve">million people (66 per cent of total population) </w:t>
      </w:r>
      <w:r w:rsidR="00FB4B5B">
        <w:t>live</w:t>
      </w:r>
      <w:r w:rsidR="00FB4B5B" w:rsidRPr="006F1E4B">
        <w:t xml:space="preserve"> </w:t>
      </w:r>
      <w:r w:rsidRPr="006F1E4B">
        <w:t xml:space="preserve">without access to adequate sanitation. In rural areas </w:t>
      </w:r>
      <w:r w:rsidR="00FB4B5B">
        <w:t>,</w:t>
      </w:r>
      <w:r w:rsidRPr="006F1E4B">
        <w:t xml:space="preserve">76 per cent of </w:t>
      </w:r>
      <w:r w:rsidR="00FB4B5B">
        <w:t xml:space="preserve">the </w:t>
      </w:r>
      <w:r w:rsidRPr="006F1E4B">
        <w:t>population do not use improved sanitation and in urban areas the figure is 34 per cent</w:t>
      </w:r>
      <w:r w:rsidR="00CF13B5">
        <w:t>.</w:t>
      </w:r>
      <w:r>
        <w:rPr>
          <w:rStyle w:val="FootnoteReference"/>
        </w:rPr>
        <w:footnoteReference w:id="2"/>
      </w:r>
      <w:r>
        <w:t xml:space="preserve"> The threat of HIV/AIDs is an area of emerging concern with high-risk behaviours and infection rates growing i</w:t>
      </w:r>
      <w:r w:rsidR="008E6759">
        <w:t>n parts of the region</w:t>
      </w:r>
      <w:r w:rsidR="00FA6F12">
        <w:t xml:space="preserve">. </w:t>
      </w:r>
    </w:p>
    <w:p w:rsidR="00F464BC" w:rsidRPr="000D0020" w:rsidRDefault="00F464BC" w:rsidP="00F464BC">
      <w:pPr>
        <w:pStyle w:val="BodyText"/>
        <w:rPr>
          <w:lang w:val="en-US"/>
        </w:rPr>
      </w:pPr>
      <w:r w:rsidRPr="000D0020">
        <w:rPr>
          <w:lang w:val="en"/>
        </w:rPr>
        <w:t xml:space="preserve">There is growing recognition that regional cooperation through trade, economic integration and management of shared water resources could spur even faster growth in South Asia, reduce the gap between leading and lagging regions and reduce vulnerabilities for the poor. However, political currents in South Asia are hindering effective regional cooperation. </w:t>
      </w:r>
      <w:r w:rsidRPr="000D0020">
        <w:rPr>
          <w:lang w:val="en-US"/>
        </w:rPr>
        <w:t>South</w:t>
      </w:r>
      <w:r w:rsidR="00FB4B5B">
        <w:rPr>
          <w:lang w:val="en-US"/>
        </w:rPr>
        <w:t> </w:t>
      </w:r>
      <w:r w:rsidRPr="000D0020">
        <w:rPr>
          <w:lang w:val="en-US"/>
        </w:rPr>
        <w:t>Asia remains the least integrated region in the world. Intra-regional trade accounts for about 5</w:t>
      </w:r>
      <w:r w:rsidR="00791102">
        <w:rPr>
          <w:lang w:val="en-US"/>
        </w:rPr>
        <w:t> </w:t>
      </w:r>
      <w:r w:rsidRPr="000D0020">
        <w:rPr>
          <w:lang w:val="en-US"/>
        </w:rPr>
        <w:t xml:space="preserve">per cent of trade </w:t>
      </w:r>
      <w:r w:rsidR="008E6759" w:rsidRPr="00791102">
        <w:rPr>
          <w:lang w:val="en-US"/>
        </w:rPr>
        <w:t xml:space="preserve">in </w:t>
      </w:r>
      <w:r w:rsidR="008E6759" w:rsidRPr="009E1CF0">
        <w:rPr>
          <w:lang w:val="en-US"/>
        </w:rPr>
        <w:t>South Asia</w:t>
      </w:r>
      <w:r w:rsidR="00791102" w:rsidRPr="009E1CF0">
        <w:rPr>
          <w:rStyle w:val="FootnoteReference"/>
          <w:lang w:val="en-US"/>
        </w:rPr>
        <w:footnoteReference w:id="3"/>
      </w:r>
      <w:r w:rsidRPr="009E1CF0">
        <w:rPr>
          <w:lang w:val="en-US"/>
        </w:rPr>
        <w:t>, compared</w:t>
      </w:r>
      <w:r w:rsidRPr="00791102">
        <w:rPr>
          <w:lang w:val="en-US"/>
        </w:rPr>
        <w:t xml:space="preserve"> t</w:t>
      </w:r>
      <w:r w:rsidRPr="000D0020">
        <w:rPr>
          <w:lang w:val="en-US"/>
        </w:rPr>
        <w:t xml:space="preserve">o more than 20 per cent for East Asia. The South Asian Association for Regional Cooperation is the main driver of enhanced economic cooperation and trade. However, its effectiveness continues to be constrained by technical </w:t>
      </w:r>
      <w:r w:rsidRPr="000D0020">
        <w:rPr>
          <w:lang w:val="en-US"/>
        </w:rPr>
        <w:lastRenderedPageBreak/>
        <w:t>capacity, the dominance of India, restrictive border policies and regional disputes</w:t>
      </w:r>
      <w:r w:rsidR="00791102">
        <w:rPr>
          <w:lang w:val="en-US"/>
        </w:rPr>
        <w:t>,</w:t>
      </w:r>
      <w:r w:rsidRPr="000D0020">
        <w:rPr>
          <w:lang w:val="en-US"/>
        </w:rPr>
        <w:t xml:space="preserve"> such as conflict between India and Pakistan over Kashmir.</w:t>
      </w:r>
    </w:p>
    <w:p w:rsidR="00F464BC" w:rsidRDefault="00F464BC" w:rsidP="00F464BC">
      <w:pPr>
        <w:pStyle w:val="BodyText"/>
      </w:pPr>
      <w:r>
        <w:t>Climate change is predicted to cause greater variability in the timing and</w:t>
      </w:r>
      <w:r w:rsidR="008E6759">
        <w:t xml:space="preserve"> intensity of the </w:t>
      </w:r>
      <w:r w:rsidR="00791102">
        <w:t xml:space="preserve">annual </w:t>
      </w:r>
      <w:r w:rsidR="008E6759">
        <w:t>monsoon. This</w:t>
      </w:r>
      <w:r>
        <w:t xml:space="preserve"> will cause uncertainty about the frequency and intensity of floods, contribute to faster melting of glaciers in the Himalayas and inc</w:t>
      </w:r>
      <w:r w:rsidR="008E6759">
        <w:t>rease the intensity of droughts, leading</w:t>
      </w:r>
      <w:r>
        <w:t xml:space="preserve"> to a rapid depletion of ground water resources. </w:t>
      </w:r>
      <w:r w:rsidR="008E6759">
        <w:t>Climate change</w:t>
      </w:r>
      <w:r>
        <w:t xml:space="preserve"> </w:t>
      </w:r>
      <w:r w:rsidR="008E6759">
        <w:t xml:space="preserve">also </w:t>
      </w:r>
      <w:r>
        <w:t xml:space="preserve">has the potential </w:t>
      </w:r>
      <w:bookmarkStart w:id="2" w:name="_GoBack"/>
      <w:r>
        <w:t>to exacerbate</w:t>
      </w:r>
      <w:r w:rsidRPr="00525477">
        <w:t xml:space="preserve"> water and food security, increase the frequency and scale of natural disasters </w:t>
      </w:r>
      <w:bookmarkEnd w:id="2"/>
      <w:r w:rsidRPr="00525477">
        <w:t xml:space="preserve">and result in the displacement of </w:t>
      </w:r>
      <w:r>
        <w:t xml:space="preserve">greater numbers of </w:t>
      </w:r>
      <w:r w:rsidRPr="00525477">
        <w:t>vulnerable people.</w:t>
      </w:r>
    </w:p>
    <w:p w:rsidR="00502128" w:rsidRDefault="008E6759" w:rsidP="00502128">
      <w:pPr>
        <w:pStyle w:val="BodyText"/>
      </w:pPr>
      <w:r>
        <w:t>Rapid urbanis</w:t>
      </w:r>
      <w:r w:rsidR="00502128">
        <w:t>ation trends seen across much of the world are also evident in South Asia. It is estimated tha</w:t>
      </w:r>
      <w:r w:rsidR="0064762E">
        <w:t>t by the middle of this century</w:t>
      </w:r>
      <w:r w:rsidR="00502128">
        <w:t xml:space="preserve"> at least 50 per</w:t>
      </w:r>
      <w:r w:rsidR="005D4E52">
        <w:t xml:space="preserve"> </w:t>
      </w:r>
      <w:r w:rsidR="00502128">
        <w:t>cent of the South Asia population</w:t>
      </w:r>
      <w:r w:rsidR="00791102">
        <w:t>,</w:t>
      </w:r>
      <w:r w:rsidR="00502128">
        <w:t xml:space="preserve"> or 1.2</w:t>
      </w:r>
      <w:r w:rsidR="00791102">
        <w:t> </w:t>
      </w:r>
      <w:r w:rsidR="00502128">
        <w:t>billion people</w:t>
      </w:r>
      <w:r w:rsidR="00791102">
        <w:t>,</w:t>
      </w:r>
      <w:r w:rsidR="00502128">
        <w:t xml:space="preserve"> will resid</w:t>
      </w:r>
      <w:r w:rsidR="00791102">
        <w:t>e</w:t>
      </w:r>
      <w:r w:rsidR="00502128">
        <w:t xml:space="preserve"> in urban areas in the region</w:t>
      </w:r>
      <w:r w:rsidR="00502128" w:rsidRPr="002D1281">
        <w:t xml:space="preserve">. </w:t>
      </w:r>
      <w:r w:rsidR="00502128">
        <w:t xml:space="preserve">The fast growth of cities will strain their capacity to provide services such as energy, education, health care, transportation, water, sanitation and physical security. There will be a </w:t>
      </w:r>
      <w:r w:rsidR="00502128" w:rsidRPr="002D1281">
        <w:t>need to create quality jobs</w:t>
      </w:r>
      <w:r w:rsidR="00502128">
        <w:t xml:space="preserve"> for people moving to urban areas</w:t>
      </w:r>
      <w:r w:rsidR="00502128" w:rsidRPr="002D1281">
        <w:t>.</w:t>
      </w:r>
      <w:r w:rsidR="00502128">
        <w:t xml:space="preserve"> One </w:t>
      </w:r>
      <w:r w:rsidR="00502128" w:rsidRPr="002D1281">
        <w:t xml:space="preserve">million people in South Asia are </w:t>
      </w:r>
      <w:r w:rsidR="00502128">
        <w:t>e</w:t>
      </w:r>
      <w:r w:rsidR="00502128" w:rsidRPr="002D1281">
        <w:t>xpected to join the labo</w:t>
      </w:r>
      <w:r w:rsidR="00502128">
        <w:t>u</w:t>
      </w:r>
      <w:r w:rsidR="00502128" w:rsidRPr="002D1281">
        <w:t>r force each month for the next two decades and many of these people will live in urban areas.</w:t>
      </w:r>
    </w:p>
    <w:p w:rsidR="00F464BC" w:rsidRDefault="00EC65F4" w:rsidP="003935DA">
      <w:pPr>
        <w:pStyle w:val="Heading2"/>
      </w:pPr>
      <w:bookmarkStart w:id="3" w:name="_Toc361923038"/>
      <w:r>
        <w:t>India</w:t>
      </w:r>
      <w:bookmarkEnd w:id="3"/>
    </w:p>
    <w:p w:rsidR="00F464BC" w:rsidRDefault="00F464BC" w:rsidP="00F464BC">
      <w:pPr>
        <w:pStyle w:val="BodyText"/>
      </w:pPr>
      <w:r w:rsidRPr="001167B3">
        <w:t>India has emerged</w:t>
      </w:r>
      <w:r>
        <w:t xml:space="preserve"> as a global economic power</w:t>
      </w:r>
      <w:r w:rsidR="002F10FC">
        <w:t>, as well as an emerging donor</w:t>
      </w:r>
      <w:r>
        <w:t xml:space="preserve">. Strong </w:t>
      </w:r>
      <w:r w:rsidR="002F10FC">
        <w:t xml:space="preserve">economic </w:t>
      </w:r>
      <w:r>
        <w:t xml:space="preserve">growth </w:t>
      </w:r>
      <w:r w:rsidR="002F10FC">
        <w:t xml:space="preserve">has </w:t>
      </w:r>
      <w:r>
        <w:t>reduced the proportion of people living in poverty</w:t>
      </w:r>
      <w:r w:rsidR="002F10FC">
        <w:t xml:space="preserve"> and </w:t>
      </w:r>
      <w:r w:rsidR="00791102">
        <w:t xml:space="preserve">enabled </w:t>
      </w:r>
      <w:r w:rsidR="002F10FC">
        <w:t>India to increase its support to its neighbouring countries</w:t>
      </w:r>
      <w:r>
        <w:t>. India’s U</w:t>
      </w:r>
      <w:r w:rsidR="00791102">
        <w:t xml:space="preserve">nited </w:t>
      </w:r>
      <w:r>
        <w:t>N</w:t>
      </w:r>
      <w:r w:rsidR="00791102">
        <w:t>ations</w:t>
      </w:r>
      <w:r>
        <w:t xml:space="preserve"> Human Development Index ranking jumped from 13</w:t>
      </w:r>
      <w:r w:rsidR="00575599">
        <w:t>4 in 2009 to 119 in</w:t>
      </w:r>
      <w:r>
        <w:t xml:space="preserve"> 2010 reflecting improvements in health, education and other measures of wellbeing. While this is encouraging, serious disparities remain based on gender, ethnic, caste and regional factors. </w:t>
      </w:r>
      <w:r w:rsidR="002F10FC">
        <w:t>Achieving inclusive growth remains a priority for the Government, with around 460</w:t>
      </w:r>
      <w:r w:rsidR="00791102">
        <w:t> </w:t>
      </w:r>
      <w:r w:rsidR="002F10FC">
        <w:t xml:space="preserve">million Indians living on less than $US2 </w:t>
      </w:r>
      <w:r w:rsidR="00791102">
        <w:t xml:space="preserve">a </w:t>
      </w:r>
      <w:r w:rsidR="002F10FC">
        <w:t>day.</w:t>
      </w:r>
    </w:p>
    <w:p w:rsidR="00F464BC" w:rsidRDefault="00F464BC" w:rsidP="00D21020">
      <w:pPr>
        <w:pStyle w:val="BodyText"/>
      </w:pPr>
      <w:r>
        <w:t>Climate change is predicted to lead to more floods and droughts in the country, causing serious impacts on Indian agriculture, water resources and public health. Such impacts will hit the poor hardest. Agricultural production in India’s food bowl, the Indo-</w:t>
      </w:r>
      <w:proofErr w:type="spellStart"/>
      <w:r>
        <w:t>Gangetic</w:t>
      </w:r>
      <w:proofErr w:type="spellEnd"/>
      <w:r>
        <w:t xml:space="preserve"> plain</w:t>
      </w:r>
      <w:r w:rsidR="0064762E">
        <w:t>,</w:t>
      </w:r>
      <w:r>
        <w:t xml:space="preserve"> will be seriously undermined by variability in water flows in the Ganges. India’s growth depends on reliable, affordable energy, but the rising demand for electricity is also adding to the demand for water from power stations. India</w:t>
      </w:r>
      <w:r w:rsidR="002F10FC">
        <w:t xml:space="preserve"> recognis</w:t>
      </w:r>
      <w:r>
        <w:t>es it must take a low-carbon development path to avoid exacerbating the impacts of climate change</w:t>
      </w:r>
      <w:r w:rsidR="009E1CF0">
        <w:t>.</w:t>
      </w:r>
    </w:p>
    <w:p w:rsidR="00D21020" w:rsidRDefault="00D21020">
      <w:pPr>
        <w:rPr>
          <w:rFonts w:ascii="Franklin Gothic Medium" w:hAnsi="Franklin Gothic Medium"/>
          <w:color w:val="5A9A98"/>
          <w:sz w:val="24"/>
        </w:rPr>
      </w:pPr>
      <w:r>
        <w:br w:type="page"/>
      </w:r>
    </w:p>
    <w:p w:rsidR="00EC65F4" w:rsidRPr="008F5127" w:rsidRDefault="00EC65F4" w:rsidP="00E97FD5">
      <w:pPr>
        <w:pStyle w:val="Heading2"/>
      </w:pPr>
      <w:bookmarkStart w:id="4" w:name="_Toc361923039"/>
      <w:r w:rsidRPr="008F5127">
        <w:lastRenderedPageBreak/>
        <w:t>Maldives and Bhutan</w:t>
      </w:r>
      <w:bookmarkEnd w:id="4"/>
    </w:p>
    <w:p w:rsidR="00E97FD5" w:rsidRDefault="00F464BC" w:rsidP="00E97FD5">
      <w:pPr>
        <w:pStyle w:val="BodyText"/>
      </w:pPr>
      <w:r w:rsidRPr="008F5127">
        <w:t>Both the Maldives and Bhutan are registering steady progress in social and economic indicators. They are transitioning from least developed to middle</w:t>
      </w:r>
      <w:r w:rsidR="00791102">
        <w:t>-</w:t>
      </w:r>
      <w:r w:rsidRPr="008F5127">
        <w:t xml:space="preserve">income status. Nevertheless, common challenges remain. Economic development continues to rely on </w:t>
      </w:r>
      <w:r>
        <w:t xml:space="preserve">a </w:t>
      </w:r>
      <w:r w:rsidRPr="008F5127">
        <w:t xml:space="preserve">narrow sectoral base. </w:t>
      </w:r>
      <w:r>
        <w:t xml:space="preserve">As young democracies, democratic processes </w:t>
      </w:r>
      <w:r w:rsidR="00791102">
        <w:t xml:space="preserve">are still </w:t>
      </w:r>
      <w:r>
        <w:t>fragile and b</w:t>
      </w:r>
      <w:r w:rsidRPr="008F5127">
        <w:t xml:space="preserve">oth countries are trying to reform their governance institutions. Environmental vulnerability </w:t>
      </w:r>
      <w:r w:rsidRPr="00541AD7">
        <w:t>remains a</w:t>
      </w:r>
      <w:r>
        <w:t>n issue, underscoring the need to mitigate the impact of</w:t>
      </w:r>
      <w:r w:rsidRPr="00541AD7">
        <w:t xml:space="preserve"> climate change. Continued social and economic development is affected by a shortage o</w:t>
      </w:r>
      <w:r>
        <w:t>f skills with b</w:t>
      </w:r>
      <w:r w:rsidRPr="00541AD7">
        <w:t>oth countries rely</w:t>
      </w:r>
      <w:r>
        <w:t>ing</w:t>
      </w:r>
      <w:r w:rsidRPr="00541AD7">
        <w:t xml:space="preserve"> heavily on foreign labour. Education systems do not produce enough quality skilled workers</w:t>
      </w:r>
      <w:r>
        <w:t xml:space="preserve"> geared towards the needs of labour markets</w:t>
      </w:r>
      <w:r w:rsidRPr="00541AD7">
        <w:t xml:space="preserve">. Youth unemployment is </w:t>
      </w:r>
      <w:r>
        <w:t xml:space="preserve">also </w:t>
      </w:r>
      <w:r w:rsidRPr="00541AD7">
        <w:t>a common development challenge.</w:t>
      </w:r>
      <w:r w:rsidR="00276452">
        <w:t xml:space="preserve"> </w:t>
      </w:r>
    </w:p>
    <w:p w:rsidR="00F464BC" w:rsidRDefault="00E97FD5" w:rsidP="00E97FD5">
      <w:pPr>
        <w:pStyle w:val="Heading2"/>
      </w:pPr>
      <w:bookmarkStart w:id="5" w:name="_Toc361923040"/>
      <w:r>
        <w:t>A</w:t>
      </w:r>
      <w:r w:rsidR="00244E81" w:rsidRPr="002F10FC">
        <w:t>ustralian aid through the</w:t>
      </w:r>
      <w:r w:rsidR="00F464BC" w:rsidRPr="002F10FC">
        <w:t xml:space="preserve"> South Asia Region</w:t>
      </w:r>
      <w:r w:rsidR="005C51C5" w:rsidRPr="002F10FC">
        <w:t>al</w:t>
      </w:r>
      <w:r w:rsidR="00F464BC" w:rsidRPr="002F10FC">
        <w:t>, India, Maldives and Bhutan</w:t>
      </w:r>
      <w:r w:rsidR="00244E81">
        <w:t xml:space="preserve"> programs</w:t>
      </w:r>
      <w:bookmarkEnd w:id="5"/>
    </w:p>
    <w:p w:rsidR="00F464BC" w:rsidRDefault="00F464BC" w:rsidP="00E97FD5">
      <w:pPr>
        <w:pStyle w:val="BodyText"/>
      </w:pPr>
      <w:r>
        <w:t>The South Asia regional program targets major challenges common to the countries of South Asia</w:t>
      </w:r>
      <w:r w:rsidR="0064762E">
        <w:t>. This includes issues such as</w:t>
      </w:r>
      <w:r>
        <w:t xml:space="preserve"> climate change, water resource management, strengthening economic management and tackling HIV/AIDS. The development of a new South Asia regional strategy in 2011 will provide the opportunity to further refine </w:t>
      </w:r>
      <w:proofErr w:type="spellStart"/>
      <w:r>
        <w:t>transboundary</w:t>
      </w:r>
      <w:proofErr w:type="spellEnd"/>
      <w:r>
        <w:t xml:space="preserve"> priorities (</w:t>
      </w:r>
      <w:r w:rsidR="00CF13B5">
        <w:t>for example,</w:t>
      </w:r>
      <w:r>
        <w:t xml:space="preserve"> water resou</w:t>
      </w:r>
      <w:r w:rsidR="00D671BD">
        <w:t>rce management</w:t>
      </w:r>
      <w:r>
        <w:t xml:space="preserve"> and regional integration) where Australia can add value.</w:t>
      </w:r>
    </w:p>
    <w:p w:rsidR="002F10FC" w:rsidRPr="00836E25" w:rsidRDefault="001534DC" w:rsidP="002F10FC">
      <w:pPr>
        <w:pStyle w:val="BodyText"/>
      </w:pPr>
      <w:r>
        <w:t xml:space="preserve">In 2010, </w:t>
      </w:r>
      <w:r w:rsidR="00F464BC" w:rsidRPr="002F10FC">
        <w:t>Australia, drawing on its experie</w:t>
      </w:r>
      <w:r w:rsidR="0064762E">
        <w:t>n</w:t>
      </w:r>
      <w:r>
        <w:t>ce and scientific expertise, was</w:t>
      </w:r>
      <w:r w:rsidR="00F464BC" w:rsidRPr="002F10FC">
        <w:t xml:space="preserve"> refocusing its development program in India towards increased support for technical exchange on renewable energy, energy efficiency and water resource management</w:t>
      </w:r>
      <w:r>
        <w:t>.</w:t>
      </w:r>
    </w:p>
    <w:p w:rsidR="00F464BC" w:rsidRPr="00396FBC" w:rsidRDefault="00F464BC" w:rsidP="00F464BC">
      <w:pPr>
        <w:pStyle w:val="BodyText"/>
      </w:pPr>
      <w:r>
        <w:t xml:space="preserve">The scholarships program, through Australia Awards, </w:t>
      </w:r>
      <w:r w:rsidR="00C31465">
        <w:t xml:space="preserve">is </w:t>
      </w:r>
      <w:r>
        <w:t>the major focus of Australia’s aid to the Maldives and Bhutan. In the Maldives, Australia</w:t>
      </w:r>
      <w:r w:rsidR="00C31465">
        <w:t xml:space="preserve"> also provides</w:t>
      </w:r>
      <w:r>
        <w:t xml:space="preserve"> assistance for climate change, civil society development and governance. In Bhutan, Australia contributes to the World Food Programme’s school</w:t>
      </w:r>
      <w:r w:rsidR="00C31465">
        <w:t>-</w:t>
      </w:r>
      <w:r>
        <w:t>feeding program and supports governance and capacity building under the South Asia Public Sector Linkages Program (PSLP). A small amount of humanitarian assistance has been provided for post-tsunami reconstruction in the Maldives and post-earthquake reconstruction in Bhutan.</w:t>
      </w:r>
    </w:p>
    <w:p w:rsidR="00C31465" w:rsidRDefault="00C31465" w:rsidP="00C31465">
      <w:pPr>
        <w:pStyle w:val="Heading1"/>
      </w:pPr>
      <w:bookmarkStart w:id="6" w:name="_Toc361923041"/>
      <w:r>
        <w:t>Program objectives</w:t>
      </w:r>
      <w:bookmarkEnd w:id="6"/>
    </w:p>
    <w:p w:rsidR="008C6CE2" w:rsidRDefault="004C4C56" w:rsidP="008C6CE2">
      <w:pPr>
        <w:pStyle w:val="BodyText"/>
      </w:pPr>
      <w:r>
        <w:t>In 2010</w:t>
      </w:r>
      <w:r w:rsidR="000A1AE1">
        <w:t>,</w:t>
      </w:r>
      <w:r>
        <w:t xml:space="preserve"> there was an absence of formalised</w:t>
      </w:r>
      <w:r w:rsidR="000E47B7">
        <w:t xml:space="preserve"> strategies for the South Asia r</w:t>
      </w:r>
      <w:r>
        <w:t>egional, India, Maldives and Bhutan programs. The previous South Asia Str</w:t>
      </w:r>
      <w:r w:rsidR="003C3DCB">
        <w:t>ategy which covered South Asia r</w:t>
      </w:r>
      <w:r>
        <w:t>egional, India, Maldives and Bhutan as well as Bangladesh, Sri Lanka and Nepal programs had expired and new stand-alone strategies were being developed for each of the bilateral and the regional program.  As a consequen</w:t>
      </w:r>
      <w:r w:rsidR="000A1AE1">
        <w:t>ce, Australian aid through the</w:t>
      </w:r>
      <w:r>
        <w:t xml:space="preserve"> </w:t>
      </w:r>
      <w:r w:rsidR="003C3DCB">
        <w:t>South Asia r</w:t>
      </w:r>
      <w:r w:rsidR="000A1AE1">
        <w:t xml:space="preserve">egional, India, Maldives and Bhutan </w:t>
      </w:r>
      <w:r>
        <w:t>programs</w:t>
      </w:r>
      <w:r w:rsidR="003C3DCB">
        <w:t xml:space="preserve"> in 2010 </w:t>
      </w:r>
      <w:r w:rsidR="008C6CE2">
        <w:t>was assessed against two interim objective</w:t>
      </w:r>
      <w:r w:rsidR="000A1AE1">
        <w:t>s. These are</w:t>
      </w:r>
      <w:r>
        <w:t xml:space="preserve"> a description of general intent rather than statement</w:t>
      </w:r>
      <w:r w:rsidR="00BB4343">
        <w:t>s of measurable outcomes</w:t>
      </w:r>
      <w:r w:rsidR="000A1AE1">
        <w:t>:</w:t>
      </w:r>
    </w:p>
    <w:p w:rsidR="008C6CE2" w:rsidRDefault="00BB4343" w:rsidP="00553825">
      <w:pPr>
        <w:pStyle w:val="ListBullet"/>
        <w:numPr>
          <w:ilvl w:val="0"/>
          <w:numId w:val="16"/>
        </w:numPr>
        <w:spacing w:before="0" w:after="0"/>
      </w:pPr>
      <w:r>
        <w:t>To promote</w:t>
      </w:r>
      <w:r w:rsidR="008C6CE2">
        <w:t xml:space="preserve"> inclusive economic and social development through improved access to quality basic services; and </w:t>
      </w:r>
    </w:p>
    <w:p w:rsidR="008C6CE2" w:rsidRDefault="00BB4343" w:rsidP="00D21020">
      <w:pPr>
        <w:pStyle w:val="ListBullet"/>
        <w:numPr>
          <w:ilvl w:val="0"/>
          <w:numId w:val="16"/>
        </w:numPr>
        <w:spacing w:before="0" w:after="0"/>
      </w:pPr>
      <w:r>
        <w:t>To enhance</w:t>
      </w:r>
      <w:r w:rsidR="008C6CE2">
        <w:t xml:space="preserve"> adaptation of communities affected by climate change through improved water resources management and food and energy security. </w:t>
      </w:r>
    </w:p>
    <w:p w:rsidR="00D21020" w:rsidRDefault="00D21020">
      <w:pPr>
        <w:rPr>
          <w:rFonts w:ascii="Franklin Gothic Medium" w:hAnsi="Franklin Gothic Medium"/>
          <w:color w:val="5A9A98"/>
          <w:sz w:val="24"/>
        </w:rPr>
      </w:pPr>
      <w:r>
        <w:br w:type="page"/>
      </w:r>
    </w:p>
    <w:p w:rsidR="00C31465" w:rsidRDefault="00C31465" w:rsidP="00C31465">
      <w:pPr>
        <w:pStyle w:val="Heading2"/>
        <w:tabs>
          <w:tab w:val="left" w:pos="1920"/>
        </w:tabs>
        <w:spacing w:before="0" w:after="120" w:line="320" w:lineRule="atLeast"/>
      </w:pPr>
      <w:bookmarkStart w:id="7" w:name="_Toc361923042"/>
      <w:r w:rsidRPr="00A6320C">
        <w:lastRenderedPageBreak/>
        <w:t>Expenditure</w:t>
      </w:r>
      <w:bookmarkEnd w:id="7"/>
    </w:p>
    <w:p w:rsidR="00BB4343" w:rsidRDefault="00BB4343" w:rsidP="00BB4343">
      <w:pPr>
        <w:pStyle w:val="BodyText"/>
      </w:pPr>
      <w:r>
        <w:t xml:space="preserve">Table 1 </w:t>
      </w:r>
      <w:proofErr w:type="gramStart"/>
      <w:r>
        <w:t>shows</w:t>
      </w:r>
      <w:proofErr w:type="gramEnd"/>
      <w:r>
        <w:t xml:space="preserve"> that $15.27 million was expended on promoting inclusive economic and social development through improved access to quality basic services and $1.5 million on enhancing adaptation of communities affected by climate change through improved water resources management and food and energy secur</w:t>
      </w:r>
      <w:r w:rsidR="00E73B28">
        <w:t>ity. This represents 91% and 8.9</w:t>
      </w:r>
      <w:r>
        <w:t>% respectively of the total expenditu</w:t>
      </w:r>
      <w:r w:rsidR="003C3DCB">
        <w:t>re for the South Asia r</w:t>
      </w:r>
      <w:r>
        <w:t>egional, India, Maldives and Bhutan programs</w:t>
      </w:r>
      <w:r w:rsidR="00E73B28">
        <w:t xml:space="preserve"> reported in this publication</w:t>
      </w:r>
      <w:r>
        <w:t>.</w:t>
      </w:r>
    </w:p>
    <w:p w:rsidR="005A7F43" w:rsidRPr="003935DA" w:rsidRDefault="005A7F43" w:rsidP="00417D74">
      <w:pPr>
        <w:pStyle w:val="Caption"/>
      </w:pPr>
      <w:r w:rsidRPr="003935DA">
        <w:t xml:space="preserve">Table </w:t>
      </w:r>
      <w:r w:rsidR="00945751" w:rsidRPr="003935DA">
        <w:t>1</w:t>
      </w:r>
      <w:r w:rsidRPr="003935DA">
        <w:t>: Estimated expenditure</w:t>
      </w:r>
      <w:r w:rsidR="00945751" w:rsidRPr="003935DA">
        <w:t xml:space="preserve"> under the South Asia regional, India, Maldives and Bhutan programs</w:t>
      </w:r>
      <w:r w:rsidRPr="003935DA">
        <w:t xml:space="preserve"> in 2010</w:t>
      </w:r>
      <w:r w:rsidR="00CF13B5" w:rsidRPr="003935DA">
        <w:t>–</w:t>
      </w:r>
      <w:r w:rsidRPr="003935DA">
        <w:t>11</w:t>
      </w:r>
    </w:p>
    <w:tbl>
      <w:tblPr>
        <w:tblW w:w="0" w:type="auto"/>
        <w:tblInd w:w="57" w:type="dxa"/>
        <w:tblLayout w:type="fixed"/>
        <w:tblLook w:val="0000" w:firstRow="0" w:lastRow="0" w:firstColumn="0" w:lastColumn="0" w:noHBand="0" w:noVBand="0"/>
      </w:tblPr>
      <w:tblGrid>
        <w:gridCol w:w="5683"/>
        <w:gridCol w:w="1127"/>
        <w:gridCol w:w="1128"/>
      </w:tblGrid>
      <w:tr w:rsidR="005A7F43" w:rsidRPr="00575FAD" w:rsidTr="001C49F1">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5A7F43" w:rsidRPr="00575FAD" w:rsidRDefault="005A7F43" w:rsidP="009813CC">
            <w:pPr>
              <w:pStyle w:val="TableDataColumnHeading"/>
              <w:jc w:val="left"/>
            </w:pPr>
            <w:r w:rsidRPr="00575FAD">
              <w:t>Objective</w:t>
            </w:r>
            <w:r w:rsidR="00575FAD" w:rsidRPr="00575FAD">
              <w:t xml:space="preserve">  </w:t>
            </w:r>
          </w:p>
        </w:tc>
        <w:tc>
          <w:tcPr>
            <w:tcW w:w="1127" w:type="dxa"/>
            <w:tcBorders>
              <w:top w:val="single" w:sz="12" w:space="0" w:color="auto"/>
              <w:bottom w:val="single" w:sz="2" w:space="0" w:color="auto"/>
            </w:tcBorders>
            <w:shd w:val="clear" w:color="auto" w:fill="auto"/>
            <w:tcMar>
              <w:left w:w="57" w:type="dxa"/>
              <w:right w:w="57" w:type="dxa"/>
            </w:tcMar>
          </w:tcPr>
          <w:p w:rsidR="005A7F43" w:rsidRPr="00276452" w:rsidRDefault="005A7F43" w:rsidP="0007115F">
            <w:pPr>
              <w:pStyle w:val="TableDataColumnHeading"/>
            </w:pPr>
            <w:r w:rsidRPr="00276452">
              <w:t>A$ million</w:t>
            </w:r>
            <w:r w:rsidR="0007115F">
              <w:rPr>
                <w:rStyle w:val="FootnoteReference"/>
              </w:rPr>
              <w:t>a</w:t>
            </w:r>
          </w:p>
        </w:tc>
        <w:tc>
          <w:tcPr>
            <w:tcW w:w="1128" w:type="dxa"/>
            <w:tcBorders>
              <w:top w:val="single" w:sz="12" w:space="0" w:color="auto"/>
              <w:bottom w:val="single" w:sz="2" w:space="0" w:color="auto"/>
            </w:tcBorders>
            <w:shd w:val="clear" w:color="auto" w:fill="auto"/>
            <w:tcMar>
              <w:left w:w="57" w:type="dxa"/>
              <w:right w:w="57" w:type="dxa"/>
            </w:tcMar>
          </w:tcPr>
          <w:p w:rsidR="005A7F43" w:rsidRPr="00276452" w:rsidRDefault="0007115F" w:rsidP="009813CC">
            <w:pPr>
              <w:pStyle w:val="TableDataColumnHeading"/>
            </w:pPr>
            <w:r>
              <w:t>% of bilateral</w:t>
            </w:r>
            <w:r w:rsidR="000F19AB" w:rsidRPr="00276452">
              <w:t>/</w:t>
            </w:r>
            <w:r>
              <w:br/>
            </w:r>
            <w:r w:rsidR="000F19AB" w:rsidRPr="00276452">
              <w:t xml:space="preserve">regional </w:t>
            </w:r>
            <w:r w:rsidR="005A7F43" w:rsidRPr="00276452">
              <w:t>program</w:t>
            </w:r>
          </w:p>
        </w:tc>
      </w:tr>
      <w:tr w:rsidR="005A7F43" w:rsidRPr="00F35025" w:rsidTr="001C49F1">
        <w:trPr>
          <w:cantSplit/>
        </w:trPr>
        <w:tc>
          <w:tcPr>
            <w:tcW w:w="5683" w:type="dxa"/>
            <w:shd w:val="clear" w:color="auto" w:fill="auto"/>
            <w:tcMar>
              <w:left w:w="57" w:type="dxa"/>
              <w:right w:w="57" w:type="dxa"/>
            </w:tcMar>
          </w:tcPr>
          <w:p w:rsidR="005A7F43" w:rsidRPr="00F35025" w:rsidRDefault="00945751" w:rsidP="009813CC">
            <w:pPr>
              <w:pStyle w:val="TableDataEntries"/>
              <w:jc w:val="left"/>
              <w:rPr>
                <w:highlight w:val="green"/>
              </w:rPr>
            </w:pPr>
            <w:r>
              <w:t>To promote inclusive economic and social development through improved access to and quality of basic services and enhanced economic management and integration</w:t>
            </w:r>
          </w:p>
        </w:tc>
        <w:tc>
          <w:tcPr>
            <w:tcW w:w="1127" w:type="dxa"/>
            <w:shd w:val="clear" w:color="auto" w:fill="auto"/>
            <w:tcMar>
              <w:left w:w="57" w:type="dxa"/>
              <w:right w:w="57" w:type="dxa"/>
            </w:tcMar>
          </w:tcPr>
          <w:p w:rsidR="005A7F43" w:rsidRPr="006B1EBE" w:rsidRDefault="006B1EBE" w:rsidP="009813CC">
            <w:pPr>
              <w:pStyle w:val="TableDataEntries"/>
            </w:pPr>
            <w:r w:rsidRPr="006B1EBE">
              <w:t>15.27</w:t>
            </w:r>
          </w:p>
        </w:tc>
        <w:tc>
          <w:tcPr>
            <w:tcW w:w="1128" w:type="dxa"/>
            <w:shd w:val="clear" w:color="auto" w:fill="auto"/>
            <w:tcMar>
              <w:left w:w="57" w:type="dxa"/>
              <w:right w:w="57" w:type="dxa"/>
            </w:tcMar>
          </w:tcPr>
          <w:p w:rsidR="005A7F43" w:rsidRPr="006B1EBE" w:rsidRDefault="006B1EBE" w:rsidP="009813CC">
            <w:pPr>
              <w:pStyle w:val="TableDataEntries"/>
            </w:pPr>
            <w:r w:rsidRPr="006B1EBE">
              <w:t>91.06</w:t>
            </w:r>
          </w:p>
        </w:tc>
      </w:tr>
      <w:tr w:rsidR="00945751" w:rsidRPr="006B1EBE" w:rsidTr="001C49F1">
        <w:trPr>
          <w:cantSplit/>
        </w:trPr>
        <w:tc>
          <w:tcPr>
            <w:tcW w:w="5683" w:type="dxa"/>
            <w:tcBorders>
              <w:bottom w:val="single" w:sz="12" w:space="0" w:color="auto"/>
            </w:tcBorders>
            <w:shd w:val="clear" w:color="auto" w:fill="auto"/>
            <w:tcMar>
              <w:left w:w="57" w:type="dxa"/>
              <w:right w:w="57" w:type="dxa"/>
            </w:tcMar>
          </w:tcPr>
          <w:p w:rsidR="00945751" w:rsidRDefault="00E37145" w:rsidP="009813CC">
            <w:pPr>
              <w:pStyle w:val="TableDataEntries"/>
              <w:jc w:val="left"/>
            </w:pPr>
            <w:r>
              <w:t>To enhance adaptation of communities affected by climate change through improved water resources management and food and energy security</w:t>
            </w:r>
          </w:p>
        </w:tc>
        <w:tc>
          <w:tcPr>
            <w:tcW w:w="1127" w:type="dxa"/>
            <w:tcBorders>
              <w:bottom w:val="single" w:sz="12" w:space="0" w:color="auto"/>
            </w:tcBorders>
            <w:shd w:val="clear" w:color="auto" w:fill="auto"/>
            <w:tcMar>
              <w:left w:w="57" w:type="dxa"/>
              <w:right w:w="57" w:type="dxa"/>
            </w:tcMar>
          </w:tcPr>
          <w:p w:rsidR="00945751" w:rsidRPr="006B1EBE" w:rsidRDefault="006B1EBE" w:rsidP="009813CC">
            <w:pPr>
              <w:pStyle w:val="TableDataEntries"/>
            </w:pPr>
            <w:r w:rsidRPr="006B1EBE">
              <w:t>1.5</w:t>
            </w:r>
          </w:p>
        </w:tc>
        <w:tc>
          <w:tcPr>
            <w:tcW w:w="1128" w:type="dxa"/>
            <w:tcBorders>
              <w:bottom w:val="single" w:sz="12" w:space="0" w:color="auto"/>
            </w:tcBorders>
            <w:shd w:val="clear" w:color="auto" w:fill="auto"/>
            <w:tcMar>
              <w:left w:w="57" w:type="dxa"/>
              <w:right w:w="57" w:type="dxa"/>
            </w:tcMar>
          </w:tcPr>
          <w:p w:rsidR="006B1EBE" w:rsidRPr="006B1EBE" w:rsidRDefault="006B1EBE" w:rsidP="006B1EBE">
            <w:pPr>
              <w:pStyle w:val="tabledataentries0"/>
              <w:rPr>
                <w:shd w:val="clear" w:color="auto" w:fill="00FF00"/>
              </w:rPr>
            </w:pPr>
            <w:r w:rsidRPr="006B1EBE">
              <w:t>8.94</w:t>
            </w:r>
          </w:p>
          <w:p w:rsidR="00945751" w:rsidRPr="006B1EBE" w:rsidRDefault="00945751" w:rsidP="009813CC">
            <w:pPr>
              <w:pStyle w:val="TableDataEntries"/>
            </w:pPr>
          </w:p>
        </w:tc>
      </w:tr>
    </w:tbl>
    <w:p w:rsidR="006B1EBE" w:rsidRDefault="0007115F" w:rsidP="006B1EBE">
      <w:pPr>
        <w:pStyle w:val="Heading1"/>
        <w:spacing w:before="0" w:after="0" w:line="0" w:lineRule="atLeast"/>
        <w:rPr>
          <w:rFonts w:ascii="Arial" w:hAnsi="Arial" w:cs="Arial"/>
          <w:color w:val="auto"/>
          <w:sz w:val="20"/>
          <w:szCs w:val="20"/>
          <w:vertAlign w:val="subscript"/>
        </w:rPr>
      </w:pPr>
      <w:bookmarkStart w:id="8" w:name="_Toc361923043"/>
      <w:proofErr w:type="spellStart"/>
      <w:r>
        <w:rPr>
          <w:rStyle w:val="FootnoteReference"/>
          <w:color w:val="auto"/>
        </w:rPr>
        <w:t>a</w:t>
      </w:r>
      <w:proofErr w:type="spellEnd"/>
      <w:r w:rsidR="006B1EBE" w:rsidRPr="006B1EBE">
        <w:rPr>
          <w:color w:val="auto"/>
        </w:rPr>
        <w:t xml:space="preserve"> </w:t>
      </w:r>
      <w:r w:rsidR="006B1EBE" w:rsidRPr="006B1EBE">
        <w:rPr>
          <w:rFonts w:ascii="Arial" w:hAnsi="Arial" w:cs="Arial"/>
          <w:color w:val="auto"/>
          <w:sz w:val="20"/>
          <w:szCs w:val="20"/>
          <w:vertAlign w:val="subscript"/>
        </w:rPr>
        <w:t>The figures in this table only represent</w:t>
      </w:r>
      <w:r w:rsidR="006B1EBE" w:rsidRPr="006B1EBE">
        <w:rPr>
          <w:rFonts w:ascii="Arial" w:hAnsi="Arial" w:cs="Arial"/>
          <w:color w:val="auto"/>
          <w:sz w:val="20"/>
          <w:szCs w:val="20"/>
        </w:rPr>
        <w:t xml:space="preserve"> </w:t>
      </w:r>
      <w:r w:rsidR="006B1EBE" w:rsidRPr="006B1EBE">
        <w:rPr>
          <w:rFonts w:ascii="Arial" w:hAnsi="Arial" w:cs="Arial"/>
          <w:color w:val="auto"/>
          <w:sz w:val="20"/>
          <w:szCs w:val="20"/>
          <w:vertAlign w:val="subscript"/>
        </w:rPr>
        <w:t>expenditure in 2010</w:t>
      </w:r>
      <w:r w:rsidR="00276452">
        <w:rPr>
          <w:rFonts w:ascii="Arial" w:hAnsi="Arial" w:cs="Arial"/>
          <w:color w:val="auto"/>
          <w:sz w:val="20"/>
          <w:szCs w:val="20"/>
          <w:vertAlign w:val="subscript"/>
        </w:rPr>
        <w:t>–</w:t>
      </w:r>
      <w:r w:rsidR="006B1EBE" w:rsidRPr="006B1EBE">
        <w:rPr>
          <w:rFonts w:ascii="Arial" w:hAnsi="Arial" w:cs="Arial"/>
          <w:color w:val="auto"/>
          <w:sz w:val="20"/>
          <w:szCs w:val="20"/>
          <w:vertAlign w:val="subscript"/>
        </w:rPr>
        <w:t>11 for programs that are reported in this</w:t>
      </w:r>
      <w:r w:rsidR="00276452">
        <w:rPr>
          <w:rFonts w:ascii="Arial" w:hAnsi="Arial" w:cs="Arial"/>
          <w:color w:val="auto"/>
          <w:sz w:val="20"/>
          <w:szCs w:val="20"/>
          <w:vertAlign w:val="subscript"/>
        </w:rPr>
        <w:t xml:space="preserve"> Development Cooperation </w:t>
      </w:r>
      <w:r w:rsidR="00276452" w:rsidRPr="00276452">
        <w:rPr>
          <w:rFonts w:ascii="Arial" w:hAnsi="Arial" w:cs="Arial"/>
          <w:color w:val="auto"/>
          <w:sz w:val="20"/>
          <w:szCs w:val="20"/>
          <w:vertAlign w:val="subscript"/>
        </w:rPr>
        <w:t>Report</w:t>
      </w:r>
      <w:r w:rsidR="00C35974" w:rsidRPr="00276452">
        <w:rPr>
          <w:rFonts w:ascii="Arial" w:hAnsi="Arial" w:cs="Arial"/>
          <w:color w:val="auto"/>
          <w:sz w:val="20"/>
          <w:szCs w:val="20"/>
          <w:vertAlign w:val="subscript"/>
        </w:rPr>
        <w:t>.</w:t>
      </w:r>
      <w:bookmarkEnd w:id="8"/>
    </w:p>
    <w:p w:rsidR="005A7F43" w:rsidRDefault="00244E81" w:rsidP="005A7F43">
      <w:pPr>
        <w:pStyle w:val="Heading1"/>
      </w:pPr>
      <w:bookmarkStart w:id="9" w:name="_Toc361923044"/>
      <w:r>
        <w:t>Progress towards objectives</w:t>
      </w:r>
      <w:bookmarkEnd w:id="9"/>
      <w:r w:rsidR="005A7F43">
        <w:t xml:space="preserve"> </w:t>
      </w:r>
    </w:p>
    <w:p w:rsidR="009813CC" w:rsidRDefault="000F19AB" w:rsidP="009813CC">
      <w:pPr>
        <w:pStyle w:val="BodyText"/>
      </w:pPr>
      <w:r>
        <w:t>Table</w:t>
      </w:r>
      <w:r w:rsidR="00276452">
        <w:t> </w:t>
      </w:r>
      <w:r>
        <w:t>2 summarises the progress in 2010 towards</w:t>
      </w:r>
      <w:r w:rsidR="00BB4343">
        <w:t xml:space="preserve"> the </w:t>
      </w:r>
      <w:r>
        <w:t xml:space="preserve">interim objectives for the South Asia regional, India, Maldives and Bhutan programs. </w:t>
      </w:r>
      <w:r w:rsidR="00EB2063">
        <w:t xml:space="preserve">The majority of </w:t>
      </w:r>
      <w:r w:rsidR="00E5086A">
        <w:t xml:space="preserve">individual </w:t>
      </w:r>
      <w:r w:rsidR="00EB2063">
        <w:t>activi</w:t>
      </w:r>
      <w:r w:rsidR="00E078CB">
        <w:t>ties were progressing well. However, i</w:t>
      </w:r>
      <w:r w:rsidR="009813CC">
        <w:t xml:space="preserve">n the </w:t>
      </w:r>
      <w:r w:rsidR="00E5086A">
        <w:t>absence of formalised</w:t>
      </w:r>
      <w:r w:rsidR="00EB2063">
        <w:t xml:space="preserve"> strategies </w:t>
      </w:r>
      <w:r w:rsidR="00E5086A">
        <w:t>with measurable objectives and performance assessment frameworks</w:t>
      </w:r>
      <w:r w:rsidR="00E078CB">
        <w:t>, it i</w:t>
      </w:r>
      <w:r w:rsidR="00EB2063">
        <w:t>s</w:t>
      </w:r>
      <w:r w:rsidR="009813CC">
        <w:t xml:space="preserve"> difficult to justify rating strategic high level objectives as being </w:t>
      </w:r>
      <w:r w:rsidR="00276452">
        <w:t>‘</w:t>
      </w:r>
      <w:r w:rsidR="009813CC">
        <w:t>fully</w:t>
      </w:r>
      <w:r w:rsidR="00392962">
        <w:t>’</w:t>
      </w:r>
      <w:r w:rsidR="009813CC">
        <w:t xml:space="preserve"> addressed. Consequently, b</w:t>
      </w:r>
      <w:r w:rsidR="00E078CB">
        <w:t>oth interim objectives are</w:t>
      </w:r>
      <w:r w:rsidR="009813CC">
        <w:t xml:space="preserve"> rated as </w:t>
      </w:r>
      <w:r w:rsidR="00276452">
        <w:t>‘</w:t>
      </w:r>
      <w:r w:rsidR="009813CC">
        <w:t>partially</w:t>
      </w:r>
      <w:r w:rsidR="00392962">
        <w:t>’</w:t>
      </w:r>
      <w:r w:rsidR="009813CC">
        <w:t xml:space="preserve"> achieved.</w:t>
      </w:r>
      <w:r w:rsidR="00EB2063">
        <w:t xml:space="preserve"> A new strategy for the South Asia</w:t>
      </w:r>
      <w:r w:rsidR="00E078CB">
        <w:t xml:space="preserve"> Regional program</w:t>
      </w:r>
      <w:r w:rsidR="00392962">
        <w:t>—</w:t>
      </w:r>
      <w:r w:rsidR="00EB2063">
        <w:t>including mini str</w:t>
      </w:r>
      <w:r w:rsidR="00E078CB">
        <w:t>ategies for Maldives and Bhutan</w:t>
      </w:r>
      <w:r w:rsidR="00392962">
        <w:t>—</w:t>
      </w:r>
      <w:r w:rsidR="00E078CB">
        <w:t>to be</w:t>
      </w:r>
      <w:r w:rsidR="00D7548B">
        <w:t xml:space="preserve"> finalised</w:t>
      </w:r>
      <w:r w:rsidR="00E5086A">
        <w:t xml:space="preserve"> in </w:t>
      </w:r>
      <w:r w:rsidR="003C3DCB">
        <w:t xml:space="preserve">the second half of </w:t>
      </w:r>
      <w:r w:rsidR="00E5086A">
        <w:t>2011</w:t>
      </w:r>
      <w:r w:rsidR="00D7548B">
        <w:t xml:space="preserve"> will reflect findings of the </w:t>
      </w:r>
      <w:r w:rsidR="00E078CB" w:rsidRPr="0064762E">
        <w:rPr>
          <w:i/>
        </w:rPr>
        <w:t>Independent Review of Aid Effectiveness</w:t>
      </w:r>
      <w:r w:rsidR="00E078CB">
        <w:t xml:space="preserve"> </w:t>
      </w:r>
      <w:r w:rsidR="00D7548B">
        <w:t>and articulate clearly defined and mutually agreed objectives</w:t>
      </w:r>
      <w:r w:rsidR="00E5086A">
        <w:t xml:space="preserve">. </w:t>
      </w:r>
    </w:p>
    <w:p w:rsidR="005A7F43" w:rsidRPr="003935DA" w:rsidRDefault="005A7F43" w:rsidP="00417D74">
      <w:pPr>
        <w:pStyle w:val="Caption"/>
      </w:pPr>
      <w:r w:rsidRPr="003935DA">
        <w:t>Table 2: Ratings of the program’s progress in 2010 towards the objectives of the Asia regional, India, Maldives and Bhutan programs</w:t>
      </w:r>
    </w:p>
    <w:tbl>
      <w:tblPr>
        <w:tblW w:w="0" w:type="auto"/>
        <w:tblInd w:w="57" w:type="dxa"/>
        <w:tblLook w:val="01E0" w:firstRow="1" w:lastRow="1" w:firstColumn="1" w:lastColumn="1" w:noHBand="0" w:noVBand="0"/>
      </w:tblPr>
      <w:tblGrid>
        <w:gridCol w:w="5725"/>
        <w:gridCol w:w="896"/>
        <w:gridCol w:w="1316"/>
      </w:tblGrid>
      <w:tr w:rsidR="005A7F43" w:rsidRPr="00D81B5B" w:rsidTr="00417D74">
        <w:trPr>
          <w:cantSplit/>
          <w:tblHeader/>
        </w:trPr>
        <w:tc>
          <w:tcPr>
            <w:tcW w:w="5725" w:type="dxa"/>
            <w:tcBorders>
              <w:top w:val="single" w:sz="12" w:space="0" w:color="auto"/>
              <w:bottom w:val="single" w:sz="2" w:space="0" w:color="auto"/>
            </w:tcBorders>
            <w:shd w:val="clear" w:color="auto" w:fill="auto"/>
            <w:tcMar>
              <w:left w:w="57" w:type="dxa"/>
              <w:right w:w="57" w:type="dxa"/>
            </w:tcMar>
          </w:tcPr>
          <w:p w:rsidR="005A7F43" w:rsidRPr="00D81B5B" w:rsidRDefault="005A7F43" w:rsidP="009813CC">
            <w:pPr>
              <w:pStyle w:val="TableTextColumnHeading"/>
            </w:pPr>
            <w:r w:rsidRPr="00D81B5B">
              <w:t>Objective</w:t>
            </w:r>
          </w:p>
        </w:tc>
        <w:tc>
          <w:tcPr>
            <w:tcW w:w="896" w:type="dxa"/>
            <w:tcBorders>
              <w:top w:val="single" w:sz="12" w:space="0" w:color="auto"/>
              <w:bottom w:val="single" w:sz="2" w:space="0" w:color="auto"/>
            </w:tcBorders>
            <w:shd w:val="clear" w:color="auto" w:fill="auto"/>
            <w:tcMar>
              <w:left w:w="57" w:type="dxa"/>
              <w:right w:w="57" w:type="dxa"/>
            </w:tcMar>
          </w:tcPr>
          <w:p w:rsidR="005A7F43" w:rsidRDefault="005A7F43" w:rsidP="009813CC">
            <w:pPr>
              <w:pStyle w:val="TableTextColumnHeading"/>
              <w:jc w:val="center"/>
            </w:pPr>
            <w:r w:rsidRPr="00D81B5B">
              <w:t>Rating</w:t>
            </w:r>
            <w:r>
              <w:t xml:space="preserve"> in 2010</w:t>
            </w:r>
          </w:p>
        </w:tc>
        <w:tc>
          <w:tcPr>
            <w:tcW w:w="1316" w:type="dxa"/>
            <w:tcBorders>
              <w:top w:val="single" w:sz="12" w:space="0" w:color="auto"/>
              <w:bottom w:val="single" w:sz="2" w:space="0" w:color="auto"/>
            </w:tcBorders>
            <w:shd w:val="clear" w:color="auto" w:fill="auto"/>
            <w:tcMar>
              <w:left w:w="57" w:type="dxa"/>
              <w:right w:w="57" w:type="dxa"/>
            </w:tcMar>
          </w:tcPr>
          <w:p w:rsidR="005A7F43" w:rsidRDefault="005A7F43" w:rsidP="009813CC">
            <w:pPr>
              <w:pStyle w:val="TableTextColumnHeading"/>
              <w:jc w:val="center"/>
            </w:pPr>
            <w:r>
              <w:t>Relative to</w:t>
            </w:r>
            <w:r w:rsidRPr="00D81B5B">
              <w:t xml:space="preserve"> </w:t>
            </w:r>
            <w:r>
              <w:br/>
            </w:r>
            <w:r w:rsidRPr="00D81B5B">
              <w:t>previous rating</w:t>
            </w:r>
          </w:p>
        </w:tc>
      </w:tr>
      <w:tr w:rsidR="005A7F43" w:rsidRPr="00D81B5B" w:rsidTr="009813CC">
        <w:trPr>
          <w:cantSplit/>
        </w:trPr>
        <w:tc>
          <w:tcPr>
            <w:tcW w:w="5725" w:type="dxa"/>
            <w:tcBorders>
              <w:top w:val="single" w:sz="2" w:space="0" w:color="auto"/>
            </w:tcBorders>
            <w:tcMar>
              <w:left w:w="57" w:type="dxa"/>
              <w:right w:w="57" w:type="dxa"/>
            </w:tcMar>
            <w:vAlign w:val="center"/>
          </w:tcPr>
          <w:p w:rsidR="005A7F43" w:rsidRPr="0058729F" w:rsidRDefault="005A7F43" w:rsidP="009813CC">
            <w:pPr>
              <w:pStyle w:val="TableTextEntries"/>
            </w:pPr>
            <w:r>
              <w:t>To promote inclusive economic and social development through improved access to and quality of basic services and enhanced economic management and integration</w:t>
            </w:r>
          </w:p>
        </w:tc>
        <w:tc>
          <w:tcPr>
            <w:tcW w:w="896" w:type="dxa"/>
            <w:tcBorders>
              <w:top w:val="single" w:sz="2" w:space="0" w:color="auto"/>
            </w:tcBorders>
            <w:shd w:val="clear" w:color="auto" w:fill="auto"/>
            <w:tcMar>
              <w:left w:w="57" w:type="dxa"/>
              <w:right w:w="57" w:type="dxa"/>
            </w:tcMar>
            <w:vAlign w:val="center"/>
          </w:tcPr>
          <w:p w:rsidR="005A7F43" w:rsidRPr="000468FE" w:rsidRDefault="00360014" w:rsidP="009813CC">
            <w:pPr>
              <w:pStyle w:val="Ratingbullet"/>
            </w:pPr>
            <w:r>
              <w:rPr>
                <w:noProof/>
                <w:lang w:val="en-US"/>
              </w:rPr>
              <w:drawing>
                <wp:inline distT="0" distB="0" distL="0" distR="0">
                  <wp:extent cx="171450" cy="171450"/>
                  <wp:effectExtent l="0" t="0" r="0" b="0"/>
                  <wp:docPr id="1" name="Picture 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71429" cy="171429"/>
                          </a:xfrm>
                          <a:prstGeom prst="rect">
                            <a:avLst/>
                          </a:prstGeom>
                        </pic:spPr>
                      </pic:pic>
                    </a:graphicData>
                  </a:graphic>
                </wp:inline>
              </w:drawing>
            </w:r>
          </w:p>
        </w:tc>
        <w:tc>
          <w:tcPr>
            <w:tcW w:w="1316" w:type="dxa"/>
            <w:tcBorders>
              <w:top w:val="single" w:sz="2" w:space="0" w:color="auto"/>
            </w:tcBorders>
            <w:tcMar>
              <w:left w:w="57" w:type="dxa"/>
              <w:right w:w="57" w:type="dxa"/>
            </w:tcMar>
            <w:vAlign w:val="center"/>
          </w:tcPr>
          <w:p w:rsidR="005A7F43" w:rsidRPr="0058729F" w:rsidRDefault="005A7F43" w:rsidP="009813CC">
            <w:pPr>
              <w:pStyle w:val="TableTextEntries"/>
              <w:jc w:val="center"/>
            </w:pPr>
            <w:r>
              <w:t>N/A</w:t>
            </w:r>
          </w:p>
        </w:tc>
      </w:tr>
      <w:tr w:rsidR="005A7F43" w:rsidRPr="00D81B5B" w:rsidTr="009813CC">
        <w:trPr>
          <w:cantSplit/>
        </w:trPr>
        <w:tc>
          <w:tcPr>
            <w:tcW w:w="5725" w:type="dxa"/>
            <w:tcMar>
              <w:left w:w="57" w:type="dxa"/>
              <w:right w:w="57" w:type="dxa"/>
            </w:tcMar>
            <w:vAlign w:val="center"/>
          </w:tcPr>
          <w:p w:rsidR="005A7F43" w:rsidRPr="0058729F" w:rsidRDefault="005A7F43" w:rsidP="009813CC">
            <w:pPr>
              <w:pStyle w:val="TableTextEntries"/>
            </w:pPr>
            <w:r>
              <w:t>To enhance adaptation of communities affected by climate change through improved water resources management and food and energy security</w:t>
            </w:r>
          </w:p>
        </w:tc>
        <w:tc>
          <w:tcPr>
            <w:tcW w:w="896" w:type="dxa"/>
            <w:shd w:val="clear" w:color="auto" w:fill="auto"/>
            <w:tcMar>
              <w:left w:w="57" w:type="dxa"/>
              <w:right w:w="57" w:type="dxa"/>
            </w:tcMar>
            <w:vAlign w:val="center"/>
          </w:tcPr>
          <w:p w:rsidR="005A7F43" w:rsidRPr="0058729F" w:rsidRDefault="00360014" w:rsidP="009813CC">
            <w:pPr>
              <w:pStyle w:val="Ratingbullet"/>
            </w:pPr>
            <w:r>
              <w:rPr>
                <w:noProof/>
                <w:lang w:val="en-US"/>
              </w:rPr>
              <w:drawing>
                <wp:inline distT="0" distB="0" distL="0" distR="0" wp14:anchorId="675178FA" wp14:editId="3B9B0775">
                  <wp:extent cx="171450" cy="171450"/>
                  <wp:effectExtent l="0" t="0" r="0" b="0"/>
                  <wp:docPr id="2" name="Picture 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71429" cy="171429"/>
                          </a:xfrm>
                          <a:prstGeom prst="rect">
                            <a:avLst/>
                          </a:prstGeom>
                        </pic:spPr>
                      </pic:pic>
                    </a:graphicData>
                  </a:graphic>
                </wp:inline>
              </w:drawing>
            </w:r>
          </w:p>
        </w:tc>
        <w:tc>
          <w:tcPr>
            <w:tcW w:w="1316" w:type="dxa"/>
            <w:tcMar>
              <w:left w:w="57" w:type="dxa"/>
              <w:right w:w="57" w:type="dxa"/>
            </w:tcMar>
            <w:vAlign w:val="center"/>
          </w:tcPr>
          <w:p w:rsidR="005A7F43" w:rsidRPr="0058729F" w:rsidRDefault="005A7F43" w:rsidP="009813CC">
            <w:pPr>
              <w:pStyle w:val="TableTextEntries"/>
              <w:jc w:val="center"/>
            </w:pPr>
            <w:r>
              <w:t>N/A</w:t>
            </w:r>
          </w:p>
        </w:tc>
      </w:tr>
    </w:tbl>
    <w:p w:rsidR="005A7F43" w:rsidRDefault="005A7F43" w:rsidP="005A7F43">
      <w:pPr>
        <w:pStyle w:val="Note"/>
        <w:keepNext/>
      </w:pPr>
      <w:r w:rsidRPr="00D33DDE">
        <w:t xml:space="preserve">Note: </w:t>
      </w:r>
    </w:p>
    <w:p w:rsidR="005A7F43" w:rsidRPr="006D2818" w:rsidRDefault="00360014" w:rsidP="005A7F43">
      <w:pPr>
        <w:pStyle w:val="Note"/>
        <w:keepNext/>
        <w:spacing w:before="0"/>
      </w:pPr>
      <w:r>
        <w:rPr>
          <w:rFonts w:ascii="Arial Unicode MS" w:eastAsia="Arial Unicode MS" w:hAnsi="Arial Unicode MS" w:cs="Arial Unicode MS"/>
          <w:noProof/>
          <w:lang w:val="en-US"/>
        </w:rPr>
        <w:drawing>
          <wp:inline distT="0" distB="0" distL="0" distR="0">
            <wp:extent cx="95263" cy="95263"/>
            <wp:effectExtent l="0" t="0" r="0" b="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rsidR="005A7F43">
        <w:rPr>
          <w:rFonts w:ascii="Arial Unicode MS" w:eastAsia="Arial Unicode MS" w:hAnsi="Arial Unicode MS" w:cs="Arial Unicode MS"/>
        </w:rPr>
        <w:t> </w:t>
      </w:r>
      <w:r w:rsidR="005A7F43" w:rsidRPr="006D2818">
        <w:t>The objective will be fully achieved within the timeframe of the strategy.</w:t>
      </w:r>
    </w:p>
    <w:p w:rsidR="005A7F43" w:rsidRPr="006D2818" w:rsidRDefault="00360014" w:rsidP="005A7F43">
      <w:pPr>
        <w:pStyle w:val="Note"/>
        <w:keepNext/>
        <w:spacing w:before="0"/>
      </w:pPr>
      <w:r>
        <w:rPr>
          <w:rFonts w:ascii="Arial Unicode MS" w:eastAsia="Arial Unicode MS" w:hAnsi="Arial Unicode MS" w:cs="Arial Unicode MS"/>
          <w:noProof/>
          <w:lang w:val="en-US"/>
        </w:rPr>
        <w:drawing>
          <wp:inline distT="0" distB="0" distL="0" distR="0">
            <wp:extent cx="95238" cy="95238"/>
            <wp:effectExtent l="0" t="0" r="635" b="635"/>
            <wp:docPr id="4" name="Picture 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95238" cy="95238"/>
                    </a:xfrm>
                    <a:prstGeom prst="rect">
                      <a:avLst/>
                    </a:prstGeom>
                  </pic:spPr>
                </pic:pic>
              </a:graphicData>
            </a:graphic>
          </wp:inline>
        </w:drawing>
      </w:r>
      <w:r w:rsidR="005A7F43">
        <w:rPr>
          <w:rFonts w:ascii="Arial Unicode MS" w:eastAsia="Arial Unicode MS" w:hAnsi="Arial Unicode MS" w:cs="Arial Unicode MS"/>
        </w:rPr>
        <w:t> </w:t>
      </w:r>
      <w:r w:rsidR="005A7F43" w:rsidRPr="006D2818">
        <w:t>The objective will be partly achieved within the timeframe of the strategy.</w:t>
      </w:r>
    </w:p>
    <w:p w:rsidR="005A7F43" w:rsidRPr="006D2818" w:rsidRDefault="00360014" w:rsidP="005A7F43">
      <w:pPr>
        <w:pStyle w:val="Note"/>
        <w:spacing w:before="0"/>
      </w:pPr>
      <w:r>
        <w:rPr>
          <w:rFonts w:ascii="Arial Unicode MS" w:eastAsia="Arial Unicode MS" w:hAnsi="Arial Unicode MS" w:cs="Arial Unicode MS"/>
          <w:noProof/>
          <w:lang w:val="en-US"/>
        </w:rPr>
        <w:drawing>
          <wp:inline distT="0" distB="0" distL="0" distR="0">
            <wp:extent cx="95263" cy="95263"/>
            <wp:effectExtent l="0" t="0" r="0" b="0"/>
            <wp:docPr id="5" name="Picture 5" desc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png"/>
                    <pic:cNvPicPr/>
                  </pic:nvPicPr>
                  <pic:blipFill>
                    <a:blip r:embed="rId16">
                      <a:extLst>
                        <a:ext uri="{28A0092B-C50C-407E-A947-70E740481C1C}">
                          <a14:useLocalDpi xmlns:a14="http://schemas.microsoft.com/office/drawing/2010/main" val="0"/>
                        </a:ext>
                      </a:extLst>
                    </a:blip>
                    <a:stretch>
                      <a:fillRect/>
                    </a:stretch>
                  </pic:blipFill>
                  <pic:spPr>
                    <a:xfrm>
                      <a:off x="0" y="0"/>
                      <a:ext cx="95263" cy="95263"/>
                    </a:xfrm>
                    <a:prstGeom prst="rect">
                      <a:avLst/>
                    </a:prstGeom>
                  </pic:spPr>
                </pic:pic>
              </a:graphicData>
            </a:graphic>
          </wp:inline>
        </w:drawing>
      </w:r>
      <w:r w:rsidR="005A7F43">
        <w:rPr>
          <w:rFonts w:ascii="Arial Unicode MS" w:eastAsia="Arial Unicode MS" w:hAnsi="Arial Unicode MS" w:cs="Arial Unicode MS"/>
        </w:rPr>
        <w:t> </w:t>
      </w:r>
      <w:r w:rsidR="005A7F43" w:rsidRPr="006D2818">
        <w:t>The objective is unlikely to be achieved within the timeframe of the strategy.</w:t>
      </w:r>
    </w:p>
    <w:p w:rsidR="00D21020" w:rsidRDefault="00D21020">
      <w:pPr>
        <w:rPr>
          <w:rFonts w:ascii="Franklin Gothic Medium" w:hAnsi="Franklin Gothic Medium"/>
          <w:color w:val="5A9A98"/>
          <w:sz w:val="24"/>
        </w:rPr>
      </w:pPr>
      <w:r>
        <w:br w:type="page"/>
      </w:r>
    </w:p>
    <w:p w:rsidR="002E47F2" w:rsidRPr="00C50E7F" w:rsidRDefault="002E47F2" w:rsidP="002E47F2">
      <w:pPr>
        <w:pStyle w:val="Heading2"/>
        <w:spacing w:before="240"/>
      </w:pPr>
      <w:bookmarkStart w:id="10" w:name="_Toc361923045"/>
      <w:r>
        <w:lastRenderedPageBreak/>
        <w:t>Objective 1: To promote i</w:t>
      </w:r>
      <w:r w:rsidRPr="00C50E7F">
        <w:t>nclusive economic and social devel</w:t>
      </w:r>
      <w:r>
        <w:t>opment through improved access to and quality of</w:t>
      </w:r>
      <w:r w:rsidRPr="00C50E7F">
        <w:t xml:space="preserve"> basic services and </w:t>
      </w:r>
      <w:r>
        <w:t xml:space="preserve">enhanced </w:t>
      </w:r>
      <w:r w:rsidRPr="00C50E7F">
        <w:t>economic management and integration</w:t>
      </w:r>
      <w:bookmarkEnd w:id="10"/>
    </w:p>
    <w:p w:rsidR="002E47F2" w:rsidRDefault="002E47F2" w:rsidP="0007115F">
      <w:pPr>
        <w:pStyle w:val="Heading3"/>
      </w:pPr>
      <w:bookmarkStart w:id="11" w:name="_Toc361923046"/>
      <w:r w:rsidRPr="0007115F">
        <w:t>Health—HIV/AIDs</w:t>
      </w:r>
      <w:bookmarkEnd w:id="11"/>
      <w:r w:rsidRPr="0007115F">
        <w:t xml:space="preserve"> </w:t>
      </w:r>
    </w:p>
    <w:p w:rsidR="009813CC" w:rsidRDefault="009813CC" w:rsidP="002E47F2">
      <w:pPr>
        <w:pStyle w:val="BodyText"/>
      </w:pPr>
      <w:r>
        <w:t xml:space="preserve">High-risk behaviours and infection rates of HIV/AIDs are growing in the region. India, Nepal and Bangladesh, in particular, have large numbers of injecting drug users and people living with AIDs. </w:t>
      </w:r>
    </w:p>
    <w:p w:rsidR="009813CC" w:rsidRPr="00060727" w:rsidRDefault="009813CC" w:rsidP="009813CC">
      <w:pPr>
        <w:pStyle w:val="BodyText"/>
      </w:pPr>
      <w:r w:rsidRPr="008D416A">
        <w:t xml:space="preserve">In </w:t>
      </w:r>
      <w:r w:rsidRPr="003935DA">
        <w:t>India,</w:t>
      </w:r>
      <w:r>
        <w:t xml:space="preserve"> Australian assistance through </w:t>
      </w:r>
      <w:r w:rsidR="00392962">
        <w:t xml:space="preserve">the </w:t>
      </w:r>
      <w:r w:rsidR="00392962" w:rsidRPr="00392962">
        <w:t xml:space="preserve">Joint United Nations Program on HIV/AIDS </w:t>
      </w:r>
      <w:r w:rsidRPr="00392962">
        <w:t>has</w:t>
      </w:r>
      <w:r>
        <w:t xml:space="preserve"> strengthened public sector capacity to respond to HIV infections in high</w:t>
      </w:r>
      <w:r w:rsidR="00176840">
        <w:t>-</w:t>
      </w:r>
      <w:r>
        <w:t xml:space="preserve">prevalence states in the north east by supporting a sub-national office of the National AIDS Control Organisation. An independent </w:t>
      </w:r>
      <w:r w:rsidRPr="00060727">
        <w:t xml:space="preserve">mid-term review </w:t>
      </w:r>
      <w:r>
        <w:t xml:space="preserve">(MTR) </w:t>
      </w:r>
      <w:r w:rsidRPr="00060727">
        <w:t xml:space="preserve">completed in </w:t>
      </w:r>
      <w:r>
        <w:t xml:space="preserve">March </w:t>
      </w:r>
      <w:r w:rsidRPr="00060727">
        <w:t>2010</w:t>
      </w:r>
      <w:r>
        <w:rPr>
          <w:i/>
        </w:rPr>
        <w:t xml:space="preserve"> </w:t>
      </w:r>
      <w:r>
        <w:t xml:space="preserve">showed that achievements in capacity building </w:t>
      </w:r>
      <w:r w:rsidRPr="00060727">
        <w:t>include</w:t>
      </w:r>
      <w:r w:rsidR="002C5E04">
        <w:t xml:space="preserve">d </w:t>
      </w:r>
      <w:r w:rsidRPr="00060727">
        <w:t xml:space="preserve">additional staff resources </w:t>
      </w:r>
      <w:r>
        <w:t xml:space="preserve">for planning and monitoring of </w:t>
      </w:r>
      <w:r w:rsidR="008D416A">
        <w:t xml:space="preserve">HIV </w:t>
      </w:r>
      <w:r w:rsidR="002C5E04">
        <w:t>program and</w:t>
      </w:r>
      <w:r>
        <w:t xml:space="preserve"> evidence of mainstreaming of HIV</w:t>
      </w:r>
      <w:r w:rsidRPr="00060727">
        <w:t xml:space="preserve"> </w:t>
      </w:r>
      <w:r>
        <w:t xml:space="preserve">issues </w:t>
      </w:r>
      <w:r w:rsidRPr="00060727">
        <w:t>into state departments such a</w:t>
      </w:r>
      <w:r w:rsidR="00E078CB">
        <w:t xml:space="preserve">s </w:t>
      </w:r>
      <w:r w:rsidR="00176840">
        <w:t xml:space="preserve">the </w:t>
      </w:r>
      <w:r w:rsidR="002C5E04">
        <w:t xml:space="preserve">Department of Women and Child. Another result of the program was a </w:t>
      </w:r>
      <w:r>
        <w:t xml:space="preserve">strengthened </w:t>
      </w:r>
      <w:r w:rsidRPr="00060727">
        <w:t>state</w:t>
      </w:r>
      <w:r>
        <w:t xml:space="preserve"> response to supporting people l</w:t>
      </w:r>
      <w:r w:rsidRPr="00060727">
        <w:t>iving with HIV/AID</w:t>
      </w:r>
      <w:r w:rsidR="00E078CB">
        <w:t>S, which</w:t>
      </w:r>
      <w:r>
        <w:t xml:space="preserve"> included</w:t>
      </w:r>
      <w:r w:rsidRPr="00060727">
        <w:t xml:space="preserve"> an increased focus on complications </w:t>
      </w:r>
      <w:r>
        <w:t xml:space="preserve">arising from AIDS </w:t>
      </w:r>
      <w:r w:rsidRPr="00060727">
        <w:t>such as Tuberculosis and Hepatitis C</w:t>
      </w:r>
      <w:r w:rsidR="00FA6F12">
        <w:t xml:space="preserve">. </w:t>
      </w:r>
      <w:r w:rsidRPr="00060727">
        <w:t>The MTR showed that while new infection</w:t>
      </w:r>
      <w:r>
        <w:t>s among injecting drug users have</w:t>
      </w:r>
      <w:r w:rsidRPr="00060727">
        <w:t xml:space="preserve"> declined as a result of program efforts and inputs from government, civil society and other stakeholders, the transmission of the virus is increasing through heterosexual activity. This needs to be factored into future program plans. </w:t>
      </w:r>
    </w:p>
    <w:p w:rsidR="008D416A" w:rsidRDefault="009813CC" w:rsidP="008D416A">
      <w:pPr>
        <w:pStyle w:val="BodyText"/>
      </w:pPr>
      <w:r w:rsidRPr="003935DA">
        <w:t>Regionally,</w:t>
      </w:r>
      <w:r w:rsidRPr="00634CD1">
        <w:t xml:space="preserve"> Australian investment </w:t>
      </w:r>
      <w:r>
        <w:t xml:space="preserve">through a project led by the United National Office of Drugs and Crime </w:t>
      </w:r>
      <w:r w:rsidRPr="00634CD1">
        <w:t>is assisting governments and communities to scale up comprehensive harm reduction prevention and care programs for injecting drug users and th</w:t>
      </w:r>
      <w:r w:rsidR="00E078CB">
        <w:t>eir regular sex partners. Activities include</w:t>
      </w:r>
      <w:r w:rsidRPr="00634CD1">
        <w:t xml:space="preserve"> advoc</w:t>
      </w:r>
      <w:r w:rsidR="00E078CB">
        <w:t>acy for initiation and scale up,</w:t>
      </w:r>
      <w:r w:rsidRPr="00634CD1">
        <w:t xml:space="preserve"> capacity building and support of interventi</w:t>
      </w:r>
      <w:r w:rsidR="008D416A">
        <w:t>on sites. An independent MTR</w:t>
      </w:r>
      <w:r w:rsidRPr="00634CD1">
        <w:t xml:space="preserve"> completed in </w:t>
      </w:r>
      <w:r>
        <w:t xml:space="preserve">April </w:t>
      </w:r>
      <w:r w:rsidR="00E078CB">
        <w:t>2010</w:t>
      </w:r>
      <w:r w:rsidRPr="00634CD1">
        <w:t xml:space="preserve"> showed that the project is supporting 45 demonstration sites in seven countries to provide harm reduction servi</w:t>
      </w:r>
      <w:r w:rsidR="00E078CB">
        <w:t>ces. This includes</w:t>
      </w:r>
      <w:r w:rsidRPr="00634CD1">
        <w:t xml:space="preserve"> the first</w:t>
      </w:r>
      <w:r w:rsidR="00176840">
        <w:t>-</w:t>
      </w:r>
      <w:r w:rsidRPr="00634CD1">
        <w:t xml:space="preserve">ever methadone maintenance treatment centre in Bangladesh. </w:t>
      </w:r>
      <w:r>
        <w:t xml:space="preserve">A number of pilot interventions have </w:t>
      </w:r>
      <w:r w:rsidR="00713859">
        <w:t>been shown to be effective</w:t>
      </w:r>
      <w:r>
        <w:t xml:space="preserve"> and this has led to the scale up of services and leveraged further funding from other donors. For example, in India, the project initiated an oral substitution therapy centre and subsequent evidence de</w:t>
      </w:r>
      <w:r w:rsidR="00713859">
        <w:t>monstrating its feasibility has</w:t>
      </w:r>
      <w:r>
        <w:t xml:space="preserve"> been used by the National AIDS Control Organisation to take over the existing intervention centres and scale up to 50 </w:t>
      </w:r>
      <w:r w:rsidR="00392962">
        <w:t>oral substitution therapy</w:t>
      </w:r>
      <w:r>
        <w:t xml:space="preserve"> centres. </w:t>
      </w:r>
    </w:p>
    <w:p w:rsidR="009813CC" w:rsidRPr="009E1CF0" w:rsidRDefault="009813CC" w:rsidP="003935DA">
      <w:pPr>
        <w:pStyle w:val="Heading3"/>
      </w:pPr>
      <w:bookmarkStart w:id="12" w:name="_Toc361923047"/>
      <w:r w:rsidRPr="0007115F">
        <w:t xml:space="preserve">Water and </w:t>
      </w:r>
      <w:r w:rsidR="00276452" w:rsidRPr="0007115F">
        <w:t>s</w:t>
      </w:r>
      <w:r w:rsidRPr="009E1CF0">
        <w:t>anitation</w:t>
      </w:r>
      <w:bookmarkEnd w:id="12"/>
    </w:p>
    <w:p w:rsidR="009813CC" w:rsidRDefault="009813CC" w:rsidP="009813CC">
      <w:pPr>
        <w:pStyle w:val="BodyText"/>
      </w:pPr>
      <w:r>
        <w:t>Access to safe water and adequate sanitation are essential for health, economic growth and sustainable development. South Asia has some of the lowest coverage rates for these essential services, particularly in rural areas. Poor quality of services is also a problem.</w:t>
      </w:r>
    </w:p>
    <w:p w:rsidR="004663B1" w:rsidRDefault="009813CC" w:rsidP="004663B1">
      <w:pPr>
        <w:pStyle w:val="BodyText"/>
      </w:pPr>
      <w:r w:rsidRPr="003935DA">
        <w:t>Regionally,</w:t>
      </w:r>
      <w:r>
        <w:rPr>
          <w:b/>
        </w:rPr>
        <w:t xml:space="preserve"> </w:t>
      </w:r>
      <w:r>
        <w:t>t</w:t>
      </w:r>
      <w:r w:rsidRPr="008A4AC6">
        <w:t>hrough a five</w:t>
      </w:r>
      <w:r w:rsidR="00176840">
        <w:t>-</w:t>
      </w:r>
      <w:r w:rsidRPr="008A4AC6">
        <w:t>year partnership with the World Bank Wate</w:t>
      </w:r>
      <w:r w:rsidR="00713859">
        <w:t>r and Sanitation Program (WSP)—</w:t>
      </w:r>
      <w:r>
        <w:t>in which Australia pro</w:t>
      </w:r>
      <w:r w:rsidR="00713859">
        <w:t>vides one fifth of total funds—</w:t>
      </w:r>
      <w:r w:rsidRPr="008A4AC6">
        <w:t>technical assistance to inform government decision making has contributed to improved planning, service delivery and pricing policies. For example, in Bangladesh, 660</w:t>
      </w:r>
      <w:r w:rsidR="00392962">
        <w:t> </w:t>
      </w:r>
      <w:r w:rsidRPr="008A4AC6">
        <w:t xml:space="preserve">000 people are now </w:t>
      </w:r>
      <w:r w:rsidR="00176840">
        <w:t>drinking</w:t>
      </w:r>
      <w:r w:rsidR="00176840" w:rsidRPr="008A4AC6">
        <w:t xml:space="preserve"> </w:t>
      </w:r>
      <w:r w:rsidRPr="008A4AC6">
        <w:t xml:space="preserve">water that is safe from arsenic contamination following WSP support to local government </w:t>
      </w:r>
      <w:r w:rsidRPr="00274BCB">
        <w:t>to replicate a pay-for-use source testing, marking and switching program.</w:t>
      </w:r>
      <w:r>
        <w:rPr>
          <w:i/>
        </w:rPr>
        <w:t xml:space="preserve"> </w:t>
      </w:r>
      <w:r w:rsidRPr="008A4AC6">
        <w:t>In India, safe solid waste treatment services are being delive</w:t>
      </w:r>
      <w:r>
        <w:t>red to</w:t>
      </w:r>
      <w:r w:rsidRPr="008A4AC6">
        <w:t xml:space="preserve"> 1.8</w:t>
      </w:r>
      <w:r w:rsidR="00176840">
        <w:t> </w:t>
      </w:r>
      <w:r w:rsidRPr="008A4AC6">
        <w:t xml:space="preserve">million people following technical assistance to </w:t>
      </w:r>
    </w:p>
    <w:p w:rsidR="004663B1" w:rsidRDefault="004663B1" w:rsidP="004663B1">
      <w:pPr>
        <w:pStyle w:val="Subtitle"/>
        <w:rPr>
          <w:rFonts w:ascii="Georgia" w:hAnsi="Georgia"/>
          <w:sz w:val="19"/>
          <w:szCs w:val="19"/>
        </w:rPr>
      </w:pPr>
      <w:r>
        <w:br w:type="page"/>
      </w:r>
    </w:p>
    <w:p w:rsidR="00EC65F4" w:rsidRDefault="009813CC" w:rsidP="004663B1">
      <w:pPr>
        <w:pStyle w:val="BodyText"/>
      </w:pPr>
      <w:proofErr w:type="gramStart"/>
      <w:r w:rsidRPr="008A4AC6">
        <w:lastRenderedPageBreak/>
        <w:t>establish</w:t>
      </w:r>
      <w:proofErr w:type="gramEnd"/>
      <w:r w:rsidRPr="008A4AC6">
        <w:t xml:space="preserve"> a regional treatment and landfill facility based on a public-private partnership. In Bangladesh, WSP has provided technical options and credit facilities for entrepreneurs to support market</w:t>
      </w:r>
      <w:r w:rsidR="00176840">
        <w:t>-</w:t>
      </w:r>
      <w:r w:rsidRPr="008A4AC6">
        <w:t>based mechanisms to improve the quality and sustainability of latrines, benefiting</w:t>
      </w:r>
      <w:r>
        <w:t xml:space="preserve"> 16</w:t>
      </w:r>
      <w:r w:rsidR="00392962">
        <w:t> </w:t>
      </w:r>
      <w:r>
        <w:t>000 consumers.</w:t>
      </w:r>
      <w:r w:rsidR="00176840">
        <w:t xml:space="preserve"> </w:t>
      </w:r>
    </w:p>
    <w:p w:rsidR="002E47F2" w:rsidRPr="0007115F" w:rsidRDefault="002E47F2" w:rsidP="0007115F">
      <w:pPr>
        <w:pStyle w:val="Heading3"/>
      </w:pPr>
      <w:bookmarkStart w:id="13" w:name="_Toc361923048"/>
      <w:r w:rsidRPr="0007115F">
        <w:t>Governance</w:t>
      </w:r>
      <w:bookmarkEnd w:id="13"/>
      <w:r w:rsidRPr="003935DA">
        <w:t xml:space="preserve"> </w:t>
      </w:r>
    </w:p>
    <w:p w:rsidR="009813CC" w:rsidRDefault="009813CC" w:rsidP="009813CC">
      <w:pPr>
        <w:pStyle w:val="BodyText"/>
      </w:pPr>
      <w:r>
        <w:t xml:space="preserve">Poor economic governance is a serious impediment to inclusive growth and regional integration in South Asia. </w:t>
      </w:r>
    </w:p>
    <w:p w:rsidR="009813CC" w:rsidRPr="00274BCB" w:rsidRDefault="009813CC" w:rsidP="009813CC">
      <w:pPr>
        <w:pStyle w:val="BodyText"/>
        <w:rPr>
          <w:b/>
        </w:rPr>
      </w:pPr>
      <w:r w:rsidRPr="003935DA">
        <w:t>Regionally,</w:t>
      </w:r>
      <w:r>
        <w:rPr>
          <w:b/>
        </w:rPr>
        <w:t xml:space="preserve"> </w:t>
      </w:r>
      <w:r>
        <w:t>Australian</w:t>
      </w:r>
      <w:r w:rsidRPr="00274BCB">
        <w:t xml:space="preserve"> funding through the </w:t>
      </w:r>
      <w:proofErr w:type="spellStart"/>
      <w:r w:rsidRPr="00274BCB">
        <w:t>AusAID</w:t>
      </w:r>
      <w:proofErr w:type="spellEnd"/>
      <w:r w:rsidRPr="00274BCB">
        <w:t>-</w:t>
      </w:r>
      <w:r w:rsidR="00392962" w:rsidRPr="00392962">
        <w:rPr>
          <w:rFonts w:ascii="Arial" w:hAnsi="Arial" w:cs="Arial"/>
          <w:sz w:val="20"/>
          <w:szCs w:val="20"/>
        </w:rPr>
        <w:t xml:space="preserve"> </w:t>
      </w:r>
      <w:r w:rsidR="00392962" w:rsidRPr="00392962">
        <w:t>Asian Development Bank</w:t>
      </w:r>
      <w:r w:rsidRPr="00274BCB">
        <w:t xml:space="preserve"> South Asia Partnership Facility is supporting initiatives to improve local governance, urban infrastructure and service delivery, inclusive gro</w:t>
      </w:r>
      <w:r w:rsidR="00713859">
        <w:t>wth, human resource development</w:t>
      </w:r>
      <w:r w:rsidRPr="00274BCB">
        <w:t xml:space="preserve"> </w:t>
      </w:r>
      <w:r w:rsidR="00713859">
        <w:t xml:space="preserve">and </w:t>
      </w:r>
      <w:r w:rsidRPr="00274BCB">
        <w:t xml:space="preserve">regional cooperation </w:t>
      </w:r>
      <w:r>
        <w:t>and integration</w:t>
      </w:r>
      <w:r w:rsidR="002470FD">
        <w:t xml:space="preserve">. For example, an independent </w:t>
      </w:r>
      <w:r w:rsidR="00176840">
        <w:t>MTR</w:t>
      </w:r>
      <w:r>
        <w:t xml:space="preserve"> conducted in February</w:t>
      </w:r>
      <w:r w:rsidR="00176840">
        <w:t> </w:t>
      </w:r>
      <w:r>
        <w:t>2010 showed that</w:t>
      </w:r>
      <w:r w:rsidRPr="00825009">
        <w:t xml:space="preserve"> </w:t>
      </w:r>
      <w:r w:rsidR="002470FD">
        <w:t>Australia’s</w:t>
      </w:r>
      <w:r>
        <w:t xml:space="preserve"> support to the financial sector in Bhutan</w:t>
      </w:r>
      <w:r>
        <w:rPr>
          <w:i/>
        </w:rPr>
        <w:t xml:space="preserve"> </w:t>
      </w:r>
      <w:r>
        <w:t>contributed to the formulation of the countr</w:t>
      </w:r>
      <w:r w:rsidR="00713859">
        <w:t>y’s economic development policy</w:t>
      </w:r>
      <w:r w:rsidR="00176840">
        <w:t>,</w:t>
      </w:r>
      <w:r>
        <w:t xml:space="preserve"> Industrial Investment and Enterprise Registration Acts a</w:t>
      </w:r>
      <w:r w:rsidR="00713859">
        <w:t>nd labour law regulations. This</w:t>
      </w:r>
      <w:r>
        <w:t xml:space="preserve"> in turn helped the private sector and tourism to grow.</w:t>
      </w:r>
      <w:r w:rsidRPr="00274BCB">
        <w:t xml:space="preserve"> </w:t>
      </w:r>
      <w:r w:rsidR="002470FD">
        <w:t>Australian</w:t>
      </w:r>
      <w:r>
        <w:t xml:space="preserve"> investment also helped to reseal about 328</w:t>
      </w:r>
      <w:r w:rsidR="00176840">
        <w:t> </w:t>
      </w:r>
      <w:r>
        <w:t>km of the East-West highway in Bhutan</w:t>
      </w:r>
      <w:r w:rsidR="00713859">
        <w:t>. This</w:t>
      </w:r>
      <w:r>
        <w:t xml:space="preserve"> will facilitate readier access to s</w:t>
      </w:r>
      <w:r w:rsidR="002470FD">
        <w:t>chool and basic health services</w:t>
      </w:r>
      <w:r>
        <w:t xml:space="preserve"> </w:t>
      </w:r>
      <w:r w:rsidR="00176840">
        <w:t>as well as</w:t>
      </w:r>
      <w:r>
        <w:t xml:space="preserve"> develop electricity grids to support about 9200</w:t>
      </w:r>
      <w:r w:rsidR="002470FD">
        <w:t xml:space="preserve"> rural consumers, </w:t>
      </w:r>
      <w:r>
        <w:t xml:space="preserve"> hospitals, schools and other public facilities. </w:t>
      </w:r>
      <w:r w:rsidRPr="00274BCB">
        <w:t>In the Maldives,</w:t>
      </w:r>
      <w:r w:rsidR="002470FD">
        <w:t xml:space="preserve"> Australian</w:t>
      </w:r>
      <w:r>
        <w:t xml:space="preserve"> assistance has enhanced</w:t>
      </w:r>
      <w:r w:rsidRPr="00274BCB">
        <w:t xml:space="preserve"> </w:t>
      </w:r>
      <w:r>
        <w:t xml:space="preserve">the </w:t>
      </w:r>
      <w:r w:rsidRPr="00274BCB">
        <w:t xml:space="preserve">capacity of the Ministry of Finance and Treasury to prepare internal audits in line with the recently established Public Accounting System. </w:t>
      </w:r>
    </w:p>
    <w:p w:rsidR="009813CC" w:rsidRPr="00274BCB" w:rsidRDefault="009813CC" w:rsidP="009813CC">
      <w:pPr>
        <w:pStyle w:val="BodyText"/>
        <w:rPr>
          <w:b/>
        </w:rPr>
      </w:pPr>
      <w:r w:rsidRPr="003935DA">
        <w:t>Regionally,</w:t>
      </w:r>
      <w:r>
        <w:rPr>
          <w:b/>
        </w:rPr>
        <w:t xml:space="preserve"> </w:t>
      </w:r>
      <w:r w:rsidRPr="00022699">
        <w:t>Australia’s</w:t>
      </w:r>
      <w:r>
        <w:rPr>
          <w:b/>
        </w:rPr>
        <w:t xml:space="preserve"> </w:t>
      </w:r>
      <w:r>
        <w:t>support to</w:t>
      </w:r>
      <w:r w:rsidRPr="00274BCB">
        <w:t xml:space="preserve"> the World Bank’s Service Delivery Improvement Facility for South Asia</w:t>
      </w:r>
      <w:r>
        <w:t xml:space="preserve"> is having a</w:t>
      </w:r>
      <w:r w:rsidRPr="00274BCB">
        <w:t xml:space="preserve"> catalytic impact on policy and institutional reforms to </w:t>
      </w:r>
      <w:r w:rsidR="00C5068C">
        <w:t>enhance basic service delivery and to improve</w:t>
      </w:r>
      <w:r w:rsidRPr="00274BCB">
        <w:t xml:space="preserve"> economic governance with a </w:t>
      </w:r>
      <w:r w:rsidR="002470FD">
        <w:t>pro-poor focus. For example, Australia’s</w:t>
      </w:r>
      <w:r w:rsidRPr="00274BCB">
        <w:t xml:space="preserve"> contribution enabled the </w:t>
      </w:r>
      <w:r w:rsidR="00176840">
        <w:t>b</w:t>
      </w:r>
      <w:r w:rsidRPr="00274BCB">
        <w:t>ank</w:t>
      </w:r>
      <w:r w:rsidR="00176840">
        <w:t xml:space="preserve"> to engage</w:t>
      </w:r>
      <w:r w:rsidRPr="00274BCB">
        <w:t xml:space="preserve"> in policy </w:t>
      </w:r>
      <w:r w:rsidR="00176840">
        <w:t>discussion</w:t>
      </w:r>
      <w:r w:rsidR="00176840" w:rsidRPr="00274BCB">
        <w:t xml:space="preserve"> </w:t>
      </w:r>
      <w:r w:rsidRPr="00274BCB">
        <w:t xml:space="preserve">in </w:t>
      </w:r>
      <w:r w:rsidR="00176840">
        <w:t>India’s</w:t>
      </w:r>
      <w:r w:rsidR="00176840" w:rsidRPr="00274BCB">
        <w:t xml:space="preserve"> </w:t>
      </w:r>
      <w:r w:rsidRPr="00274BCB">
        <w:t xml:space="preserve">secondary education sector. This resulted in students, for the first time, taking the </w:t>
      </w:r>
      <w:r w:rsidR="00392962" w:rsidRPr="00392962">
        <w:t>Organisation for Economic Cooperation and Development</w:t>
      </w:r>
      <w:r w:rsidR="00392962">
        <w:t>’</w:t>
      </w:r>
      <w:r w:rsidR="00392962" w:rsidRPr="00392962">
        <w:t>s</w:t>
      </w:r>
      <w:r w:rsidRPr="00274BCB">
        <w:t xml:space="preserve"> Programme for International Assessment test to compare educational outcomes in India against other countries. </w:t>
      </w:r>
      <w:r>
        <w:t>I</w:t>
      </w:r>
      <w:r w:rsidRPr="00274BCB">
        <w:t xml:space="preserve">n Pakistan, the property tax administration </w:t>
      </w:r>
      <w:r w:rsidR="002470FD">
        <w:t>work Australia</w:t>
      </w:r>
      <w:r>
        <w:t xml:space="preserve"> supported contributed to the training</w:t>
      </w:r>
      <w:r w:rsidRPr="00274BCB">
        <w:t xml:space="preserve"> of tax officers in Punjab Province to implement the new property tax reforms. </w:t>
      </w:r>
      <w:r>
        <w:t>In Bhutan</w:t>
      </w:r>
      <w:r w:rsidR="002470FD">
        <w:t>, Australian</w:t>
      </w:r>
      <w:r>
        <w:t xml:space="preserve"> assistance has helped </w:t>
      </w:r>
      <w:r w:rsidR="007769B1">
        <w:t xml:space="preserve">with </w:t>
      </w:r>
      <w:r>
        <w:t>the preparation of new human resource rules and regulations consistent with the mandates and responsibilities of urban local governments.</w:t>
      </w:r>
    </w:p>
    <w:p w:rsidR="009813CC" w:rsidRDefault="009813CC" w:rsidP="009813CC">
      <w:pPr>
        <w:pStyle w:val="BodyText"/>
        <w:rPr>
          <w:i/>
        </w:rPr>
      </w:pPr>
      <w:r w:rsidRPr="009F1102">
        <w:t>T</w:t>
      </w:r>
      <w:r w:rsidRPr="00E2707D">
        <w:t xml:space="preserve">he </w:t>
      </w:r>
      <w:r w:rsidRPr="003935DA">
        <w:t xml:space="preserve">Regional </w:t>
      </w:r>
      <w:r>
        <w:t xml:space="preserve">PSLP </w:t>
      </w:r>
      <w:r w:rsidRPr="00E2707D">
        <w:t xml:space="preserve">is strengthening linkages between Australian public sector agencies </w:t>
      </w:r>
      <w:r>
        <w:t xml:space="preserve">and universities </w:t>
      </w:r>
      <w:r w:rsidRPr="00E2707D">
        <w:t>and counterpart institutions and building capacity to improve management and delivery of government services.</w:t>
      </w:r>
      <w:r w:rsidRPr="00E2707D">
        <w:rPr>
          <w:b/>
          <w:i/>
        </w:rPr>
        <w:t xml:space="preserve"> </w:t>
      </w:r>
      <w:r w:rsidR="002470FD">
        <w:t>Australian</w:t>
      </w:r>
      <w:r>
        <w:t xml:space="preserve"> support </w:t>
      </w:r>
      <w:r w:rsidRPr="00E2707D">
        <w:t xml:space="preserve">has enabled </w:t>
      </w:r>
      <w:r w:rsidR="007769B1">
        <w:t xml:space="preserve">the </w:t>
      </w:r>
      <w:r w:rsidRPr="00E2707D">
        <w:t>establishment of the Legal Info</w:t>
      </w:r>
      <w:r w:rsidR="00C5068C">
        <w:t xml:space="preserve">rmation Institute of India. This is </w:t>
      </w:r>
      <w:r w:rsidRPr="00E2707D">
        <w:t>a free-access</w:t>
      </w:r>
      <w:r w:rsidR="007769B1">
        <w:t>,</w:t>
      </w:r>
      <w:r w:rsidRPr="00E2707D">
        <w:t xml:space="preserve"> not-for-profit online collect</w:t>
      </w:r>
      <w:r w:rsidR="00C5068C">
        <w:t xml:space="preserve">ion of Indian legal information </w:t>
      </w:r>
      <w:r w:rsidRPr="00E2707D">
        <w:t>benefiting the legal profession, general public and private sector. In</w:t>
      </w:r>
      <w:r w:rsidR="007769B1">
        <w:t> </w:t>
      </w:r>
      <w:r w:rsidRPr="00E2707D">
        <w:t>2010, 50</w:t>
      </w:r>
      <w:r w:rsidR="007769B1">
        <w:t> </w:t>
      </w:r>
      <w:r w:rsidRPr="00E2707D">
        <w:t>databases were established and new content is being added each week.</w:t>
      </w:r>
      <w:r w:rsidR="00C5068C">
        <w:t xml:space="preserve"> In Bhutan, PSLP</w:t>
      </w:r>
      <w:r>
        <w:t xml:space="preserve"> assisted the Ministry of Education to better manage school resources by developing</w:t>
      </w:r>
      <w:r w:rsidRPr="00E2707D">
        <w:t xml:space="preserve"> the Schools Resource Management Information System</w:t>
      </w:r>
      <w:r>
        <w:t xml:space="preserve"> and training more than 50 staff. </w:t>
      </w:r>
      <w:r w:rsidRPr="00E2707D">
        <w:t>In addition, the University of Sydney has engaged with counterparts in health organisatio</w:t>
      </w:r>
      <w:r w:rsidR="00C5068C">
        <w:t xml:space="preserve">ns and academia to develop the </w:t>
      </w:r>
      <w:r w:rsidRPr="00E2707D">
        <w:t xml:space="preserve">South Asia Infant and Young </w:t>
      </w:r>
      <w:r w:rsidR="00C5068C">
        <w:t>Child Feeding Research Network</w:t>
      </w:r>
      <w:r w:rsidR="00FA6F12">
        <w:t xml:space="preserve">. </w:t>
      </w:r>
      <w:r w:rsidR="00C5068C">
        <w:t>This network</w:t>
      </w:r>
      <w:r w:rsidRPr="00E2707D">
        <w:t xml:space="preserve"> coordinates research an</w:t>
      </w:r>
      <w:r w:rsidR="00C5068C">
        <w:t xml:space="preserve">d information sharing to implement </w:t>
      </w:r>
      <w:r w:rsidRPr="00E2707D">
        <w:t>effective interventions for improving infant and child feeding in the region.</w:t>
      </w:r>
      <w:r w:rsidRPr="00E2707D">
        <w:rPr>
          <w:i/>
        </w:rPr>
        <w:t xml:space="preserve"> </w:t>
      </w:r>
    </w:p>
    <w:p w:rsidR="00C80069" w:rsidRDefault="009813CC" w:rsidP="00C80069">
      <w:pPr>
        <w:pStyle w:val="BodyText"/>
      </w:pPr>
      <w:r>
        <w:t>In</w:t>
      </w:r>
      <w:r w:rsidRPr="003935DA">
        <w:t xml:space="preserve"> India,</w:t>
      </w:r>
      <w:r>
        <w:rPr>
          <w:b/>
        </w:rPr>
        <w:t xml:space="preserve"> </w:t>
      </w:r>
      <w:r w:rsidRPr="006D18D2">
        <w:t xml:space="preserve">the </w:t>
      </w:r>
      <w:r>
        <w:t>PSLP program has a strong focus on transferring technology and building linkages in the areas of food and energy security and climate change</w:t>
      </w:r>
      <w:r w:rsidR="00C5068C">
        <w:t>. These issues reflect</w:t>
      </w:r>
      <w:r>
        <w:t xml:space="preserve"> priorities under Australia’s Strategic Partnership with India. The Department of Environment </w:t>
      </w:r>
      <w:r>
        <w:lastRenderedPageBreak/>
        <w:t>successfully led a mission to India and developed an action plan in cooperation with the Indian Ministry of Water Resources to address water resource management issues. In Tamil Nadu, as part of a long</w:t>
      </w:r>
      <w:r w:rsidR="007769B1">
        <w:t>-</w:t>
      </w:r>
      <w:r>
        <w:t xml:space="preserve">term partnership between </w:t>
      </w:r>
      <w:r w:rsidR="007769B1">
        <w:t xml:space="preserve">the </w:t>
      </w:r>
      <w:r w:rsidR="0041756B" w:rsidRPr="0041756B">
        <w:t xml:space="preserve">Commonwealth Scientific and Industrial Research Organisation </w:t>
      </w:r>
      <w:r w:rsidR="0041756B">
        <w:t>(</w:t>
      </w:r>
      <w:r w:rsidRPr="0041756B">
        <w:t>CSIRO</w:t>
      </w:r>
      <w:r w:rsidR="0041756B" w:rsidRPr="0041756B">
        <w:t>)</w:t>
      </w:r>
      <w:r>
        <w:t xml:space="preserve"> and the Indian Institute of Forest Genetics and Tree Breeding, PSLP funding </w:t>
      </w:r>
      <w:r w:rsidR="00C739CD">
        <w:t>has increased farmer access to improved varieties of tree seeds through the establishment of three community orchards</w:t>
      </w:r>
      <w:r>
        <w:t xml:space="preserve">. University of Sydney has worked with the </w:t>
      </w:r>
      <w:proofErr w:type="spellStart"/>
      <w:r>
        <w:t>Agharkar</w:t>
      </w:r>
      <w:proofErr w:type="spellEnd"/>
      <w:r>
        <w:t xml:space="preserve"> Research Institute in Pune to enhance capacity in the exploitation of wheat genetic resources for improved dry land farming in India. </w:t>
      </w:r>
    </w:p>
    <w:p w:rsidR="002E47F2" w:rsidRDefault="007336C1" w:rsidP="00C80069">
      <w:pPr>
        <w:pStyle w:val="BodyText"/>
      </w:pPr>
      <w:r>
        <w:t xml:space="preserve">A review of the PSLP program across all country and regional program areas was conducted early 2011 to assess </w:t>
      </w:r>
      <w:r w:rsidR="007769B1">
        <w:t xml:space="preserve">program </w:t>
      </w:r>
      <w:r>
        <w:t>relevance and efficiency and inform the redesign of the next phase (2011</w:t>
      </w:r>
      <w:r w:rsidR="0041756B">
        <w:t>–</w:t>
      </w:r>
      <w:r>
        <w:t>16).</w:t>
      </w:r>
    </w:p>
    <w:p w:rsidR="002E47F2" w:rsidRPr="009E1CF0" w:rsidRDefault="002E47F2" w:rsidP="003935DA">
      <w:pPr>
        <w:pStyle w:val="Heading3"/>
      </w:pPr>
      <w:bookmarkStart w:id="14" w:name="_Toc361923049"/>
      <w:r w:rsidRPr="0007115F">
        <w:t xml:space="preserve">Human resource development and </w:t>
      </w:r>
      <w:proofErr w:type="spellStart"/>
      <w:r w:rsidRPr="0007115F">
        <w:t>education</w:t>
      </w:r>
      <w:r w:rsidR="00D21020">
        <w:t>t</w:t>
      </w:r>
      <w:bookmarkEnd w:id="14"/>
      <w:proofErr w:type="spellEnd"/>
    </w:p>
    <w:p w:rsidR="00303C30" w:rsidRDefault="009813CC" w:rsidP="009813CC">
      <w:pPr>
        <w:pStyle w:val="BodyText"/>
      </w:pPr>
      <w:r w:rsidRPr="003935DA">
        <w:t>Regionally,</w:t>
      </w:r>
      <w:r w:rsidRPr="00253F66">
        <w:rPr>
          <w:b/>
        </w:rPr>
        <w:t xml:space="preserve"> </w:t>
      </w:r>
      <w:r w:rsidRPr="00253F66">
        <w:t>the Australia Awards</w:t>
      </w:r>
      <w:r w:rsidRPr="00253F66">
        <w:rPr>
          <w:b/>
        </w:rPr>
        <w:t xml:space="preserve"> </w:t>
      </w:r>
      <w:r w:rsidRPr="00253F66">
        <w:t>program, which includes the Australian Development Scholarships (ADS) and Australian Leadership Awards (ALA), plays a critical role in strengthening the capacity of the public and private sector. In Bhutan and Maldives,</w:t>
      </w:r>
      <w:r w:rsidRPr="00253F66">
        <w:rPr>
          <w:b/>
        </w:rPr>
        <w:t xml:space="preserve"> </w:t>
      </w:r>
      <w:r w:rsidRPr="00253F66">
        <w:t>information from scholarship records and anecdotal evidence shows that almost all ADS</w:t>
      </w:r>
      <w:r w:rsidR="00047767">
        <w:t> </w:t>
      </w:r>
      <w:r w:rsidRPr="00253F66">
        <w:t xml:space="preserve">students return and contribute effectively to the development needs of their respective countries. Feedback from </w:t>
      </w:r>
      <w:r w:rsidR="00047767">
        <w:t>both g</w:t>
      </w:r>
      <w:r w:rsidRPr="00253F66">
        <w:t xml:space="preserve">overnments indicates that the scholarship program </w:t>
      </w:r>
      <w:r w:rsidR="00C739CD">
        <w:t xml:space="preserve">contributes </w:t>
      </w:r>
      <w:r w:rsidRPr="00253F66">
        <w:t xml:space="preserve">to addressing human resource needs in each country. </w:t>
      </w:r>
      <w:r w:rsidR="00303C30" w:rsidRPr="00253F66">
        <w:t>The planned introduction of tracer studies in 2010 to better measure effectiven</w:t>
      </w:r>
      <w:r w:rsidR="00303C30">
        <w:t>ess of the scholarship programs was</w:t>
      </w:r>
      <w:r w:rsidR="00303C30" w:rsidRPr="00253F66">
        <w:t xml:space="preserve"> delayed and will be implemented in 2011</w:t>
      </w:r>
      <w:r w:rsidR="00303C30">
        <w:t>.</w:t>
      </w:r>
    </w:p>
    <w:p w:rsidR="009813CC" w:rsidRDefault="009813CC" w:rsidP="009813CC">
      <w:pPr>
        <w:pStyle w:val="BodyText"/>
      </w:pPr>
      <w:r w:rsidRPr="00253F66">
        <w:t xml:space="preserve">Numbers of new participants in each country in South Asia </w:t>
      </w:r>
      <w:r w:rsidR="00C80069">
        <w:t>in 2010 is provided in Table</w:t>
      </w:r>
      <w:r w:rsidR="007769B1">
        <w:t> </w:t>
      </w:r>
      <w:r w:rsidR="00C80069">
        <w:t xml:space="preserve">3. </w:t>
      </w:r>
      <w:r w:rsidRPr="00253F66">
        <w:t>The gender balance for ADS</w:t>
      </w:r>
      <w:r w:rsidR="00C80069">
        <w:t xml:space="preserve"> and ALA</w:t>
      </w:r>
      <w:r w:rsidRPr="00253F66">
        <w:t xml:space="preserve"> is generally good although women’s participation in </w:t>
      </w:r>
      <w:r w:rsidR="00C80069">
        <w:t xml:space="preserve">ADS in </w:t>
      </w:r>
      <w:r w:rsidRPr="00253F66">
        <w:t xml:space="preserve">Bhutan tends to be lower </w:t>
      </w:r>
      <w:r w:rsidR="00047767">
        <w:t xml:space="preserve">than </w:t>
      </w:r>
      <w:r w:rsidR="00C80069">
        <w:t>other South Asia countries</w:t>
      </w:r>
      <w:r w:rsidRPr="00253F66">
        <w:t xml:space="preserve">. </w:t>
      </w:r>
    </w:p>
    <w:p w:rsidR="009813CC" w:rsidRDefault="00FD30D0" w:rsidP="00FD30D0">
      <w:pPr>
        <w:pStyle w:val="BodyText"/>
      </w:pPr>
      <w:r>
        <w:t>I</w:t>
      </w:r>
      <w:r w:rsidRPr="009507CB">
        <w:t xml:space="preserve">n </w:t>
      </w:r>
      <w:r w:rsidRPr="003935DA">
        <w:t>Bhutan and Maldives,</w:t>
      </w:r>
      <w:r>
        <w:t xml:space="preserve"> the traditionally narrow </w:t>
      </w:r>
      <w:r w:rsidRPr="009507CB">
        <w:t xml:space="preserve">focus </w:t>
      </w:r>
      <w:r>
        <w:t>of Australian assistance for human resource d</w:t>
      </w:r>
      <w:r w:rsidRPr="009507CB">
        <w:t>evelopment</w:t>
      </w:r>
      <w:r>
        <w:t xml:space="preserve"> </w:t>
      </w:r>
      <w:r w:rsidRPr="009507CB">
        <w:t xml:space="preserve">through </w:t>
      </w:r>
      <w:r>
        <w:t>the ADS and ALA program</w:t>
      </w:r>
      <w:r w:rsidRPr="009507CB">
        <w:t xml:space="preserve"> is expanding to include </w:t>
      </w:r>
      <w:r>
        <w:t xml:space="preserve">an education sector </w:t>
      </w:r>
      <w:r w:rsidRPr="009507CB">
        <w:t xml:space="preserve">volunteers </w:t>
      </w:r>
      <w:r>
        <w:t xml:space="preserve">program </w:t>
      </w:r>
      <w:r w:rsidRPr="009507CB">
        <w:t>in Maldives</w:t>
      </w:r>
      <w:r>
        <w:t>, support for the Royal Institute of Management in Bhutan</w:t>
      </w:r>
      <w:r w:rsidR="00C739CD">
        <w:t xml:space="preserve"> and implementation of</w:t>
      </w:r>
      <w:r>
        <w:t xml:space="preserve"> </w:t>
      </w:r>
      <w:r w:rsidRPr="009507CB">
        <w:t>the P</w:t>
      </w:r>
      <w:r w:rsidR="00047767">
        <w:t xml:space="preserve">SLP </w:t>
      </w:r>
      <w:r>
        <w:t>in both</w:t>
      </w:r>
      <w:r w:rsidRPr="00893F64">
        <w:rPr>
          <w:i/>
        </w:rPr>
        <w:t>.</w:t>
      </w:r>
      <w:r>
        <w:t xml:space="preserve"> </w:t>
      </w:r>
      <w:r w:rsidR="00C739CD">
        <w:t>I</w:t>
      </w:r>
      <w:r>
        <w:t xml:space="preserve">n the </w:t>
      </w:r>
      <w:r w:rsidRPr="00EC2D32">
        <w:t>Maldives,</w:t>
      </w:r>
      <w:r>
        <w:t xml:space="preserve"> 14 volunteers </w:t>
      </w:r>
      <w:r w:rsidR="00C739CD">
        <w:t xml:space="preserve">were </w:t>
      </w:r>
      <w:r>
        <w:t xml:space="preserve">deployed as part of a pilot program </w:t>
      </w:r>
      <w:r w:rsidR="00CA45AF">
        <w:t>which</w:t>
      </w:r>
      <w:r w:rsidR="00C739CD">
        <w:t xml:space="preserve"> </w:t>
      </w:r>
      <w:r w:rsidR="00047767">
        <w:t>helped</w:t>
      </w:r>
      <w:r w:rsidR="00047767" w:rsidRPr="009507CB">
        <w:t xml:space="preserve"> </w:t>
      </w:r>
      <w:r w:rsidRPr="009507CB">
        <w:t>local tea</w:t>
      </w:r>
      <w:r w:rsidR="00C739CD">
        <w:t>chers develop</w:t>
      </w:r>
      <w:r>
        <w:t xml:space="preserve"> curriculum and standards for basic education. </w:t>
      </w:r>
      <w:r w:rsidR="00C739CD">
        <w:t xml:space="preserve">In 2011 work will </w:t>
      </w:r>
      <w:r>
        <w:t xml:space="preserve">continue to develop a </w:t>
      </w:r>
      <w:r w:rsidRPr="009507CB">
        <w:t xml:space="preserve">broader and more integrated </w:t>
      </w:r>
      <w:r w:rsidR="00FA6F12">
        <w:t>human resource d</w:t>
      </w:r>
      <w:r w:rsidR="00FA6F12" w:rsidRPr="009507CB">
        <w:t xml:space="preserve">evelopment </w:t>
      </w:r>
      <w:r w:rsidRPr="009507CB">
        <w:t>plan for both countries</w:t>
      </w:r>
      <w:r w:rsidR="00C739CD">
        <w:t xml:space="preserve">. For example, </w:t>
      </w:r>
      <w:r>
        <w:t>short</w:t>
      </w:r>
      <w:r w:rsidR="00047767">
        <w:t>-</w:t>
      </w:r>
      <w:r>
        <w:t>term training in</w:t>
      </w:r>
      <w:r w:rsidR="00047767">
        <w:t>-</w:t>
      </w:r>
      <w:r>
        <w:t xml:space="preserve">country and a </w:t>
      </w:r>
      <w:r w:rsidRPr="009507CB">
        <w:t>focus on technical and vocational education for youth.</w:t>
      </w:r>
    </w:p>
    <w:p w:rsidR="003935DA" w:rsidRDefault="009813CC" w:rsidP="00417D74">
      <w:pPr>
        <w:pStyle w:val="BodyText"/>
      </w:pPr>
      <w:r w:rsidRPr="009F1102">
        <w:t xml:space="preserve">In </w:t>
      </w:r>
      <w:r w:rsidRPr="003935DA">
        <w:t>Bhutan,</w:t>
      </w:r>
      <w:r>
        <w:rPr>
          <w:b/>
        </w:rPr>
        <w:t xml:space="preserve"> </w:t>
      </w:r>
      <w:r>
        <w:t xml:space="preserve">for </w:t>
      </w:r>
      <w:r w:rsidR="00047767">
        <w:t xml:space="preserve">more than </w:t>
      </w:r>
      <w:r>
        <w:t xml:space="preserve">10 years, Australia has assisted children from remote rural villages to attend school </w:t>
      </w:r>
      <w:r w:rsidR="00047767">
        <w:t xml:space="preserve">by </w:t>
      </w:r>
      <w:r>
        <w:t>providing a school feeding program in partnership with the World Food Program</w:t>
      </w:r>
      <w:r w:rsidR="00CA45AF">
        <w:t>me</w:t>
      </w:r>
      <w:r>
        <w:t xml:space="preserve">. </w:t>
      </w:r>
      <w:r w:rsidRPr="00750BD3">
        <w:t>Under the program, the net primary enrolment rate increased from an estimated 53 per cent (58 per cent boys, 47 per cent girls) in 1998 to 92 per cent (91 per cent boys, 93</w:t>
      </w:r>
      <w:r>
        <w:t xml:space="preserve"> per cent girls) in 2010. A</w:t>
      </w:r>
      <w:r w:rsidRPr="00750BD3">
        <w:t xml:space="preserve">ttendance rates have </w:t>
      </w:r>
      <w:r>
        <w:t>also dramatically increased. This impressive achievement is partly attributable to the school feeding program. I</w:t>
      </w:r>
      <w:r w:rsidRPr="00750BD3">
        <w:t xml:space="preserve">n 2010, </w:t>
      </w:r>
      <w:r w:rsidR="00CA45AF">
        <w:t>the program</w:t>
      </w:r>
      <w:r>
        <w:t xml:space="preserve"> </w:t>
      </w:r>
      <w:r w:rsidRPr="00750BD3">
        <w:t>supported some 36</w:t>
      </w:r>
      <w:r w:rsidR="00FA6F12">
        <w:t> </w:t>
      </w:r>
      <w:r w:rsidRPr="00750BD3">
        <w:t>000 students across the country with two meals a day</w:t>
      </w:r>
      <w:r w:rsidR="00FA6F12">
        <w:t xml:space="preserve">. </w:t>
      </w:r>
      <w:r w:rsidRPr="00750BD3">
        <w:t>The Australian Government is the main contributor to the program.</w:t>
      </w:r>
    </w:p>
    <w:p w:rsidR="00D671BD" w:rsidRPr="003935DA" w:rsidRDefault="00D671BD" w:rsidP="00417D74">
      <w:pPr>
        <w:pStyle w:val="Caption"/>
      </w:pPr>
      <w:r w:rsidRPr="003935DA">
        <w:t xml:space="preserve">Table 3: Australian Awards by South Asia country and gender, 2010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600"/>
        <w:gridCol w:w="840"/>
        <w:gridCol w:w="600"/>
        <w:gridCol w:w="607"/>
        <w:gridCol w:w="833"/>
        <w:gridCol w:w="600"/>
        <w:gridCol w:w="1080"/>
        <w:gridCol w:w="1080"/>
        <w:gridCol w:w="960"/>
      </w:tblGrid>
      <w:tr w:rsidR="00D671BD" w:rsidRPr="00253F66" w:rsidTr="00D21020">
        <w:trPr>
          <w:cantSplit/>
          <w:tblHeader/>
        </w:trPr>
        <w:tc>
          <w:tcPr>
            <w:tcW w:w="1080" w:type="dxa"/>
          </w:tcPr>
          <w:p w:rsidR="00D671BD" w:rsidRPr="00253F66" w:rsidRDefault="00D671BD" w:rsidP="008655DA">
            <w:pPr>
              <w:pStyle w:val="BoxHeading1"/>
              <w:spacing w:before="0"/>
            </w:pPr>
            <w:r w:rsidRPr="00253F66">
              <w:t>Country</w:t>
            </w:r>
          </w:p>
        </w:tc>
        <w:tc>
          <w:tcPr>
            <w:tcW w:w="7200" w:type="dxa"/>
            <w:gridSpan w:val="9"/>
          </w:tcPr>
          <w:p w:rsidR="00D671BD" w:rsidRPr="00253F66" w:rsidRDefault="00D671BD" w:rsidP="008655DA">
            <w:pPr>
              <w:pStyle w:val="BoxHeading1"/>
              <w:spacing w:before="0"/>
              <w:jc w:val="center"/>
            </w:pPr>
            <w:r w:rsidRPr="00253F66">
              <w:t>2010</w:t>
            </w:r>
          </w:p>
        </w:tc>
      </w:tr>
      <w:tr w:rsidR="00D671BD" w:rsidRPr="00253F66" w:rsidTr="00D21020">
        <w:trPr>
          <w:cantSplit/>
          <w:tblHeader/>
        </w:trPr>
        <w:tc>
          <w:tcPr>
            <w:tcW w:w="1080" w:type="dxa"/>
          </w:tcPr>
          <w:p w:rsidR="00D671BD" w:rsidRPr="00253F66" w:rsidRDefault="00D671BD" w:rsidP="008655DA">
            <w:pPr>
              <w:pStyle w:val="BodyText"/>
              <w:spacing w:before="0" w:after="0"/>
            </w:pPr>
          </w:p>
        </w:tc>
        <w:tc>
          <w:tcPr>
            <w:tcW w:w="2040" w:type="dxa"/>
            <w:gridSpan w:val="3"/>
          </w:tcPr>
          <w:p w:rsidR="00D671BD" w:rsidRPr="00253F66" w:rsidRDefault="00D671BD" w:rsidP="008655DA">
            <w:pPr>
              <w:pStyle w:val="TableTextColumnHeading"/>
              <w:spacing w:before="0" w:after="0"/>
              <w:jc w:val="right"/>
            </w:pPr>
            <w:r>
              <w:t>Australian Development Scholarships</w:t>
            </w:r>
          </w:p>
        </w:tc>
        <w:tc>
          <w:tcPr>
            <w:tcW w:w="2040" w:type="dxa"/>
            <w:gridSpan w:val="3"/>
          </w:tcPr>
          <w:p w:rsidR="00D671BD" w:rsidRPr="00253F66" w:rsidRDefault="00D671BD" w:rsidP="008655DA">
            <w:pPr>
              <w:pStyle w:val="TableTextColumnHeading"/>
              <w:spacing w:before="0" w:after="0"/>
              <w:jc w:val="right"/>
            </w:pPr>
            <w:r w:rsidRPr="00253F66">
              <w:t>A</w:t>
            </w:r>
            <w:r>
              <w:t xml:space="preserve">ustralian </w:t>
            </w:r>
            <w:r w:rsidRPr="00253F66">
              <w:t>L</w:t>
            </w:r>
            <w:r>
              <w:t>eadership Awards (</w:t>
            </w:r>
            <w:r w:rsidRPr="00253F66">
              <w:t>A</w:t>
            </w:r>
            <w:r>
              <w:t>LA)</w:t>
            </w:r>
          </w:p>
        </w:tc>
        <w:tc>
          <w:tcPr>
            <w:tcW w:w="1080" w:type="dxa"/>
          </w:tcPr>
          <w:p w:rsidR="00D671BD" w:rsidRPr="00253F66" w:rsidRDefault="00D671BD" w:rsidP="008655DA">
            <w:pPr>
              <w:pStyle w:val="TableTextColumnHeading"/>
              <w:spacing w:before="0" w:after="0"/>
              <w:jc w:val="right"/>
            </w:pPr>
            <w:r w:rsidRPr="00253F66">
              <w:t>ALA</w:t>
            </w:r>
          </w:p>
          <w:p w:rsidR="00D671BD" w:rsidRPr="00253F66" w:rsidRDefault="00D671BD" w:rsidP="008655DA">
            <w:pPr>
              <w:pStyle w:val="TableTextColumnHeading"/>
              <w:spacing w:before="0" w:after="0"/>
              <w:jc w:val="right"/>
            </w:pPr>
            <w:r w:rsidRPr="00253F66">
              <w:t>Fellowships</w:t>
            </w:r>
          </w:p>
        </w:tc>
        <w:tc>
          <w:tcPr>
            <w:tcW w:w="1080" w:type="dxa"/>
          </w:tcPr>
          <w:p w:rsidR="00D671BD" w:rsidRPr="00253F66" w:rsidRDefault="00D671BD" w:rsidP="008655DA">
            <w:pPr>
              <w:pStyle w:val="TableTextColumnHeading"/>
              <w:spacing w:before="0" w:after="0"/>
              <w:jc w:val="right"/>
              <w:rPr>
                <w:sz w:val="16"/>
                <w:szCs w:val="16"/>
              </w:rPr>
            </w:pPr>
            <w:r w:rsidRPr="00253F66">
              <w:t xml:space="preserve">Endeavour Awards </w:t>
            </w:r>
          </w:p>
        </w:tc>
        <w:tc>
          <w:tcPr>
            <w:tcW w:w="960" w:type="dxa"/>
            <w:shd w:val="clear" w:color="auto" w:fill="CCCCCC"/>
          </w:tcPr>
          <w:p w:rsidR="00D671BD" w:rsidRPr="00253F66" w:rsidRDefault="00D671BD" w:rsidP="008655DA">
            <w:pPr>
              <w:pStyle w:val="TableTextColumnHeading"/>
              <w:spacing w:before="0" w:after="0"/>
            </w:pPr>
            <w:r w:rsidRPr="00253F66">
              <w:t>Total</w:t>
            </w:r>
          </w:p>
          <w:p w:rsidR="00D671BD" w:rsidRPr="00253F66" w:rsidRDefault="00D671BD" w:rsidP="008655DA">
            <w:pPr>
              <w:pStyle w:val="TableTextColumnHeading"/>
              <w:spacing w:before="0" w:after="0"/>
            </w:pPr>
            <w:r w:rsidRPr="00253F66">
              <w:t>Australia</w:t>
            </w:r>
          </w:p>
          <w:p w:rsidR="00D671BD" w:rsidRPr="00253F66" w:rsidRDefault="00D671BD" w:rsidP="008655DA">
            <w:pPr>
              <w:pStyle w:val="TableTextColumnHeading"/>
              <w:spacing w:before="0" w:after="0"/>
            </w:pPr>
            <w:r w:rsidRPr="00253F66">
              <w:t>Awards</w:t>
            </w:r>
          </w:p>
        </w:tc>
      </w:tr>
      <w:tr w:rsidR="00D671BD" w:rsidRPr="00253F66" w:rsidTr="00D21020">
        <w:trPr>
          <w:cantSplit/>
          <w:tblHeader/>
        </w:trPr>
        <w:tc>
          <w:tcPr>
            <w:tcW w:w="1080" w:type="dxa"/>
          </w:tcPr>
          <w:p w:rsidR="00D671BD" w:rsidRPr="00253F66" w:rsidRDefault="00D671BD" w:rsidP="008655DA">
            <w:pPr>
              <w:pStyle w:val="BodyText"/>
              <w:spacing w:before="0" w:after="0"/>
            </w:pPr>
          </w:p>
        </w:tc>
        <w:tc>
          <w:tcPr>
            <w:tcW w:w="600" w:type="dxa"/>
          </w:tcPr>
          <w:p w:rsidR="00D671BD" w:rsidRPr="00253F66" w:rsidRDefault="00D671BD" w:rsidP="008655DA">
            <w:pPr>
              <w:pStyle w:val="TableTextColumnHeading"/>
              <w:spacing w:before="0" w:after="0"/>
            </w:pPr>
            <w:r w:rsidRPr="00253F66">
              <w:t>M</w:t>
            </w:r>
            <w:r>
              <w:t>ale</w:t>
            </w:r>
          </w:p>
        </w:tc>
        <w:tc>
          <w:tcPr>
            <w:tcW w:w="840" w:type="dxa"/>
          </w:tcPr>
          <w:p w:rsidR="00D671BD" w:rsidRPr="00253F66" w:rsidRDefault="00D671BD" w:rsidP="008655DA">
            <w:pPr>
              <w:pStyle w:val="TableTextColumnHeading"/>
              <w:spacing w:before="0" w:after="0"/>
            </w:pPr>
            <w:r w:rsidRPr="00253F66">
              <w:t>F</w:t>
            </w:r>
            <w:r>
              <w:t>emale</w:t>
            </w:r>
          </w:p>
        </w:tc>
        <w:tc>
          <w:tcPr>
            <w:tcW w:w="600" w:type="dxa"/>
          </w:tcPr>
          <w:p w:rsidR="00D671BD" w:rsidRPr="00253F66" w:rsidRDefault="00D671BD" w:rsidP="008655DA">
            <w:pPr>
              <w:pStyle w:val="TableTextColumnHeading"/>
              <w:spacing w:before="0" w:after="0"/>
            </w:pPr>
            <w:r w:rsidRPr="00253F66">
              <w:t>Total</w:t>
            </w:r>
          </w:p>
        </w:tc>
        <w:tc>
          <w:tcPr>
            <w:tcW w:w="607" w:type="dxa"/>
          </w:tcPr>
          <w:p w:rsidR="00D671BD" w:rsidRPr="00253F66" w:rsidRDefault="00D671BD" w:rsidP="008655DA">
            <w:pPr>
              <w:pStyle w:val="TableTextColumnHeading"/>
              <w:spacing w:before="0" w:after="0"/>
            </w:pPr>
            <w:r w:rsidRPr="00253F66">
              <w:t>M</w:t>
            </w:r>
            <w:r>
              <w:t>ale</w:t>
            </w:r>
          </w:p>
        </w:tc>
        <w:tc>
          <w:tcPr>
            <w:tcW w:w="833" w:type="dxa"/>
          </w:tcPr>
          <w:p w:rsidR="00D671BD" w:rsidRPr="00253F66" w:rsidRDefault="00D671BD" w:rsidP="008655DA">
            <w:pPr>
              <w:pStyle w:val="TableTextColumnHeading"/>
              <w:spacing w:before="0" w:after="0"/>
            </w:pPr>
            <w:r w:rsidRPr="00253F66">
              <w:t>F</w:t>
            </w:r>
            <w:r>
              <w:t>emale</w:t>
            </w:r>
          </w:p>
        </w:tc>
        <w:tc>
          <w:tcPr>
            <w:tcW w:w="600" w:type="dxa"/>
          </w:tcPr>
          <w:p w:rsidR="00D671BD" w:rsidRPr="00253F66" w:rsidRDefault="00D671BD" w:rsidP="008655DA">
            <w:pPr>
              <w:pStyle w:val="TableTextColumnHeading"/>
              <w:spacing w:before="0" w:after="0"/>
            </w:pPr>
            <w:r w:rsidRPr="00253F66">
              <w:t>Total</w:t>
            </w:r>
          </w:p>
        </w:tc>
        <w:tc>
          <w:tcPr>
            <w:tcW w:w="1080" w:type="dxa"/>
          </w:tcPr>
          <w:p w:rsidR="00D671BD" w:rsidRPr="00253F66" w:rsidRDefault="00D671BD" w:rsidP="008655DA">
            <w:pPr>
              <w:pStyle w:val="BodyText"/>
              <w:spacing w:before="0" w:after="0"/>
            </w:pPr>
          </w:p>
        </w:tc>
        <w:tc>
          <w:tcPr>
            <w:tcW w:w="1080" w:type="dxa"/>
          </w:tcPr>
          <w:p w:rsidR="00D671BD" w:rsidRPr="00253F66" w:rsidRDefault="00D671BD" w:rsidP="008655DA">
            <w:pPr>
              <w:pStyle w:val="BodyText"/>
              <w:spacing w:before="0" w:after="0"/>
            </w:pPr>
          </w:p>
        </w:tc>
        <w:tc>
          <w:tcPr>
            <w:tcW w:w="960" w:type="dxa"/>
            <w:shd w:val="clear" w:color="auto" w:fill="CCCCCC"/>
          </w:tcPr>
          <w:p w:rsidR="00D671BD" w:rsidRPr="00253F66" w:rsidRDefault="00D671BD" w:rsidP="008655DA">
            <w:pPr>
              <w:pStyle w:val="BodyText"/>
              <w:spacing w:before="0" w:after="0"/>
            </w:pPr>
          </w:p>
        </w:tc>
      </w:tr>
      <w:tr w:rsidR="00D671BD" w:rsidRPr="00253F66" w:rsidTr="00D21020">
        <w:trPr>
          <w:cantSplit/>
          <w:tblHeader/>
        </w:trPr>
        <w:tc>
          <w:tcPr>
            <w:tcW w:w="1080" w:type="dxa"/>
          </w:tcPr>
          <w:p w:rsidR="00D671BD" w:rsidRPr="00253F66" w:rsidRDefault="00D671BD" w:rsidP="008655DA">
            <w:pPr>
              <w:pStyle w:val="TableTextColumnHeading"/>
              <w:spacing w:before="0" w:after="0"/>
            </w:pPr>
            <w:r w:rsidRPr="00253F66">
              <w:t>Bangladesh</w:t>
            </w:r>
          </w:p>
        </w:tc>
        <w:tc>
          <w:tcPr>
            <w:tcW w:w="600" w:type="dxa"/>
          </w:tcPr>
          <w:p w:rsidR="00D671BD" w:rsidRPr="00253F66" w:rsidRDefault="00D671BD" w:rsidP="008655DA">
            <w:pPr>
              <w:pStyle w:val="TableTextEntries"/>
              <w:spacing w:before="0" w:after="0"/>
              <w:jc w:val="right"/>
            </w:pPr>
            <w:r w:rsidRPr="00253F66">
              <w:t>17</w:t>
            </w:r>
          </w:p>
        </w:tc>
        <w:tc>
          <w:tcPr>
            <w:tcW w:w="840" w:type="dxa"/>
          </w:tcPr>
          <w:p w:rsidR="00D671BD" w:rsidRPr="00253F66" w:rsidRDefault="00D671BD" w:rsidP="008655DA">
            <w:pPr>
              <w:pStyle w:val="TableTextEntries"/>
              <w:spacing w:before="0" w:after="0"/>
              <w:jc w:val="right"/>
            </w:pPr>
            <w:r w:rsidRPr="00253F66">
              <w:t>13</w:t>
            </w:r>
          </w:p>
        </w:tc>
        <w:tc>
          <w:tcPr>
            <w:tcW w:w="600" w:type="dxa"/>
          </w:tcPr>
          <w:p w:rsidR="00D671BD" w:rsidRPr="00253F66" w:rsidRDefault="00D671BD" w:rsidP="008655DA">
            <w:pPr>
              <w:pStyle w:val="TableTextEntries"/>
              <w:spacing w:before="0" w:after="0"/>
              <w:jc w:val="right"/>
            </w:pPr>
            <w:r w:rsidRPr="00253F66">
              <w:t>30</w:t>
            </w:r>
          </w:p>
        </w:tc>
        <w:tc>
          <w:tcPr>
            <w:tcW w:w="607" w:type="dxa"/>
          </w:tcPr>
          <w:p w:rsidR="00D671BD" w:rsidRPr="00253F66" w:rsidRDefault="00D671BD" w:rsidP="008655DA">
            <w:pPr>
              <w:pStyle w:val="TableTextEntries"/>
              <w:spacing w:before="0" w:after="0"/>
              <w:jc w:val="right"/>
            </w:pPr>
            <w:r w:rsidRPr="00253F66">
              <w:t>8</w:t>
            </w:r>
          </w:p>
        </w:tc>
        <w:tc>
          <w:tcPr>
            <w:tcW w:w="833" w:type="dxa"/>
          </w:tcPr>
          <w:p w:rsidR="00D671BD" w:rsidRPr="00253F66" w:rsidRDefault="00D671BD" w:rsidP="008655DA">
            <w:pPr>
              <w:pStyle w:val="TableTextEntries"/>
              <w:spacing w:before="0" w:after="0"/>
              <w:jc w:val="right"/>
            </w:pPr>
            <w:r w:rsidRPr="00253F66">
              <w:t>6</w:t>
            </w:r>
          </w:p>
        </w:tc>
        <w:tc>
          <w:tcPr>
            <w:tcW w:w="600" w:type="dxa"/>
          </w:tcPr>
          <w:p w:rsidR="00D671BD" w:rsidRPr="00253F66" w:rsidRDefault="00D671BD" w:rsidP="008655DA">
            <w:pPr>
              <w:pStyle w:val="TableTextEntries"/>
              <w:spacing w:before="0" w:after="0"/>
              <w:jc w:val="right"/>
            </w:pPr>
            <w:r w:rsidRPr="00253F66">
              <w:t>14</w:t>
            </w:r>
          </w:p>
        </w:tc>
        <w:tc>
          <w:tcPr>
            <w:tcW w:w="1080" w:type="dxa"/>
          </w:tcPr>
          <w:p w:rsidR="00D671BD" w:rsidRPr="00253F66" w:rsidRDefault="00D671BD" w:rsidP="008655DA">
            <w:pPr>
              <w:pStyle w:val="TableTextEntries"/>
              <w:spacing w:before="0" w:after="0"/>
              <w:jc w:val="right"/>
            </w:pPr>
            <w:r w:rsidRPr="00253F66">
              <w:t>19</w:t>
            </w:r>
          </w:p>
        </w:tc>
        <w:tc>
          <w:tcPr>
            <w:tcW w:w="1080" w:type="dxa"/>
          </w:tcPr>
          <w:p w:rsidR="00D671BD" w:rsidRPr="00253F66" w:rsidRDefault="00D671BD" w:rsidP="008655DA">
            <w:pPr>
              <w:pStyle w:val="TableTextEntries"/>
              <w:spacing w:before="0" w:after="0"/>
              <w:jc w:val="right"/>
            </w:pPr>
            <w:r w:rsidRPr="00253F66">
              <w:t>19</w:t>
            </w:r>
          </w:p>
        </w:tc>
        <w:tc>
          <w:tcPr>
            <w:tcW w:w="960" w:type="dxa"/>
            <w:shd w:val="clear" w:color="auto" w:fill="CCCCCC"/>
          </w:tcPr>
          <w:p w:rsidR="00D671BD" w:rsidRPr="00253F66" w:rsidRDefault="00D671BD" w:rsidP="008655DA">
            <w:pPr>
              <w:pStyle w:val="TableTextEntries"/>
              <w:spacing w:before="0" w:after="0"/>
              <w:jc w:val="right"/>
            </w:pPr>
            <w:r w:rsidRPr="00253F66">
              <w:t>82</w:t>
            </w:r>
          </w:p>
        </w:tc>
      </w:tr>
      <w:tr w:rsidR="00D671BD" w:rsidRPr="00253F66" w:rsidTr="00D21020">
        <w:trPr>
          <w:cantSplit/>
          <w:tblHeader/>
        </w:trPr>
        <w:tc>
          <w:tcPr>
            <w:tcW w:w="1080" w:type="dxa"/>
          </w:tcPr>
          <w:p w:rsidR="00D671BD" w:rsidRPr="00253F66" w:rsidRDefault="00D671BD" w:rsidP="008655DA">
            <w:pPr>
              <w:pStyle w:val="TableTextColumnHeading"/>
              <w:spacing w:before="0" w:after="0"/>
            </w:pPr>
            <w:r w:rsidRPr="00253F66">
              <w:t>Bhutan</w:t>
            </w:r>
          </w:p>
        </w:tc>
        <w:tc>
          <w:tcPr>
            <w:tcW w:w="600" w:type="dxa"/>
          </w:tcPr>
          <w:p w:rsidR="00D671BD" w:rsidRPr="00253F66" w:rsidRDefault="00D671BD" w:rsidP="008655DA">
            <w:pPr>
              <w:pStyle w:val="TableTextEntries"/>
              <w:spacing w:before="0" w:after="0"/>
              <w:jc w:val="right"/>
            </w:pPr>
            <w:r w:rsidRPr="00253F66">
              <w:t>18</w:t>
            </w:r>
          </w:p>
        </w:tc>
        <w:tc>
          <w:tcPr>
            <w:tcW w:w="840" w:type="dxa"/>
          </w:tcPr>
          <w:p w:rsidR="00D671BD" w:rsidRPr="00253F66" w:rsidRDefault="00D671BD" w:rsidP="008655DA">
            <w:pPr>
              <w:pStyle w:val="TableTextEntries"/>
              <w:spacing w:before="0" w:after="0"/>
              <w:jc w:val="right"/>
            </w:pPr>
            <w:r w:rsidRPr="00253F66">
              <w:t>6</w:t>
            </w:r>
          </w:p>
        </w:tc>
        <w:tc>
          <w:tcPr>
            <w:tcW w:w="600" w:type="dxa"/>
          </w:tcPr>
          <w:p w:rsidR="00D671BD" w:rsidRPr="00253F66" w:rsidRDefault="00D671BD" w:rsidP="008655DA">
            <w:pPr>
              <w:pStyle w:val="TableTextEntries"/>
              <w:spacing w:before="0" w:after="0"/>
              <w:jc w:val="right"/>
            </w:pPr>
            <w:r w:rsidRPr="00253F66">
              <w:t>24</w:t>
            </w:r>
          </w:p>
        </w:tc>
        <w:tc>
          <w:tcPr>
            <w:tcW w:w="607" w:type="dxa"/>
          </w:tcPr>
          <w:p w:rsidR="00D671BD" w:rsidRPr="00253F66" w:rsidRDefault="00D671BD" w:rsidP="008655DA">
            <w:pPr>
              <w:pStyle w:val="TableTextEntries"/>
              <w:spacing w:before="0" w:after="0"/>
              <w:jc w:val="right"/>
            </w:pPr>
            <w:r w:rsidRPr="00253F66">
              <w:t>3</w:t>
            </w:r>
          </w:p>
        </w:tc>
        <w:tc>
          <w:tcPr>
            <w:tcW w:w="833" w:type="dxa"/>
          </w:tcPr>
          <w:p w:rsidR="00D671BD" w:rsidRPr="00253F66" w:rsidRDefault="00D671BD" w:rsidP="008655DA">
            <w:pPr>
              <w:pStyle w:val="TableTextEntries"/>
              <w:spacing w:before="0" w:after="0"/>
              <w:jc w:val="right"/>
            </w:pPr>
            <w:r w:rsidRPr="00253F66">
              <w:t>4</w:t>
            </w:r>
          </w:p>
        </w:tc>
        <w:tc>
          <w:tcPr>
            <w:tcW w:w="600" w:type="dxa"/>
          </w:tcPr>
          <w:p w:rsidR="00D671BD" w:rsidRPr="00253F66" w:rsidRDefault="00D671BD" w:rsidP="008655DA">
            <w:pPr>
              <w:pStyle w:val="TableTextEntries"/>
              <w:spacing w:before="0" w:after="0"/>
              <w:jc w:val="right"/>
            </w:pPr>
            <w:r w:rsidRPr="00253F66">
              <w:t>7</w:t>
            </w:r>
          </w:p>
        </w:tc>
        <w:tc>
          <w:tcPr>
            <w:tcW w:w="1080" w:type="dxa"/>
          </w:tcPr>
          <w:p w:rsidR="00D671BD" w:rsidRPr="00253F66" w:rsidRDefault="00D671BD" w:rsidP="008655DA">
            <w:pPr>
              <w:pStyle w:val="TableTextEntries"/>
              <w:spacing w:before="0" w:after="0"/>
              <w:jc w:val="right"/>
            </w:pPr>
            <w:r w:rsidRPr="00253F66">
              <w:t>5</w:t>
            </w:r>
          </w:p>
        </w:tc>
        <w:tc>
          <w:tcPr>
            <w:tcW w:w="1080" w:type="dxa"/>
          </w:tcPr>
          <w:p w:rsidR="00D671BD" w:rsidRPr="00253F66" w:rsidRDefault="00D671BD" w:rsidP="008655DA">
            <w:pPr>
              <w:pStyle w:val="TableTextEntries"/>
              <w:spacing w:before="0" w:after="0"/>
              <w:jc w:val="right"/>
            </w:pPr>
            <w:r w:rsidRPr="00253F66">
              <w:t>15</w:t>
            </w:r>
          </w:p>
        </w:tc>
        <w:tc>
          <w:tcPr>
            <w:tcW w:w="960" w:type="dxa"/>
            <w:shd w:val="clear" w:color="auto" w:fill="CCCCCC"/>
          </w:tcPr>
          <w:p w:rsidR="00D671BD" w:rsidRPr="00253F66" w:rsidRDefault="00D671BD" w:rsidP="008655DA">
            <w:pPr>
              <w:pStyle w:val="TableTextEntries"/>
              <w:spacing w:before="0" w:after="0"/>
              <w:jc w:val="right"/>
            </w:pPr>
            <w:r w:rsidRPr="00253F66">
              <w:t>51</w:t>
            </w:r>
          </w:p>
        </w:tc>
      </w:tr>
      <w:tr w:rsidR="00D671BD" w:rsidRPr="00253F66" w:rsidTr="00D21020">
        <w:trPr>
          <w:cantSplit/>
          <w:tblHeader/>
        </w:trPr>
        <w:tc>
          <w:tcPr>
            <w:tcW w:w="1080" w:type="dxa"/>
          </w:tcPr>
          <w:p w:rsidR="00D671BD" w:rsidRPr="00253F66" w:rsidRDefault="00D671BD" w:rsidP="008655DA">
            <w:pPr>
              <w:pStyle w:val="TableTextColumnHeading"/>
              <w:spacing w:before="0" w:after="0"/>
            </w:pPr>
            <w:r w:rsidRPr="00253F66">
              <w:t>India</w:t>
            </w:r>
          </w:p>
        </w:tc>
        <w:tc>
          <w:tcPr>
            <w:tcW w:w="600" w:type="dxa"/>
          </w:tcPr>
          <w:p w:rsidR="00D671BD" w:rsidRPr="00253F66" w:rsidRDefault="00D671BD" w:rsidP="008655DA">
            <w:pPr>
              <w:pStyle w:val="TableTextEntries"/>
              <w:spacing w:before="0" w:after="0"/>
              <w:jc w:val="right"/>
            </w:pPr>
            <w:r w:rsidRPr="00253F66">
              <w:t>0</w:t>
            </w:r>
          </w:p>
        </w:tc>
        <w:tc>
          <w:tcPr>
            <w:tcW w:w="840" w:type="dxa"/>
          </w:tcPr>
          <w:p w:rsidR="00D671BD" w:rsidRPr="00253F66" w:rsidRDefault="00D671BD" w:rsidP="008655DA">
            <w:pPr>
              <w:pStyle w:val="TableTextEntries"/>
              <w:spacing w:before="0" w:after="0"/>
              <w:jc w:val="right"/>
            </w:pPr>
            <w:r w:rsidRPr="00253F66">
              <w:t>0</w:t>
            </w:r>
          </w:p>
        </w:tc>
        <w:tc>
          <w:tcPr>
            <w:tcW w:w="600" w:type="dxa"/>
          </w:tcPr>
          <w:p w:rsidR="00D671BD" w:rsidRPr="00253F66" w:rsidRDefault="00D671BD" w:rsidP="008655DA">
            <w:pPr>
              <w:pStyle w:val="TableTextEntries"/>
              <w:spacing w:before="0" w:after="0"/>
              <w:jc w:val="right"/>
            </w:pPr>
            <w:r w:rsidRPr="00253F66">
              <w:t>0</w:t>
            </w:r>
          </w:p>
        </w:tc>
        <w:tc>
          <w:tcPr>
            <w:tcW w:w="607" w:type="dxa"/>
          </w:tcPr>
          <w:p w:rsidR="00D671BD" w:rsidRPr="00253F66" w:rsidRDefault="00D671BD" w:rsidP="008655DA">
            <w:pPr>
              <w:pStyle w:val="TableTextEntries"/>
              <w:spacing w:before="0" w:after="0"/>
              <w:jc w:val="right"/>
            </w:pPr>
            <w:r w:rsidRPr="00253F66">
              <w:t>2</w:t>
            </w:r>
          </w:p>
        </w:tc>
        <w:tc>
          <w:tcPr>
            <w:tcW w:w="833" w:type="dxa"/>
          </w:tcPr>
          <w:p w:rsidR="00D671BD" w:rsidRPr="00253F66" w:rsidRDefault="00D671BD" w:rsidP="008655DA">
            <w:pPr>
              <w:pStyle w:val="TableTextEntries"/>
              <w:spacing w:before="0" w:after="0"/>
              <w:jc w:val="right"/>
            </w:pPr>
            <w:r w:rsidRPr="00253F66">
              <w:t>1</w:t>
            </w:r>
          </w:p>
        </w:tc>
        <w:tc>
          <w:tcPr>
            <w:tcW w:w="600" w:type="dxa"/>
          </w:tcPr>
          <w:p w:rsidR="00D671BD" w:rsidRPr="00253F66" w:rsidRDefault="00D671BD" w:rsidP="008655DA">
            <w:pPr>
              <w:pStyle w:val="TableTextEntries"/>
              <w:spacing w:before="0" w:after="0"/>
              <w:jc w:val="right"/>
            </w:pPr>
            <w:r w:rsidRPr="00253F66">
              <w:t>3</w:t>
            </w:r>
          </w:p>
        </w:tc>
        <w:tc>
          <w:tcPr>
            <w:tcW w:w="1080" w:type="dxa"/>
          </w:tcPr>
          <w:p w:rsidR="00D671BD" w:rsidRPr="00253F66" w:rsidRDefault="00D671BD" w:rsidP="008655DA">
            <w:pPr>
              <w:pStyle w:val="TableTextEntries"/>
              <w:spacing w:before="0" w:after="0"/>
              <w:jc w:val="right"/>
            </w:pPr>
            <w:r w:rsidRPr="00253F66">
              <w:t>52</w:t>
            </w:r>
          </w:p>
        </w:tc>
        <w:tc>
          <w:tcPr>
            <w:tcW w:w="1080" w:type="dxa"/>
          </w:tcPr>
          <w:p w:rsidR="00D671BD" w:rsidRPr="00253F66" w:rsidRDefault="00D671BD" w:rsidP="008655DA">
            <w:pPr>
              <w:pStyle w:val="TableTextEntries"/>
              <w:spacing w:before="0" w:after="0"/>
              <w:jc w:val="right"/>
            </w:pPr>
            <w:r w:rsidRPr="00253F66">
              <w:t>61</w:t>
            </w:r>
          </w:p>
        </w:tc>
        <w:tc>
          <w:tcPr>
            <w:tcW w:w="960" w:type="dxa"/>
            <w:shd w:val="clear" w:color="auto" w:fill="CCCCCC"/>
          </w:tcPr>
          <w:p w:rsidR="00D671BD" w:rsidRPr="00253F66" w:rsidRDefault="00D671BD" w:rsidP="008655DA">
            <w:pPr>
              <w:pStyle w:val="TableTextEntries"/>
              <w:spacing w:before="0" w:after="0"/>
              <w:jc w:val="right"/>
            </w:pPr>
            <w:r w:rsidRPr="00253F66">
              <w:t>116</w:t>
            </w:r>
          </w:p>
        </w:tc>
      </w:tr>
      <w:tr w:rsidR="00D671BD" w:rsidRPr="00253F66" w:rsidTr="00D21020">
        <w:trPr>
          <w:cantSplit/>
          <w:tblHeader/>
        </w:trPr>
        <w:tc>
          <w:tcPr>
            <w:tcW w:w="1080" w:type="dxa"/>
          </w:tcPr>
          <w:p w:rsidR="00D671BD" w:rsidRPr="00253F66" w:rsidRDefault="00D671BD" w:rsidP="008655DA">
            <w:pPr>
              <w:pStyle w:val="TableTextColumnHeading"/>
              <w:spacing w:before="0" w:after="0"/>
            </w:pPr>
            <w:r w:rsidRPr="00253F66">
              <w:t>Maldives</w:t>
            </w:r>
          </w:p>
        </w:tc>
        <w:tc>
          <w:tcPr>
            <w:tcW w:w="600" w:type="dxa"/>
          </w:tcPr>
          <w:p w:rsidR="00D671BD" w:rsidRPr="00253F66" w:rsidRDefault="00D671BD" w:rsidP="008655DA">
            <w:pPr>
              <w:pStyle w:val="TableTextEntries"/>
              <w:spacing w:before="0" w:after="0"/>
              <w:jc w:val="right"/>
            </w:pPr>
            <w:r w:rsidRPr="00253F66">
              <w:t>6</w:t>
            </w:r>
          </w:p>
        </w:tc>
        <w:tc>
          <w:tcPr>
            <w:tcW w:w="840" w:type="dxa"/>
          </w:tcPr>
          <w:p w:rsidR="00D671BD" w:rsidRPr="00253F66" w:rsidRDefault="00D671BD" w:rsidP="008655DA">
            <w:pPr>
              <w:pStyle w:val="TableTextEntries"/>
              <w:spacing w:before="0" w:after="0"/>
              <w:jc w:val="right"/>
            </w:pPr>
            <w:r w:rsidRPr="00253F66">
              <w:t>8</w:t>
            </w:r>
          </w:p>
        </w:tc>
        <w:tc>
          <w:tcPr>
            <w:tcW w:w="600" w:type="dxa"/>
          </w:tcPr>
          <w:p w:rsidR="00D671BD" w:rsidRPr="00253F66" w:rsidRDefault="00D671BD" w:rsidP="008655DA">
            <w:pPr>
              <w:pStyle w:val="TableTextEntries"/>
              <w:spacing w:before="0" w:after="0"/>
              <w:jc w:val="right"/>
            </w:pPr>
            <w:r w:rsidRPr="00253F66">
              <w:t>14</w:t>
            </w:r>
          </w:p>
        </w:tc>
        <w:tc>
          <w:tcPr>
            <w:tcW w:w="607" w:type="dxa"/>
          </w:tcPr>
          <w:p w:rsidR="00D671BD" w:rsidRPr="00253F66" w:rsidRDefault="00D671BD" w:rsidP="008655DA">
            <w:pPr>
              <w:pStyle w:val="TableTextEntries"/>
              <w:spacing w:before="0" w:after="0"/>
              <w:jc w:val="right"/>
            </w:pPr>
            <w:r w:rsidRPr="00253F66">
              <w:t>2</w:t>
            </w:r>
          </w:p>
        </w:tc>
        <w:tc>
          <w:tcPr>
            <w:tcW w:w="833" w:type="dxa"/>
          </w:tcPr>
          <w:p w:rsidR="00D671BD" w:rsidRPr="00253F66" w:rsidRDefault="00D671BD" w:rsidP="008655DA">
            <w:pPr>
              <w:pStyle w:val="TableTextEntries"/>
              <w:spacing w:before="0" w:after="0"/>
              <w:jc w:val="right"/>
            </w:pPr>
            <w:r w:rsidRPr="00253F66">
              <w:t>2</w:t>
            </w:r>
          </w:p>
        </w:tc>
        <w:tc>
          <w:tcPr>
            <w:tcW w:w="600" w:type="dxa"/>
          </w:tcPr>
          <w:p w:rsidR="00D671BD" w:rsidRPr="00253F66" w:rsidRDefault="00D671BD" w:rsidP="008655DA">
            <w:pPr>
              <w:pStyle w:val="TableTextEntries"/>
              <w:spacing w:before="0" w:after="0"/>
              <w:jc w:val="right"/>
            </w:pPr>
            <w:r w:rsidRPr="00253F66">
              <w:t>4</w:t>
            </w:r>
          </w:p>
        </w:tc>
        <w:tc>
          <w:tcPr>
            <w:tcW w:w="1080" w:type="dxa"/>
          </w:tcPr>
          <w:p w:rsidR="00D671BD" w:rsidRPr="00253F66" w:rsidRDefault="00D671BD" w:rsidP="008655DA">
            <w:pPr>
              <w:pStyle w:val="TableTextEntries"/>
              <w:spacing w:before="0" w:after="0"/>
              <w:jc w:val="right"/>
            </w:pPr>
            <w:r w:rsidRPr="00253F66">
              <w:t>0</w:t>
            </w:r>
          </w:p>
        </w:tc>
        <w:tc>
          <w:tcPr>
            <w:tcW w:w="1080" w:type="dxa"/>
          </w:tcPr>
          <w:p w:rsidR="00D671BD" w:rsidRPr="00253F66" w:rsidRDefault="00D671BD" w:rsidP="008655DA">
            <w:pPr>
              <w:pStyle w:val="TableTextEntries"/>
              <w:spacing w:before="0" w:after="0"/>
              <w:jc w:val="right"/>
            </w:pPr>
            <w:r w:rsidRPr="00253F66">
              <w:t>2</w:t>
            </w:r>
          </w:p>
        </w:tc>
        <w:tc>
          <w:tcPr>
            <w:tcW w:w="960" w:type="dxa"/>
            <w:shd w:val="clear" w:color="auto" w:fill="CCCCCC"/>
          </w:tcPr>
          <w:p w:rsidR="00D671BD" w:rsidRPr="00253F66" w:rsidRDefault="00D671BD" w:rsidP="008655DA">
            <w:pPr>
              <w:pStyle w:val="TableTextEntries"/>
              <w:spacing w:before="0" w:after="0"/>
              <w:jc w:val="right"/>
            </w:pPr>
            <w:r w:rsidRPr="00253F66">
              <w:t>20</w:t>
            </w:r>
          </w:p>
        </w:tc>
      </w:tr>
      <w:tr w:rsidR="00D671BD" w:rsidRPr="00253F66" w:rsidTr="00D21020">
        <w:trPr>
          <w:cantSplit/>
          <w:tblHeader/>
        </w:trPr>
        <w:tc>
          <w:tcPr>
            <w:tcW w:w="1080" w:type="dxa"/>
          </w:tcPr>
          <w:p w:rsidR="00D671BD" w:rsidRPr="00253F66" w:rsidRDefault="00D671BD" w:rsidP="008655DA">
            <w:pPr>
              <w:pStyle w:val="TableTextColumnHeading"/>
              <w:spacing w:before="0" w:after="0"/>
            </w:pPr>
            <w:r w:rsidRPr="00253F66">
              <w:t>Nepal</w:t>
            </w:r>
          </w:p>
        </w:tc>
        <w:tc>
          <w:tcPr>
            <w:tcW w:w="600" w:type="dxa"/>
          </w:tcPr>
          <w:p w:rsidR="00D671BD" w:rsidRPr="00253F66" w:rsidRDefault="00D671BD" w:rsidP="008655DA">
            <w:pPr>
              <w:pStyle w:val="TableTextEntries"/>
              <w:spacing w:before="0" w:after="0"/>
              <w:jc w:val="right"/>
            </w:pPr>
            <w:r w:rsidRPr="00253F66">
              <w:t>0</w:t>
            </w:r>
          </w:p>
        </w:tc>
        <w:tc>
          <w:tcPr>
            <w:tcW w:w="840" w:type="dxa"/>
          </w:tcPr>
          <w:p w:rsidR="00D671BD" w:rsidRPr="00253F66" w:rsidRDefault="00D671BD" w:rsidP="008655DA">
            <w:pPr>
              <w:pStyle w:val="TableTextEntries"/>
              <w:spacing w:before="0" w:after="0"/>
              <w:jc w:val="right"/>
            </w:pPr>
            <w:r w:rsidRPr="00253F66">
              <w:t>0</w:t>
            </w:r>
          </w:p>
        </w:tc>
        <w:tc>
          <w:tcPr>
            <w:tcW w:w="600" w:type="dxa"/>
          </w:tcPr>
          <w:p w:rsidR="00D671BD" w:rsidRPr="00253F66" w:rsidRDefault="00D671BD" w:rsidP="008655DA">
            <w:pPr>
              <w:pStyle w:val="TableTextEntries"/>
              <w:spacing w:before="0" w:after="0"/>
              <w:jc w:val="right"/>
            </w:pPr>
            <w:r w:rsidRPr="00253F66">
              <w:t>0</w:t>
            </w:r>
          </w:p>
        </w:tc>
        <w:tc>
          <w:tcPr>
            <w:tcW w:w="607" w:type="dxa"/>
          </w:tcPr>
          <w:p w:rsidR="00D671BD" w:rsidRPr="00253F66" w:rsidRDefault="00D671BD" w:rsidP="008655DA">
            <w:pPr>
              <w:pStyle w:val="TableTextEntries"/>
              <w:spacing w:before="0" w:after="0"/>
              <w:jc w:val="right"/>
            </w:pPr>
            <w:r w:rsidRPr="00253F66">
              <w:t>5</w:t>
            </w:r>
          </w:p>
        </w:tc>
        <w:tc>
          <w:tcPr>
            <w:tcW w:w="833" w:type="dxa"/>
          </w:tcPr>
          <w:p w:rsidR="00D671BD" w:rsidRPr="00253F66" w:rsidRDefault="00D671BD" w:rsidP="008655DA">
            <w:pPr>
              <w:pStyle w:val="TableTextEntries"/>
              <w:spacing w:before="0" w:after="0"/>
              <w:jc w:val="right"/>
            </w:pPr>
            <w:r w:rsidRPr="00253F66">
              <w:t>4</w:t>
            </w:r>
          </w:p>
        </w:tc>
        <w:tc>
          <w:tcPr>
            <w:tcW w:w="600" w:type="dxa"/>
          </w:tcPr>
          <w:p w:rsidR="00D671BD" w:rsidRPr="00253F66" w:rsidRDefault="00D671BD" w:rsidP="008655DA">
            <w:pPr>
              <w:pStyle w:val="TableTextEntries"/>
              <w:spacing w:before="0" w:after="0"/>
              <w:jc w:val="right"/>
            </w:pPr>
            <w:r w:rsidRPr="00253F66">
              <w:t>9</w:t>
            </w:r>
          </w:p>
        </w:tc>
        <w:tc>
          <w:tcPr>
            <w:tcW w:w="1080" w:type="dxa"/>
          </w:tcPr>
          <w:p w:rsidR="00D671BD" w:rsidRPr="00253F66" w:rsidRDefault="00D671BD" w:rsidP="008655DA">
            <w:pPr>
              <w:pStyle w:val="TableTextEntries"/>
              <w:spacing w:before="0" w:after="0"/>
              <w:jc w:val="right"/>
            </w:pPr>
            <w:r w:rsidRPr="00253F66">
              <w:t>44</w:t>
            </w:r>
          </w:p>
        </w:tc>
        <w:tc>
          <w:tcPr>
            <w:tcW w:w="1080" w:type="dxa"/>
          </w:tcPr>
          <w:p w:rsidR="00D671BD" w:rsidRPr="00253F66" w:rsidRDefault="00D671BD" w:rsidP="008655DA">
            <w:pPr>
              <w:pStyle w:val="TableTextEntries"/>
              <w:spacing w:before="0" w:after="0"/>
              <w:jc w:val="right"/>
            </w:pPr>
            <w:r w:rsidRPr="00253F66">
              <w:t>7</w:t>
            </w:r>
          </w:p>
        </w:tc>
        <w:tc>
          <w:tcPr>
            <w:tcW w:w="960" w:type="dxa"/>
            <w:shd w:val="clear" w:color="auto" w:fill="CCCCCC"/>
          </w:tcPr>
          <w:p w:rsidR="00D671BD" w:rsidRPr="00253F66" w:rsidRDefault="00D671BD" w:rsidP="008655DA">
            <w:pPr>
              <w:pStyle w:val="TableTextEntries"/>
              <w:spacing w:before="0" w:after="0"/>
              <w:jc w:val="right"/>
            </w:pPr>
            <w:r w:rsidRPr="00253F66">
              <w:t>60</w:t>
            </w:r>
          </w:p>
        </w:tc>
      </w:tr>
      <w:tr w:rsidR="00D671BD" w:rsidRPr="00253F66" w:rsidTr="00D21020">
        <w:trPr>
          <w:cantSplit/>
          <w:tblHeader/>
        </w:trPr>
        <w:tc>
          <w:tcPr>
            <w:tcW w:w="1080" w:type="dxa"/>
          </w:tcPr>
          <w:p w:rsidR="00D671BD" w:rsidRPr="00253F66" w:rsidRDefault="00D671BD" w:rsidP="008655DA">
            <w:pPr>
              <w:pStyle w:val="TableTextColumnHeading"/>
              <w:spacing w:before="0" w:after="0"/>
            </w:pPr>
            <w:r w:rsidRPr="00253F66">
              <w:t>Sri Lanka</w:t>
            </w:r>
          </w:p>
        </w:tc>
        <w:tc>
          <w:tcPr>
            <w:tcW w:w="600" w:type="dxa"/>
          </w:tcPr>
          <w:p w:rsidR="00D671BD" w:rsidRPr="00253F66" w:rsidRDefault="00D671BD" w:rsidP="008655DA">
            <w:pPr>
              <w:pStyle w:val="TableTextEntries"/>
              <w:spacing w:before="0" w:after="0"/>
              <w:jc w:val="right"/>
            </w:pPr>
            <w:r w:rsidRPr="00253F66">
              <w:t>5</w:t>
            </w:r>
          </w:p>
        </w:tc>
        <w:tc>
          <w:tcPr>
            <w:tcW w:w="840" w:type="dxa"/>
          </w:tcPr>
          <w:p w:rsidR="00D671BD" w:rsidRPr="00253F66" w:rsidRDefault="00D671BD" w:rsidP="008655DA">
            <w:pPr>
              <w:pStyle w:val="TableTextEntries"/>
              <w:spacing w:before="0" w:after="0"/>
              <w:jc w:val="right"/>
            </w:pPr>
            <w:r w:rsidRPr="00253F66">
              <w:t>5</w:t>
            </w:r>
          </w:p>
        </w:tc>
        <w:tc>
          <w:tcPr>
            <w:tcW w:w="600" w:type="dxa"/>
          </w:tcPr>
          <w:p w:rsidR="00D671BD" w:rsidRPr="00253F66" w:rsidRDefault="00D671BD" w:rsidP="008655DA">
            <w:pPr>
              <w:pStyle w:val="TableTextEntries"/>
              <w:spacing w:before="0" w:after="0"/>
              <w:jc w:val="right"/>
            </w:pPr>
            <w:r w:rsidRPr="00253F66">
              <w:t>10</w:t>
            </w:r>
          </w:p>
        </w:tc>
        <w:tc>
          <w:tcPr>
            <w:tcW w:w="607" w:type="dxa"/>
          </w:tcPr>
          <w:p w:rsidR="00D671BD" w:rsidRPr="00253F66" w:rsidRDefault="00D671BD" w:rsidP="008655DA">
            <w:pPr>
              <w:pStyle w:val="TableTextEntries"/>
              <w:spacing w:before="0" w:after="0"/>
              <w:jc w:val="right"/>
            </w:pPr>
            <w:r w:rsidRPr="00253F66">
              <w:t>3</w:t>
            </w:r>
          </w:p>
        </w:tc>
        <w:tc>
          <w:tcPr>
            <w:tcW w:w="833" w:type="dxa"/>
          </w:tcPr>
          <w:p w:rsidR="00D671BD" w:rsidRPr="00253F66" w:rsidRDefault="00D671BD" w:rsidP="008655DA">
            <w:pPr>
              <w:pStyle w:val="TableTextEntries"/>
              <w:spacing w:before="0" w:after="0"/>
              <w:jc w:val="right"/>
            </w:pPr>
            <w:r w:rsidRPr="00253F66">
              <w:t>4</w:t>
            </w:r>
          </w:p>
        </w:tc>
        <w:tc>
          <w:tcPr>
            <w:tcW w:w="600" w:type="dxa"/>
          </w:tcPr>
          <w:p w:rsidR="00D671BD" w:rsidRPr="00253F66" w:rsidRDefault="00D671BD" w:rsidP="008655DA">
            <w:pPr>
              <w:pStyle w:val="TableTextEntries"/>
              <w:spacing w:before="0" w:after="0"/>
              <w:jc w:val="right"/>
            </w:pPr>
            <w:r w:rsidRPr="00253F66">
              <w:t>7</w:t>
            </w:r>
          </w:p>
        </w:tc>
        <w:tc>
          <w:tcPr>
            <w:tcW w:w="1080" w:type="dxa"/>
          </w:tcPr>
          <w:p w:rsidR="00D671BD" w:rsidRPr="00253F66" w:rsidRDefault="00D671BD" w:rsidP="008655DA">
            <w:pPr>
              <w:pStyle w:val="TableTextEntries"/>
              <w:spacing w:before="0" w:after="0"/>
              <w:jc w:val="right"/>
            </w:pPr>
            <w:r w:rsidRPr="00253F66">
              <w:t>52</w:t>
            </w:r>
          </w:p>
        </w:tc>
        <w:tc>
          <w:tcPr>
            <w:tcW w:w="1080" w:type="dxa"/>
          </w:tcPr>
          <w:p w:rsidR="00D671BD" w:rsidRPr="00253F66" w:rsidRDefault="00D671BD" w:rsidP="008655DA">
            <w:pPr>
              <w:pStyle w:val="TableTextEntries"/>
              <w:spacing w:before="0" w:after="0"/>
              <w:jc w:val="right"/>
            </w:pPr>
            <w:r w:rsidRPr="00253F66">
              <w:t>17</w:t>
            </w:r>
          </w:p>
        </w:tc>
        <w:tc>
          <w:tcPr>
            <w:tcW w:w="960" w:type="dxa"/>
            <w:shd w:val="clear" w:color="auto" w:fill="CCCCCC"/>
          </w:tcPr>
          <w:p w:rsidR="00D671BD" w:rsidRPr="00253F66" w:rsidRDefault="00D671BD" w:rsidP="008655DA">
            <w:pPr>
              <w:pStyle w:val="TableTextEntries"/>
              <w:spacing w:before="0" w:after="0"/>
              <w:jc w:val="right"/>
            </w:pPr>
            <w:r w:rsidRPr="00253F66">
              <w:t>86</w:t>
            </w:r>
          </w:p>
        </w:tc>
      </w:tr>
      <w:tr w:rsidR="00D671BD" w:rsidRPr="007B4884" w:rsidTr="00D21020">
        <w:trPr>
          <w:cantSplit/>
          <w:tblHeader/>
        </w:trPr>
        <w:tc>
          <w:tcPr>
            <w:tcW w:w="1080" w:type="dxa"/>
          </w:tcPr>
          <w:p w:rsidR="00D671BD" w:rsidRPr="00253F66" w:rsidRDefault="00D671BD" w:rsidP="008655DA">
            <w:pPr>
              <w:pStyle w:val="BoxText"/>
              <w:spacing w:before="0" w:after="0"/>
              <w:rPr>
                <w:b/>
              </w:rPr>
            </w:pPr>
            <w:r w:rsidRPr="00253F66">
              <w:rPr>
                <w:b/>
              </w:rPr>
              <w:t>Total</w:t>
            </w:r>
          </w:p>
        </w:tc>
        <w:tc>
          <w:tcPr>
            <w:tcW w:w="600" w:type="dxa"/>
          </w:tcPr>
          <w:p w:rsidR="00D671BD" w:rsidRPr="00253F66" w:rsidRDefault="00D671BD" w:rsidP="008655DA">
            <w:pPr>
              <w:pStyle w:val="BoxText"/>
              <w:spacing w:before="0" w:after="0"/>
              <w:jc w:val="right"/>
              <w:rPr>
                <w:b/>
              </w:rPr>
            </w:pPr>
            <w:r w:rsidRPr="00253F66">
              <w:rPr>
                <w:b/>
              </w:rPr>
              <w:t>46</w:t>
            </w:r>
          </w:p>
        </w:tc>
        <w:tc>
          <w:tcPr>
            <w:tcW w:w="840" w:type="dxa"/>
          </w:tcPr>
          <w:p w:rsidR="00D671BD" w:rsidRPr="00253F66" w:rsidRDefault="00D671BD" w:rsidP="008655DA">
            <w:pPr>
              <w:pStyle w:val="BoxText"/>
              <w:spacing w:before="0" w:after="0"/>
              <w:jc w:val="right"/>
              <w:rPr>
                <w:b/>
              </w:rPr>
            </w:pPr>
            <w:r w:rsidRPr="00253F66">
              <w:rPr>
                <w:b/>
              </w:rPr>
              <w:t>32</w:t>
            </w:r>
          </w:p>
        </w:tc>
        <w:tc>
          <w:tcPr>
            <w:tcW w:w="600" w:type="dxa"/>
          </w:tcPr>
          <w:p w:rsidR="00D671BD" w:rsidRPr="00253F66" w:rsidRDefault="00D671BD" w:rsidP="008655DA">
            <w:pPr>
              <w:pStyle w:val="BoxText"/>
              <w:spacing w:before="0" w:after="0"/>
              <w:jc w:val="right"/>
              <w:rPr>
                <w:b/>
              </w:rPr>
            </w:pPr>
            <w:r w:rsidRPr="00253F66">
              <w:rPr>
                <w:b/>
              </w:rPr>
              <w:t>78</w:t>
            </w:r>
          </w:p>
        </w:tc>
        <w:tc>
          <w:tcPr>
            <w:tcW w:w="607" w:type="dxa"/>
          </w:tcPr>
          <w:p w:rsidR="00D671BD" w:rsidRPr="00253F66" w:rsidRDefault="00D671BD" w:rsidP="008655DA">
            <w:pPr>
              <w:pStyle w:val="BoxText"/>
              <w:spacing w:before="0" w:after="0"/>
              <w:jc w:val="right"/>
              <w:rPr>
                <w:b/>
              </w:rPr>
            </w:pPr>
            <w:r w:rsidRPr="00253F66">
              <w:rPr>
                <w:b/>
              </w:rPr>
              <w:t>23</w:t>
            </w:r>
          </w:p>
        </w:tc>
        <w:tc>
          <w:tcPr>
            <w:tcW w:w="833" w:type="dxa"/>
          </w:tcPr>
          <w:p w:rsidR="00D671BD" w:rsidRPr="00253F66" w:rsidRDefault="00D671BD" w:rsidP="008655DA">
            <w:pPr>
              <w:pStyle w:val="BoxText"/>
              <w:spacing w:before="0" w:after="0"/>
              <w:jc w:val="right"/>
              <w:rPr>
                <w:b/>
              </w:rPr>
            </w:pPr>
            <w:r w:rsidRPr="00253F66">
              <w:rPr>
                <w:b/>
              </w:rPr>
              <w:t>21</w:t>
            </w:r>
          </w:p>
        </w:tc>
        <w:tc>
          <w:tcPr>
            <w:tcW w:w="600" w:type="dxa"/>
          </w:tcPr>
          <w:p w:rsidR="00D671BD" w:rsidRPr="00253F66" w:rsidRDefault="00D671BD" w:rsidP="008655DA">
            <w:pPr>
              <w:pStyle w:val="BoxText"/>
              <w:spacing w:before="0" w:after="0"/>
              <w:jc w:val="right"/>
              <w:rPr>
                <w:b/>
              </w:rPr>
            </w:pPr>
            <w:r w:rsidRPr="00253F66">
              <w:rPr>
                <w:b/>
              </w:rPr>
              <w:t>44</w:t>
            </w:r>
          </w:p>
        </w:tc>
        <w:tc>
          <w:tcPr>
            <w:tcW w:w="1080" w:type="dxa"/>
          </w:tcPr>
          <w:p w:rsidR="00D671BD" w:rsidRPr="00253F66" w:rsidRDefault="00D671BD" w:rsidP="008655DA">
            <w:pPr>
              <w:pStyle w:val="BoxText"/>
              <w:spacing w:before="0" w:after="0"/>
              <w:jc w:val="right"/>
              <w:rPr>
                <w:b/>
              </w:rPr>
            </w:pPr>
            <w:r w:rsidRPr="00253F66">
              <w:rPr>
                <w:b/>
              </w:rPr>
              <w:t>172</w:t>
            </w:r>
          </w:p>
        </w:tc>
        <w:tc>
          <w:tcPr>
            <w:tcW w:w="1080" w:type="dxa"/>
          </w:tcPr>
          <w:p w:rsidR="00D671BD" w:rsidRPr="00253F66" w:rsidRDefault="00D671BD" w:rsidP="008655DA">
            <w:pPr>
              <w:pStyle w:val="BoxText"/>
              <w:spacing w:before="0" w:after="0"/>
              <w:jc w:val="right"/>
              <w:rPr>
                <w:b/>
              </w:rPr>
            </w:pPr>
            <w:r w:rsidRPr="00253F66">
              <w:rPr>
                <w:b/>
              </w:rPr>
              <w:t>165</w:t>
            </w:r>
          </w:p>
        </w:tc>
        <w:tc>
          <w:tcPr>
            <w:tcW w:w="960" w:type="dxa"/>
            <w:shd w:val="clear" w:color="auto" w:fill="CCCCCC"/>
          </w:tcPr>
          <w:p w:rsidR="00D671BD" w:rsidRPr="00253F66" w:rsidRDefault="00D671BD" w:rsidP="008655DA">
            <w:pPr>
              <w:pStyle w:val="BoxText"/>
              <w:spacing w:before="0" w:after="0"/>
              <w:jc w:val="right"/>
              <w:rPr>
                <w:b/>
              </w:rPr>
            </w:pPr>
            <w:r w:rsidRPr="00253F66">
              <w:rPr>
                <w:b/>
              </w:rPr>
              <w:t>415</w:t>
            </w:r>
          </w:p>
        </w:tc>
      </w:tr>
    </w:tbl>
    <w:p w:rsidR="00EC65F4" w:rsidRDefault="009813CC" w:rsidP="003935DA">
      <w:pPr>
        <w:pStyle w:val="Heading2"/>
        <w:numPr>
          <w:ilvl w:val="0"/>
          <w:numId w:val="0"/>
        </w:numPr>
      </w:pPr>
      <w:bookmarkStart w:id="15" w:name="_Toc361923050"/>
      <w:r w:rsidRPr="00160C71">
        <w:t xml:space="preserve">Objective 2: </w:t>
      </w:r>
      <w:r>
        <w:t>To e</w:t>
      </w:r>
      <w:r w:rsidRPr="00160C71">
        <w:t xml:space="preserve">nhance adaptation of communities affected by </w:t>
      </w:r>
      <w:r>
        <w:t>climate change through enhanced water resource management and food and energy security</w:t>
      </w:r>
      <w:bookmarkEnd w:id="15"/>
    </w:p>
    <w:p w:rsidR="009813CC" w:rsidRPr="009E1CF0" w:rsidRDefault="009813CC" w:rsidP="003935DA">
      <w:pPr>
        <w:pStyle w:val="Heading3"/>
      </w:pPr>
      <w:bookmarkStart w:id="16" w:name="_Toc361923051"/>
      <w:r w:rsidRPr="0007115F">
        <w:t>Climate change</w:t>
      </w:r>
      <w:bookmarkEnd w:id="16"/>
    </w:p>
    <w:p w:rsidR="009813CC" w:rsidRPr="00A2114A" w:rsidRDefault="009813CC" w:rsidP="009813CC">
      <w:pPr>
        <w:pStyle w:val="BodyText"/>
      </w:pPr>
      <w:r>
        <w:t xml:space="preserve">More than 600 million people in </w:t>
      </w:r>
      <w:r w:rsidRPr="00A2114A">
        <w:t xml:space="preserve">Afghanistan, Bangladesh, Bhutan, India, Nepal and Pakistan </w:t>
      </w:r>
      <w:r>
        <w:t xml:space="preserve">depend on water flows from the Himalayas but climate change and poor water management practices are likely increasing stress on the livelihoods of people in the Indus-Ganges-Brahmaputra basins over the coming years. </w:t>
      </w:r>
      <w:r w:rsidRPr="00A2114A">
        <w:t>Climate change impacts are a key factor determining food pro</w:t>
      </w:r>
      <w:r>
        <w:t>duction in the basin.</w:t>
      </w:r>
    </w:p>
    <w:p w:rsidR="009813CC" w:rsidRPr="004C1AFF" w:rsidRDefault="009813CC" w:rsidP="009813CC">
      <w:pPr>
        <w:pStyle w:val="BodyText"/>
      </w:pPr>
      <w:r w:rsidRPr="003935DA">
        <w:t>Regionally,</w:t>
      </w:r>
      <w:r w:rsidRPr="004C1AFF">
        <w:t xml:space="preserve"> </w:t>
      </w:r>
      <w:r w:rsidR="009E7458">
        <w:t xml:space="preserve">through </w:t>
      </w:r>
      <w:r w:rsidRPr="004C1AFF">
        <w:t>the Sout</w:t>
      </w:r>
      <w:r w:rsidR="00CA45AF">
        <w:t>h Asia Water Initiative</w:t>
      </w:r>
      <w:r w:rsidR="00FA6F12">
        <w:t>—</w:t>
      </w:r>
      <w:r w:rsidRPr="004C1AFF">
        <w:t>a partnershi</w:t>
      </w:r>
      <w:r w:rsidR="00CA45AF">
        <w:t>p facility with the World Bank</w:t>
      </w:r>
      <w:r w:rsidR="00FA6F12">
        <w:t>—</w:t>
      </w:r>
      <w:r w:rsidRPr="004C1AFF">
        <w:t xml:space="preserve">Australia is contributing to building capacity for water resource management in the Himalayan river basins. It is too early to assess achievement of </w:t>
      </w:r>
      <w:r w:rsidR="001679C9" w:rsidRPr="004C1AFF">
        <w:t>objectives</w:t>
      </w:r>
      <w:r w:rsidR="001679C9">
        <w:t>;</w:t>
      </w:r>
      <w:r w:rsidRPr="004C1AFF">
        <w:t xml:space="preserve"> however the completion of a Strategic Assessment of the Ganges River Basin </w:t>
      </w:r>
      <w:r>
        <w:t>in 2010 was</w:t>
      </w:r>
      <w:r w:rsidRPr="004C1AFF">
        <w:t xml:space="preserve"> a</w:t>
      </w:r>
      <w:r w:rsidR="00047767">
        <w:t>n</w:t>
      </w:r>
      <w:r w:rsidRPr="004C1AFF">
        <w:t xml:space="preserve"> important first step in building the expertise to tackle the iss</w:t>
      </w:r>
      <w:r>
        <w:t>ues. Other major outputs in 2010</w:t>
      </w:r>
      <w:r w:rsidRPr="004C1AFF">
        <w:t xml:space="preserve"> include</w:t>
      </w:r>
      <w:r w:rsidR="009E7458">
        <w:t>d</w:t>
      </w:r>
      <w:r w:rsidR="00CA45AF">
        <w:t>:</w:t>
      </w:r>
      <w:r w:rsidRPr="004C1AFF">
        <w:t xml:space="preserve"> publication of a major groundwater st</w:t>
      </w:r>
      <w:r w:rsidR="00CA45AF">
        <w:t>udy in India;</w:t>
      </w:r>
      <w:r w:rsidRPr="004C1AFF">
        <w:t xml:space="preserve"> capacity building to support the Water and Energy Commission Secretariat in Nepal</w:t>
      </w:r>
      <w:r w:rsidR="00CA45AF">
        <w:t>;</w:t>
      </w:r>
      <w:r>
        <w:t xml:space="preserve"> and establishment of</w:t>
      </w:r>
      <w:r w:rsidRPr="004C1AFF">
        <w:t xml:space="preserve"> the Fifth Abu Dhabi Dialogue, an informal </w:t>
      </w:r>
      <w:r w:rsidR="00047767">
        <w:t>discussion</w:t>
      </w:r>
      <w:r w:rsidR="00047767" w:rsidRPr="004C1AFF">
        <w:t xml:space="preserve"> </w:t>
      </w:r>
      <w:r w:rsidRPr="004C1AFF">
        <w:t xml:space="preserve">on water resources between government, researchers and </w:t>
      </w:r>
      <w:r w:rsidR="00FA6F12">
        <w:t>non-government organisations</w:t>
      </w:r>
      <w:r w:rsidRPr="004C1AFF">
        <w:t xml:space="preserve"> from the region. The challenge will be to ensure that analytical work and information</w:t>
      </w:r>
      <w:r w:rsidR="00047767">
        <w:t>-</w:t>
      </w:r>
      <w:r w:rsidRPr="004C1AFF">
        <w:t>sharing leads to policy changes for better managing water resources.</w:t>
      </w:r>
    </w:p>
    <w:p w:rsidR="009813CC" w:rsidRDefault="009813CC" w:rsidP="009813CC">
      <w:pPr>
        <w:pStyle w:val="BodyText"/>
      </w:pPr>
      <w:r>
        <w:t xml:space="preserve">In </w:t>
      </w:r>
      <w:r w:rsidRPr="003935DA">
        <w:t>India,</w:t>
      </w:r>
      <w:r>
        <w:rPr>
          <w:b/>
        </w:rPr>
        <w:t xml:space="preserve"> </w:t>
      </w:r>
      <w:r>
        <w:t xml:space="preserve">collaborative research between Australia’s </w:t>
      </w:r>
      <w:r w:rsidRPr="0041756B">
        <w:t>CSIRO</w:t>
      </w:r>
      <w:r w:rsidRPr="00FA6F12">
        <w:t xml:space="preserve"> and</w:t>
      </w:r>
      <w:r>
        <w:t xml:space="preserve"> the Energy and Resources Institute of India has identified the most appropriate renewable technology for an integrated village electrification and cold storage facility. It is estimated that one</w:t>
      </w:r>
      <w:r w:rsidR="00047767">
        <w:t>-</w:t>
      </w:r>
      <w:r>
        <w:t>third of India’s food and vegetable production is spoiled annually due to a lack of proper cold storage and transit facilities,</w:t>
      </w:r>
      <w:r w:rsidRPr="006B648B">
        <w:t xml:space="preserve"> </w:t>
      </w:r>
      <w:r>
        <w:t xml:space="preserve">a loss worth </w:t>
      </w:r>
      <w:r w:rsidR="00047767">
        <w:t xml:space="preserve">more than </w:t>
      </w:r>
      <w:r>
        <w:t xml:space="preserve">US$7.3 billion. </w:t>
      </w:r>
      <w:r w:rsidR="00CA45AF">
        <w:t>This work will lead to</w:t>
      </w:r>
      <w:r>
        <w:t xml:space="preserve"> the establishment of a pilot system to demonstrate </w:t>
      </w:r>
      <w:r w:rsidR="00E37A41">
        <w:t xml:space="preserve">how </w:t>
      </w:r>
      <w:r>
        <w:t>cold storage and village electrificatio</w:t>
      </w:r>
      <w:r w:rsidR="00E37A41">
        <w:t>n using renewable energy can be</w:t>
      </w:r>
      <w:r>
        <w:t xml:space="preserve"> a pathway for poverty alleviation in rural communities through reduced spoilage of food and provision of electricity for microenterprise</w:t>
      </w:r>
      <w:r w:rsidR="00FA6F12">
        <w:t xml:space="preserve">. </w:t>
      </w:r>
    </w:p>
    <w:p w:rsidR="009813CC" w:rsidRPr="00C87C44" w:rsidRDefault="009813CC" w:rsidP="009813CC">
      <w:pPr>
        <w:pStyle w:val="BodyText"/>
      </w:pPr>
      <w:r>
        <w:t xml:space="preserve">In the </w:t>
      </w:r>
      <w:r w:rsidRPr="003935DA">
        <w:t>Maldives,</w:t>
      </w:r>
      <w:r>
        <w:rPr>
          <w:b/>
        </w:rPr>
        <w:t xml:space="preserve"> </w:t>
      </w:r>
      <w:r w:rsidRPr="00C87C44">
        <w:t>through the World Bank’s Maldives Multi Donor Trust Fund Program, Australia has co-financed three key studies and prepa</w:t>
      </w:r>
      <w:r>
        <w:t>ra</w:t>
      </w:r>
      <w:r w:rsidRPr="00C87C44">
        <w:t xml:space="preserve">tory activities to establish </w:t>
      </w:r>
      <w:r w:rsidR="00047767">
        <w:t xml:space="preserve">three </w:t>
      </w:r>
      <w:r w:rsidRPr="00C87C44">
        <w:t>major new climate change adaptation and mitigation programs</w:t>
      </w:r>
      <w:r w:rsidR="00FA6F12">
        <w:t xml:space="preserve">. </w:t>
      </w:r>
      <w:r w:rsidRPr="00C87C44">
        <w:t xml:space="preserve">These </w:t>
      </w:r>
      <w:r w:rsidR="00E37A41">
        <w:t>programs will include:</w:t>
      </w:r>
      <w:r w:rsidRPr="00C87C44">
        <w:t xml:space="preserve"> </w:t>
      </w:r>
      <w:r w:rsidR="00553825">
        <w:br/>
      </w:r>
      <w:r w:rsidRPr="00C87C44">
        <w:t>(</w:t>
      </w:r>
      <w:proofErr w:type="spellStart"/>
      <w:r w:rsidRPr="00C87C44">
        <w:t>i</w:t>
      </w:r>
      <w:proofErr w:type="spellEnd"/>
      <w:r w:rsidRPr="00C87C44">
        <w:t>) monitor</w:t>
      </w:r>
      <w:r w:rsidR="00E37A41">
        <w:t>ing</w:t>
      </w:r>
      <w:r w:rsidRPr="00C87C44">
        <w:t xml:space="preserve"> the effect of climate change on coral reefs</w:t>
      </w:r>
      <w:r w:rsidR="00047767">
        <w:t>,</w:t>
      </w:r>
      <w:r w:rsidRPr="00C87C44">
        <w:t xml:space="preserve"> (ii) </w:t>
      </w:r>
      <w:r w:rsidR="00E37A41">
        <w:t xml:space="preserve">providing </w:t>
      </w:r>
      <w:r w:rsidRPr="00C87C44">
        <w:t>flood protection and wetland conservation in ecological</w:t>
      </w:r>
      <w:r w:rsidR="00E37A41">
        <w:t xml:space="preserve">ly sensitive areas and (iii) </w:t>
      </w:r>
      <w:r w:rsidRPr="00C87C44">
        <w:t>implement</w:t>
      </w:r>
      <w:r w:rsidR="00E37A41">
        <w:t>ing</w:t>
      </w:r>
      <w:r w:rsidRPr="00C87C44">
        <w:t xml:space="preserve"> new sustainable energy sources.</w:t>
      </w:r>
    </w:p>
    <w:p w:rsidR="00FF5B06" w:rsidRDefault="00276452" w:rsidP="00FF5B06">
      <w:pPr>
        <w:pStyle w:val="Heading1"/>
      </w:pPr>
      <w:bookmarkStart w:id="17" w:name="_Toc361923052"/>
      <w:r>
        <w:t>Program q</w:t>
      </w:r>
      <w:r w:rsidR="00FF5B06" w:rsidRPr="00C07044">
        <w:t>uality</w:t>
      </w:r>
      <w:bookmarkEnd w:id="17"/>
    </w:p>
    <w:p w:rsidR="00E37A41" w:rsidRDefault="009E7458" w:rsidP="00F35025">
      <w:pPr>
        <w:pStyle w:val="BodyText"/>
      </w:pPr>
      <w:proofErr w:type="spellStart"/>
      <w:r>
        <w:t>AusAID</w:t>
      </w:r>
      <w:proofErr w:type="spellEnd"/>
      <w:r>
        <w:t xml:space="preserve"> assesses the quality of its programs again</w:t>
      </w:r>
      <w:r w:rsidR="00E37A41">
        <w:t>st a range of quality criteria—</w:t>
      </w:r>
      <w:r>
        <w:t xml:space="preserve">relevance, effectiveness, efficiency, monitoring and evaluation, sustainability and gender. </w:t>
      </w:r>
      <w:r w:rsidR="005A0621">
        <w:t xml:space="preserve">Annual </w:t>
      </w:r>
      <w:r w:rsidR="005A0621" w:rsidRPr="00180FCF">
        <w:t xml:space="preserve">Quality </w:t>
      </w:r>
      <w:r w:rsidR="005A0621" w:rsidRPr="00180FCF">
        <w:lastRenderedPageBreak/>
        <w:t>a</w:t>
      </w:r>
      <w:r w:rsidR="005A0621">
        <w:t>t Implementation (QAI) reports are prepared for all activities with app</w:t>
      </w:r>
      <w:r w:rsidR="00E37A41">
        <w:t xml:space="preserve">roved funding of </w:t>
      </w:r>
      <w:r w:rsidR="003C3DCB">
        <w:br/>
      </w:r>
      <w:r w:rsidR="00E37A41">
        <w:t>$3</w:t>
      </w:r>
      <w:r w:rsidR="003C3DCB">
        <w:t xml:space="preserve"> </w:t>
      </w:r>
      <w:r w:rsidR="00E37A41">
        <w:t>m</w:t>
      </w:r>
      <w:r w:rsidR="00FA6F12">
        <w:t>illion</w:t>
      </w:r>
      <w:r w:rsidR="00E37A41">
        <w:t xml:space="preserve"> or more. Activities that are valued</w:t>
      </w:r>
      <w:r w:rsidR="005A0621">
        <w:t xml:space="preserve"> less than $3 million but </w:t>
      </w:r>
      <w:r w:rsidR="00E37A41">
        <w:t>are significant to country or</w:t>
      </w:r>
      <w:r w:rsidR="005A0621">
        <w:t xml:space="preserve"> corporate strategies or key partner relationships</w:t>
      </w:r>
      <w:r w:rsidR="00E37A41">
        <w:t xml:space="preserve"> are also monitored through QAIs</w:t>
      </w:r>
      <w:r w:rsidR="005A0621">
        <w:t xml:space="preserve">. </w:t>
      </w:r>
    </w:p>
    <w:p w:rsidR="00F35025" w:rsidRDefault="00E37A41" w:rsidP="00F35025">
      <w:pPr>
        <w:pStyle w:val="BodyText"/>
      </w:pPr>
      <w:r>
        <w:t>In 2010, o</w:t>
      </w:r>
      <w:r w:rsidR="00F35025" w:rsidRPr="00AA43E3">
        <w:t>f the 11 initia</w:t>
      </w:r>
      <w:r w:rsidR="00F35025">
        <w:t>ti</w:t>
      </w:r>
      <w:r w:rsidR="00F35025" w:rsidRPr="00AA43E3">
        <w:t>ves</w:t>
      </w:r>
      <w:r w:rsidR="00F35025">
        <w:t xml:space="preserve"> that underwent </w:t>
      </w:r>
      <w:r w:rsidR="005A0621">
        <w:t xml:space="preserve">QAI </w:t>
      </w:r>
      <w:r w:rsidR="00F35025">
        <w:t>assessments</w:t>
      </w:r>
      <w:r>
        <w:t xml:space="preserve"> in the South Asia regional, India, Maldives and Bhutan programs</w:t>
      </w:r>
      <w:r w:rsidR="00F35025">
        <w:t>, 100</w:t>
      </w:r>
      <w:r w:rsidR="00FA6F12">
        <w:t xml:space="preserve"> per cent</w:t>
      </w:r>
      <w:r w:rsidR="00F35025">
        <w:t xml:space="preserve"> were rated as satisfactory or above on relevance and 91</w:t>
      </w:r>
      <w:r w:rsidR="00FA6F12">
        <w:t xml:space="preserve"> per cent</w:t>
      </w:r>
      <w:r w:rsidR="00F35025">
        <w:t xml:space="preserve"> as effective. This reflects the programs’ strong focus on inclusive economic and social development and on critical emerging issues such as adaptation to climate </w:t>
      </w:r>
      <w:r w:rsidR="009E7458">
        <w:t>change. The majority of initiatives</w:t>
      </w:r>
      <w:r w:rsidR="00F35025">
        <w:t xml:space="preserve"> demonstrated so</w:t>
      </w:r>
      <w:r>
        <w:t xml:space="preserve">und achievements against </w:t>
      </w:r>
      <w:r w:rsidR="00F35025">
        <w:t>end</w:t>
      </w:r>
      <w:r w:rsidR="002E47F2">
        <w:t>-</w:t>
      </w:r>
      <w:r w:rsidR="00F35025">
        <w:t>of</w:t>
      </w:r>
      <w:r w:rsidR="002E47F2">
        <w:t>-</w:t>
      </w:r>
      <w:r w:rsidR="00F35025">
        <w:t>program objectives</w:t>
      </w:r>
      <w:r>
        <w:t>. I</w:t>
      </w:r>
      <w:r w:rsidR="00F35025">
        <w:t xml:space="preserve">nformation </w:t>
      </w:r>
      <w:r>
        <w:t xml:space="preserve">was </w:t>
      </w:r>
      <w:r w:rsidR="00F35025">
        <w:t xml:space="preserve">sourced from partner monitoring and evaluation systems and independent </w:t>
      </w:r>
      <w:r w:rsidR="00176840">
        <w:t>MTRs</w:t>
      </w:r>
      <w:r>
        <w:t>. Programs generally had</w:t>
      </w:r>
      <w:r w:rsidR="00F35025">
        <w:t xml:space="preserve"> good evidence of gender</w:t>
      </w:r>
      <w:r w:rsidR="002E47F2">
        <w:t>-</w:t>
      </w:r>
      <w:r w:rsidR="00F35025">
        <w:t>sensitive approaches being considered in research and in the design and implementation of initiatives, although some activities could</w:t>
      </w:r>
      <w:r>
        <w:t xml:space="preserve"> have</w:t>
      </w:r>
      <w:r w:rsidR="00F35025">
        <w:t xml:space="preserve"> benefit</w:t>
      </w:r>
      <w:r>
        <w:t>ed</w:t>
      </w:r>
      <w:r w:rsidR="00F35025">
        <w:t xml:space="preserve"> from better reporting and analysis of gender equality benefits and impacts. </w:t>
      </w:r>
    </w:p>
    <w:p w:rsidR="00F35025" w:rsidRDefault="00F35025" w:rsidP="00F35025">
      <w:pPr>
        <w:pStyle w:val="BodyText"/>
      </w:pPr>
      <w:r>
        <w:t>Programs still h</w:t>
      </w:r>
      <w:r w:rsidR="005457C8">
        <w:t>ave some room for improvement. Measurement of longer</w:t>
      </w:r>
      <w:r w:rsidR="002E47F2">
        <w:t>-</w:t>
      </w:r>
      <w:r w:rsidR="005457C8">
        <w:t xml:space="preserve">term outcomes </w:t>
      </w:r>
      <w:r w:rsidR="007F28D8">
        <w:t xml:space="preserve">of the PSLP </w:t>
      </w:r>
      <w:r w:rsidR="005457C8" w:rsidRPr="00011A35">
        <w:t>is constrained by the one-off or short-term nat</w:t>
      </w:r>
      <w:r w:rsidR="005457C8">
        <w:t>ure of some of these activities and weaknesses in the program’s monitoring and evaluation system</w:t>
      </w:r>
      <w:r w:rsidR="00FA6F12">
        <w:t>, for example,</w:t>
      </w:r>
      <w:r w:rsidR="005457C8">
        <w:t xml:space="preserve"> one-off training workshops with no or little follow up. However, in India anecdotal evidence shows the program is resulting in some longer</w:t>
      </w:r>
      <w:r w:rsidR="002E47F2">
        <w:t>-</w:t>
      </w:r>
      <w:r w:rsidR="005457C8">
        <w:t xml:space="preserve">term strategic linkages between institutions, which can be used as a proxy for capacity development. </w:t>
      </w:r>
      <w:r>
        <w:t xml:space="preserve">The South Asia Scholarship Program needs to resolve operational issues resulting from implementation of a regional approach in South Asia and to implement tracer </w:t>
      </w:r>
      <w:r w:rsidR="009E7458">
        <w:t>studies,</w:t>
      </w:r>
      <w:r>
        <w:t xml:space="preserve"> alumni and reintegration plans to better measure the impact of scholarships on development. Strengthening activity monitoring and evaluation systems is also required for multilateral development bank technical assistance facilities</w:t>
      </w:r>
      <w:r w:rsidR="007F28D8">
        <w:t>. Key issues are</w:t>
      </w:r>
      <w:r>
        <w:t xml:space="preserve"> to ensure uptake of research products and </w:t>
      </w:r>
      <w:r w:rsidR="007F28D8">
        <w:t xml:space="preserve">to </w:t>
      </w:r>
      <w:r>
        <w:t xml:space="preserve">measure their impact on policy and institutional reforms. For some multilateral </w:t>
      </w:r>
      <w:r w:rsidR="009E7458">
        <w:t xml:space="preserve">technical assistance </w:t>
      </w:r>
      <w:r>
        <w:t>facility projects there is also a need to ensure the replication or scaling up of successful pilots to achieve sustainable benefits.</w:t>
      </w:r>
    </w:p>
    <w:p w:rsidR="00B87F9C" w:rsidRDefault="00C112BD" w:rsidP="00B87F9C">
      <w:pPr>
        <w:pStyle w:val="Heading1"/>
      </w:pPr>
      <w:bookmarkStart w:id="18" w:name="_Toc361923053"/>
      <w:r>
        <w:t xml:space="preserve">Next </w:t>
      </w:r>
      <w:r w:rsidR="00506CF5">
        <w:t>s</w:t>
      </w:r>
      <w:r>
        <w:t>teps</w:t>
      </w:r>
      <w:bookmarkEnd w:id="18"/>
    </w:p>
    <w:p w:rsidR="00DB1A3C" w:rsidRPr="00950E91" w:rsidRDefault="00CA6876" w:rsidP="00C112BD">
      <w:pPr>
        <w:pStyle w:val="BodyText"/>
      </w:pPr>
      <w:r>
        <w:t xml:space="preserve">Consistent with the Government’s response to the </w:t>
      </w:r>
      <w:r w:rsidR="00502128">
        <w:t xml:space="preserve">recommendations of </w:t>
      </w:r>
      <w:r w:rsidR="00BA7890">
        <w:t xml:space="preserve">the </w:t>
      </w:r>
      <w:r w:rsidR="00BA7890">
        <w:rPr>
          <w:i/>
        </w:rPr>
        <w:t>Independent Review of Aid Effectiveness</w:t>
      </w:r>
      <w:r w:rsidR="00502128">
        <w:rPr>
          <w:i/>
        </w:rPr>
        <w:t xml:space="preserve">, </w:t>
      </w:r>
      <w:r w:rsidR="00E97FD5">
        <w:t xml:space="preserve">Australia </w:t>
      </w:r>
      <w:r w:rsidR="00502128">
        <w:t>proposes to</w:t>
      </w:r>
      <w:r w:rsidR="00DB1A3C">
        <w:t xml:space="preserve"> in</w:t>
      </w:r>
      <w:r w:rsidR="00502128">
        <w:t>crease</w:t>
      </w:r>
      <w:r w:rsidR="00DB1A3C">
        <w:t xml:space="preserve"> aid to the South Asia region. This will</w:t>
      </w:r>
      <w:r w:rsidR="00BA7890">
        <w:rPr>
          <w:i/>
        </w:rPr>
        <w:t xml:space="preserve"> </w:t>
      </w:r>
      <w:r w:rsidR="00DB1A3C">
        <w:t xml:space="preserve">need to be planned and delivered </w:t>
      </w:r>
      <w:r w:rsidR="002E47F2">
        <w:t xml:space="preserve">well </w:t>
      </w:r>
      <w:r w:rsidR="00DB1A3C">
        <w:t>to ensure imp</w:t>
      </w:r>
      <w:r w:rsidR="00950E91">
        <w:t>roved development results and to</w:t>
      </w:r>
      <w:r w:rsidR="00DB1A3C">
        <w:t xml:space="preserve"> be consistent with Australia’s broader policy interests in the region. </w:t>
      </w:r>
      <w:proofErr w:type="spellStart"/>
      <w:r w:rsidR="00502128">
        <w:t>AusAID</w:t>
      </w:r>
      <w:proofErr w:type="spellEnd"/>
      <w:r w:rsidR="00950E91">
        <w:t xml:space="preserve">, in consultation with whole of government partners, </w:t>
      </w:r>
      <w:r w:rsidR="00DB1A3C">
        <w:t>will prepare a South Asia regi</w:t>
      </w:r>
      <w:r w:rsidR="007F28D8">
        <w:t>onal strategy and</w:t>
      </w:r>
      <w:r w:rsidR="00836E25">
        <w:t xml:space="preserve"> separate mini strategies for</w:t>
      </w:r>
      <w:r w:rsidR="00AB59F3">
        <w:t xml:space="preserve"> Bhutan and Maldives. </w:t>
      </w:r>
      <w:r w:rsidR="00950E91">
        <w:t xml:space="preserve">Country </w:t>
      </w:r>
      <w:r w:rsidR="002E47F2">
        <w:t>s</w:t>
      </w:r>
      <w:r w:rsidR="00950E91">
        <w:t>trategies will also be refined for the Bangladesh and Sri</w:t>
      </w:r>
      <w:r w:rsidR="002E47F2">
        <w:t> </w:t>
      </w:r>
      <w:r w:rsidR="00950E91">
        <w:t xml:space="preserve">Lanka programs </w:t>
      </w:r>
      <w:r w:rsidR="00836E25">
        <w:t xml:space="preserve">to reflect the </w:t>
      </w:r>
      <w:r>
        <w:t xml:space="preserve">government’s response to the </w:t>
      </w:r>
      <w:r w:rsidR="00836E25">
        <w:t xml:space="preserve">findings of the </w:t>
      </w:r>
      <w:r w:rsidR="00836E25" w:rsidRPr="003935DA">
        <w:t>Independent Review</w:t>
      </w:r>
      <w:r w:rsidR="00836E25">
        <w:rPr>
          <w:i/>
        </w:rPr>
        <w:t xml:space="preserve"> </w:t>
      </w:r>
      <w:r w:rsidR="00950E91">
        <w:t>and a new country strategy will be developed for the Nepal program (for further information see separate 2010</w:t>
      </w:r>
      <w:r w:rsidR="00EC65F4">
        <w:t> </w:t>
      </w:r>
      <w:r w:rsidR="00950E91">
        <w:t>Development Cooperation Reports for Bangladesh, Sri</w:t>
      </w:r>
      <w:r w:rsidR="007F28D8">
        <w:t xml:space="preserve"> Lanka and Nepal on the </w:t>
      </w:r>
      <w:proofErr w:type="spellStart"/>
      <w:r w:rsidR="007F28D8">
        <w:t>AusAID</w:t>
      </w:r>
      <w:proofErr w:type="spellEnd"/>
      <w:r w:rsidR="00950E91">
        <w:t xml:space="preserve"> website).</w:t>
      </w:r>
    </w:p>
    <w:p w:rsidR="001534DC" w:rsidRPr="00836E25" w:rsidRDefault="001534DC" w:rsidP="001534DC">
      <w:pPr>
        <w:pStyle w:val="BodyText"/>
      </w:pPr>
      <w:r>
        <w:t>C9nsistent with the</w:t>
      </w:r>
      <w:r w:rsidR="00E97FD5">
        <w:t xml:space="preserve"> Independent Review and reflecting the Government of India’s views about external aid, </w:t>
      </w:r>
      <w:r>
        <w:t>Australia’s bilateral assistance to India will be phased out by June 2013. Australia will continue to provide targeted assistance through multilateral organisations and regional programs where Australia can make a difference to poor people. Furthermore, to increase partnerships with non-traditional donors, Australia will look to partner with India through trilateral cooperation, primarily in South Asia and through regional organisations.</w:t>
      </w:r>
    </w:p>
    <w:p w:rsidR="00C112BD" w:rsidRDefault="002E47F2" w:rsidP="00C112BD">
      <w:pPr>
        <w:pStyle w:val="BodyText"/>
      </w:pPr>
      <w:r>
        <w:t>M</w:t>
      </w:r>
      <w:r w:rsidR="00C112BD">
        <w:t>onitoring and evaluation systems in all South Asia programs</w:t>
      </w:r>
      <w:r w:rsidR="000A59FF">
        <w:t>, including South Asia regional, Maldives and Bhutan,</w:t>
      </w:r>
      <w:r w:rsidR="00C112BD">
        <w:t xml:space="preserve"> need improvement. In </w:t>
      </w:r>
      <w:r w:rsidR="000A59FF">
        <w:t xml:space="preserve">finalising and </w:t>
      </w:r>
      <w:r w:rsidR="00C112BD">
        <w:t xml:space="preserve">preparing </w:t>
      </w:r>
      <w:r w:rsidR="00E97FD5">
        <w:t xml:space="preserve">new country strategies </w:t>
      </w:r>
      <w:proofErr w:type="spellStart"/>
      <w:r w:rsidR="00E97FD5">
        <w:lastRenderedPageBreak/>
        <w:t>AusAID</w:t>
      </w:r>
      <w:proofErr w:type="spellEnd"/>
      <w:r w:rsidR="00C112BD">
        <w:t xml:space="preserve"> will give</w:t>
      </w:r>
      <w:r w:rsidR="000A59FF">
        <w:t xml:space="preserve"> a high priority to developing performance assessment f</w:t>
      </w:r>
      <w:r w:rsidR="00C112BD">
        <w:t xml:space="preserve">rameworks </w:t>
      </w:r>
      <w:r w:rsidR="00E97FD5">
        <w:t xml:space="preserve">to help </w:t>
      </w:r>
      <w:r w:rsidR="000A59FF">
        <w:t>better track and report on performance.</w:t>
      </w:r>
    </w:p>
    <w:p w:rsidR="00CD42D5" w:rsidRDefault="007F28D8" w:rsidP="00CD42D5">
      <w:pPr>
        <w:pStyle w:val="BodyText"/>
        <w:rPr>
          <w:szCs w:val="24"/>
        </w:rPr>
      </w:pPr>
      <w:r>
        <w:t>I</w:t>
      </w:r>
      <w:r w:rsidR="000A59FF">
        <w:t xml:space="preserve">n line with recommendations of the </w:t>
      </w:r>
      <w:r w:rsidR="000A59FF">
        <w:rPr>
          <w:i/>
        </w:rPr>
        <w:t>Independent Review of Aid Effectiveness</w:t>
      </w:r>
      <w:r w:rsidR="000A59FF" w:rsidRPr="00502128">
        <w:t>, the bulk of Australia’s</w:t>
      </w:r>
      <w:r w:rsidR="000A59FF">
        <w:t xml:space="preserve"> </w:t>
      </w:r>
      <w:r>
        <w:t xml:space="preserve">assistance </w:t>
      </w:r>
      <w:r w:rsidR="000A59FF">
        <w:t xml:space="preserve">to the South Asia region will be </w:t>
      </w:r>
      <w:r>
        <w:t>delivered through partnerships—</w:t>
      </w:r>
      <w:r w:rsidR="000A59FF">
        <w:t>including with multilateral and non-government organisati</w:t>
      </w:r>
      <w:r>
        <w:t>ons that we assess as effective—</w:t>
      </w:r>
      <w:r w:rsidR="000A59FF">
        <w:t>and by investing in sectors where we can make the biggest difference.</w:t>
      </w:r>
      <w:r w:rsidR="00CD42D5">
        <w:t xml:space="preserve"> </w:t>
      </w:r>
      <w:r w:rsidR="00CD42D5">
        <w:rPr>
          <w:szCs w:val="24"/>
        </w:rPr>
        <w:t>In 2011, Australia</w:t>
      </w:r>
      <w:r w:rsidR="00CD42D5" w:rsidRPr="00644B72">
        <w:rPr>
          <w:szCs w:val="24"/>
        </w:rPr>
        <w:t xml:space="preserve"> will develop a strategic ap</w:t>
      </w:r>
      <w:r w:rsidR="00CD42D5">
        <w:rPr>
          <w:szCs w:val="24"/>
        </w:rPr>
        <w:t xml:space="preserve">proach for partnering with </w:t>
      </w:r>
      <w:r w:rsidR="006D52EC">
        <w:rPr>
          <w:szCs w:val="24"/>
        </w:rPr>
        <w:t xml:space="preserve">the </w:t>
      </w:r>
      <w:r w:rsidR="00AB59F3">
        <w:rPr>
          <w:szCs w:val="24"/>
        </w:rPr>
        <w:t xml:space="preserve">World Bank and </w:t>
      </w:r>
      <w:r w:rsidR="00392962" w:rsidRPr="00392962">
        <w:rPr>
          <w:szCs w:val="24"/>
        </w:rPr>
        <w:t xml:space="preserve">Asian Development Bank </w:t>
      </w:r>
      <w:r>
        <w:rPr>
          <w:szCs w:val="24"/>
        </w:rPr>
        <w:t>in the region</w:t>
      </w:r>
      <w:r w:rsidR="002E47F2">
        <w:rPr>
          <w:szCs w:val="24"/>
        </w:rPr>
        <w:t>,</w:t>
      </w:r>
      <w:r w:rsidR="003C2F62">
        <w:rPr>
          <w:szCs w:val="24"/>
        </w:rPr>
        <w:t xml:space="preserve"> to</w:t>
      </w:r>
      <w:r>
        <w:rPr>
          <w:szCs w:val="24"/>
        </w:rPr>
        <w:t xml:space="preserve"> </w:t>
      </w:r>
      <w:r w:rsidR="00CD42D5" w:rsidRPr="00644B72">
        <w:rPr>
          <w:szCs w:val="24"/>
        </w:rPr>
        <w:t>maximise benefits of Australian inv</w:t>
      </w:r>
      <w:r>
        <w:rPr>
          <w:szCs w:val="24"/>
        </w:rPr>
        <w:t xml:space="preserve">estment and </w:t>
      </w:r>
      <w:r w:rsidR="00CD42D5" w:rsidRPr="00644B72">
        <w:rPr>
          <w:szCs w:val="24"/>
        </w:rPr>
        <w:t xml:space="preserve">add </w:t>
      </w:r>
      <w:r>
        <w:rPr>
          <w:szCs w:val="24"/>
        </w:rPr>
        <w:t xml:space="preserve">value </w:t>
      </w:r>
      <w:r w:rsidR="00CD42D5">
        <w:rPr>
          <w:szCs w:val="24"/>
        </w:rPr>
        <w:t>to the banks’ programs</w:t>
      </w:r>
      <w:r w:rsidR="00CD42D5" w:rsidRPr="00644B72">
        <w:rPr>
          <w:szCs w:val="24"/>
        </w:rPr>
        <w:t xml:space="preserve">. </w:t>
      </w:r>
      <w:r>
        <w:rPr>
          <w:szCs w:val="24"/>
        </w:rPr>
        <w:t>W</w:t>
      </w:r>
      <w:r w:rsidR="00CD42D5">
        <w:rPr>
          <w:szCs w:val="24"/>
        </w:rPr>
        <w:t xml:space="preserve">e will continue to work with the multilateral development banks to </w:t>
      </w:r>
      <w:r w:rsidR="003C2F62">
        <w:rPr>
          <w:szCs w:val="24"/>
        </w:rPr>
        <w:t xml:space="preserve">improve performance assessment of technical assistance facilities. This will include </w:t>
      </w:r>
      <w:r w:rsidR="00343F2A">
        <w:rPr>
          <w:szCs w:val="24"/>
        </w:rPr>
        <w:t xml:space="preserve">better measurement of the </w:t>
      </w:r>
      <w:r w:rsidR="00CD42D5">
        <w:rPr>
          <w:szCs w:val="24"/>
        </w:rPr>
        <w:t>uptake of research and knowled</w:t>
      </w:r>
      <w:r w:rsidR="003C2F62">
        <w:rPr>
          <w:szCs w:val="24"/>
        </w:rPr>
        <w:t xml:space="preserve">ge products and </w:t>
      </w:r>
      <w:r w:rsidR="00343F2A">
        <w:rPr>
          <w:szCs w:val="24"/>
        </w:rPr>
        <w:t xml:space="preserve">improved evaluation of </w:t>
      </w:r>
      <w:r w:rsidR="00CD42D5">
        <w:rPr>
          <w:szCs w:val="24"/>
        </w:rPr>
        <w:t xml:space="preserve">the impact of analytical work on policy and institutional change. </w:t>
      </w:r>
    </w:p>
    <w:p w:rsidR="0020707F" w:rsidRDefault="0020707F" w:rsidP="0020707F">
      <w:pPr>
        <w:pStyle w:val="BodyText"/>
      </w:pPr>
      <w:r>
        <w:t>At a program</w:t>
      </w:r>
      <w:r w:rsidR="00CD42D5">
        <w:t xml:space="preserve"> level, we will:</w:t>
      </w:r>
    </w:p>
    <w:p w:rsidR="00CD42D5" w:rsidRDefault="00CD42D5" w:rsidP="00CD42D5">
      <w:pPr>
        <w:pStyle w:val="ListBullet"/>
        <w:numPr>
          <w:ilvl w:val="0"/>
          <w:numId w:val="16"/>
        </w:numPr>
        <w:spacing w:before="0" w:after="0"/>
      </w:pPr>
      <w:r>
        <w:t xml:space="preserve">Review </w:t>
      </w:r>
      <w:r w:rsidR="007F28D8">
        <w:t xml:space="preserve">the current </w:t>
      </w:r>
      <w:r>
        <w:t>model for managing the scholarship program in the South Asia region and implement monitoring and evaluation strategies to better measure effectiveness.</w:t>
      </w:r>
    </w:p>
    <w:p w:rsidR="00CD42D5" w:rsidRDefault="00CD42D5" w:rsidP="00CD42D5">
      <w:pPr>
        <w:pStyle w:val="ListBullet"/>
        <w:numPr>
          <w:ilvl w:val="0"/>
          <w:numId w:val="16"/>
        </w:numPr>
        <w:spacing w:before="0" w:after="0"/>
      </w:pPr>
      <w:r>
        <w:t>Explore options for developing a broader and more integrated Human Resource Development approach in the Maldives</w:t>
      </w:r>
      <w:r w:rsidR="0020707F">
        <w:t xml:space="preserve"> and </w:t>
      </w:r>
      <w:r>
        <w:t>Bhutan.</w:t>
      </w:r>
    </w:p>
    <w:p w:rsidR="00CD42D5" w:rsidRDefault="0020707F" w:rsidP="00CD42D5">
      <w:pPr>
        <w:pStyle w:val="ListBullet"/>
        <w:numPr>
          <w:ilvl w:val="0"/>
          <w:numId w:val="16"/>
        </w:numPr>
        <w:spacing w:before="0" w:after="0"/>
      </w:pPr>
      <w:r>
        <w:t>I</w:t>
      </w:r>
      <w:r w:rsidR="00CD42D5">
        <w:t xml:space="preserve">mplement the recommendations of the PSLP review to </w:t>
      </w:r>
      <w:r w:rsidR="00836E25">
        <w:t>strengthen the program’s monitoring and evaluation approach and administration</w:t>
      </w:r>
      <w:r w:rsidR="00CD42D5">
        <w:t>.</w:t>
      </w:r>
    </w:p>
    <w:p w:rsidR="0038305C" w:rsidRPr="0038305C" w:rsidRDefault="00D671BD" w:rsidP="0038305C">
      <w:pPr>
        <w:pStyle w:val="ListBullet"/>
        <w:numPr>
          <w:ilvl w:val="0"/>
          <w:numId w:val="16"/>
        </w:numPr>
        <w:spacing w:before="0" w:after="0"/>
      </w:pPr>
      <w:r>
        <w:rPr>
          <w:szCs w:val="24"/>
        </w:rPr>
        <w:t>An external communic</w:t>
      </w:r>
      <w:r w:rsidR="007F28D8">
        <w:rPr>
          <w:szCs w:val="24"/>
        </w:rPr>
        <w:t xml:space="preserve">ation strategy </w:t>
      </w:r>
      <w:r w:rsidR="0038305C" w:rsidRPr="00644B72">
        <w:rPr>
          <w:szCs w:val="24"/>
        </w:rPr>
        <w:t>will be developed to increase the profile of South Asia</w:t>
      </w:r>
      <w:r w:rsidR="0038305C">
        <w:rPr>
          <w:szCs w:val="24"/>
        </w:rPr>
        <w:t xml:space="preserve"> programs, highlight good practice interventions</w:t>
      </w:r>
      <w:r w:rsidR="0038305C" w:rsidRPr="00644B72">
        <w:rPr>
          <w:szCs w:val="24"/>
        </w:rPr>
        <w:t xml:space="preserve"> and share lessons learned.</w:t>
      </w:r>
    </w:p>
    <w:sectPr w:rsidR="0038305C" w:rsidRPr="0038305C" w:rsidSect="00E77D0C">
      <w:headerReference w:type="even" r:id="rId17"/>
      <w:footerReference w:type="even" r:id="rId18"/>
      <w:footerReference w:type="default" r:id="rId19"/>
      <w:footerReference w:type="first" r:id="rId20"/>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BC" w:rsidRDefault="00B762BC">
      <w:r>
        <w:separator/>
      </w:r>
    </w:p>
    <w:p w:rsidR="00B762BC" w:rsidRDefault="00B762BC"/>
  </w:endnote>
  <w:endnote w:type="continuationSeparator" w:id="0">
    <w:p w:rsidR="00B762BC" w:rsidRDefault="00B762BC">
      <w:r>
        <w:continuationSeparator/>
      </w:r>
    </w:p>
    <w:p w:rsidR="00B762BC" w:rsidRDefault="00B76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3">
    <w:altName w:val="Times New Roman"/>
    <w:panose1 w:val="00000000000000000000"/>
    <w:charset w:val="00"/>
    <w:family w:val="auto"/>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D5" w:rsidRPr="00AD612A" w:rsidRDefault="00F332E3">
    <w:pPr>
      <w:pStyle w:val="Footer"/>
    </w:pPr>
    <w:r>
      <w:rPr>
        <w:noProof/>
        <w:color w:val="54534A"/>
        <w:lang w:val="en-US" w:eastAsia="en-US"/>
      </w:rPr>
      <w:drawing>
        <wp:anchor distT="0" distB="0" distL="114300" distR="114300" simplePos="0" relativeHeight="251656704" behindDoc="1" locked="0" layoutInCell="0" allowOverlap="1" wp14:anchorId="08384B0D" wp14:editId="72A3EF9C">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D5" w:rsidRPr="007C1ECE">
      <w:tab/>
    </w:r>
    <w:r w:rsidR="00E97FD5">
      <w:tab/>
    </w:r>
    <w:r w:rsidR="00E97FD5">
      <w:tab/>
    </w:r>
    <w:r w:rsidR="00E97FD5">
      <w:rPr>
        <w:rStyle w:val="PageNumber"/>
      </w:rPr>
      <w:fldChar w:fldCharType="begin"/>
    </w:r>
    <w:r w:rsidR="00E97FD5">
      <w:rPr>
        <w:rStyle w:val="PageNumber"/>
      </w:rPr>
      <w:instrText xml:space="preserve"> PAGE </w:instrText>
    </w:r>
    <w:r w:rsidR="00E97FD5">
      <w:rPr>
        <w:rStyle w:val="PageNumber"/>
      </w:rPr>
      <w:fldChar w:fldCharType="separate"/>
    </w:r>
    <w:r w:rsidR="00E97FD5">
      <w:rPr>
        <w:rStyle w:val="PageNumber"/>
        <w:noProof/>
      </w:rPr>
      <w:t>10</w:t>
    </w:r>
    <w:r w:rsidR="00E97FD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D5" w:rsidRPr="004A4B6B" w:rsidRDefault="00F332E3" w:rsidP="001260C2">
    <w:pPr>
      <w:pStyle w:val="Footer"/>
    </w:pPr>
    <w:r>
      <w:rPr>
        <w:noProof/>
        <w:lang w:val="en-US" w:eastAsia="en-US"/>
      </w:rPr>
      <w:drawing>
        <wp:anchor distT="0" distB="0" distL="114300" distR="114300" simplePos="0" relativeHeight="251658752" behindDoc="1" locked="0" layoutInCell="1" allowOverlap="1" wp14:anchorId="162C353A" wp14:editId="3902A7CB">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D5">
      <w:tab/>
    </w:r>
    <w:r w:rsidR="00E97FD5">
      <w:fldChar w:fldCharType="begin"/>
    </w:r>
    <w:r w:rsidR="00E97FD5">
      <w:instrText xml:space="preserve"> STYLEREF  Title </w:instrText>
    </w:r>
    <w:r w:rsidR="00E97FD5">
      <w:fldChar w:fldCharType="separate"/>
    </w:r>
    <w:r w:rsidR="001C49F1">
      <w:rPr>
        <w:noProof/>
      </w:rPr>
      <w:t>South Asia regional, India, Maldives and Bhutan development cooperation report 2010</w:t>
    </w:r>
    <w:r w:rsidR="00E97FD5">
      <w:fldChar w:fldCharType="end"/>
    </w:r>
    <w:r w:rsidR="00E97FD5">
      <w:rPr>
        <w:rStyle w:val="PageNumber"/>
      </w:rPr>
      <w:tab/>
    </w:r>
    <w:r w:rsidR="00E97FD5">
      <w:rPr>
        <w:rStyle w:val="PageNumber"/>
      </w:rPr>
      <w:tab/>
    </w:r>
    <w:r w:rsidR="00E97FD5" w:rsidRPr="004A26C9">
      <w:rPr>
        <w:rStyle w:val="PageNumber"/>
      </w:rPr>
      <w:fldChar w:fldCharType="begin"/>
    </w:r>
    <w:r w:rsidR="00E97FD5" w:rsidRPr="004A26C9">
      <w:rPr>
        <w:rStyle w:val="PageNumber"/>
      </w:rPr>
      <w:instrText xml:space="preserve"> PAGE </w:instrText>
    </w:r>
    <w:r w:rsidR="00E97FD5" w:rsidRPr="004A26C9">
      <w:rPr>
        <w:rStyle w:val="PageNumber"/>
      </w:rPr>
      <w:fldChar w:fldCharType="separate"/>
    </w:r>
    <w:r w:rsidR="001C49F1">
      <w:rPr>
        <w:rStyle w:val="PageNumber"/>
        <w:noProof/>
      </w:rPr>
      <w:t>3</w:t>
    </w:r>
    <w:r w:rsidR="00E97FD5"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D5" w:rsidRDefault="00E97FD5">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1C49F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BC" w:rsidRDefault="00B762BC" w:rsidP="00D62AA4">
      <w:pPr>
        <w:spacing w:before="60" w:after="40" w:line="180" w:lineRule="exact"/>
      </w:pPr>
      <w:r>
        <w:continuationSeparator/>
      </w:r>
    </w:p>
  </w:footnote>
  <w:footnote w:type="continuationSeparator" w:id="0">
    <w:p w:rsidR="00B762BC" w:rsidRDefault="00B762BC">
      <w:r>
        <w:continuationSeparator/>
      </w:r>
    </w:p>
    <w:p w:rsidR="00B762BC" w:rsidRDefault="00B762BC"/>
  </w:footnote>
  <w:footnote w:type="continuationNotice" w:id="1">
    <w:p w:rsidR="00B762BC" w:rsidRDefault="00B762BC"/>
    <w:p w:rsidR="00B762BC" w:rsidRDefault="00B762BC"/>
  </w:footnote>
  <w:footnote w:id="2">
    <w:p w:rsidR="00E97FD5" w:rsidRDefault="00E97FD5" w:rsidP="00F464BC">
      <w:pPr>
        <w:pStyle w:val="FootnoteText"/>
      </w:pPr>
      <w:r>
        <w:rPr>
          <w:rStyle w:val="FootnoteReference"/>
        </w:rPr>
        <w:footnoteRef/>
      </w:r>
      <w:r>
        <w:t xml:space="preserve"> Water and Sanitation Program, Scaling-Up Rural sanitation in South Asia: Lessons Learned for Bangladesh, India and Pakistan, May 2005.</w:t>
      </w:r>
    </w:p>
  </w:footnote>
  <w:footnote w:id="3">
    <w:p w:rsidR="00E97FD5" w:rsidRPr="003935DA" w:rsidRDefault="00E97FD5">
      <w:pPr>
        <w:pStyle w:val="FootnoteText"/>
        <w:rPr>
          <w:lang w:val="en-US"/>
        </w:rPr>
      </w:pPr>
      <w:r>
        <w:rPr>
          <w:rStyle w:val="FootnoteReference"/>
        </w:rPr>
        <w:footnoteRef/>
      </w:r>
      <w:r>
        <w:t xml:space="preserve"> </w:t>
      </w:r>
      <w:r w:rsidRPr="00575599">
        <w:rPr>
          <w:lang w:val="en-US"/>
        </w:rPr>
        <w:t>Moving Up, Looking East: World Bank South Asia Economic Update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D5" w:rsidRDefault="00F332E3" w:rsidP="00B7603F">
    <w:pPr>
      <w:pStyle w:val="Header"/>
      <w:jc w:val="left"/>
    </w:pPr>
    <w:r>
      <w:rPr>
        <w:noProof/>
        <w:lang w:val="en-US" w:eastAsia="en-US"/>
      </w:rPr>
      <w:drawing>
        <wp:anchor distT="0" distB="0" distL="114300" distR="114300" simplePos="0" relativeHeight="251657728" behindDoc="1" locked="0" layoutInCell="1" allowOverlap="1" wp14:anchorId="4B41E895" wp14:editId="3A84803C">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FD4"/>
    <w:multiLevelType w:val="hybridMultilevel"/>
    <w:tmpl w:val="F83CDA08"/>
    <w:lvl w:ilvl="0" w:tplc="DB6678E8">
      <w:start w:val="1"/>
      <w:numFmt w:val="bullet"/>
      <w:lvlText w:val="&gt;"/>
      <w:lvlJc w:val="left"/>
      <w:pPr>
        <w:tabs>
          <w:tab w:val="num" w:pos="284"/>
        </w:tabs>
        <w:ind w:left="284" w:hanging="284"/>
      </w:pPr>
      <w:rPr>
        <w:rFonts w:ascii="font293" w:hAnsi="font293"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5C56BB90">
      <w:start w:val="1"/>
      <w:numFmt w:val="lowerLetter"/>
      <w:pStyle w:val="TableListNumber2"/>
      <w:lvlText w:val="%1."/>
      <w:lvlJc w:val="left"/>
      <w:pPr>
        <w:tabs>
          <w:tab w:val="num" w:pos="454"/>
        </w:tabs>
        <w:ind w:left="454" w:hanging="227"/>
      </w:pPr>
      <w:rPr>
        <w:rFonts w:hint="default"/>
      </w:rPr>
    </w:lvl>
    <w:lvl w:ilvl="1" w:tplc="32E85BCA" w:tentative="1">
      <w:start w:val="1"/>
      <w:numFmt w:val="lowerLetter"/>
      <w:lvlText w:val="%2."/>
      <w:lvlJc w:val="left"/>
      <w:pPr>
        <w:tabs>
          <w:tab w:val="num" w:pos="1440"/>
        </w:tabs>
        <w:ind w:left="1440" w:hanging="360"/>
      </w:pPr>
    </w:lvl>
    <w:lvl w:ilvl="2" w:tplc="ED4E7C8E" w:tentative="1">
      <w:start w:val="1"/>
      <w:numFmt w:val="lowerRoman"/>
      <w:lvlText w:val="%3."/>
      <w:lvlJc w:val="right"/>
      <w:pPr>
        <w:tabs>
          <w:tab w:val="num" w:pos="2160"/>
        </w:tabs>
        <w:ind w:left="2160" w:hanging="180"/>
      </w:pPr>
    </w:lvl>
    <w:lvl w:ilvl="3" w:tplc="EE1074E2" w:tentative="1">
      <w:start w:val="1"/>
      <w:numFmt w:val="decimal"/>
      <w:lvlText w:val="%4."/>
      <w:lvlJc w:val="left"/>
      <w:pPr>
        <w:tabs>
          <w:tab w:val="num" w:pos="2880"/>
        </w:tabs>
        <w:ind w:left="2880" w:hanging="360"/>
      </w:pPr>
    </w:lvl>
    <w:lvl w:ilvl="4" w:tplc="88A6B96E" w:tentative="1">
      <w:start w:val="1"/>
      <w:numFmt w:val="lowerLetter"/>
      <w:lvlText w:val="%5."/>
      <w:lvlJc w:val="left"/>
      <w:pPr>
        <w:tabs>
          <w:tab w:val="num" w:pos="3600"/>
        </w:tabs>
        <w:ind w:left="3600" w:hanging="360"/>
      </w:pPr>
    </w:lvl>
    <w:lvl w:ilvl="5" w:tplc="6A5605FE" w:tentative="1">
      <w:start w:val="1"/>
      <w:numFmt w:val="lowerRoman"/>
      <w:lvlText w:val="%6."/>
      <w:lvlJc w:val="right"/>
      <w:pPr>
        <w:tabs>
          <w:tab w:val="num" w:pos="4320"/>
        </w:tabs>
        <w:ind w:left="4320" w:hanging="180"/>
      </w:pPr>
    </w:lvl>
    <w:lvl w:ilvl="6" w:tplc="1C52C404" w:tentative="1">
      <w:start w:val="1"/>
      <w:numFmt w:val="decimal"/>
      <w:lvlText w:val="%7."/>
      <w:lvlJc w:val="left"/>
      <w:pPr>
        <w:tabs>
          <w:tab w:val="num" w:pos="5040"/>
        </w:tabs>
        <w:ind w:left="5040" w:hanging="360"/>
      </w:pPr>
    </w:lvl>
    <w:lvl w:ilvl="7" w:tplc="516C2E96" w:tentative="1">
      <w:start w:val="1"/>
      <w:numFmt w:val="lowerLetter"/>
      <w:lvlText w:val="%8."/>
      <w:lvlJc w:val="left"/>
      <w:pPr>
        <w:tabs>
          <w:tab w:val="num" w:pos="5760"/>
        </w:tabs>
        <w:ind w:left="5760" w:hanging="360"/>
      </w:pPr>
    </w:lvl>
    <w:lvl w:ilvl="8" w:tplc="869A5EDA"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4A0DF2"/>
    <w:multiLevelType w:val="hybridMultilevel"/>
    <w:tmpl w:val="221C13D8"/>
    <w:lvl w:ilvl="0" w:tplc="DB6678E8">
      <w:start w:val="1"/>
      <w:numFmt w:val="bullet"/>
      <w:lvlText w:val="&gt;"/>
      <w:lvlJc w:val="left"/>
      <w:pPr>
        <w:ind w:left="720" w:hanging="360"/>
      </w:pPr>
      <w:rPr>
        <w:rFonts w:ascii="font293" w:hAnsi="font293" w:hint="default"/>
        <w:color w:val="0000FF"/>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083C07"/>
    <w:multiLevelType w:val="hybridMultilevel"/>
    <w:tmpl w:val="1556F3E6"/>
    <w:lvl w:ilvl="0" w:tplc="DB6678E8">
      <w:start w:val="1"/>
      <w:numFmt w:val="bullet"/>
      <w:lvlText w:val="&gt;"/>
      <w:lvlJc w:val="left"/>
      <w:pPr>
        <w:tabs>
          <w:tab w:val="num" w:pos="284"/>
        </w:tabs>
        <w:ind w:left="284" w:hanging="284"/>
      </w:pPr>
      <w:rPr>
        <w:rFonts w:ascii="font293" w:hAnsi="font293"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7965914"/>
    <w:multiLevelType w:val="multilevel"/>
    <w:tmpl w:val="E6A83EBE"/>
    <w:lvl w:ilvl="0">
      <w:start w:val="1"/>
      <w:numFmt w:val="lowerLetter"/>
      <w:lvlRestart w:val="0"/>
      <w:lvlText w:val="%1"/>
      <w:lvlJc w:val="left"/>
      <w:pPr>
        <w:tabs>
          <w:tab w:val="num" w:pos="170"/>
        </w:tabs>
        <w:ind w:left="0" w:firstLine="0"/>
      </w:pPr>
      <w:rPr>
        <w:rFonts w:hint="default"/>
        <w:b/>
        <w:i w:val="0"/>
        <w:color w:val="auto"/>
        <w:spacing w:val="0"/>
        <w:w w:val="100"/>
        <w:position w:val="4"/>
        <w:sz w:val="14"/>
        <w:szCs w:val="1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b w:val="0"/>
        <w:i w:val="0"/>
        <w:color w:val="auto"/>
        <w:spacing w:val="0"/>
        <w:w w:val="100"/>
        <w:position w:val="0"/>
        <w:sz w:val="44"/>
        <w:szCs w:val="44"/>
      </w:rPr>
    </w:lvl>
  </w:abstractNum>
  <w:abstractNum w:abstractNumId="8">
    <w:nsid w:val="336E532F"/>
    <w:multiLevelType w:val="hybridMultilevel"/>
    <w:tmpl w:val="E6A84908"/>
    <w:lvl w:ilvl="0" w:tplc="DB6678E8">
      <w:start w:val="1"/>
      <w:numFmt w:val="bullet"/>
      <w:lvlText w:val="&gt;"/>
      <w:lvlJc w:val="left"/>
      <w:pPr>
        <w:tabs>
          <w:tab w:val="num" w:pos="284"/>
        </w:tabs>
        <w:ind w:left="284" w:hanging="284"/>
      </w:pPr>
      <w:rPr>
        <w:rFonts w:ascii="font293" w:hAnsi="font293"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33F6B"/>
    <w:multiLevelType w:val="hybridMultilevel"/>
    <w:tmpl w:val="53929CB2"/>
    <w:lvl w:ilvl="0" w:tplc="3B64D6DE">
      <w:start w:val="1"/>
      <w:numFmt w:val="lowerLetter"/>
      <w:pStyle w:val="BoxListNumber2"/>
      <w:lvlText w:val="%1."/>
      <w:lvlJc w:val="left"/>
      <w:pPr>
        <w:tabs>
          <w:tab w:val="num" w:pos="567"/>
        </w:tabs>
        <w:ind w:left="567" w:hanging="283"/>
      </w:pPr>
      <w:rPr>
        <w:rFonts w:hint="default"/>
      </w:rPr>
    </w:lvl>
    <w:lvl w:ilvl="1" w:tplc="B3903E20" w:tentative="1">
      <w:start w:val="1"/>
      <w:numFmt w:val="lowerLetter"/>
      <w:lvlText w:val="%2."/>
      <w:lvlJc w:val="left"/>
      <w:pPr>
        <w:tabs>
          <w:tab w:val="num" w:pos="1440"/>
        </w:tabs>
        <w:ind w:left="1440" w:hanging="360"/>
      </w:pPr>
    </w:lvl>
    <w:lvl w:ilvl="2" w:tplc="D610D6A2" w:tentative="1">
      <w:start w:val="1"/>
      <w:numFmt w:val="lowerRoman"/>
      <w:lvlText w:val="%3."/>
      <w:lvlJc w:val="right"/>
      <w:pPr>
        <w:tabs>
          <w:tab w:val="num" w:pos="2160"/>
        </w:tabs>
        <w:ind w:left="2160" w:hanging="180"/>
      </w:pPr>
    </w:lvl>
    <w:lvl w:ilvl="3" w:tplc="7E3E97F4" w:tentative="1">
      <w:start w:val="1"/>
      <w:numFmt w:val="decimal"/>
      <w:lvlText w:val="%4."/>
      <w:lvlJc w:val="left"/>
      <w:pPr>
        <w:tabs>
          <w:tab w:val="num" w:pos="2880"/>
        </w:tabs>
        <w:ind w:left="2880" w:hanging="360"/>
      </w:pPr>
    </w:lvl>
    <w:lvl w:ilvl="4" w:tplc="F13624AA" w:tentative="1">
      <w:start w:val="1"/>
      <w:numFmt w:val="lowerLetter"/>
      <w:lvlText w:val="%5."/>
      <w:lvlJc w:val="left"/>
      <w:pPr>
        <w:tabs>
          <w:tab w:val="num" w:pos="3600"/>
        </w:tabs>
        <w:ind w:left="3600" w:hanging="360"/>
      </w:pPr>
    </w:lvl>
    <w:lvl w:ilvl="5" w:tplc="EA36D27C" w:tentative="1">
      <w:start w:val="1"/>
      <w:numFmt w:val="lowerRoman"/>
      <w:lvlText w:val="%6."/>
      <w:lvlJc w:val="right"/>
      <w:pPr>
        <w:tabs>
          <w:tab w:val="num" w:pos="4320"/>
        </w:tabs>
        <w:ind w:left="4320" w:hanging="180"/>
      </w:pPr>
    </w:lvl>
    <w:lvl w:ilvl="6" w:tplc="9C2CEC7E" w:tentative="1">
      <w:start w:val="1"/>
      <w:numFmt w:val="decimal"/>
      <w:lvlText w:val="%7."/>
      <w:lvlJc w:val="left"/>
      <w:pPr>
        <w:tabs>
          <w:tab w:val="num" w:pos="5040"/>
        </w:tabs>
        <w:ind w:left="5040" w:hanging="360"/>
      </w:pPr>
    </w:lvl>
    <w:lvl w:ilvl="7" w:tplc="2D08D5B4" w:tentative="1">
      <w:start w:val="1"/>
      <w:numFmt w:val="lowerLetter"/>
      <w:lvlText w:val="%8."/>
      <w:lvlJc w:val="left"/>
      <w:pPr>
        <w:tabs>
          <w:tab w:val="num" w:pos="5760"/>
        </w:tabs>
        <w:ind w:left="5760" w:hanging="360"/>
      </w:pPr>
    </w:lvl>
    <w:lvl w:ilvl="8" w:tplc="F8EE810E" w:tentative="1">
      <w:start w:val="1"/>
      <w:numFmt w:val="lowerRoman"/>
      <w:lvlText w:val="%9."/>
      <w:lvlJc w:val="right"/>
      <w:pPr>
        <w:tabs>
          <w:tab w:val="num" w:pos="6480"/>
        </w:tabs>
        <w:ind w:left="6480" w:hanging="180"/>
      </w:pPr>
    </w:lvl>
  </w:abstractNum>
  <w:abstractNum w:abstractNumId="11">
    <w:nsid w:val="3AD675F2"/>
    <w:multiLevelType w:val="multilevel"/>
    <w:tmpl w:val="3F368AC4"/>
    <w:lvl w:ilvl="0">
      <w:start w:val="1"/>
      <w:numFmt w:val="lowerLetter"/>
      <w:lvlRestart w:val="0"/>
      <w:lvlText w:val="%1"/>
      <w:lvlJc w:val="left"/>
      <w:pPr>
        <w:tabs>
          <w:tab w:val="num" w:pos="170"/>
        </w:tabs>
        <w:ind w:left="0" w:firstLine="0"/>
      </w:pPr>
      <w:rPr>
        <w:rFonts w:ascii="Franklin Gothic Medium" w:hAnsi="Franklin Gothic Medium"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nsid w:val="3C5971EF"/>
    <w:multiLevelType w:val="hybridMultilevel"/>
    <w:tmpl w:val="3FBEC564"/>
    <w:lvl w:ilvl="0" w:tplc="DB6678E8">
      <w:start w:val="1"/>
      <w:numFmt w:val="bullet"/>
      <w:lvlText w:val="&gt;"/>
      <w:lvlJc w:val="left"/>
      <w:pPr>
        <w:tabs>
          <w:tab w:val="num" w:pos="284"/>
        </w:tabs>
        <w:ind w:left="284" w:hanging="284"/>
      </w:pPr>
      <w:rPr>
        <w:rFonts w:ascii="font293" w:hAnsi="font293"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CD579B"/>
    <w:multiLevelType w:val="hybridMultilevel"/>
    <w:tmpl w:val="36F2514A"/>
    <w:lvl w:ilvl="0" w:tplc="B2782288">
      <w:start w:val="1"/>
      <w:numFmt w:val="bullet"/>
      <w:pStyle w:val="BoxListBullet"/>
      <w:lvlText w:val="&gt;"/>
      <w:lvlJc w:val="left"/>
      <w:pPr>
        <w:tabs>
          <w:tab w:val="num" w:pos="284"/>
        </w:tabs>
        <w:ind w:left="284" w:hanging="284"/>
      </w:pPr>
      <w:rPr>
        <w:rFonts w:hint="default"/>
        <w:color w:val="auto"/>
      </w:rPr>
    </w:lvl>
    <w:lvl w:ilvl="1" w:tplc="1AC42104" w:tentative="1">
      <w:start w:val="1"/>
      <w:numFmt w:val="bullet"/>
      <w:lvlText w:val="o"/>
      <w:lvlJc w:val="left"/>
      <w:pPr>
        <w:tabs>
          <w:tab w:val="num" w:pos="1440"/>
        </w:tabs>
        <w:ind w:left="1440" w:hanging="360"/>
      </w:pPr>
      <w:rPr>
        <w:rFonts w:ascii="Courier New" w:hAnsi="Courier New" w:cs="Courier New" w:hint="default"/>
      </w:rPr>
    </w:lvl>
    <w:lvl w:ilvl="2" w:tplc="13C269EA" w:tentative="1">
      <w:start w:val="1"/>
      <w:numFmt w:val="bullet"/>
      <w:lvlText w:val=""/>
      <w:lvlJc w:val="left"/>
      <w:pPr>
        <w:tabs>
          <w:tab w:val="num" w:pos="2160"/>
        </w:tabs>
        <w:ind w:left="2160" w:hanging="360"/>
      </w:pPr>
      <w:rPr>
        <w:rFonts w:ascii="Wingdings" w:hAnsi="Wingdings" w:hint="default"/>
      </w:rPr>
    </w:lvl>
    <w:lvl w:ilvl="3" w:tplc="C87CD52A" w:tentative="1">
      <w:start w:val="1"/>
      <w:numFmt w:val="bullet"/>
      <w:lvlText w:val=""/>
      <w:lvlJc w:val="left"/>
      <w:pPr>
        <w:tabs>
          <w:tab w:val="num" w:pos="2880"/>
        </w:tabs>
        <w:ind w:left="2880" w:hanging="360"/>
      </w:pPr>
      <w:rPr>
        <w:rFonts w:ascii="Symbol" w:hAnsi="Symbol" w:hint="default"/>
      </w:rPr>
    </w:lvl>
    <w:lvl w:ilvl="4" w:tplc="5E322634" w:tentative="1">
      <w:start w:val="1"/>
      <w:numFmt w:val="bullet"/>
      <w:lvlText w:val="o"/>
      <w:lvlJc w:val="left"/>
      <w:pPr>
        <w:tabs>
          <w:tab w:val="num" w:pos="3600"/>
        </w:tabs>
        <w:ind w:left="3600" w:hanging="360"/>
      </w:pPr>
      <w:rPr>
        <w:rFonts w:ascii="Courier New" w:hAnsi="Courier New" w:cs="Courier New" w:hint="default"/>
      </w:rPr>
    </w:lvl>
    <w:lvl w:ilvl="5" w:tplc="E44CF0D0" w:tentative="1">
      <w:start w:val="1"/>
      <w:numFmt w:val="bullet"/>
      <w:lvlText w:val=""/>
      <w:lvlJc w:val="left"/>
      <w:pPr>
        <w:tabs>
          <w:tab w:val="num" w:pos="4320"/>
        </w:tabs>
        <w:ind w:left="4320" w:hanging="360"/>
      </w:pPr>
      <w:rPr>
        <w:rFonts w:ascii="Wingdings" w:hAnsi="Wingdings" w:hint="default"/>
      </w:rPr>
    </w:lvl>
    <w:lvl w:ilvl="6" w:tplc="17DE08E6" w:tentative="1">
      <w:start w:val="1"/>
      <w:numFmt w:val="bullet"/>
      <w:lvlText w:val=""/>
      <w:lvlJc w:val="left"/>
      <w:pPr>
        <w:tabs>
          <w:tab w:val="num" w:pos="5040"/>
        </w:tabs>
        <w:ind w:left="5040" w:hanging="360"/>
      </w:pPr>
      <w:rPr>
        <w:rFonts w:ascii="Symbol" w:hAnsi="Symbol" w:hint="default"/>
      </w:rPr>
    </w:lvl>
    <w:lvl w:ilvl="7" w:tplc="D42C27A2" w:tentative="1">
      <w:start w:val="1"/>
      <w:numFmt w:val="bullet"/>
      <w:lvlText w:val="o"/>
      <w:lvlJc w:val="left"/>
      <w:pPr>
        <w:tabs>
          <w:tab w:val="num" w:pos="5760"/>
        </w:tabs>
        <w:ind w:left="5760" w:hanging="360"/>
      </w:pPr>
      <w:rPr>
        <w:rFonts w:ascii="Courier New" w:hAnsi="Courier New" w:cs="Courier New" w:hint="default"/>
      </w:rPr>
    </w:lvl>
    <w:lvl w:ilvl="8" w:tplc="ECE80F9A" w:tentative="1">
      <w:start w:val="1"/>
      <w:numFmt w:val="bullet"/>
      <w:lvlText w:val=""/>
      <w:lvlJc w:val="left"/>
      <w:pPr>
        <w:tabs>
          <w:tab w:val="num" w:pos="6480"/>
        </w:tabs>
        <w:ind w:left="6480" w:hanging="360"/>
      </w:pPr>
      <w:rPr>
        <w:rFonts w:ascii="Wingdings" w:hAnsi="Wingdings" w:hint="default"/>
      </w:rPr>
    </w:lvl>
  </w:abstractNum>
  <w:abstractNum w:abstractNumId="14">
    <w:nsid w:val="50CB3D8B"/>
    <w:multiLevelType w:val="multilevel"/>
    <w:tmpl w:val="A7E0EF7E"/>
    <w:lvl w:ilvl="0">
      <w:start w:val="1"/>
      <w:numFmt w:val="lowerLetter"/>
      <w:lvlRestart w:val="0"/>
      <w:lvlText w:val="%1"/>
      <w:lvlJc w:val="left"/>
      <w:pPr>
        <w:tabs>
          <w:tab w:val="num" w:pos="170"/>
        </w:tabs>
        <w:ind w:left="0" w:firstLine="0"/>
      </w:pPr>
      <w:rPr>
        <w:rFonts w:hint="default"/>
        <w:b/>
        <w:i w:val="0"/>
        <w:color w:val="00497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tplc="5B183380">
      <w:start w:val="1"/>
      <w:numFmt w:val="decimal"/>
      <w:pStyle w:val="TableListNumber"/>
      <w:lvlText w:val="%1."/>
      <w:lvlJc w:val="left"/>
      <w:pPr>
        <w:tabs>
          <w:tab w:val="num" w:pos="227"/>
        </w:tabs>
        <w:ind w:left="227" w:hanging="227"/>
      </w:pPr>
      <w:rPr>
        <w:rFonts w:hint="default"/>
      </w:rPr>
    </w:lvl>
    <w:lvl w:ilvl="1" w:tplc="351CFD2A" w:tentative="1">
      <w:start w:val="1"/>
      <w:numFmt w:val="lowerLetter"/>
      <w:lvlText w:val="%2."/>
      <w:lvlJc w:val="left"/>
      <w:pPr>
        <w:tabs>
          <w:tab w:val="num" w:pos="1440"/>
        </w:tabs>
        <w:ind w:left="1440" w:hanging="360"/>
      </w:pPr>
    </w:lvl>
    <w:lvl w:ilvl="2" w:tplc="BDA602A6" w:tentative="1">
      <w:start w:val="1"/>
      <w:numFmt w:val="lowerRoman"/>
      <w:lvlText w:val="%3."/>
      <w:lvlJc w:val="right"/>
      <w:pPr>
        <w:tabs>
          <w:tab w:val="num" w:pos="2160"/>
        </w:tabs>
        <w:ind w:left="2160" w:hanging="180"/>
      </w:pPr>
    </w:lvl>
    <w:lvl w:ilvl="3" w:tplc="E4B0B7E4" w:tentative="1">
      <w:start w:val="1"/>
      <w:numFmt w:val="decimal"/>
      <w:lvlText w:val="%4."/>
      <w:lvlJc w:val="left"/>
      <w:pPr>
        <w:tabs>
          <w:tab w:val="num" w:pos="2880"/>
        </w:tabs>
        <w:ind w:left="2880" w:hanging="360"/>
      </w:pPr>
    </w:lvl>
    <w:lvl w:ilvl="4" w:tplc="3FDC66B4" w:tentative="1">
      <w:start w:val="1"/>
      <w:numFmt w:val="lowerLetter"/>
      <w:lvlText w:val="%5."/>
      <w:lvlJc w:val="left"/>
      <w:pPr>
        <w:tabs>
          <w:tab w:val="num" w:pos="3600"/>
        </w:tabs>
        <w:ind w:left="3600" w:hanging="360"/>
      </w:pPr>
    </w:lvl>
    <w:lvl w:ilvl="5" w:tplc="889E9C9A" w:tentative="1">
      <w:start w:val="1"/>
      <w:numFmt w:val="lowerRoman"/>
      <w:lvlText w:val="%6."/>
      <w:lvlJc w:val="right"/>
      <w:pPr>
        <w:tabs>
          <w:tab w:val="num" w:pos="4320"/>
        </w:tabs>
        <w:ind w:left="4320" w:hanging="180"/>
      </w:pPr>
    </w:lvl>
    <w:lvl w:ilvl="6" w:tplc="38987692" w:tentative="1">
      <w:start w:val="1"/>
      <w:numFmt w:val="decimal"/>
      <w:lvlText w:val="%7."/>
      <w:lvlJc w:val="left"/>
      <w:pPr>
        <w:tabs>
          <w:tab w:val="num" w:pos="5040"/>
        </w:tabs>
        <w:ind w:left="5040" w:hanging="360"/>
      </w:pPr>
    </w:lvl>
    <w:lvl w:ilvl="7" w:tplc="35545718" w:tentative="1">
      <w:start w:val="1"/>
      <w:numFmt w:val="lowerLetter"/>
      <w:lvlText w:val="%8."/>
      <w:lvlJc w:val="left"/>
      <w:pPr>
        <w:tabs>
          <w:tab w:val="num" w:pos="5760"/>
        </w:tabs>
        <w:ind w:left="5760" w:hanging="360"/>
      </w:pPr>
    </w:lvl>
    <w:lvl w:ilvl="8" w:tplc="B1581DEE" w:tentative="1">
      <w:start w:val="1"/>
      <w:numFmt w:val="lowerRoman"/>
      <w:lvlText w:val="%9."/>
      <w:lvlJc w:val="right"/>
      <w:pPr>
        <w:tabs>
          <w:tab w:val="num" w:pos="6480"/>
        </w:tabs>
        <w:ind w:left="6480" w:hanging="180"/>
      </w:pPr>
    </w:lvl>
  </w:abstractNum>
  <w:abstractNum w:abstractNumId="18">
    <w:nsid w:val="60A8553B"/>
    <w:multiLevelType w:val="multilevel"/>
    <w:tmpl w:val="28627A8E"/>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454"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19">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F264CF"/>
    <w:multiLevelType w:val="multilevel"/>
    <w:tmpl w:val="DD5A44F4"/>
    <w:lvl w:ilvl="0">
      <w:start w:val="1"/>
      <w:numFmt w:val="none"/>
      <w:pStyle w:val="Heading1"/>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21239B"/>
    <w:multiLevelType w:val="multilevel"/>
    <w:tmpl w:val="7ACC421A"/>
    <w:lvl w:ilvl="0">
      <w:start w:val="1"/>
      <w:numFmt w:val="lowerLetter"/>
      <w:lvlRestart w:val="0"/>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8BB2AC9"/>
    <w:multiLevelType w:val="multilevel"/>
    <w:tmpl w:val="C36C7DC8"/>
    <w:lvl w:ilvl="0">
      <w:start w:val="1"/>
      <w:numFmt w:val="lowerLetter"/>
      <w:lvlRestart w:val="0"/>
      <w:lvlText w:val="%1"/>
      <w:lvlJc w:val="left"/>
      <w:pPr>
        <w:tabs>
          <w:tab w:val="num" w:pos="170"/>
        </w:tabs>
        <w:ind w:left="0" w:firstLine="0"/>
      </w:pPr>
      <w:rPr>
        <w:rFonts w:hint="default"/>
        <w:b/>
        <w:i w:val="0"/>
        <w:color w:val="00497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6C3D1FF4"/>
    <w:multiLevelType w:val="hybridMultilevel"/>
    <w:tmpl w:val="1DE42932"/>
    <w:lvl w:ilvl="0" w:tplc="DB6678E8">
      <w:start w:val="1"/>
      <w:numFmt w:val="bullet"/>
      <w:lvlText w:val="&gt;"/>
      <w:lvlJc w:val="left"/>
      <w:pPr>
        <w:ind w:left="720" w:hanging="360"/>
      </w:pPr>
      <w:rPr>
        <w:rFonts w:ascii="font293" w:hAnsi="font293" w:hint="default"/>
        <w:color w:val="0000FF"/>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536210"/>
    <w:multiLevelType w:val="multilevel"/>
    <w:tmpl w:val="DD688AB0"/>
    <w:lvl w:ilvl="0">
      <w:start w:val="1"/>
      <w:numFmt w:val="bullet"/>
      <w:lvlText w:val="&gt;"/>
      <w:lvlJc w:val="left"/>
      <w:pPr>
        <w:tabs>
          <w:tab w:val="num" w:pos="284"/>
        </w:tabs>
        <w:ind w:left="284" w:hanging="284"/>
      </w:pPr>
      <w:rPr>
        <w:rFonts w:hint="default"/>
        <w:color w:val="7C3D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9E1124E"/>
    <w:multiLevelType w:val="hybridMultilevel"/>
    <w:tmpl w:val="6D42E656"/>
    <w:lvl w:ilvl="0" w:tplc="EE4EB7D8">
      <w:start w:val="1"/>
      <w:numFmt w:val="lowerLetter"/>
      <w:pStyle w:val="ListNumber2"/>
      <w:lvlText w:val="%1."/>
      <w:lvlJc w:val="left"/>
      <w:pPr>
        <w:tabs>
          <w:tab w:val="num" w:pos="567"/>
        </w:tabs>
        <w:ind w:left="567" w:hanging="283"/>
      </w:pPr>
      <w:rPr>
        <w:rFonts w:hint="default"/>
      </w:rPr>
    </w:lvl>
    <w:lvl w:ilvl="1" w:tplc="769CB9D0" w:tentative="1">
      <w:start w:val="1"/>
      <w:numFmt w:val="lowerLetter"/>
      <w:lvlText w:val="%2."/>
      <w:lvlJc w:val="left"/>
      <w:pPr>
        <w:tabs>
          <w:tab w:val="num" w:pos="1440"/>
        </w:tabs>
        <w:ind w:left="1440" w:hanging="360"/>
      </w:pPr>
    </w:lvl>
    <w:lvl w:ilvl="2" w:tplc="EF74FAAE" w:tentative="1">
      <w:start w:val="1"/>
      <w:numFmt w:val="lowerRoman"/>
      <w:lvlText w:val="%3."/>
      <w:lvlJc w:val="right"/>
      <w:pPr>
        <w:tabs>
          <w:tab w:val="num" w:pos="2160"/>
        </w:tabs>
        <w:ind w:left="2160" w:hanging="180"/>
      </w:pPr>
    </w:lvl>
    <w:lvl w:ilvl="3" w:tplc="8A7EAA22" w:tentative="1">
      <w:start w:val="1"/>
      <w:numFmt w:val="decimal"/>
      <w:lvlText w:val="%4."/>
      <w:lvlJc w:val="left"/>
      <w:pPr>
        <w:tabs>
          <w:tab w:val="num" w:pos="2880"/>
        </w:tabs>
        <w:ind w:left="2880" w:hanging="360"/>
      </w:pPr>
    </w:lvl>
    <w:lvl w:ilvl="4" w:tplc="5936FAE4" w:tentative="1">
      <w:start w:val="1"/>
      <w:numFmt w:val="lowerLetter"/>
      <w:lvlText w:val="%5."/>
      <w:lvlJc w:val="left"/>
      <w:pPr>
        <w:tabs>
          <w:tab w:val="num" w:pos="3600"/>
        </w:tabs>
        <w:ind w:left="3600" w:hanging="360"/>
      </w:pPr>
    </w:lvl>
    <w:lvl w:ilvl="5" w:tplc="843EBD8A" w:tentative="1">
      <w:start w:val="1"/>
      <w:numFmt w:val="lowerRoman"/>
      <w:lvlText w:val="%6."/>
      <w:lvlJc w:val="right"/>
      <w:pPr>
        <w:tabs>
          <w:tab w:val="num" w:pos="4320"/>
        </w:tabs>
        <w:ind w:left="4320" w:hanging="180"/>
      </w:pPr>
    </w:lvl>
    <w:lvl w:ilvl="6" w:tplc="E864E1D4" w:tentative="1">
      <w:start w:val="1"/>
      <w:numFmt w:val="decimal"/>
      <w:lvlText w:val="%7."/>
      <w:lvlJc w:val="left"/>
      <w:pPr>
        <w:tabs>
          <w:tab w:val="num" w:pos="5040"/>
        </w:tabs>
        <w:ind w:left="5040" w:hanging="360"/>
      </w:pPr>
    </w:lvl>
    <w:lvl w:ilvl="7" w:tplc="2B12BF94" w:tentative="1">
      <w:start w:val="1"/>
      <w:numFmt w:val="lowerLetter"/>
      <w:lvlText w:val="%8."/>
      <w:lvlJc w:val="left"/>
      <w:pPr>
        <w:tabs>
          <w:tab w:val="num" w:pos="5760"/>
        </w:tabs>
        <w:ind w:left="5760" w:hanging="360"/>
      </w:pPr>
    </w:lvl>
    <w:lvl w:ilvl="8" w:tplc="04FC87A6" w:tentative="1">
      <w:start w:val="1"/>
      <w:numFmt w:val="lowerRoman"/>
      <w:lvlText w:val="%9."/>
      <w:lvlJc w:val="right"/>
      <w:pPr>
        <w:tabs>
          <w:tab w:val="num" w:pos="6480"/>
        </w:tabs>
        <w:ind w:left="6480" w:hanging="180"/>
      </w:pPr>
    </w:lvl>
  </w:abstractNum>
  <w:abstractNum w:abstractNumId="29">
    <w:nsid w:val="7F7A528B"/>
    <w:multiLevelType w:val="hybridMultilevel"/>
    <w:tmpl w:val="4ADC517C"/>
    <w:lvl w:ilvl="0" w:tplc="606A1BEA">
      <w:start w:val="1"/>
      <w:numFmt w:val="bullet"/>
      <w:pStyle w:val="ListBullet"/>
      <w:lvlText w:val="&gt;"/>
      <w:lvlJc w:val="left"/>
      <w:pPr>
        <w:tabs>
          <w:tab w:val="num" w:pos="284"/>
        </w:tabs>
        <w:ind w:left="284" w:hanging="284"/>
      </w:pPr>
      <w:rPr>
        <w:rFonts w:hint="default"/>
        <w:color w:val="auto"/>
        <w:position w:val="3"/>
      </w:rPr>
    </w:lvl>
    <w:lvl w:ilvl="1" w:tplc="68669C9A" w:tentative="1">
      <w:start w:val="1"/>
      <w:numFmt w:val="bullet"/>
      <w:lvlText w:val="o"/>
      <w:lvlJc w:val="left"/>
      <w:pPr>
        <w:tabs>
          <w:tab w:val="num" w:pos="1440"/>
        </w:tabs>
        <w:ind w:left="1440" w:hanging="360"/>
      </w:pPr>
      <w:rPr>
        <w:rFonts w:ascii="Courier New" w:hAnsi="Courier New" w:cs="Courier New" w:hint="default"/>
      </w:rPr>
    </w:lvl>
    <w:lvl w:ilvl="2" w:tplc="4538D17E" w:tentative="1">
      <w:start w:val="1"/>
      <w:numFmt w:val="bullet"/>
      <w:lvlText w:val=""/>
      <w:lvlJc w:val="left"/>
      <w:pPr>
        <w:tabs>
          <w:tab w:val="num" w:pos="2160"/>
        </w:tabs>
        <w:ind w:left="2160" w:hanging="360"/>
      </w:pPr>
      <w:rPr>
        <w:rFonts w:ascii="Wingdings" w:hAnsi="Wingdings" w:hint="default"/>
      </w:rPr>
    </w:lvl>
    <w:lvl w:ilvl="3" w:tplc="7982F456" w:tentative="1">
      <w:start w:val="1"/>
      <w:numFmt w:val="bullet"/>
      <w:lvlText w:val=""/>
      <w:lvlJc w:val="left"/>
      <w:pPr>
        <w:tabs>
          <w:tab w:val="num" w:pos="2880"/>
        </w:tabs>
        <w:ind w:left="2880" w:hanging="360"/>
      </w:pPr>
      <w:rPr>
        <w:rFonts w:ascii="Symbol" w:hAnsi="Symbol" w:hint="default"/>
      </w:rPr>
    </w:lvl>
    <w:lvl w:ilvl="4" w:tplc="1B3C413A" w:tentative="1">
      <w:start w:val="1"/>
      <w:numFmt w:val="bullet"/>
      <w:lvlText w:val="o"/>
      <w:lvlJc w:val="left"/>
      <w:pPr>
        <w:tabs>
          <w:tab w:val="num" w:pos="3600"/>
        </w:tabs>
        <w:ind w:left="3600" w:hanging="360"/>
      </w:pPr>
      <w:rPr>
        <w:rFonts w:ascii="Courier New" w:hAnsi="Courier New" w:cs="Courier New" w:hint="default"/>
      </w:rPr>
    </w:lvl>
    <w:lvl w:ilvl="5" w:tplc="B9D00342" w:tentative="1">
      <w:start w:val="1"/>
      <w:numFmt w:val="bullet"/>
      <w:lvlText w:val=""/>
      <w:lvlJc w:val="left"/>
      <w:pPr>
        <w:tabs>
          <w:tab w:val="num" w:pos="4320"/>
        </w:tabs>
        <w:ind w:left="4320" w:hanging="360"/>
      </w:pPr>
      <w:rPr>
        <w:rFonts w:ascii="Wingdings" w:hAnsi="Wingdings" w:hint="default"/>
      </w:rPr>
    </w:lvl>
    <w:lvl w:ilvl="6" w:tplc="399A3F32" w:tentative="1">
      <w:start w:val="1"/>
      <w:numFmt w:val="bullet"/>
      <w:lvlText w:val=""/>
      <w:lvlJc w:val="left"/>
      <w:pPr>
        <w:tabs>
          <w:tab w:val="num" w:pos="5040"/>
        </w:tabs>
        <w:ind w:left="5040" w:hanging="360"/>
      </w:pPr>
      <w:rPr>
        <w:rFonts w:ascii="Symbol" w:hAnsi="Symbol" w:hint="default"/>
      </w:rPr>
    </w:lvl>
    <w:lvl w:ilvl="7" w:tplc="BC628BDC" w:tentative="1">
      <w:start w:val="1"/>
      <w:numFmt w:val="bullet"/>
      <w:lvlText w:val="o"/>
      <w:lvlJc w:val="left"/>
      <w:pPr>
        <w:tabs>
          <w:tab w:val="num" w:pos="5760"/>
        </w:tabs>
        <w:ind w:left="5760" w:hanging="360"/>
      </w:pPr>
      <w:rPr>
        <w:rFonts w:ascii="Courier New" w:hAnsi="Courier New" w:cs="Courier New" w:hint="default"/>
      </w:rPr>
    </w:lvl>
    <w:lvl w:ilvl="8" w:tplc="EBCEE91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0"/>
  </w:num>
  <w:num w:numId="4">
    <w:abstractNumId w:val="16"/>
  </w:num>
  <w:num w:numId="5">
    <w:abstractNumId w:val="13"/>
  </w:num>
  <w:num w:numId="6">
    <w:abstractNumId w:val="9"/>
  </w:num>
  <w:num w:numId="7">
    <w:abstractNumId w:val="20"/>
  </w:num>
  <w:num w:numId="8">
    <w:abstractNumId w:val="18"/>
  </w:num>
  <w:num w:numId="9">
    <w:abstractNumId w:val="21"/>
  </w:num>
  <w:num w:numId="10">
    <w:abstractNumId w:val="1"/>
  </w:num>
  <w:num w:numId="11">
    <w:abstractNumId w:val="15"/>
  </w:num>
  <w:num w:numId="12">
    <w:abstractNumId w:val="26"/>
  </w:num>
  <w:num w:numId="13">
    <w:abstractNumId w:val="6"/>
  </w:num>
  <w:num w:numId="14">
    <w:abstractNumId w:val="3"/>
  </w:num>
  <w:num w:numId="15">
    <w:abstractNumId w:val="28"/>
  </w:num>
  <w:num w:numId="16">
    <w:abstractNumId w:val="29"/>
  </w:num>
  <w:num w:numId="17">
    <w:abstractNumId w:val="29"/>
  </w:num>
  <w:num w:numId="18">
    <w:abstractNumId w:val="25"/>
  </w:num>
  <w:num w:numId="19">
    <w:abstractNumId w:val="27"/>
  </w:num>
  <w:num w:numId="20">
    <w:abstractNumId w:val="12"/>
  </w:num>
  <w:num w:numId="21">
    <w:abstractNumId w:val="5"/>
  </w:num>
  <w:num w:numId="22">
    <w:abstractNumId w:val="8"/>
  </w:num>
  <w:num w:numId="23">
    <w:abstractNumId w:val="0"/>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4"/>
  </w:num>
  <w:num w:numId="42">
    <w:abstractNumId w:val="24"/>
  </w:num>
  <w:num w:numId="43">
    <w:abstractNumId w:val="29"/>
  </w:num>
  <w:num w:numId="44">
    <w:abstractNumId w:val="20"/>
  </w:num>
  <w:num w:numId="45">
    <w:abstractNumId w:val="20"/>
  </w:num>
  <w:num w:numId="4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7">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F7"/>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235F"/>
    <w:rsid w:val="00022D41"/>
    <w:rsid w:val="000257E7"/>
    <w:rsid w:val="00030588"/>
    <w:rsid w:val="0003385B"/>
    <w:rsid w:val="00034B41"/>
    <w:rsid w:val="00034E45"/>
    <w:rsid w:val="00035E2A"/>
    <w:rsid w:val="00037673"/>
    <w:rsid w:val="000433AB"/>
    <w:rsid w:val="00044EDD"/>
    <w:rsid w:val="000452A6"/>
    <w:rsid w:val="0004636D"/>
    <w:rsid w:val="00046974"/>
    <w:rsid w:val="00047767"/>
    <w:rsid w:val="000513B2"/>
    <w:rsid w:val="00053BB3"/>
    <w:rsid w:val="00053D8A"/>
    <w:rsid w:val="00060A32"/>
    <w:rsid w:val="00061389"/>
    <w:rsid w:val="00063C90"/>
    <w:rsid w:val="000655EB"/>
    <w:rsid w:val="00065C12"/>
    <w:rsid w:val="00067F6E"/>
    <w:rsid w:val="00070BAE"/>
    <w:rsid w:val="00070F05"/>
    <w:rsid w:val="0007115F"/>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7A76"/>
    <w:rsid w:val="000A0794"/>
    <w:rsid w:val="000A1AE1"/>
    <w:rsid w:val="000A3437"/>
    <w:rsid w:val="000A4433"/>
    <w:rsid w:val="000A59FF"/>
    <w:rsid w:val="000A5BCC"/>
    <w:rsid w:val="000A7400"/>
    <w:rsid w:val="000A7708"/>
    <w:rsid w:val="000A7AD4"/>
    <w:rsid w:val="000B0232"/>
    <w:rsid w:val="000B108C"/>
    <w:rsid w:val="000B13AB"/>
    <w:rsid w:val="000B146D"/>
    <w:rsid w:val="000B4054"/>
    <w:rsid w:val="000B56CF"/>
    <w:rsid w:val="000B5B55"/>
    <w:rsid w:val="000B6330"/>
    <w:rsid w:val="000B7FF7"/>
    <w:rsid w:val="000C0125"/>
    <w:rsid w:val="000C0807"/>
    <w:rsid w:val="000C0D83"/>
    <w:rsid w:val="000C45A2"/>
    <w:rsid w:val="000C6046"/>
    <w:rsid w:val="000D074E"/>
    <w:rsid w:val="000D32D5"/>
    <w:rsid w:val="000D444F"/>
    <w:rsid w:val="000D47A5"/>
    <w:rsid w:val="000D4982"/>
    <w:rsid w:val="000E0333"/>
    <w:rsid w:val="000E2E8A"/>
    <w:rsid w:val="000E47B7"/>
    <w:rsid w:val="000E595E"/>
    <w:rsid w:val="000E5C21"/>
    <w:rsid w:val="000F19AB"/>
    <w:rsid w:val="000F706A"/>
    <w:rsid w:val="000F7DB9"/>
    <w:rsid w:val="000F7EBB"/>
    <w:rsid w:val="0010001A"/>
    <w:rsid w:val="001020A5"/>
    <w:rsid w:val="00104CCC"/>
    <w:rsid w:val="001061C6"/>
    <w:rsid w:val="001104EF"/>
    <w:rsid w:val="00115A8C"/>
    <w:rsid w:val="00115D91"/>
    <w:rsid w:val="001204E2"/>
    <w:rsid w:val="00120E51"/>
    <w:rsid w:val="001250BF"/>
    <w:rsid w:val="001260C2"/>
    <w:rsid w:val="00127B7F"/>
    <w:rsid w:val="00132E41"/>
    <w:rsid w:val="00135A4C"/>
    <w:rsid w:val="001360A4"/>
    <w:rsid w:val="0013634A"/>
    <w:rsid w:val="00136E47"/>
    <w:rsid w:val="00136FF9"/>
    <w:rsid w:val="00137BA1"/>
    <w:rsid w:val="0014049B"/>
    <w:rsid w:val="00141818"/>
    <w:rsid w:val="0014252B"/>
    <w:rsid w:val="0014282B"/>
    <w:rsid w:val="00142A4D"/>
    <w:rsid w:val="00142E47"/>
    <w:rsid w:val="00143525"/>
    <w:rsid w:val="001436A7"/>
    <w:rsid w:val="00144611"/>
    <w:rsid w:val="00144B1B"/>
    <w:rsid w:val="0014787F"/>
    <w:rsid w:val="00152CF2"/>
    <w:rsid w:val="00152D98"/>
    <w:rsid w:val="001534DC"/>
    <w:rsid w:val="001564B4"/>
    <w:rsid w:val="00156521"/>
    <w:rsid w:val="00156A18"/>
    <w:rsid w:val="0016217F"/>
    <w:rsid w:val="0016220C"/>
    <w:rsid w:val="001644AA"/>
    <w:rsid w:val="00165C4D"/>
    <w:rsid w:val="00166BE1"/>
    <w:rsid w:val="001679C9"/>
    <w:rsid w:val="001702D7"/>
    <w:rsid w:val="001707ED"/>
    <w:rsid w:val="00170B04"/>
    <w:rsid w:val="00172093"/>
    <w:rsid w:val="0017313D"/>
    <w:rsid w:val="001756DD"/>
    <w:rsid w:val="00175CFE"/>
    <w:rsid w:val="00176840"/>
    <w:rsid w:val="00176846"/>
    <w:rsid w:val="001772C7"/>
    <w:rsid w:val="00177AE1"/>
    <w:rsid w:val="00180E63"/>
    <w:rsid w:val="00180EC6"/>
    <w:rsid w:val="00182E7D"/>
    <w:rsid w:val="001840DC"/>
    <w:rsid w:val="00184C6E"/>
    <w:rsid w:val="00187D56"/>
    <w:rsid w:val="00190A25"/>
    <w:rsid w:val="00193384"/>
    <w:rsid w:val="001957F2"/>
    <w:rsid w:val="0019627A"/>
    <w:rsid w:val="00197485"/>
    <w:rsid w:val="001A0653"/>
    <w:rsid w:val="001A157D"/>
    <w:rsid w:val="001A4314"/>
    <w:rsid w:val="001A4CB0"/>
    <w:rsid w:val="001A4F3D"/>
    <w:rsid w:val="001A64D6"/>
    <w:rsid w:val="001A676A"/>
    <w:rsid w:val="001A76CD"/>
    <w:rsid w:val="001A7A00"/>
    <w:rsid w:val="001B0BC3"/>
    <w:rsid w:val="001B11EB"/>
    <w:rsid w:val="001B1559"/>
    <w:rsid w:val="001B3A25"/>
    <w:rsid w:val="001B40B6"/>
    <w:rsid w:val="001B7441"/>
    <w:rsid w:val="001B7D36"/>
    <w:rsid w:val="001C1650"/>
    <w:rsid w:val="001C18A5"/>
    <w:rsid w:val="001C27DD"/>
    <w:rsid w:val="001C49F1"/>
    <w:rsid w:val="001C54D5"/>
    <w:rsid w:val="001C557B"/>
    <w:rsid w:val="001C68A6"/>
    <w:rsid w:val="001C6E03"/>
    <w:rsid w:val="001C6E25"/>
    <w:rsid w:val="001C7FAB"/>
    <w:rsid w:val="001D0D54"/>
    <w:rsid w:val="001D0D75"/>
    <w:rsid w:val="001D21D0"/>
    <w:rsid w:val="001D24B1"/>
    <w:rsid w:val="001D2D04"/>
    <w:rsid w:val="001D5233"/>
    <w:rsid w:val="001D65A4"/>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8B6"/>
    <w:rsid w:val="00203160"/>
    <w:rsid w:val="0020410B"/>
    <w:rsid w:val="00205AA6"/>
    <w:rsid w:val="0020707F"/>
    <w:rsid w:val="0021017E"/>
    <w:rsid w:val="00212975"/>
    <w:rsid w:val="00213176"/>
    <w:rsid w:val="00214C9D"/>
    <w:rsid w:val="002178C9"/>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E81"/>
    <w:rsid w:val="00244F96"/>
    <w:rsid w:val="002452D0"/>
    <w:rsid w:val="0024542D"/>
    <w:rsid w:val="0024630C"/>
    <w:rsid w:val="002470FD"/>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702DD"/>
    <w:rsid w:val="00272699"/>
    <w:rsid w:val="0027351E"/>
    <w:rsid w:val="0027441E"/>
    <w:rsid w:val="0027483C"/>
    <w:rsid w:val="00276452"/>
    <w:rsid w:val="00281D52"/>
    <w:rsid w:val="002820D7"/>
    <w:rsid w:val="00286E03"/>
    <w:rsid w:val="00286EAD"/>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5E04"/>
    <w:rsid w:val="002C7822"/>
    <w:rsid w:val="002C79E4"/>
    <w:rsid w:val="002D468F"/>
    <w:rsid w:val="002D5DED"/>
    <w:rsid w:val="002D657C"/>
    <w:rsid w:val="002D6E19"/>
    <w:rsid w:val="002D7A0A"/>
    <w:rsid w:val="002E000E"/>
    <w:rsid w:val="002E0115"/>
    <w:rsid w:val="002E1AC2"/>
    <w:rsid w:val="002E2CDD"/>
    <w:rsid w:val="002E3051"/>
    <w:rsid w:val="002E47F2"/>
    <w:rsid w:val="002E499B"/>
    <w:rsid w:val="002E626C"/>
    <w:rsid w:val="002E7F6A"/>
    <w:rsid w:val="002F056E"/>
    <w:rsid w:val="002F10FC"/>
    <w:rsid w:val="002F1AB4"/>
    <w:rsid w:val="002F3393"/>
    <w:rsid w:val="002F36D2"/>
    <w:rsid w:val="002F3C1A"/>
    <w:rsid w:val="002F3E97"/>
    <w:rsid w:val="002F4300"/>
    <w:rsid w:val="002F489A"/>
    <w:rsid w:val="003023FD"/>
    <w:rsid w:val="00303C30"/>
    <w:rsid w:val="0030414F"/>
    <w:rsid w:val="00305213"/>
    <w:rsid w:val="00305565"/>
    <w:rsid w:val="00310C02"/>
    <w:rsid w:val="0031131B"/>
    <w:rsid w:val="00312B95"/>
    <w:rsid w:val="00312E50"/>
    <w:rsid w:val="003147DD"/>
    <w:rsid w:val="00315D84"/>
    <w:rsid w:val="00316AAC"/>
    <w:rsid w:val="00321C81"/>
    <w:rsid w:val="00322444"/>
    <w:rsid w:val="003225AB"/>
    <w:rsid w:val="00323965"/>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A5A"/>
    <w:rsid w:val="00343F2A"/>
    <w:rsid w:val="00345C2F"/>
    <w:rsid w:val="0034794C"/>
    <w:rsid w:val="00347D10"/>
    <w:rsid w:val="00347E04"/>
    <w:rsid w:val="0035098F"/>
    <w:rsid w:val="003522B0"/>
    <w:rsid w:val="00352A66"/>
    <w:rsid w:val="00354CF6"/>
    <w:rsid w:val="003557A9"/>
    <w:rsid w:val="0035655A"/>
    <w:rsid w:val="00357879"/>
    <w:rsid w:val="00360014"/>
    <w:rsid w:val="00360C27"/>
    <w:rsid w:val="0036152B"/>
    <w:rsid w:val="003619C3"/>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813B0"/>
    <w:rsid w:val="00381894"/>
    <w:rsid w:val="00382BC2"/>
    <w:rsid w:val="0038305C"/>
    <w:rsid w:val="003852FD"/>
    <w:rsid w:val="003864C0"/>
    <w:rsid w:val="00386714"/>
    <w:rsid w:val="00386BBA"/>
    <w:rsid w:val="00386D59"/>
    <w:rsid w:val="003870E2"/>
    <w:rsid w:val="003908F2"/>
    <w:rsid w:val="0039171C"/>
    <w:rsid w:val="00392962"/>
    <w:rsid w:val="003935DA"/>
    <w:rsid w:val="00393C49"/>
    <w:rsid w:val="00395037"/>
    <w:rsid w:val="003950F3"/>
    <w:rsid w:val="00396737"/>
    <w:rsid w:val="00396AAB"/>
    <w:rsid w:val="00396E51"/>
    <w:rsid w:val="00396FEE"/>
    <w:rsid w:val="00397842"/>
    <w:rsid w:val="003A12E4"/>
    <w:rsid w:val="003A1A4E"/>
    <w:rsid w:val="003A2AFB"/>
    <w:rsid w:val="003A3E3B"/>
    <w:rsid w:val="003A437D"/>
    <w:rsid w:val="003A5F6E"/>
    <w:rsid w:val="003B01D4"/>
    <w:rsid w:val="003B0602"/>
    <w:rsid w:val="003B3833"/>
    <w:rsid w:val="003B5B3A"/>
    <w:rsid w:val="003B669E"/>
    <w:rsid w:val="003B6AF8"/>
    <w:rsid w:val="003C2F62"/>
    <w:rsid w:val="003C3DCB"/>
    <w:rsid w:val="003C4418"/>
    <w:rsid w:val="003D277A"/>
    <w:rsid w:val="003D3401"/>
    <w:rsid w:val="003D41D9"/>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EC1"/>
    <w:rsid w:val="00404981"/>
    <w:rsid w:val="00404EA8"/>
    <w:rsid w:val="004069E3"/>
    <w:rsid w:val="00407CEF"/>
    <w:rsid w:val="00407CFC"/>
    <w:rsid w:val="00410D4E"/>
    <w:rsid w:val="00411191"/>
    <w:rsid w:val="00412989"/>
    <w:rsid w:val="004131F2"/>
    <w:rsid w:val="00414418"/>
    <w:rsid w:val="00414656"/>
    <w:rsid w:val="004146C9"/>
    <w:rsid w:val="00416765"/>
    <w:rsid w:val="004174E5"/>
    <w:rsid w:val="0041756B"/>
    <w:rsid w:val="00417D74"/>
    <w:rsid w:val="00420072"/>
    <w:rsid w:val="004202ED"/>
    <w:rsid w:val="0042107B"/>
    <w:rsid w:val="0042222F"/>
    <w:rsid w:val="00422524"/>
    <w:rsid w:val="00422662"/>
    <w:rsid w:val="004226D0"/>
    <w:rsid w:val="004229B0"/>
    <w:rsid w:val="00425388"/>
    <w:rsid w:val="00427DB3"/>
    <w:rsid w:val="0043018B"/>
    <w:rsid w:val="00433FEB"/>
    <w:rsid w:val="0043622D"/>
    <w:rsid w:val="00442BE6"/>
    <w:rsid w:val="0044452B"/>
    <w:rsid w:val="00445908"/>
    <w:rsid w:val="00446BFE"/>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797"/>
    <w:rsid w:val="00464228"/>
    <w:rsid w:val="004663B1"/>
    <w:rsid w:val="00467537"/>
    <w:rsid w:val="0047058E"/>
    <w:rsid w:val="00471026"/>
    <w:rsid w:val="00471CE6"/>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472E"/>
    <w:rsid w:val="004A4B6B"/>
    <w:rsid w:val="004B0361"/>
    <w:rsid w:val="004B3904"/>
    <w:rsid w:val="004B42F1"/>
    <w:rsid w:val="004B6157"/>
    <w:rsid w:val="004B7492"/>
    <w:rsid w:val="004B7C61"/>
    <w:rsid w:val="004C0E63"/>
    <w:rsid w:val="004C3546"/>
    <w:rsid w:val="004C3568"/>
    <w:rsid w:val="004C4638"/>
    <w:rsid w:val="004C4C56"/>
    <w:rsid w:val="004C60B8"/>
    <w:rsid w:val="004C7DD7"/>
    <w:rsid w:val="004D18D0"/>
    <w:rsid w:val="004D27D6"/>
    <w:rsid w:val="004D2F5D"/>
    <w:rsid w:val="004D5771"/>
    <w:rsid w:val="004D79AD"/>
    <w:rsid w:val="004E493E"/>
    <w:rsid w:val="004E6274"/>
    <w:rsid w:val="004E63CC"/>
    <w:rsid w:val="004F096E"/>
    <w:rsid w:val="004F0BE2"/>
    <w:rsid w:val="004F256B"/>
    <w:rsid w:val="004F72C7"/>
    <w:rsid w:val="004F75A1"/>
    <w:rsid w:val="004F79BD"/>
    <w:rsid w:val="00502128"/>
    <w:rsid w:val="00502E98"/>
    <w:rsid w:val="005031B6"/>
    <w:rsid w:val="00506BC4"/>
    <w:rsid w:val="00506CF5"/>
    <w:rsid w:val="00507A63"/>
    <w:rsid w:val="00507D05"/>
    <w:rsid w:val="00510FCB"/>
    <w:rsid w:val="00513602"/>
    <w:rsid w:val="005157A6"/>
    <w:rsid w:val="0052067C"/>
    <w:rsid w:val="00522F30"/>
    <w:rsid w:val="00531479"/>
    <w:rsid w:val="005335EE"/>
    <w:rsid w:val="005343DE"/>
    <w:rsid w:val="005348EF"/>
    <w:rsid w:val="005351E9"/>
    <w:rsid w:val="005353FE"/>
    <w:rsid w:val="005363D4"/>
    <w:rsid w:val="005374AC"/>
    <w:rsid w:val="005445D6"/>
    <w:rsid w:val="00545090"/>
    <w:rsid w:val="005457C8"/>
    <w:rsid w:val="00546C44"/>
    <w:rsid w:val="005510FE"/>
    <w:rsid w:val="00553825"/>
    <w:rsid w:val="00556B35"/>
    <w:rsid w:val="00561EE2"/>
    <w:rsid w:val="005631AD"/>
    <w:rsid w:val="005639EA"/>
    <w:rsid w:val="00563B4D"/>
    <w:rsid w:val="00564BCE"/>
    <w:rsid w:val="005667D5"/>
    <w:rsid w:val="005722A1"/>
    <w:rsid w:val="00572319"/>
    <w:rsid w:val="00572841"/>
    <w:rsid w:val="00573B43"/>
    <w:rsid w:val="00574314"/>
    <w:rsid w:val="00575350"/>
    <w:rsid w:val="00575599"/>
    <w:rsid w:val="00575D08"/>
    <w:rsid w:val="00575FAD"/>
    <w:rsid w:val="00580DC4"/>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0621"/>
    <w:rsid w:val="005A1052"/>
    <w:rsid w:val="005A341D"/>
    <w:rsid w:val="005A3AA3"/>
    <w:rsid w:val="005A3FE0"/>
    <w:rsid w:val="005A7F43"/>
    <w:rsid w:val="005B2981"/>
    <w:rsid w:val="005B522F"/>
    <w:rsid w:val="005B7710"/>
    <w:rsid w:val="005C10C7"/>
    <w:rsid w:val="005C206D"/>
    <w:rsid w:val="005C2C17"/>
    <w:rsid w:val="005C349D"/>
    <w:rsid w:val="005C4005"/>
    <w:rsid w:val="005C4BD3"/>
    <w:rsid w:val="005C51C5"/>
    <w:rsid w:val="005C6FD6"/>
    <w:rsid w:val="005C7A9F"/>
    <w:rsid w:val="005D0AF9"/>
    <w:rsid w:val="005D1E18"/>
    <w:rsid w:val="005D244B"/>
    <w:rsid w:val="005D2B37"/>
    <w:rsid w:val="005D4715"/>
    <w:rsid w:val="005D4E52"/>
    <w:rsid w:val="005D6F2C"/>
    <w:rsid w:val="005E0A0B"/>
    <w:rsid w:val="005E1812"/>
    <w:rsid w:val="005E1AF2"/>
    <w:rsid w:val="005E1D7A"/>
    <w:rsid w:val="005E2411"/>
    <w:rsid w:val="005E26F7"/>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4147"/>
    <w:rsid w:val="00605154"/>
    <w:rsid w:val="00605815"/>
    <w:rsid w:val="00605C82"/>
    <w:rsid w:val="0060617B"/>
    <w:rsid w:val="00607820"/>
    <w:rsid w:val="00607E92"/>
    <w:rsid w:val="00614A27"/>
    <w:rsid w:val="00615247"/>
    <w:rsid w:val="006155FC"/>
    <w:rsid w:val="00615695"/>
    <w:rsid w:val="0061714E"/>
    <w:rsid w:val="006203BD"/>
    <w:rsid w:val="0062059B"/>
    <w:rsid w:val="006247BA"/>
    <w:rsid w:val="00624C5C"/>
    <w:rsid w:val="00627E76"/>
    <w:rsid w:val="006323A6"/>
    <w:rsid w:val="00632B1F"/>
    <w:rsid w:val="00635A99"/>
    <w:rsid w:val="00636A86"/>
    <w:rsid w:val="00645987"/>
    <w:rsid w:val="0064762E"/>
    <w:rsid w:val="0065046E"/>
    <w:rsid w:val="006504EE"/>
    <w:rsid w:val="00650B00"/>
    <w:rsid w:val="00651A05"/>
    <w:rsid w:val="0065259E"/>
    <w:rsid w:val="0065282A"/>
    <w:rsid w:val="00652F48"/>
    <w:rsid w:val="006536A9"/>
    <w:rsid w:val="00657C61"/>
    <w:rsid w:val="00657CB6"/>
    <w:rsid w:val="00657E00"/>
    <w:rsid w:val="006613A9"/>
    <w:rsid w:val="006625B4"/>
    <w:rsid w:val="006640FE"/>
    <w:rsid w:val="006650D3"/>
    <w:rsid w:val="00671255"/>
    <w:rsid w:val="00672BEE"/>
    <w:rsid w:val="00674467"/>
    <w:rsid w:val="0067448D"/>
    <w:rsid w:val="006762E5"/>
    <w:rsid w:val="006764C8"/>
    <w:rsid w:val="006777A0"/>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74FC"/>
    <w:rsid w:val="006A0482"/>
    <w:rsid w:val="006A13BF"/>
    <w:rsid w:val="006A26C8"/>
    <w:rsid w:val="006A4046"/>
    <w:rsid w:val="006A53F6"/>
    <w:rsid w:val="006B1EBE"/>
    <w:rsid w:val="006B432F"/>
    <w:rsid w:val="006B7C24"/>
    <w:rsid w:val="006B7CF9"/>
    <w:rsid w:val="006C0139"/>
    <w:rsid w:val="006C111C"/>
    <w:rsid w:val="006C1AEE"/>
    <w:rsid w:val="006C27E2"/>
    <w:rsid w:val="006C3927"/>
    <w:rsid w:val="006C51F7"/>
    <w:rsid w:val="006C6452"/>
    <w:rsid w:val="006C6761"/>
    <w:rsid w:val="006D0368"/>
    <w:rsid w:val="006D2333"/>
    <w:rsid w:val="006D2DEC"/>
    <w:rsid w:val="006D3DBE"/>
    <w:rsid w:val="006D52EC"/>
    <w:rsid w:val="006D571E"/>
    <w:rsid w:val="006D6CC7"/>
    <w:rsid w:val="006D70CD"/>
    <w:rsid w:val="006D7C85"/>
    <w:rsid w:val="006E1CA2"/>
    <w:rsid w:val="006E2C81"/>
    <w:rsid w:val="006E343F"/>
    <w:rsid w:val="006E42F5"/>
    <w:rsid w:val="006E4AA9"/>
    <w:rsid w:val="006E53D1"/>
    <w:rsid w:val="006E6DB3"/>
    <w:rsid w:val="006E7CC1"/>
    <w:rsid w:val="006F0B6B"/>
    <w:rsid w:val="006F1E01"/>
    <w:rsid w:val="006F3F9C"/>
    <w:rsid w:val="006F47C8"/>
    <w:rsid w:val="006F4AF5"/>
    <w:rsid w:val="006F51F9"/>
    <w:rsid w:val="006F715C"/>
    <w:rsid w:val="006F7A23"/>
    <w:rsid w:val="0070010D"/>
    <w:rsid w:val="007004DA"/>
    <w:rsid w:val="00701726"/>
    <w:rsid w:val="007031E2"/>
    <w:rsid w:val="00703733"/>
    <w:rsid w:val="00711B43"/>
    <w:rsid w:val="007122CC"/>
    <w:rsid w:val="00713859"/>
    <w:rsid w:val="00716799"/>
    <w:rsid w:val="0072229D"/>
    <w:rsid w:val="007336C1"/>
    <w:rsid w:val="007339FC"/>
    <w:rsid w:val="00733A81"/>
    <w:rsid w:val="0073548A"/>
    <w:rsid w:val="007375CF"/>
    <w:rsid w:val="00737F14"/>
    <w:rsid w:val="00740BD4"/>
    <w:rsid w:val="00742F5B"/>
    <w:rsid w:val="0074328B"/>
    <w:rsid w:val="007500A2"/>
    <w:rsid w:val="0075161B"/>
    <w:rsid w:val="00751A18"/>
    <w:rsid w:val="0075426C"/>
    <w:rsid w:val="00754B6C"/>
    <w:rsid w:val="007609DE"/>
    <w:rsid w:val="00760D7B"/>
    <w:rsid w:val="00762176"/>
    <w:rsid w:val="0076664B"/>
    <w:rsid w:val="00766D48"/>
    <w:rsid w:val="00773ADD"/>
    <w:rsid w:val="00774FA0"/>
    <w:rsid w:val="007769B1"/>
    <w:rsid w:val="00777A11"/>
    <w:rsid w:val="0078013B"/>
    <w:rsid w:val="00780E9B"/>
    <w:rsid w:val="00782DA4"/>
    <w:rsid w:val="00784027"/>
    <w:rsid w:val="007848F3"/>
    <w:rsid w:val="00784C7B"/>
    <w:rsid w:val="007857B4"/>
    <w:rsid w:val="007864C1"/>
    <w:rsid w:val="00786718"/>
    <w:rsid w:val="00791102"/>
    <w:rsid w:val="00791CE4"/>
    <w:rsid w:val="00794312"/>
    <w:rsid w:val="0079518B"/>
    <w:rsid w:val="00797D46"/>
    <w:rsid w:val="007A01CC"/>
    <w:rsid w:val="007A0524"/>
    <w:rsid w:val="007A2597"/>
    <w:rsid w:val="007A25C9"/>
    <w:rsid w:val="007A2D4A"/>
    <w:rsid w:val="007A2F6C"/>
    <w:rsid w:val="007A32BB"/>
    <w:rsid w:val="007A4679"/>
    <w:rsid w:val="007A4C9D"/>
    <w:rsid w:val="007A5DFF"/>
    <w:rsid w:val="007A7D6E"/>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D1A32"/>
    <w:rsid w:val="007D3FA4"/>
    <w:rsid w:val="007D5153"/>
    <w:rsid w:val="007D620F"/>
    <w:rsid w:val="007E14BD"/>
    <w:rsid w:val="007E31EA"/>
    <w:rsid w:val="007E3B25"/>
    <w:rsid w:val="007E3B7D"/>
    <w:rsid w:val="007E5A22"/>
    <w:rsid w:val="007E75E3"/>
    <w:rsid w:val="007E7710"/>
    <w:rsid w:val="007F2008"/>
    <w:rsid w:val="007F22AC"/>
    <w:rsid w:val="007F28D8"/>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20AF"/>
    <w:rsid w:val="008125B6"/>
    <w:rsid w:val="00812625"/>
    <w:rsid w:val="00814DBF"/>
    <w:rsid w:val="00815C12"/>
    <w:rsid w:val="00817759"/>
    <w:rsid w:val="00817C8F"/>
    <w:rsid w:val="00820982"/>
    <w:rsid w:val="008213C2"/>
    <w:rsid w:val="0082170D"/>
    <w:rsid w:val="0082187A"/>
    <w:rsid w:val="00822223"/>
    <w:rsid w:val="00822802"/>
    <w:rsid w:val="00825521"/>
    <w:rsid w:val="00825C4F"/>
    <w:rsid w:val="00831989"/>
    <w:rsid w:val="00831EBD"/>
    <w:rsid w:val="00836BE4"/>
    <w:rsid w:val="00836E25"/>
    <w:rsid w:val="00836EFC"/>
    <w:rsid w:val="008378B4"/>
    <w:rsid w:val="00840A1A"/>
    <w:rsid w:val="00840D02"/>
    <w:rsid w:val="008431E0"/>
    <w:rsid w:val="00843A16"/>
    <w:rsid w:val="00844665"/>
    <w:rsid w:val="00845E4B"/>
    <w:rsid w:val="00846735"/>
    <w:rsid w:val="00846837"/>
    <w:rsid w:val="00846E42"/>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5DA"/>
    <w:rsid w:val="00865AD8"/>
    <w:rsid w:val="00866CE0"/>
    <w:rsid w:val="008721CC"/>
    <w:rsid w:val="00872226"/>
    <w:rsid w:val="0087239F"/>
    <w:rsid w:val="00872695"/>
    <w:rsid w:val="00872B47"/>
    <w:rsid w:val="00874730"/>
    <w:rsid w:val="008751CE"/>
    <w:rsid w:val="00875F84"/>
    <w:rsid w:val="008773C3"/>
    <w:rsid w:val="00877623"/>
    <w:rsid w:val="008824EE"/>
    <w:rsid w:val="00882B7E"/>
    <w:rsid w:val="00882D96"/>
    <w:rsid w:val="00883EFA"/>
    <w:rsid w:val="00885A80"/>
    <w:rsid w:val="008867F6"/>
    <w:rsid w:val="00887818"/>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F78"/>
    <w:rsid w:val="008C248B"/>
    <w:rsid w:val="008C5ABC"/>
    <w:rsid w:val="008C5C88"/>
    <w:rsid w:val="008C6CE2"/>
    <w:rsid w:val="008D095A"/>
    <w:rsid w:val="008D1FCD"/>
    <w:rsid w:val="008D416A"/>
    <w:rsid w:val="008D75EB"/>
    <w:rsid w:val="008E0A3D"/>
    <w:rsid w:val="008E0A75"/>
    <w:rsid w:val="008E0EAF"/>
    <w:rsid w:val="008E1805"/>
    <w:rsid w:val="008E6453"/>
    <w:rsid w:val="008E6759"/>
    <w:rsid w:val="009000E7"/>
    <w:rsid w:val="009027ED"/>
    <w:rsid w:val="00903409"/>
    <w:rsid w:val="00903846"/>
    <w:rsid w:val="0090525F"/>
    <w:rsid w:val="00911B9C"/>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4669"/>
    <w:rsid w:val="00945751"/>
    <w:rsid w:val="00946625"/>
    <w:rsid w:val="00950E91"/>
    <w:rsid w:val="00951733"/>
    <w:rsid w:val="009519FC"/>
    <w:rsid w:val="00952317"/>
    <w:rsid w:val="00953A8D"/>
    <w:rsid w:val="0095692A"/>
    <w:rsid w:val="00957D8E"/>
    <w:rsid w:val="0096040D"/>
    <w:rsid w:val="009606C6"/>
    <w:rsid w:val="00960AA9"/>
    <w:rsid w:val="00960D9D"/>
    <w:rsid w:val="00961811"/>
    <w:rsid w:val="009622C7"/>
    <w:rsid w:val="009663D4"/>
    <w:rsid w:val="00970F6A"/>
    <w:rsid w:val="009712C8"/>
    <w:rsid w:val="0097190C"/>
    <w:rsid w:val="009765DD"/>
    <w:rsid w:val="009775E7"/>
    <w:rsid w:val="0098097B"/>
    <w:rsid w:val="009813CC"/>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741"/>
    <w:rsid w:val="009A28D5"/>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11D6"/>
    <w:rsid w:val="009D3AF6"/>
    <w:rsid w:val="009D4019"/>
    <w:rsid w:val="009D628C"/>
    <w:rsid w:val="009E11BA"/>
    <w:rsid w:val="009E141B"/>
    <w:rsid w:val="009E1CF0"/>
    <w:rsid w:val="009E2D6C"/>
    <w:rsid w:val="009E660D"/>
    <w:rsid w:val="009E7458"/>
    <w:rsid w:val="009F50D8"/>
    <w:rsid w:val="009F7E80"/>
    <w:rsid w:val="00A03535"/>
    <w:rsid w:val="00A045A2"/>
    <w:rsid w:val="00A04B6D"/>
    <w:rsid w:val="00A06DD7"/>
    <w:rsid w:val="00A12BCC"/>
    <w:rsid w:val="00A14318"/>
    <w:rsid w:val="00A14F4E"/>
    <w:rsid w:val="00A16614"/>
    <w:rsid w:val="00A167FB"/>
    <w:rsid w:val="00A174F5"/>
    <w:rsid w:val="00A20E1D"/>
    <w:rsid w:val="00A2369D"/>
    <w:rsid w:val="00A241E3"/>
    <w:rsid w:val="00A32095"/>
    <w:rsid w:val="00A32C7A"/>
    <w:rsid w:val="00A32E70"/>
    <w:rsid w:val="00A33E33"/>
    <w:rsid w:val="00A34D08"/>
    <w:rsid w:val="00A43557"/>
    <w:rsid w:val="00A44D85"/>
    <w:rsid w:val="00A45025"/>
    <w:rsid w:val="00A45844"/>
    <w:rsid w:val="00A46958"/>
    <w:rsid w:val="00A51077"/>
    <w:rsid w:val="00A51224"/>
    <w:rsid w:val="00A53A6B"/>
    <w:rsid w:val="00A5433B"/>
    <w:rsid w:val="00A54C60"/>
    <w:rsid w:val="00A54E1A"/>
    <w:rsid w:val="00A55441"/>
    <w:rsid w:val="00A56A48"/>
    <w:rsid w:val="00A56DEC"/>
    <w:rsid w:val="00A60B48"/>
    <w:rsid w:val="00A60DE4"/>
    <w:rsid w:val="00A612FF"/>
    <w:rsid w:val="00A614D0"/>
    <w:rsid w:val="00A62BFB"/>
    <w:rsid w:val="00A6462A"/>
    <w:rsid w:val="00A65FDE"/>
    <w:rsid w:val="00A6602B"/>
    <w:rsid w:val="00A66E8A"/>
    <w:rsid w:val="00A71943"/>
    <w:rsid w:val="00A727C8"/>
    <w:rsid w:val="00A730EF"/>
    <w:rsid w:val="00A7361D"/>
    <w:rsid w:val="00A7456C"/>
    <w:rsid w:val="00A75588"/>
    <w:rsid w:val="00A772B5"/>
    <w:rsid w:val="00A778FF"/>
    <w:rsid w:val="00A77D5D"/>
    <w:rsid w:val="00A80635"/>
    <w:rsid w:val="00A82118"/>
    <w:rsid w:val="00A82EA9"/>
    <w:rsid w:val="00A87BD4"/>
    <w:rsid w:val="00A91E7F"/>
    <w:rsid w:val="00A95C14"/>
    <w:rsid w:val="00A95FAA"/>
    <w:rsid w:val="00A9666F"/>
    <w:rsid w:val="00A97BA6"/>
    <w:rsid w:val="00A97C92"/>
    <w:rsid w:val="00AA0797"/>
    <w:rsid w:val="00AA2F4F"/>
    <w:rsid w:val="00AA4BFF"/>
    <w:rsid w:val="00AB0069"/>
    <w:rsid w:val="00AB18A3"/>
    <w:rsid w:val="00AB24E1"/>
    <w:rsid w:val="00AB2AB3"/>
    <w:rsid w:val="00AB3D71"/>
    <w:rsid w:val="00AB59F3"/>
    <w:rsid w:val="00AB60AD"/>
    <w:rsid w:val="00AB6EAC"/>
    <w:rsid w:val="00AC07A4"/>
    <w:rsid w:val="00AC271E"/>
    <w:rsid w:val="00AC32F2"/>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AF7"/>
    <w:rsid w:val="00AF2CDB"/>
    <w:rsid w:val="00AF3833"/>
    <w:rsid w:val="00AF4251"/>
    <w:rsid w:val="00AF4AEB"/>
    <w:rsid w:val="00AF539D"/>
    <w:rsid w:val="00AF59B9"/>
    <w:rsid w:val="00AF5A5E"/>
    <w:rsid w:val="00AF7241"/>
    <w:rsid w:val="00B001E4"/>
    <w:rsid w:val="00B0153A"/>
    <w:rsid w:val="00B03CE1"/>
    <w:rsid w:val="00B045F0"/>
    <w:rsid w:val="00B04889"/>
    <w:rsid w:val="00B04DC4"/>
    <w:rsid w:val="00B05CA8"/>
    <w:rsid w:val="00B06013"/>
    <w:rsid w:val="00B06CAC"/>
    <w:rsid w:val="00B07049"/>
    <w:rsid w:val="00B121FB"/>
    <w:rsid w:val="00B1380A"/>
    <w:rsid w:val="00B13902"/>
    <w:rsid w:val="00B13FA7"/>
    <w:rsid w:val="00B14244"/>
    <w:rsid w:val="00B1506B"/>
    <w:rsid w:val="00B238AA"/>
    <w:rsid w:val="00B24B2E"/>
    <w:rsid w:val="00B24DB2"/>
    <w:rsid w:val="00B251E2"/>
    <w:rsid w:val="00B25570"/>
    <w:rsid w:val="00B2579E"/>
    <w:rsid w:val="00B25DA5"/>
    <w:rsid w:val="00B260DF"/>
    <w:rsid w:val="00B30939"/>
    <w:rsid w:val="00B31660"/>
    <w:rsid w:val="00B3394C"/>
    <w:rsid w:val="00B33AC0"/>
    <w:rsid w:val="00B34081"/>
    <w:rsid w:val="00B35386"/>
    <w:rsid w:val="00B356C3"/>
    <w:rsid w:val="00B35B82"/>
    <w:rsid w:val="00B35BF4"/>
    <w:rsid w:val="00B362C6"/>
    <w:rsid w:val="00B37E3B"/>
    <w:rsid w:val="00B40BE8"/>
    <w:rsid w:val="00B41994"/>
    <w:rsid w:val="00B42655"/>
    <w:rsid w:val="00B44BDA"/>
    <w:rsid w:val="00B4503B"/>
    <w:rsid w:val="00B453F2"/>
    <w:rsid w:val="00B462E6"/>
    <w:rsid w:val="00B46EBD"/>
    <w:rsid w:val="00B51489"/>
    <w:rsid w:val="00B5163B"/>
    <w:rsid w:val="00B51651"/>
    <w:rsid w:val="00B525EE"/>
    <w:rsid w:val="00B55021"/>
    <w:rsid w:val="00B562C4"/>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2BC"/>
    <w:rsid w:val="00B76E5E"/>
    <w:rsid w:val="00B77EF4"/>
    <w:rsid w:val="00B815E2"/>
    <w:rsid w:val="00B816A5"/>
    <w:rsid w:val="00B846D4"/>
    <w:rsid w:val="00B84A71"/>
    <w:rsid w:val="00B8544D"/>
    <w:rsid w:val="00B871A9"/>
    <w:rsid w:val="00B878CE"/>
    <w:rsid w:val="00B87B22"/>
    <w:rsid w:val="00B87F9C"/>
    <w:rsid w:val="00B906FF"/>
    <w:rsid w:val="00B9211C"/>
    <w:rsid w:val="00B92EEC"/>
    <w:rsid w:val="00B950A5"/>
    <w:rsid w:val="00B97541"/>
    <w:rsid w:val="00BA1CA0"/>
    <w:rsid w:val="00BA455A"/>
    <w:rsid w:val="00BA5528"/>
    <w:rsid w:val="00BA688E"/>
    <w:rsid w:val="00BA7890"/>
    <w:rsid w:val="00BB0742"/>
    <w:rsid w:val="00BB1B0D"/>
    <w:rsid w:val="00BB1CFC"/>
    <w:rsid w:val="00BB4343"/>
    <w:rsid w:val="00BB4FBD"/>
    <w:rsid w:val="00BB6818"/>
    <w:rsid w:val="00BC013C"/>
    <w:rsid w:val="00BC0541"/>
    <w:rsid w:val="00BC0C96"/>
    <w:rsid w:val="00BC328D"/>
    <w:rsid w:val="00BC395B"/>
    <w:rsid w:val="00BC3F67"/>
    <w:rsid w:val="00BC45BA"/>
    <w:rsid w:val="00BC5F4E"/>
    <w:rsid w:val="00BC5FDE"/>
    <w:rsid w:val="00BC7297"/>
    <w:rsid w:val="00BC72EA"/>
    <w:rsid w:val="00BD0240"/>
    <w:rsid w:val="00BD0822"/>
    <w:rsid w:val="00BD1E79"/>
    <w:rsid w:val="00BD2C19"/>
    <w:rsid w:val="00BD5E01"/>
    <w:rsid w:val="00BD799F"/>
    <w:rsid w:val="00BE0125"/>
    <w:rsid w:val="00BE0A98"/>
    <w:rsid w:val="00BE1867"/>
    <w:rsid w:val="00BE5FB6"/>
    <w:rsid w:val="00BE79DB"/>
    <w:rsid w:val="00BF11D7"/>
    <w:rsid w:val="00BF467C"/>
    <w:rsid w:val="00BF59B0"/>
    <w:rsid w:val="00BF7D62"/>
    <w:rsid w:val="00C0130E"/>
    <w:rsid w:val="00C0272E"/>
    <w:rsid w:val="00C02B41"/>
    <w:rsid w:val="00C04D36"/>
    <w:rsid w:val="00C04DB4"/>
    <w:rsid w:val="00C05EB3"/>
    <w:rsid w:val="00C06FCE"/>
    <w:rsid w:val="00C07C03"/>
    <w:rsid w:val="00C10747"/>
    <w:rsid w:val="00C10EB5"/>
    <w:rsid w:val="00C112BD"/>
    <w:rsid w:val="00C12025"/>
    <w:rsid w:val="00C133C8"/>
    <w:rsid w:val="00C1447E"/>
    <w:rsid w:val="00C1553A"/>
    <w:rsid w:val="00C15F7E"/>
    <w:rsid w:val="00C21159"/>
    <w:rsid w:val="00C21650"/>
    <w:rsid w:val="00C265C0"/>
    <w:rsid w:val="00C27482"/>
    <w:rsid w:val="00C27872"/>
    <w:rsid w:val="00C30595"/>
    <w:rsid w:val="00C30AAD"/>
    <w:rsid w:val="00C311B3"/>
    <w:rsid w:val="00C31465"/>
    <w:rsid w:val="00C33D9D"/>
    <w:rsid w:val="00C35637"/>
    <w:rsid w:val="00C35974"/>
    <w:rsid w:val="00C36AC4"/>
    <w:rsid w:val="00C418FA"/>
    <w:rsid w:val="00C44424"/>
    <w:rsid w:val="00C44FA7"/>
    <w:rsid w:val="00C472A4"/>
    <w:rsid w:val="00C5068C"/>
    <w:rsid w:val="00C537EB"/>
    <w:rsid w:val="00C538FD"/>
    <w:rsid w:val="00C61A21"/>
    <w:rsid w:val="00C62EDF"/>
    <w:rsid w:val="00C630B4"/>
    <w:rsid w:val="00C654F4"/>
    <w:rsid w:val="00C66654"/>
    <w:rsid w:val="00C706EC"/>
    <w:rsid w:val="00C71F95"/>
    <w:rsid w:val="00C72C64"/>
    <w:rsid w:val="00C73585"/>
    <w:rsid w:val="00C739CD"/>
    <w:rsid w:val="00C73C0D"/>
    <w:rsid w:val="00C7436B"/>
    <w:rsid w:val="00C7586A"/>
    <w:rsid w:val="00C76480"/>
    <w:rsid w:val="00C77547"/>
    <w:rsid w:val="00C778E6"/>
    <w:rsid w:val="00C80069"/>
    <w:rsid w:val="00C81E07"/>
    <w:rsid w:val="00C8388D"/>
    <w:rsid w:val="00C839A9"/>
    <w:rsid w:val="00C83FB4"/>
    <w:rsid w:val="00C849C6"/>
    <w:rsid w:val="00C85D6A"/>
    <w:rsid w:val="00C874E9"/>
    <w:rsid w:val="00C9040A"/>
    <w:rsid w:val="00C90AFC"/>
    <w:rsid w:val="00C94693"/>
    <w:rsid w:val="00C94898"/>
    <w:rsid w:val="00CA2D32"/>
    <w:rsid w:val="00CA3FE6"/>
    <w:rsid w:val="00CA45AF"/>
    <w:rsid w:val="00CA6414"/>
    <w:rsid w:val="00CA6876"/>
    <w:rsid w:val="00CA74DC"/>
    <w:rsid w:val="00CB2AB7"/>
    <w:rsid w:val="00CC0083"/>
    <w:rsid w:val="00CC27F3"/>
    <w:rsid w:val="00CC3194"/>
    <w:rsid w:val="00CC3562"/>
    <w:rsid w:val="00CC4D63"/>
    <w:rsid w:val="00CC5E5B"/>
    <w:rsid w:val="00CC61A5"/>
    <w:rsid w:val="00CC772A"/>
    <w:rsid w:val="00CC7E08"/>
    <w:rsid w:val="00CD14DB"/>
    <w:rsid w:val="00CD42D5"/>
    <w:rsid w:val="00CD6D72"/>
    <w:rsid w:val="00CD7B93"/>
    <w:rsid w:val="00CE0348"/>
    <w:rsid w:val="00CE29D2"/>
    <w:rsid w:val="00CE2E0F"/>
    <w:rsid w:val="00CE5FE4"/>
    <w:rsid w:val="00CE6283"/>
    <w:rsid w:val="00CE67AA"/>
    <w:rsid w:val="00CE6F33"/>
    <w:rsid w:val="00CE73B5"/>
    <w:rsid w:val="00CE791D"/>
    <w:rsid w:val="00CE79D7"/>
    <w:rsid w:val="00CE7CE3"/>
    <w:rsid w:val="00CF13B5"/>
    <w:rsid w:val="00CF2071"/>
    <w:rsid w:val="00CF244E"/>
    <w:rsid w:val="00CF278D"/>
    <w:rsid w:val="00CF2FE9"/>
    <w:rsid w:val="00CF37C7"/>
    <w:rsid w:val="00CF3CF8"/>
    <w:rsid w:val="00CF474D"/>
    <w:rsid w:val="00CF5A64"/>
    <w:rsid w:val="00CF6622"/>
    <w:rsid w:val="00CF749A"/>
    <w:rsid w:val="00D0089A"/>
    <w:rsid w:val="00D014C7"/>
    <w:rsid w:val="00D01548"/>
    <w:rsid w:val="00D04D5F"/>
    <w:rsid w:val="00D04DD6"/>
    <w:rsid w:val="00D04DFA"/>
    <w:rsid w:val="00D0597F"/>
    <w:rsid w:val="00D05F35"/>
    <w:rsid w:val="00D06393"/>
    <w:rsid w:val="00D06E5E"/>
    <w:rsid w:val="00D06F79"/>
    <w:rsid w:val="00D10597"/>
    <w:rsid w:val="00D120A3"/>
    <w:rsid w:val="00D13288"/>
    <w:rsid w:val="00D13AF8"/>
    <w:rsid w:val="00D1584B"/>
    <w:rsid w:val="00D20601"/>
    <w:rsid w:val="00D21020"/>
    <w:rsid w:val="00D219E9"/>
    <w:rsid w:val="00D2205B"/>
    <w:rsid w:val="00D23418"/>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CA5"/>
    <w:rsid w:val="00D46E12"/>
    <w:rsid w:val="00D50734"/>
    <w:rsid w:val="00D507C0"/>
    <w:rsid w:val="00D513CC"/>
    <w:rsid w:val="00D5172A"/>
    <w:rsid w:val="00D56435"/>
    <w:rsid w:val="00D60386"/>
    <w:rsid w:val="00D62755"/>
    <w:rsid w:val="00D62AA4"/>
    <w:rsid w:val="00D6318F"/>
    <w:rsid w:val="00D650BB"/>
    <w:rsid w:val="00D6540A"/>
    <w:rsid w:val="00D671BD"/>
    <w:rsid w:val="00D674AF"/>
    <w:rsid w:val="00D70107"/>
    <w:rsid w:val="00D70438"/>
    <w:rsid w:val="00D717AD"/>
    <w:rsid w:val="00D720AD"/>
    <w:rsid w:val="00D72D1D"/>
    <w:rsid w:val="00D74A18"/>
    <w:rsid w:val="00D74D3E"/>
    <w:rsid w:val="00D7548B"/>
    <w:rsid w:val="00D757C6"/>
    <w:rsid w:val="00D75C41"/>
    <w:rsid w:val="00D80529"/>
    <w:rsid w:val="00D80F78"/>
    <w:rsid w:val="00D81AC3"/>
    <w:rsid w:val="00D81C59"/>
    <w:rsid w:val="00D82A5B"/>
    <w:rsid w:val="00D84637"/>
    <w:rsid w:val="00D8473B"/>
    <w:rsid w:val="00D85780"/>
    <w:rsid w:val="00D925AA"/>
    <w:rsid w:val="00D9283D"/>
    <w:rsid w:val="00D92FFB"/>
    <w:rsid w:val="00D930DD"/>
    <w:rsid w:val="00D9341C"/>
    <w:rsid w:val="00D94B7D"/>
    <w:rsid w:val="00DA0B1A"/>
    <w:rsid w:val="00DA1560"/>
    <w:rsid w:val="00DA3176"/>
    <w:rsid w:val="00DA4C44"/>
    <w:rsid w:val="00DA4C48"/>
    <w:rsid w:val="00DA4E21"/>
    <w:rsid w:val="00DA71EF"/>
    <w:rsid w:val="00DA7A18"/>
    <w:rsid w:val="00DB1347"/>
    <w:rsid w:val="00DB1A3C"/>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4100"/>
    <w:rsid w:val="00DD76A4"/>
    <w:rsid w:val="00DD7C65"/>
    <w:rsid w:val="00DE03E4"/>
    <w:rsid w:val="00DE1134"/>
    <w:rsid w:val="00DE1AEB"/>
    <w:rsid w:val="00DE2247"/>
    <w:rsid w:val="00DE2A34"/>
    <w:rsid w:val="00DE37AE"/>
    <w:rsid w:val="00DE4732"/>
    <w:rsid w:val="00DE4CB3"/>
    <w:rsid w:val="00DE6668"/>
    <w:rsid w:val="00DE6987"/>
    <w:rsid w:val="00DE7339"/>
    <w:rsid w:val="00DF1246"/>
    <w:rsid w:val="00DF30C0"/>
    <w:rsid w:val="00E0080A"/>
    <w:rsid w:val="00E00F31"/>
    <w:rsid w:val="00E02242"/>
    <w:rsid w:val="00E0300E"/>
    <w:rsid w:val="00E04AE0"/>
    <w:rsid w:val="00E070D0"/>
    <w:rsid w:val="00E078CB"/>
    <w:rsid w:val="00E11517"/>
    <w:rsid w:val="00E12834"/>
    <w:rsid w:val="00E13727"/>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7145"/>
    <w:rsid w:val="00E37502"/>
    <w:rsid w:val="00E37A41"/>
    <w:rsid w:val="00E40127"/>
    <w:rsid w:val="00E43074"/>
    <w:rsid w:val="00E431C8"/>
    <w:rsid w:val="00E44926"/>
    <w:rsid w:val="00E44E09"/>
    <w:rsid w:val="00E45D53"/>
    <w:rsid w:val="00E46DBD"/>
    <w:rsid w:val="00E5086A"/>
    <w:rsid w:val="00E51708"/>
    <w:rsid w:val="00E51729"/>
    <w:rsid w:val="00E51D0A"/>
    <w:rsid w:val="00E53139"/>
    <w:rsid w:val="00E53A8F"/>
    <w:rsid w:val="00E5435E"/>
    <w:rsid w:val="00E55A81"/>
    <w:rsid w:val="00E56450"/>
    <w:rsid w:val="00E56DA8"/>
    <w:rsid w:val="00E60ACC"/>
    <w:rsid w:val="00E60C4B"/>
    <w:rsid w:val="00E60E21"/>
    <w:rsid w:val="00E6570E"/>
    <w:rsid w:val="00E66638"/>
    <w:rsid w:val="00E6706E"/>
    <w:rsid w:val="00E7211D"/>
    <w:rsid w:val="00E73B28"/>
    <w:rsid w:val="00E754C2"/>
    <w:rsid w:val="00E757CA"/>
    <w:rsid w:val="00E75D48"/>
    <w:rsid w:val="00E76750"/>
    <w:rsid w:val="00E773CD"/>
    <w:rsid w:val="00E774C9"/>
    <w:rsid w:val="00E77BD5"/>
    <w:rsid w:val="00E77D0C"/>
    <w:rsid w:val="00E80964"/>
    <w:rsid w:val="00E83D43"/>
    <w:rsid w:val="00E841A6"/>
    <w:rsid w:val="00E84BCB"/>
    <w:rsid w:val="00E85905"/>
    <w:rsid w:val="00E85D20"/>
    <w:rsid w:val="00E87C0D"/>
    <w:rsid w:val="00E90DC4"/>
    <w:rsid w:val="00E9163F"/>
    <w:rsid w:val="00E91CB7"/>
    <w:rsid w:val="00E955B0"/>
    <w:rsid w:val="00E956E8"/>
    <w:rsid w:val="00E97FD5"/>
    <w:rsid w:val="00EA022D"/>
    <w:rsid w:val="00EA0D10"/>
    <w:rsid w:val="00EA0F2C"/>
    <w:rsid w:val="00EA19CB"/>
    <w:rsid w:val="00EA2C8F"/>
    <w:rsid w:val="00EA5045"/>
    <w:rsid w:val="00EA5D64"/>
    <w:rsid w:val="00EA613A"/>
    <w:rsid w:val="00EA6A8C"/>
    <w:rsid w:val="00EB2063"/>
    <w:rsid w:val="00EB2AD1"/>
    <w:rsid w:val="00EB2F9F"/>
    <w:rsid w:val="00EB3067"/>
    <w:rsid w:val="00EB353E"/>
    <w:rsid w:val="00EB3AA1"/>
    <w:rsid w:val="00EB56E0"/>
    <w:rsid w:val="00EB5DDF"/>
    <w:rsid w:val="00EB6E66"/>
    <w:rsid w:val="00EC0129"/>
    <w:rsid w:val="00EC24CC"/>
    <w:rsid w:val="00EC3CEC"/>
    <w:rsid w:val="00EC4625"/>
    <w:rsid w:val="00EC65F4"/>
    <w:rsid w:val="00ED139E"/>
    <w:rsid w:val="00ED1759"/>
    <w:rsid w:val="00ED27A5"/>
    <w:rsid w:val="00ED3ECB"/>
    <w:rsid w:val="00ED445D"/>
    <w:rsid w:val="00ED461C"/>
    <w:rsid w:val="00ED5E2B"/>
    <w:rsid w:val="00EE01C2"/>
    <w:rsid w:val="00EE18AB"/>
    <w:rsid w:val="00EE2FEA"/>
    <w:rsid w:val="00EE37A2"/>
    <w:rsid w:val="00EE3B12"/>
    <w:rsid w:val="00EE5AF3"/>
    <w:rsid w:val="00EE5E91"/>
    <w:rsid w:val="00EE5F8C"/>
    <w:rsid w:val="00EE73BC"/>
    <w:rsid w:val="00EE7AC8"/>
    <w:rsid w:val="00EF00AA"/>
    <w:rsid w:val="00EF3996"/>
    <w:rsid w:val="00F0026A"/>
    <w:rsid w:val="00F021E7"/>
    <w:rsid w:val="00F0240B"/>
    <w:rsid w:val="00F026C1"/>
    <w:rsid w:val="00F030B8"/>
    <w:rsid w:val="00F039D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735C"/>
    <w:rsid w:val="00F3124A"/>
    <w:rsid w:val="00F31D41"/>
    <w:rsid w:val="00F332E3"/>
    <w:rsid w:val="00F34539"/>
    <w:rsid w:val="00F35005"/>
    <w:rsid w:val="00F35025"/>
    <w:rsid w:val="00F359FB"/>
    <w:rsid w:val="00F364CB"/>
    <w:rsid w:val="00F36E13"/>
    <w:rsid w:val="00F37601"/>
    <w:rsid w:val="00F4058E"/>
    <w:rsid w:val="00F4220F"/>
    <w:rsid w:val="00F423B8"/>
    <w:rsid w:val="00F43F58"/>
    <w:rsid w:val="00F45507"/>
    <w:rsid w:val="00F46014"/>
    <w:rsid w:val="00F464BC"/>
    <w:rsid w:val="00F47670"/>
    <w:rsid w:val="00F51371"/>
    <w:rsid w:val="00F51AF6"/>
    <w:rsid w:val="00F551E9"/>
    <w:rsid w:val="00F55A95"/>
    <w:rsid w:val="00F56113"/>
    <w:rsid w:val="00F5640F"/>
    <w:rsid w:val="00F56735"/>
    <w:rsid w:val="00F56B3A"/>
    <w:rsid w:val="00F60F94"/>
    <w:rsid w:val="00F615F9"/>
    <w:rsid w:val="00F62055"/>
    <w:rsid w:val="00F620BE"/>
    <w:rsid w:val="00F64DC5"/>
    <w:rsid w:val="00F73938"/>
    <w:rsid w:val="00F73E87"/>
    <w:rsid w:val="00F74224"/>
    <w:rsid w:val="00F747A9"/>
    <w:rsid w:val="00F76696"/>
    <w:rsid w:val="00F77295"/>
    <w:rsid w:val="00F77A84"/>
    <w:rsid w:val="00F80438"/>
    <w:rsid w:val="00F87905"/>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A6F12"/>
    <w:rsid w:val="00FB1DA4"/>
    <w:rsid w:val="00FB2973"/>
    <w:rsid w:val="00FB42CF"/>
    <w:rsid w:val="00FB4B5B"/>
    <w:rsid w:val="00FB511E"/>
    <w:rsid w:val="00FB7B5E"/>
    <w:rsid w:val="00FC07DD"/>
    <w:rsid w:val="00FC2B86"/>
    <w:rsid w:val="00FC48B5"/>
    <w:rsid w:val="00FC4CA2"/>
    <w:rsid w:val="00FC6FF3"/>
    <w:rsid w:val="00FC7629"/>
    <w:rsid w:val="00FC7B2A"/>
    <w:rsid w:val="00FD30D0"/>
    <w:rsid w:val="00FD3D67"/>
    <w:rsid w:val="00FD536A"/>
    <w:rsid w:val="00FD74FF"/>
    <w:rsid w:val="00FE3CEC"/>
    <w:rsid w:val="00FE4145"/>
    <w:rsid w:val="00FE5F2D"/>
    <w:rsid w:val="00FE607C"/>
    <w:rsid w:val="00FE6A1F"/>
    <w:rsid w:val="00FE743E"/>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5F"/>
    <w:rPr>
      <w:szCs w:val="24"/>
      <w:lang w:val="en-AU" w:eastAsia="en-AU"/>
    </w:rPr>
  </w:style>
  <w:style w:type="paragraph" w:styleId="Heading1">
    <w:name w:val="heading 1"/>
    <w:basedOn w:val="Normal"/>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Normal"/>
    <w:link w:val="Heading2Char"/>
    <w:qFormat/>
    <w:rsid w:val="00D21020"/>
    <w:pPr>
      <w:numPr>
        <w:ilvl w:val="1"/>
      </w:numPr>
      <w:spacing w:before="380" w:line="280" w:lineRule="atLeast"/>
      <w:outlineLvl w:val="1"/>
    </w:pPr>
    <w:rPr>
      <w:rFonts w:ascii="Franklin Gothic Medium" w:hAnsi="Franklin Gothic Medium"/>
      <w:color w:val="5A9A98"/>
      <w:sz w:val="24"/>
    </w:rPr>
  </w:style>
  <w:style w:type="paragraph" w:styleId="Heading3">
    <w:name w:val="heading 3"/>
    <w:basedOn w:val="Normal"/>
    <w:link w:val="Heading3Char"/>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rPr>
      <w:rFonts w:ascii="Franklin Gothic Medium" w:hAnsi="Franklin Gothic Medium"/>
    </w:r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24"/>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rsid w:val="002C5AF0"/>
    <w:pPr>
      <w:numPr>
        <w:numId w:val="17"/>
      </w:numPr>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2"/>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8"/>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2Char">
    <w:name w:val="Heading 2 Char"/>
    <w:link w:val="Heading2"/>
    <w:rsid w:val="00D21020"/>
    <w:rPr>
      <w:rFonts w:ascii="Franklin Gothic Medium" w:hAnsi="Franklin Gothic Medium"/>
      <w:color w:val="5A9A98"/>
      <w:sz w:val="24"/>
      <w:szCs w:val="24"/>
      <w:lang w:val="en-AU" w:eastAsia="en-AU"/>
    </w:rPr>
  </w:style>
  <w:style w:type="character" w:customStyle="1" w:styleId="Heading3Char">
    <w:name w:val="Heading 3 Char"/>
    <w:link w:val="Heading3"/>
    <w:rsid w:val="00D21020"/>
    <w:rPr>
      <w:color w:val="54534A"/>
      <w:sz w:val="22"/>
      <w:szCs w:val="22"/>
      <w:lang w:val="en-AU" w:eastAsia="en-AU"/>
    </w:rPr>
  </w:style>
  <w:style w:type="paragraph" w:customStyle="1" w:styleId="tabledataentries0">
    <w:name w:val="tabledataentries"/>
    <w:basedOn w:val="Normal"/>
    <w:rsid w:val="006B1EBE"/>
    <w:pPr>
      <w:spacing w:before="40" w:after="40" w:line="200" w:lineRule="atLeast"/>
      <w:jc w:val="right"/>
    </w:pPr>
    <w:rPr>
      <w:rFonts w:ascii="Franklin Gothic Book" w:hAnsi="Franklin Gothic Book"/>
      <w:sz w:val="17"/>
      <w:szCs w:val="17"/>
    </w:rPr>
  </w:style>
  <w:style w:type="paragraph" w:styleId="Revision">
    <w:name w:val="Revision"/>
    <w:hidden/>
    <w:uiPriority w:val="99"/>
    <w:semiHidden/>
    <w:rsid w:val="00EC65F4"/>
    <w:rPr>
      <w:szCs w:val="24"/>
      <w:lang w:val="en-AU" w:eastAsia="en-AU"/>
    </w:rPr>
  </w:style>
  <w:style w:type="paragraph" w:styleId="TOCHeading">
    <w:name w:val="TOC Heading"/>
    <w:basedOn w:val="Heading1"/>
    <w:next w:val="Normal"/>
    <w:uiPriority w:val="39"/>
    <w:semiHidden/>
    <w:unhideWhenUsed/>
    <w:qFormat/>
    <w:rsid w:val="001C49F1"/>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5F"/>
    <w:rPr>
      <w:szCs w:val="24"/>
      <w:lang w:val="en-AU" w:eastAsia="en-AU"/>
    </w:rPr>
  </w:style>
  <w:style w:type="paragraph" w:styleId="Heading1">
    <w:name w:val="heading 1"/>
    <w:basedOn w:val="Normal"/>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Normal"/>
    <w:link w:val="Heading2Char"/>
    <w:qFormat/>
    <w:rsid w:val="00D21020"/>
    <w:pPr>
      <w:numPr>
        <w:ilvl w:val="1"/>
      </w:numPr>
      <w:spacing w:before="380" w:line="280" w:lineRule="atLeast"/>
      <w:outlineLvl w:val="1"/>
    </w:pPr>
    <w:rPr>
      <w:rFonts w:ascii="Franklin Gothic Medium" w:hAnsi="Franklin Gothic Medium"/>
      <w:color w:val="5A9A98"/>
      <w:sz w:val="24"/>
    </w:rPr>
  </w:style>
  <w:style w:type="paragraph" w:styleId="Heading3">
    <w:name w:val="heading 3"/>
    <w:basedOn w:val="Normal"/>
    <w:link w:val="Heading3Char"/>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rPr>
      <w:rFonts w:ascii="Franklin Gothic Medium" w:hAnsi="Franklin Gothic Medium"/>
    </w:r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24"/>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rsid w:val="002C5AF0"/>
    <w:pPr>
      <w:numPr>
        <w:numId w:val="17"/>
      </w:numPr>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2"/>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8"/>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2Char">
    <w:name w:val="Heading 2 Char"/>
    <w:link w:val="Heading2"/>
    <w:rsid w:val="00D21020"/>
    <w:rPr>
      <w:rFonts w:ascii="Franklin Gothic Medium" w:hAnsi="Franklin Gothic Medium"/>
      <w:color w:val="5A9A98"/>
      <w:sz w:val="24"/>
      <w:szCs w:val="24"/>
      <w:lang w:val="en-AU" w:eastAsia="en-AU"/>
    </w:rPr>
  </w:style>
  <w:style w:type="character" w:customStyle="1" w:styleId="Heading3Char">
    <w:name w:val="Heading 3 Char"/>
    <w:link w:val="Heading3"/>
    <w:rsid w:val="00D21020"/>
    <w:rPr>
      <w:color w:val="54534A"/>
      <w:sz w:val="22"/>
      <w:szCs w:val="22"/>
      <w:lang w:val="en-AU" w:eastAsia="en-AU"/>
    </w:rPr>
  </w:style>
  <w:style w:type="paragraph" w:customStyle="1" w:styleId="tabledataentries0">
    <w:name w:val="tabledataentries"/>
    <w:basedOn w:val="Normal"/>
    <w:rsid w:val="006B1EBE"/>
    <w:pPr>
      <w:spacing w:before="40" w:after="40" w:line="200" w:lineRule="atLeast"/>
      <w:jc w:val="right"/>
    </w:pPr>
    <w:rPr>
      <w:rFonts w:ascii="Franklin Gothic Book" w:hAnsi="Franklin Gothic Book"/>
      <w:sz w:val="17"/>
      <w:szCs w:val="17"/>
    </w:rPr>
  </w:style>
  <w:style w:type="paragraph" w:styleId="Revision">
    <w:name w:val="Revision"/>
    <w:hidden/>
    <w:uiPriority w:val="99"/>
    <w:semiHidden/>
    <w:rsid w:val="00EC65F4"/>
    <w:rPr>
      <w:szCs w:val="24"/>
      <w:lang w:val="en-AU" w:eastAsia="en-AU"/>
    </w:rPr>
  </w:style>
  <w:style w:type="paragraph" w:styleId="TOCHeading">
    <w:name w:val="TOC Heading"/>
    <w:basedOn w:val="Heading1"/>
    <w:next w:val="Normal"/>
    <w:uiPriority w:val="39"/>
    <w:semiHidden/>
    <w:unhideWhenUsed/>
    <w:qFormat/>
    <w:rsid w:val="001C49F1"/>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preg\Local%20Settings\Temporary%20Internet%20Files\OLK8B\APPR%20Public%20Report%20Template-123%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C515C5-50B2-4D49-ACFD-820BFAB90ED8}"/>
</file>

<file path=customXml/itemProps2.xml><?xml version="1.0" encoding="utf-8"?>
<ds:datastoreItem xmlns:ds="http://schemas.openxmlformats.org/officeDocument/2006/customXml" ds:itemID="{F142F344-4739-4916-A86B-6265732907ED}"/>
</file>

<file path=customXml/itemProps3.xml><?xml version="1.0" encoding="utf-8"?>
<ds:datastoreItem xmlns:ds="http://schemas.openxmlformats.org/officeDocument/2006/customXml" ds:itemID="{D2EE992A-61B0-40D1-8F7B-73119E6823B0}"/>
</file>

<file path=customXml/itemProps4.xml><?xml version="1.0" encoding="utf-8"?>
<ds:datastoreItem xmlns:ds="http://schemas.openxmlformats.org/officeDocument/2006/customXml" ds:itemID="{7BDE2BB5-B17D-4FC2-ABAF-9CF4502AE4C0}"/>
</file>

<file path=customXml/itemProps5.xml><?xml version="1.0" encoding="utf-8"?>
<ds:datastoreItem xmlns:ds="http://schemas.openxmlformats.org/officeDocument/2006/customXml" ds:itemID="{17D9E89E-BC9B-44C0-BF1D-C9D91A78FF32}"/>
</file>

<file path=docProps/app.xml><?xml version="1.0" encoding="utf-8"?>
<Properties xmlns="http://schemas.openxmlformats.org/officeDocument/2006/extended-properties" xmlns:vt="http://schemas.openxmlformats.org/officeDocument/2006/docPropsVTypes">
  <Template>APPR Public Report Template-123 (2).dot</Template>
  <TotalTime>11</TotalTime>
  <Pages>11</Pages>
  <Words>4755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Gina De Pretto</dc:creator>
  <cp:keywords>APPR</cp:keywords>
  <dc:description>Current to August 2011</dc:description>
  <cp:lastModifiedBy>Muhammad Khattab</cp:lastModifiedBy>
  <cp:revision>4</cp:revision>
  <cp:lastPrinted>2011-10-14T15:17:00Z</cp:lastPrinted>
  <dcterms:created xsi:type="dcterms:W3CDTF">2013-07-17T09:32:00Z</dcterms:created>
  <dcterms:modified xsi:type="dcterms:W3CDTF">2013-07-18T13:03:00Z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138200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Audience">
    <vt:lpwstr/>
  </property>
  <property fmtid="{D5CDD505-2E9C-101B-9397-08002B2CF9AE}" pid="34" name="WCMSDescription">
    <vt:lpwstr/>
  </property>
  <property fmtid="{D5CDD505-2E9C-101B-9397-08002B2CF9AE}" pid="36" name="WCMSOtherCategory">
    <vt:lpwstr/>
  </property>
  <property fmtid="{D5CDD505-2E9C-101B-9397-08002B2CF9AE}" pid="37" name="AusAIDPageDescriptionMetadata">
    <vt:lpwstr/>
  </property>
  <property fmtid="{D5CDD505-2E9C-101B-9397-08002B2CF9AE}" pid="38" name="WCMSTheme">
    <vt:lpwstr/>
  </property>
  <property fmtid="{D5CDD505-2E9C-101B-9397-08002B2CF9AE}" pid="39" name="WCMSISBNISSN">
    <vt:lpwstr/>
  </property>
  <property fmtid="{D5CDD505-2E9C-101B-9397-08002B2CF9AE}" pid="40" name="PublishingContactPicture">
    <vt:lpwstr/>
  </property>
  <property fmtid="{D5CDD505-2E9C-101B-9397-08002B2CF9AE}" pid="41" name="PublishingVariationGroupID">
    <vt:lpwstr/>
  </property>
  <property fmtid="{D5CDD505-2E9C-101B-9397-08002B2CF9AE}" pid="42" name="AusAIDIdentifierMetadata">
    <vt:lpwstr/>
  </property>
  <property fmtid="{D5CDD505-2E9C-101B-9397-08002B2CF9AE}" pid="43" name="PublishingContactName">
    <vt:lpwstr/>
  </property>
  <property fmtid="{D5CDD505-2E9C-101B-9397-08002B2CF9AE}" pid="44" name="WCMSRegion">
    <vt:lpwstr/>
  </property>
  <property fmtid="{D5CDD505-2E9C-101B-9397-08002B2CF9AE}" pid="45" name="WCMSPublicationAuthor">
    <vt:lpwstr/>
  </property>
  <property fmtid="{D5CDD505-2E9C-101B-9397-08002B2CF9AE}" pid="46" name="Comments">
    <vt:lpwstr/>
  </property>
  <property fmtid="{D5CDD505-2E9C-101B-9397-08002B2CF9AE}" pid="47" name="PublishingPageLayout">
    <vt:lpwstr/>
  </property>
  <property fmtid="{D5CDD505-2E9C-101B-9397-08002B2CF9AE}" pid="48" name="WCMSCountry">
    <vt:lpwstr/>
  </property>
  <property fmtid="{D5CDD505-2E9C-101B-9397-08002B2CF9AE}" pid="49" name="display_urn">
    <vt:lpwstr>System Account</vt:lpwstr>
  </property>
</Properties>
</file>