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352D" w:rsidRPr="00D26A54" w:rsidRDefault="00A56F14" w:rsidP="00D146A2">
      <w:pPr>
        <w:rPr>
          <w:rFonts w:cstheme="minorHAnsi"/>
        </w:rPr>
      </w:pPr>
      <w:bookmarkStart w:id="0" w:name="_GoBack"/>
      <w:bookmarkEnd w:id="0"/>
      <w:r w:rsidRPr="00D26A54">
        <w:rPr>
          <w:rFonts w:cstheme="minorHAnsi"/>
          <w:noProof/>
          <w:lang w:val="en-AU" w:eastAsia="en-AU"/>
        </w:rPr>
        <w:drawing>
          <wp:anchor distT="0" distB="0" distL="114300" distR="114300" simplePos="0" relativeHeight="251661312" behindDoc="1" locked="1" layoutInCell="1" allowOverlap="1" wp14:anchorId="10D18A2D" wp14:editId="51AEA030">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D26A54">
        <w:rPr>
          <w:rFonts w:cstheme="minorHAnsi"/>
          <w:noProof/>
          <w:lang w:val="en-AU" w:eastAsia="en-AU"/>
        </w:rPr>
        <w:drawing>
          <wp:anchor distT="0" distB="0" distL="114300" distR="114300" simplePos="0" relativeHeight="251659264" behindDoc="1" locked="1" layoutInCell="1" allowOverlap="1" wp14:anchorId="334421FD" wp14:editId="57D8A480">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D146A2">
      <w:pPr>
        <w:rPr>
          <w:rFonts w:cstheme="minorHAnsi"/>
        </w:rPr>
      </w:pPr>
    </w:p>
    <w:p w:rsidR="003D352D" w:rsidRPr="00D26A54" w:rsidRDefault="003D352D" w:rsidP="0059146A">
      <w:pPr>
        <w:rPr>
          <w:rFonts w:cstheme="minorHAnsi"/>
        </w:rPr>
      </w:pPr>
    </w:p>
    <w:p w:rsidR="003D352D" w:rsidRPr="00D26A54" w:rsidRDefault="003D352D" w:rsidP="0059146A">
      <w:pPr>
        <w:rPr>
          <w:rFonts w:cstheme="minorHAnsi"/>
        </w:rPr>
      </w:pPr>
    </w:p>
    <w:p w:rsidR="003D352D" w:rsidRPr="00D26A54" w:rsidRDefault="003D352D" w:rsidP="0059146A">
      <w:pPr>
        <w:rPr>
          <w:rFonts w:cstheme="minorHAnsi"/>
        </w:rPr>
      </w:pPr>
    </w:p>
    <w:p w:rsidR="003D352D" w:rsidRPr="00D26A54" w:rsidRDefault="003D352D" w:rsidP="0059146A">
      <w:pPr>
        <w:rPr>
          <w:rFonts w:cstheme="minorHAnsi"/>
        </w:rPr>
      </w:pPr>
    </w:p>
    <w:p w:rsidR="003D352D" w:rsidRPr="00D26A54" w:rsidRDefault="003D352D" w:rsidP="0059146A">
      <w:pPr>
        <w:rPr>
          <w:rFonts w:cstheme="minorHAnsi"/>
        </w:rPr>
      </w:pPr>
    </w:p>
    <w:p w:rsidR="003D352D" w:rsidRPr="00D26A54" w:rsidRDefault="003D352D" w:rsidP="0059146A">
      <w:pPr>
        <w:rPr>
          <w:rFonts w:cstheme="minorHAnsi"/>
        </w:rPr>
      </w:pPr>
    </w:p>
    <w:p w:rsidR="00A56F14" w:rsidRPr="00D26A54" w:rsidRDefault="00A56F14" w:rsidP="00A56F14">
      <w:pPr>
        <w:rPr>
          <w:rFonts w:cstheme="minorHAnsi"/>
        </w:rPr>
      </w:pPr>
    </w:p>
    <w:p w:rsidR="00A56F14" w:rsidRPr="00D26A54" w:rsidRDefault="00A56F14" w:rsidP="0059146A">
      <w:pPr>
        <w:rPr>
          <w:rFonts w:cstheme="minorHAnsi"/>
        </w:rPr>
      </w:pPr>
    </w:p>
    <w:p w:rsidR="00A56F14" w:rsidRPr="00D26A54" w:rsidRDefault="00A56F14" w:rsidP="0059146A">
      <w:pPr>
        <w:rPr>
          <w:rFonts w:cstheme="minorHAnsi"/>
        </w:rPr>
      </w:pPr>
    </w:p>
    <w:p w:rsidR="0059146A" w:rsidRPr="00D26A54" w:rsidRDefault="0059146A" w:rsidP="0059146A">
      <w:pPr>
        <w:rPr>
          <w:rFonts w:cstheme="minorHAnsi"/>
        </w:rPr>
      </w:pPr>
    </w:p>
    <w:p w:rsidR="0059146A" w:rsidRPr="00D26A54" w:rsidRDefault="0059146A" w:rsidP="0059146A">
      <w:pPr>
        <w:rPr>
          <w:rFonts w:cstheme="minorHAnsi"/>
        </w:rPr>
      </w:pPr>
    </w:p>
    <w:p w:rsidR="0059146A" w:rsidRPr="00D26A54" w:rsidRDefault="0059146A" w:rsidP="0059146A">
      <w:pPr>
        <w:rPr>
          <w:rFonts w:cstheme="minorHAnsi"/>
        </w:rPr>
      </w:pPr>
    </w:p>
    <w:p w:rsidR="0059146A" w:rsidRPr="00D26A54" w:rsidRDefault="0059146A" w:rsidP="0059146A">
      <w:pPr>
        <w:rPr>
          <w:rFonts w:cstheme="minorHAnsi"/>
        </w:rPr>
      </w:pPr>
    </w:p>
    <w:p w:rsidR="003D352D" w:rsidRPr="00D26A54" w:rsidRDefault="00A56F14" w:rsidP="003D352D">
      <w:pPr>
        <w:pStyle w:val="Title"/>
        <w:spacing w:after="120" w:line="600" w:lineRule="exact"/>
        <w:rPr>
          <w:rFonts w:asciiTheme="minorHAnsi" w:hAnsiTheme="minorHAnsi" w:cstheme="minorHAnsi"/>
          <w:spacing w:val="-20"/>
          <w:sz w:val="60"/>
        </w:rPr>
      </w:pPr>
      <w:r w:rsidRPr="00D26A54">
        <w:rPr>
          <w:rFonts w:asciiTheme="minorHAnsi" w:hAnsiTheme="minorHAnsi" w:cstheme="minorHAnsi"/>
          <w:spacing w:val="-20"/>
          <w:sz w:val="60"/>
        </w:rPr>
        <w:t>Aid program performance</w:t>
      </w:r>
      <w:r w:rsidR="003D352D" w:rsidRPr="00D26A54">
        <w:rPr>
          <w:rFonts w:asciiTheme="minorHAnsi" w:hAnsiTheme="minorHAnsi" w:cstheme="minorHAnsi"/>
          <w:spacing w:val="-20"/>
          <w:sz w:val="60"/>
        </w:rPr>
        <w:t xml:space="preserve"> </w:t>
      </w:r>
      <w:r w:rsidRPr="00D26A54">
        <w:rPr>
          <w:rFonts w:asciiTheme="minorHAnsi" w:hAnsiTheme="minorHAnsi" w:cstheme="minorHAnsi"/>
          <w:spacing w:val="-20"/>
          <w:sz w:val="60"/>
        </w:rPr>
        <w:t xml:space="preserve">report </w:t>
      </w:r>
      <w:r w:rsidR="00550890" w:rsidRPr="00D26A54">
        <w:rPr>
          <w:rFonts w:asciiTheme="minorHAnsi" w:hAnsiTheme="minorHAnsi" w:cstheme="minorHAnsi"/>
          <w:spacing w:val="-20"/>
          <w:sz w:val="60"/>
        </w:rPr>
        <w:t xml:space="preserve">SUMMARY </w:t>
      </w:r>
      <w:r w:rsidRPr="00D26A54">
        <w:rPr>
          <w:rFonts w:asciiTheme="minorHAnsi" w:hAnsiTheme="minorHAnsi" w:cstheme="minorHAnsi"/>
          <w:spacing w:val="-20"/>
          <w:sz w:val="60"/>
        </w:rPr>
        <w:t>201</w:t>
      </w:r>
      <w:r w:rsidR="00550890" w:rsidRPr="00D26A54">
        <w:rPr>
          <w:rFonts w:asciiTheme="minorHAnsi" w:hAnsiTheme="minorHAnsi" w:cstheme="minorHAnsi"/>
          <w:spacing w:val="-20"/>
          <w:sz w:val="60"/>
        </w:rPr>
        <w:t>8-19</w:t>
      </w:r>
    </w:p>
    <w:p w:rsidR="0059146A" w:rsidRPr="00D26A54" w:rsidRDefault="007C41FA" w:rsidP="00A56F14">
      <w:pPr>
        <w:rPr>
          <w:rFonts w:cstheme="minorHAnsi"/>
          <w:sz w:val="24"/>
        </w:rPr>
        <w:sectPr w:rsidR="0059146A" w:rsidRPr="00D26A54"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sidRPr="00D26A54">
        <w:rPr>
          <w:rFonts w:cstheme="minorHAnsi"/>
          <w:sz w:val="40"/>
        </w:rPr>
        <w:t xml:space="preserve">South and </w:t>
      </w:r>
      <w:r w:rsidR="00C74AE6" w:rsidRPr="00D26A54">
        <w:rPr>
          <w:rFonts w:cstheme="minorHAnsi"/>
          <w:sz w:val="40"/>
        </w:rPr>
        <w:t>West Asia Regional Program</w:t>
      </w:r>
      <w:r w:rsidR="0059146A" w:rsidRPr="00D26A54">
        <w:rPr>
          <w:rFonts w:cstheme="minorHAnsi"/>
          <w:sz w:val="40"/>
        </w:rPr>
        <w:br/>
      </w:r>
      <w:r w:rsidR="0059146A" w:rsidRPr="00D26A54">
        <w:rPr>
          <w:rFonts w:cstheme="minorHAnsi"/>
          <w:sz w:val="24"/>
        </w:rPr>
        <w:t>September 201</w:t>
      </w:r>
      <w:r w:rsidR="00550890" w:rsidRPr="00D26A54">
        <w:rPr>
          <w:rFonts w:cstheme="minorHAnsi"/>
          <w:sz w:val="24"/>
        </w:rPr>
        <w:t>9</w:t>
      </w:r>
    </w:p>
    <w:p w:rsidR="00C150BD" w:rsidRPr="00D26A54" w:rsidRDefault="00C150BD" w:rsidP="00C150BD">
      <w:pPr>
        <w:pStyle w:val="Title"/>
        <w:spacing w:before="120" w:after="240" w:line="300" w:lineRule="exact"/>
        <w:rPr>
          <w:rFonts w:asciiTheme="minorHAnsi" w:hAnsiTheme="minorHAnsi" w:cstheme="minorHAnsi"/>
          <w:szCs w:val="38"/>
        </w:rPr>
      </w:pPr>
      <w:r w:rsidRPr="00D26A54">
        <w:rPr>
          <w:rFonts w:asciiTheme="minorHAnsi" w:hAnsiTheme="minorHAnsi" w:cstheme="minorHAnsi"/>
          <w:szCs w:val="38"/>
        </w:rPr>
        <w:lastRenderedPageBreak/>
        <w:t>South and West Asia Regional Aid Program Performance Information 2018-19</w:t>
      </w:r>
    </w:p>
    <w:p w:rsidR="00C150BD" w:rsidRPr="00D26A54" w:rsidRDefault="00C150BD" w:rsidP="00C150BD">
      <w:pPr>
        <w:pStyle w:val="ListBullet"/>
        <w:tabs>
          <w:tab w:val="clear" w:pos="284"/>
          <w:tab w:val="left" w:pos="720"/>
        </w:tabs>
        <w:spacing w:before="360" w:line="300" w:lineRule="exact"/>
        <w:rPr>
          <w:rFonts w:asciiTheme="minorHAnsi" w:eastAsiaTheme="majorEastAsia" w:hAnsiTheme="minorHAnsi" w:cstheme="minorHAnsi"/>
          <w:caps/>
          <w:color w:val="495965" w:themeColor="text2"/>
          <w:sz w:val="38"/>
          <w:szCs w:val="38"/>
          <w:lang w:val="en-GB" w:eastAsia="en-US"/>
        </w:rPr>
      </w:pPr>
      <w:r w:rsidRPr="00D26A54">
        <w:rPr>
          <w:rFonts w:asciiTheme="minorHAnsi" w:eastAsiaTheme="majorEastAsia" w:hAnsiTheme="minorHAnsi" w:cstheme="minorHAnsi"/>
          <w:caps/>
          <w:color w:val="495965" w:themeColor="text2"/>
          <w:sz w:val="38"/>
          <w:szCs w:val="38"/>
          <w:lang w:val="en-GB" w:eastAsia="en-US"/>
        </w:rPr>
        <w:t>Summary</w:t>
      </w:r>
    </w:p>
    <w:p w:rsidR="00C150BD" w:rsidRPr="00A071C2" w:rsidRDefault="00C150BD" w:rsidP="00C150BD">
      <w:pPr>
        <w:rPr>
          <w:color w:val="auto"/>
        </w:rPr>
      </w:pPr>
      <w:r w:rsidRPr="00A071C2">
        <w:rPr>
          <w:color w:val="auto"/>
        </w:rPr>
        <w:t>This report summarises the performance of Australia’s</w:t>
      </w:r>
      <w:r w:rsidR="00BD3984" w:rsidRPr="00A071C2">
        <w:rPr>
          <w:color w:val="auto"/>
        </w:rPr>
        <w:t xml:space="preserve"> South Asia</w:t>
      </w:r>
      <w:r w:rsidRPr="00A071C2">
        <w:rPr>
          <w:color w:val="auto"/>
        </w:rPr>
        <w:t xml:space="preserve"> regional aid program from Jul</w:t>
      </w:r>
      <w:r w:rsidR="00501D07" w:rsidRPr="00A071C2">
        <w:rPr>
          <w:color w:val="auto"/>
        </w:rPr>
        <w:t xml:space="preserve">y 2018 to June 2019 against the </w:t>
      </w:r>
      <w:r w:rsidR="00501D07" w:rsidRPr="0067224C">
        <w:rPr>
          <w:i/>
          <w:color w:val="auto"/>
        </w:rPr>
        <w:t>South Asi</w:t>
      </w:r>
      <w:r w:rsidR="0034014B" w:rsidRPr="0067224C">
        <w:rPr>
          <w:i/>
          <w:color w:val="auto"/>
        </w:rPr>
        <w:t>a Regional</w:t>
      </w:r>
      <w:r w:rsidR="00501D07" w:rsidRPr="0067224C">
        <w:rPr>
          <w:i/>
          <w:color w:val="auto"/>
        </w:rPr>
        <w:t xml:space="preserve"> Aid Investment Plan</w:t>
      </w:r>
      <w:r w:rsidR="0034014B" w:rsidRPr="00A071C2">
        <w:rPr>
          <w:color w:val="auto"/>
        </w:rPr>
        <w:t xml:space="preserve"> (AIP)</w:t>
      </w:r>
      <w:r w:rsidR="00501D07" w:rsidRPr="00A071C2">
        <w:rPr>
          <w:color w:val="auto"/>
        </w:rPr>
        <w:t xml:space="preserve"> 2015-16 to 2018-19.</w:t>
      </w:r>
    </w:p>
    <w:p w:rsidR="00501D07" w:rsidRDefault="00501D07" w:rsidP="00C150BD">
      <w:pPr>
        <w:rPr>
          <w:color w:val="auto"/>
        </w:rPr>
      </w:pPr>
      <w:r w:rsidRPr="00A071C2">
        <w:rPr>
          <w:color w:val="auto"/>
        </w:rPr>
        <w:t>Australia’s South Asia</w:t>
      </w:r>
      <w:r w:rsidR="007C41FA" w:rsidRPr="00A071C2">
        <w:rPr>
          <w:color w:val="auto"/>
        </w:rPr>
        <w:t xml:space="preserve"> regional aid program</w:t>
      </w:r>
      <w:r w:rsidR="0034014B" w:rsidRPr="00A071C2">
        <w:rPr>
          <w:color w:val="auto"/>
        </w:rPr>
        <w:t xml:space="preserve"> reflects the development priorities of </w:t>
      </w:r>
      <w:r w:rsidR="00596A1C" w:rsidRPr="00A071C2">
        <w:rPr>
          <w:color w:val="auto"/>
        </w:rPr>
        <w:t xml:space="preserve">both </w:t>
      </w:r>
      <w:r w:rsidR="0034014B" w:rsidRPr="00A071C2">
        <w:rPr>
          <w:color w:val="auto"/>
        </w:rPr>
        <w:t>Australia</w:t>
      </w:r>
      <w:r w:rsidR="007C41FA" w:rsidRPr="00A071C2">
        <w:rPr>
          <w:color w:val="auto"/>
        </w:rPr>
        <w:t>n</w:t>
      </w:r>
      <w:r w:rsidR="0034014B" w:rsidRPr="00A071C2">
        <w:rPr>
          <w:color w:val="auto"/>
        </w:rPr>
        <w:t xml:space="preserve"> and South Asia</w:t>
      </w:r>
      <w:r w:rsidR="007C41FA" w:rsidRPr="00A071C2">
        <w:rPr>
          <w:color w:val="auto"/>
        </w:rPr>
        <w:t>n governments</w:t>
      </w:r>
      <w:r w:rsidR="00596A1C" w:rsidRPr="00A071C2">
        <w:rPr>
          <w:color w:val="auto"/>
        </w:rPr>
        <w:t>,</w:t>
      </w:r>
      <w:r w:rsidR="0034014B" w:rsidRPr="00A071C2">
        <w:rPr>
          <w:color w:val="auto"/>
        </w:rPr>
        <w:t xml:space="preserve"> and our shared commitment to inclusive economic growth and poverty reduction. </w:t>
      </w:r>
      <w:r w:rsidR="00596A1C" w:rsidRPr="00A071C2">
        <w:rPr>
          <w:color w:val="auto"/>
        </w:rPr>
        <w:t xml:space="preserve">The objectives in the AIP </w:t>
      </w:r>
      <w:r w:rsidR="0067224C">
        <w:rPr>
          <w:color w:val="auto"/>
        </w:rPr>
        <w:t>support South Asian efforts</w:t>
      </w:r>
      <w:r w:rsidR="003B009F">
        <w:rPr>
          <w:color w:val="auto"/>
        </w:rPr>
        <w:t xml:space="preserve"> to improve</w:t>
      </w:r>
      <w:r w:rsidR="007E54A6" w:rsidRPr="00A071C2">
        <w:rPr>
          <w:color w:val="auto"/>
        </w:rPr>
        <w:t xml:space="preserve"> </w:t>
      </w:r>
      <w:r w:rsidR="003B009F">
        <w:rPr>
          <w:color w:val="auto"/>
        </w:rPr>
        <w:t>regional</w:t>
      </w:r>
      <w:r w:rsidR="0034014B" w:rsidRPr="00A071C2">
        <w:rPr>
          <w:color w:val="auto"/>
        </w:rPr>
        <w:t xml:space="preserve"> infrastructure connectivity</w:t>
      </w:r>
      <w:r w:rsidRPr="00A071C2">
        <w:rPr>
          <w:color w:val="auto"/>
        </w:rPr>
        <w:t>, and</w:t>
      </w:r>
      <w:r w:rsidR="0034014B" w:rsidRPr="00A071C2">
        <w:rPr>
          <w:color w:val="auto"/>
        </w:rPr>
        <w:t xml:space="preserve"> </w:t>
      </w:r>
      <w:r w:rsidR="003B009F">
        <w:rPr>
          <w:color w:val="auto"/>
        </w:rPr>
        <w:t>manage</w:t>
      </w:r>
      <w:r w:rsidR="00596A1C" w:rsidRPr="00A071C2">
        <w:rPr>
          <w:color w:val="auto"/>
        </w:rPr>
        <w:t xml:space="preserve"> water, food and energy resources</w:t>
      </w:r>
      <w:r w:rsidR="003B009F">
        <w:rPr>
          <w:color w:val="auto"/>
        </w:rPr>
        <w:t xml:space="preserve"> sustainably</w:t>
      </w:r>
      <w:r w:rsidR="00596A1C" w:rsidRPr="00A071C2">
        <w:rPr>
          <w:color w:val="auto"/>
        </w:rPr>
        <w:t>. The two strategic objectives align</w:t>
      </w:r>
      <w:r w:rsidR="002D661F">
        <w:rPr>
          <w:color w:val="auto"/>
        </w:rPr>
        <w:t xml:space="preserve"> with three of the fi</w:t>
      </w:r>
      <w:r w:rsidR="00531507">
        <w:rPr>
          <w:color w:val="auto"/>
        </w:rPr>
        <w:t>v</w:t>
      </w:r>
      <w:r w:rsidR="002D661F">
        <w:rPr>
          <w:color w:val="auto"/>
        </w:rPr>
        <w:t>e</w:t>
      </w:r>
      <w:r w:rsidRPr="00A071C2">
        <w:rPr>
          <w:color w:val="auto"/>
        </w:rPr>
        <w:t xml:space="preserve"> </w:t>
      </w:r>
      <w:r w:rsidR="003B009F">
        <w:rPr>
          <w:color w:val="auto"/>
        </w:rPr>
        <w:t xml:space="preserve">investment </w:t>
      </w:r>
      <w:r w:rsidRPr="00A071C2">
        <w:rPr>
          <w:color w:val="auto"/>
        </w:rPr>
        <w:t>priorities of the Austr</w:t>
      </w:r>
      <w:r w:rsidR="00AA5D72" w:rsidRPr="00A071C2">
        <w:rPr>
          <w:color w:val="auto"/>
        </w:rPr>
        <w:t>alian ai</w:t>
      </w:r>
      <w:r w:rsidR="00596A1C" w:rsidRPr="00A071C2">
        <w:rPr>
          <w:color w:val="auto"/>
        </w:rPr>
        <w:t>d program, including i</w:t>
      </w:r>
      <w:r w:rsidRPr="00A071C2">
        <w:rPr>
          <w:color w:val="auto"/>
        </w:rPr>
        <w:t>nfrastructure,</w:t>
      </w:r>
      <w:r w:rsidR="003B009F">
        <w:rPr>
          <w:color w:val="auto"/>
        </w:rPr>
        <w:t xml:space="preserve"> trade facilitation and international competitiveness</w:t>
      </w:r>
      <w:r w:rsidR="002D661F">
        <w:rPr>
          <w:color w:val="auto"/>
        </w:rPr>
        <w:t xml:space="preserve">, </w:t>
      </w:r>
      <w:r w:rsidRPr="00A071C2">
        <w:rPr>
          <w:color w:val="auto"/>
        </w:rPr>
        <w:t>agriculture and water</w:t>
      </w:r>
      <w:r w:rsidR="002D661F">
        <w:rPr>
          <w:color w:val="auto"/>
        </w:rPr>
        <w:t>, gender equality, and empowering women and girls</w:t>
      </w:r>
      <w:r w:rsidRPr="00A071C2">
        <w:rPr>
          <w:color w:val="auto"/>
        </w:rPr>
        <w:t xml:space="preserve">. </w:t>
      </w:r>
      <w:r w:rsidR="00596A1C" w:rsidRPr="00A071C2">
        <w:rPr>
          <w:color w:val="auto"/>
        </w:rPr>
        <w:t xml:space="preserve">Opportunities to integrate </w:t>
      </w:r>
      <w:r w:rsidR="0034014B" w:rsidRPr="00A071C2">
        <w:rPr>
          <w:color w:val="auto"/>
        </w:rPr>
        <w:t>climate change</w:t>
      </w:r>
      <w:r w:rsidR="00531507">
        <w:rPr>
          <w:color w:val="auto"/>
        </w:rPr>
        <w:t xml:space="preserve"> objectives</w:t>
      </w:r>
      <w:r w:rsidR="0034014B" w:rsidRPr="00A071C2">
        <w:rPr>
          <w:color w:val="auto"/>
        </w:rPr>
        <w:t xml:space="preserve"> </w:t>
      </w:r>
      <w:r w:rsidR="00596A1C" w:rsidRPr="00A071C2">
        <w:rPr>
          <w:color w:val="auto"/>
        </w:rPr>
        <w:t>are considered across all investments.</w:t>
      </w:r>
    </w:p>
    <w:p w:rsidR="004C5A6B" w:rsidRPr="00A071C2" w:rsidRDefault="0067224C" w:rsidP="00C150BD">
      <w:pPr>
        <w:rPr>
          <w:color w:val="auto"/>
        </w:rPr>
      </w:pPr>
      <w:r>
        <w:rPr>
          <w:color w:val="auto"/>
        </w:rPr>
        <w:t xml:space="preserve">Poor availability and accessibility of safe and reliable water, food and energy </w:t>
      </w:r>
      <w:r w:rsidR="004C5A6B">
        <w:rPr>
          <w:color w:val="auto"/>
        </w:rPr>
        <w:t xml:space="preserve">resources is </w:t>
      </w:r>
      <w:r>
        <w:rPr>
          <w:color w:val="auto"/>
        </w:rPr>
        <w:t>impacting South Asia’s</w:t>
      </w:r>
      <w:r w:rsidR="004C5A6B">
        <w:rPr>
          <w:color w:val="auto"/>
        </w:rPr>
        <w:t xml:space="preserve"> </w:t>
      </w:r>
      <w:r>
        <w:rPr>
          <w:color w:val="auto"/>
        </w:rPr>
        <w:t>progress towards</w:t>
      </w:r>
      <w:r w:rsidR="004C5A6B">
        <w:rPr>
          <w:color w:val="auto"/>
        </w:rPr>
        <w:t xml:space="preserve"> prosperity and stability. </w:t>
      </w:r>
      <w:r>
        <w:rPr>
          <w:color w:val="auto"/>
        </w:rPr>
        <w:t>The ongoing lack of domestic and transboundary c</w:t>
      </w:r>
      <w:r w:rsidR="00937C2F">
        <w:rPr>
          <w:color w:val="auto"/>
        </w:rPr>
        <w:t xml:space="preserve">ooperation </w:t>
      </w:r>
      <w:r w:rsidR="0009625E">
        <w:rPr>
          <w:color w:val="auto"/>
        </w:rPr>
        <w:t>around shared resources</w:t>
      </w:r>
      <w:r w:rsidR="006F12AA">
        <w:rPr>
          <w:color w:val="auto"/>
        </w:rPr>
        <w:t xml:space="preserve"> is</w:t>
      </w:r>
      <w:r w:rsidR="0009625E">
        <w:rPr>
          <w:color w:val="auto"/>
        </w:rPr>
        <w:t xml:space="preserve"> </w:t>
      </w:r>
      <w:r w:rsidR="006F12AA">
        <w:rPr>
          <w:color w:val="auto"/>
        </w:rPr>
        <w:t>exacerbating</w:t>
      </w:r>
      <w:r>
        <w:rPr>
          <w:color w:val="auto"/>
        </w:rPr>
        <w:t xml:space="preserve"> these </w:t>
      </w:r>
      <w:r w:rsidR="006F12AA">
        <w:rPr>
          <w:color w:val="auto"/>
        </w:rPr>
        <w:t xml:space="preserve">existing </w:t>
      </w:r>
      <w:r w:rsidR="00AC56BE">
        <w:rPr>
          <w:color w:val="auto"/>
        </w:rPr>
        <w:t>challenges. Forecast</w:t>
      </w:r>
      <w:r>
        <w:rPr>
          <w:color w:val="auto"/>
        </w:rPr>
        <w:t xml:space="preserve"> climate change impacts will further reduce available resources. Marginalised groups including</w:t>
      </w:r>
      <w:r w:rsidR="00341864">
        <w:rPr>
          <w:color w:val="auto"/>
        </w:rPr>
        <w:t xml:space="preserve"> women</w:t>
      </w:r>
      <w:r>
        <w:rPr>
          <w:color w:val="auto"/>
        </w:rPr>
        <w:t xml:space="preserve"> are likely to be disproportionately impacted by increasing climate variability. As</w:t>
      </w:r>
      <w:r w:rsidR="006F12AA">
        <w:rPr>
          <w:color w:val="auto"/>
        </w:rPr>
        <w:t xml:space="preserve"> women comprise</w:t>
      </w:r>
      <w:r w:rsidR="00341864">
        <w:rPr>
          <w:color w:val="auto"/>
        </w:rPr>
        <w:t xml:space="preserve"> of up to 70 per cent of </w:t>
      </w:r>
      <w:r w:rsidR="00AC56BE">
        <w:rPr>
          <w:color w:val="auto"/>
        </w:rPr>
        <w:t>the agricultural labour force across the</w:t>
      </w:r>
      <w:r w:rsidR="00341864">
        <w:rPr>
          <w:color w:val="auto"/>
        </w:rPr>
        <w:t xml:space="preserve"> region, </w:t>
      </w:r>
      <w:r>
        <w:rPr>
          <w:color w:val="auto"/>
        </w:rPr>
        <w:t>ensuring safe access to resources is critical</w:t>
      </w:r>
      <w:r w:rsidR="00341864">
        <w:rPr>
          <w:color w:val="auto"/>
        </w:rPr>
        <w:t xml:space="preserve"> </w:t>
      </w:r>
      <w:r>
        <w:rPr>
          <w:color w:val="auto"/>
        </w:rPr>
        <w:t xml:space="preserve">to </w:t>
      </w:r>
      <w:r w:rsidR="00AC56BE">
        <w:rPr>
          <w:color w:val="auto"/>
        </w:rPr>
        <w:t>their sustainable livelihoods.</w:t>
      </w:r>
    </w:p>
    <w:p w:rsidR="006F12AA" w:rsidRDefault="004B5AAE" w:rsidP="00C150BD">
      <w:pPr>
        <w:rPr>
          <w:color w:val="auto"/>
        </w:rPr>
      </w:pPr>
      <w:r>
        <w:rPr>
          <w:color w:val="auto"/>
        </w:rPr>
        <w:t xml:space="preserve">Combined, South Asia </w:t>
      </w:r>
      <w:r w:rsidR="002D661F">
        <w:rPr>
          <w:color w:val="auto"/>
        </w:rPr>
        <w:t>econom</w:t>
      </w:r>
      <w:r>
        <w:rPr>
          <w:color w:val="auto"/>
        </w:rPr>
        <w:t>ies have</w:t>
      </w:r>
      <w:r w:rsidR="00C150BD" w:rsidRPr="00A071C2">
        <w:rPr>
          <w:color w:val="auto"/>
        </w:rPr>
        <w:t xml:space="preserve"> the fas</w:t>
      </w:r>
      <w:r w:rsidR="006F12AA">
        <w:rPr>
          <w:color w:val="auto"/>
        </w:rPr>
        <w:t xml:space="preserve">test growth rate of any region, </w:t>
      </w:r>
      <w:r w:rsidR="00C150BD" w:rsidRPr="00A071C2">
        <w:rPr>
          <w:color w:val="auto"/>
        </w:rPr>
        <w:t>with growth set to reach 7.0 per cent in 2019</w:t>
      </w:r>
      <w:r w:rsidR="006F12AA">
        <w:rPr>
          <w:color w:val="auto"/>
        </w:rPr>
        <w:t>.</w:t>
      </w:r>
      <w:r w:rsidR="00C150BD" w:rsidRPr="006E0A6F">
        <w:rPr>
          <w:color w:val="auto"/>
          <w:vertAlign w:val="superscript"/>
        </w:rPr>
        <w:footnoteReference w:id="1"/>
      </w:r>
      <w:r w:rsidR="006F12AA">
        <w:rPr>
          <w:color w:val="auto"/>
        </w:rPr>
        <w:t xml:space="preserve"> Despite this, </w:t>
      </w:r>
      <w:r w:rsidR="00AC45FC">
        <w:rPr>
          <w:color w:val="auto"/>
        </w:rPr>
        <w:t xml:space="preserve">the region </w:t>
      </w:r>
      <w:r w:rsidR="006F12AA">
        <w:rPr>
          <w:color w:val="auto"/>
        </w:rPr>
        <w:t xml:space="preserve">remains the least integrated, </w:t>
      </w:r>
      <w:r w:rsidR="00C150BD" w:rsidRPr="00A071C2">
        <w:rPr>
          <w:color w:val="auto"/>
        </w:rPr>
        <w:t>with rates of intra-regional trade at less than five per cent, compared to 25 per cent for</w:t>
      </w:r>
      <w:r w:rsidR="00531507">
        <w:rPr>
          <w:color w:val="auto"/>
        </w:rPr>
        <w:t xml:space="preserve"> the</w:t>
      </w:r>
      <w:r w:rsidR="00C150BD" w:rsidRPr="00A071C2">
        <w:rPr>
          <w:color w:val="auto"/>
        </w:rPr>
        <w:t xml:space="preserve"> Association of</w:t>
      </w:r>
      <w:r w:rsidR="00AC45FC">
        <w:rPr>
          <w:color w:val="auto"/>
        </w:rPr>
        <w:t xml:space="preserve"> Southeast Asian Nations</w:t>
      </w:r>
      <w:r w:rsidR="00C150BD" w:rsidRPr="00A071C2">
        <w:rPr>
          <w:color w:val="auto"/>
        </w:rPr>
        <w:t>. While the region’s economic outlook is positive</w:t>
      </w:r>
      <w:r w:rsidR="00596A1C" w:rsidRPr="00A071C2">
        <w:rPr>
          <w:color w:val="auto"/>
        </w:rPr>
        <w:t>,</w:t>
      </w:r>
      <w:r w:rsidR="00C150BD" w:rsidRPr="00A071C2">
        <w:rPr>
          <w:color w:val="auto"/>
        </w:rPr>
        <w:t xml:space="preserve"> it also faces complex political, social and environmental challenges. As the world’s most popul</w:t>
      </w:r>
      <w:r w:rsidR="00531507">
        <w:rPr>
          <w:color w:val="auto"/>
        </w:rPr>
        <w:t>ous</w:t>
      </w:r>
      <w:r w:rsidR="00C150BD" w:rsidRPr="00A071C2">
        <w:rPr>
          <w:color w:val="auto"/>
        </w:rPr>
        <w:t xml:space="preserve"> region (1.8 billion people), South Asia has more th</w:t>
      </w:r>
      <w:r w:rsidR="00501D07" w:rsidRPr="00A071C2">
        <w:rPr>
          <w:color w:val="auto"/>
        </w:rPr>
        <w:t xml:space="preserve">an 300 million people living </w:t>
      </w:r>
      <w:r w:rsidR="00082F24">
        <w:rPr>
          <w:color w:val="auto"/>
        </w:rPr>
        <w:t>on less than US$</w:t>
      </w:r>
      <w:r w:rsidR="00C150BD" w:rsidRPr="00A071C2">
        <w:rPr>
          <w:color w:val="auto"/>
        </w:rPr>
        <w:t>2 a day</w:t>
      </w:r>
      <w:r w:rsidR="004C5A6B">
        <w:rPr>
          <w:color w:val="auto"/>
        </w:rPr>
        <w:t xml:space="preserve">, which is </w:t>
      </w:r>
      <w:r w:rsidR="00C150BD" w:rsidRPr="00A071C2">
        <w:rPr>
          <w:color w:val="auto"/>
        </w:rPr>
        <w:t xml:space="preserve">30 per cent of the world’s poor. Many people, particularly women, live just above the poverty line. </w:t>
      </w:r>
    </w:p>
    <w:p w:rsidR="00C150BD" w:rsidRPr="00A071C2" w:rsidRDefault="00C150BD" w:rsidP="00C150BD">
      <w:pPr>
        <w:rPr>
          <w:color w:val="auto"/>
        </w:rPr>
      </w:pPr>
      <w:r w:rsidRPr="00A071C2">
        <w:rPr>
          <w:color w:val="auto"/>
        </w:rPr>
        <w:t>In line with the 2017 Foreign Policy White Paper, the regional program is contributing to stability and prosperity by addressing cross-border challenges to sustainable development and impro</w:t>
      </w:r>
      <w:r w:rsidR="00596A1C" w:rsidRPr="00A071C2">
        <w:rPr>
          <w:color w:val="auto"/>
        </w:rPr>
        <w:t xml:space="preserve">ving regional connectivity. </w:t>
      </w:r>
      <w:r w:rsidR="007C41FA" w:rsidRPr="00A071C2">
        <w:rPr>
          <w:color w:val="auto"/>
        </w:rPr>
        <w:t>P</w:t>
      </w:r>
      <w:r w:rsidR="00596A1C" w:rsidRPr="00A071C2">
        <w:rPr>
          <w:color w:val="auto"/>
        </w:rPr>
        <w:t>erformance frameworks under both</w:t>
      </w:r>
      <w:r w:rsidR="007C41FA" w:rsidRPr="00A071C2">
        <w:rPr>
          <w:color w:val="auto"/>
        </w:rPr>
        <w:t xml:space="preserve"> the</w:t>
      </w:r>
      <w:r w:rsidR="00596A1C" w:rsidRPr="00A071C2">
        <w:rPr>
          <w:color w:val="auto"/>
        </w:rPr>
        <w:t xml:space="preserve"> connectivity and environmental objectives include</w:t>
      </w:r>
      <w:r w:rsidRPr="00A071C2">
        <w:rPr>
          <w:color w:val="auto"/>
        </w:rPr>
        <w:t xml:space="preserve"> a strong focus on gender and women’s economic empowerment. </w:t>
      </w:r>
    </w:p>
    <w:p w:rsidR="00C150BD" w:rsidRPr="00A071C2" w:rsidRDefault="00C150BD" w:rsidP="00C150BD">
      <w:pPr>
        <w:rPr>
          <w:b/>
          <w:color w:val="auto"/>
        </w:rPr>
      </w:pPr>
      <w:r w:rsidRPr="00A071C2">
        <w:rPr>
          <w:b/>
          <w:color w:val="auto"/>
        </w:rPr>
        <w:t>Objective 1: Increased water, food and energy security in South Asia to facilitate economic growth and improve the livelihoods of the poor and vulnerable (particularly women and girls)</w:t>
      </w:r>
    </w:p>
    <w:p w:rsidR="00C150BD" w:rsidRPr="00A071C2" w:rsidRDefault="00C150BD" w:rsidP="00C150BD">
      <w:pPr>
        <w:rPr>
          <w:color w:val="auto"/>
        </w:rPr>
      </w:pPr>
      <w:r w:rsidRPr="00A071C2">
        <w:rPr>
          <w:color w:val="auto"/>
        </w:rPr>
        <w:t xml:space="preserve">This objective is advanced </w:t>
      </w:r>
      <w:r w:rsidR="00957300" w:rsidRPr="00A071C2">
        <w:rPr>
          <w:color w:val="auto"/>
        </w:rPr>
        <w:t>by</w:t>
      </w:r>
      <w:r w:rsidRPr="00A071C2">
        <w:rPr>
          <w:color w:val="auto"/>
        </w:rPr>
        <w:t xml:space="preserve"> DFAT’s Sustainable Development Investment Portfolio (SDIP</w:t>
      </w:r>
      <w:r w:rsidR="001B0AB2">
        <w:rPr>
          <w:color w:val="auto"/>
        </w:rPr>
        <w:t>, 2016-2020</w:t>
      </w:r>
      <w:r w:rsidRPr="00A071C2">
        <w:rPr>
          <w:color w:val="auto"/>
        </w:rPr>
        <w:t xml:space="preserve">) </w:t>
      </w:r>
      <w:r w:rsidR="00957300" w:rsidRPr="00A071C2">
        <w:rPr>
          <w:color w:val="auto"/>
        </w:rPr>
        <w:t>which aims to enhance water</w:t>
      </w:r>
      <w:r w:rsidR="001B0AB2">
        <w:rPr>
          <w:color w:val="auto"/>
        </w:rPr>
        <w:t xml:space="preserve">, </w:t>
      </w:r>
      <w:r w:rsidR="00957300" w:rsidRPr="00A071C2">
        <w:rPr>
          <w:color w:val="auto"/>
        </w:rPr>
        <w:t>energy</w:t>
      </w:r>
      <w:r w:rsidR="001B0AB2">
        <w:rPr>
          <w:color w:val="auto"/>
        </w:rPr>
        <w:t xml:space="preserve"> and</w:t>
      </w:r>
      <w:r w:rsidR="00945BE0">
        <w:rPr>
          <w:color w:val="auto"/>
        </w:rPr>
        <w:t xml:space="preserve"> </w:t>
      </w:r>
      <w:r w:rsidR="00957300" w:rsidRPr="00A071C2">
        <w:rPr>
          <w:color w:val="auto"/>
        </w:rPr>
        <w:t>food security</w:t>
      </w:r>
      <w:r w:rsidRPr="00A071C2">
        <w:rPr>
          <w:color w:val="auto"/>
        </w:rPr>
        <w:t xml:space="preserve"> through seven Australian and international partners,</w:t>
      </w:r>
      <w:r w:rsidR="00945BE0" w:rsidRPr="001E2201">
        <w:rPr>
          <w:color w:val="auto"/>
          <w:vertAlign w:val="superscript"/>
        </w:rPr>
        <w:footnoteReference w:id="2"/>
      </w:r>
      <w:r w:rsidRPr="00A071C2">
        <w:rPr>
          <w:color w:val="auto"/>
        </w:rPr>
        <w:t xml:space="preserve"> with a particular focus on women and girls. </w:t>
      </w:r>
    </w:p>
    <w:p w:rsidR="00C150BD" w:rsidRPr="00A071C2" w:rsidRDefault="00042B2A" w:rsidP="00C150BD">
      <w:pPr>
        <w:rPr>
          <w:color w:val="auto"/>
        </w:rPr>
      </w:pPr>
      <w:r w:rsidRPr="00A071C2">
        <w:rPr>
          <w:color w:val="auto"/>
        </w:rPr>
        <w:t xml:space="preserve">SDIP </w:t>
      </w:r>
      <w:r w:rsidR="00F15E44" w:rsidRPr="00A071C2">
        <w:rPr>
          <w:color w:val="auto"/>
        </w:rPr>
        <w:t>activities</w:t>
      </w:r>
      <w:r w:rsidR="009235B6" w:rsidRPr="00A071C2">
        <w:rPr>
          <w:color w:val="auto"/>
        </w:rPr>
        <w:t xml:space="preserve"> </w:t>
      </w:r>
      <w:r w:rsidR="006F12AA">
        <w:rPr>
          <w:color w:val="auto"/>
        </w:rPr>
        <w:t>are geographically spread</w:t>
      </w:r>
      <w:r w:rsidR="001B0AB2" w:rsidRPr="00A071C2">
        <w:rPr>
          <w:color w:val="auto"/>
        </w:rPr>
        <w:t xml:space="preserve"> </w:t>
      </w:r>
      <w:r w:rsidR="006F12AA">
        <w:rPr>
          <w:color w:val="auto"/>
        </w:rPr>
        <w:t>across all</w:t>
      </w:r>
      <w:r w:rsidRPr="00A071C2">
        <w:rPr>
          <w:color w:val="auto"/>
        </w:rPr>
        <w:t xml:space="preserve"> major transboundary Himalayan river basins - the Indus, Ganges and Brahmaputra - covering parts of India, Pakistan, Nepal, Bangladesh, Bhutan and Afghanistan</w:t>
      </w:r>
      <w:r w:rsidR="004C0BD5">
        <w:rPr>
          <w:color w:val="auto"/>
        </w:rPr>
        <w:t>.</w:t>
      </w:r>
      <w:r w:rsidR="004C0BD5" w:rsidRPr="001E2201">
        <w:rPr>
          <w:color w:val="auto"/>
        </w:rPr>
        <w:t xml:space="preserve"> </w:t>
      </w:r>
      <w:r w:rsidR="004C0BD5" w:rsidRPr="004C0BD5">
        <w:rPr>
          <w:color w:val="auto"/>
        </w:rPr>
        <w:t xml:space="preserve">In 2018-19, activities included: support for improvements in conservation agriculture, energy efficiency, </w:t>
      </w:r>
      <w:r w:rsidR="006F12AA">
        <w:rPr>
          <w:color w:val="auto"/>
        </w:rPr>
        <w:t xml:space="preserve">political economy </w:t>
      </w:r>
      <w:r w:rsidR="004C0BD5" w:rsidRPr="004C0BD5">
        <w:rPr>
          <w:color w:val="auto"/>
        </w:rPr>
        <w:t>analysis, capacity building and regional dialogue. These activities were found to have made good progress towards</w:t>
      </w:r>
      <w:r w:rsidR="006F12AA">
        <w:rPr>
          <w:color w:val="auto"/>
        </w:rPr>
        <w:t xml:space="preserve"> their</w:t>
      </w:r>
      <w:r w:rsidR="004C0BD5" w:rsidRPr="004C0BD5">
        <w:rPr>
          <w:color w:val="auto"/>
        </w:rPr>
        <w:t xml:space="preserve"> objectives</w:t>
      </w:r>
      <w:r w:rsidR="006F12AA">
        <w:rPr>
          <w:color w:val="auto"/>
        </w:rPr>
        <w:t>.</w:t>
      </w:r>
      <w:r w:rsidR="004C0BD5" w:rsidRPr="004C0BD5">
        <w:rPr>
          <w:color w:val="auto"/>
        </w:rPr>
        <w:t xml:space="preserve"> </w:t>
      </w:r>
    </w:p>
    <w:p w:rsidR="00C150BD" w:rsidRPr="00A071C2" w:rsidRDefault="00C150BD" w:rsidP="00C150BD">
      <w:pPr>
        <w:rPr>
          <w:color w:val="auto"/>
        </w:rPr>
      </w:pPr>
      <w:r w:rsidRPr="00A071C2">
        <w:rPr>
          <w:color w:val="auto"/>
        </w:rPr>
        <w:lastRenderedPageBreak/>
        <w:t>Australia remains committed to supporting water, food and energy security and has made good progress against investment level monit</w:t>
      </w:r>
      <w:r w:rsidR="009235B6" w:rsidRPr="00A071C2">
        <w:rPr>
          <w:color w:val="auto"/>
        </w:rPr>
        <w:t>oring and evaluation frameworks. A</w:t>
      </w:r>
      <w:r w:rsidR="00F42ECF" w:rsidRPr="00A071C2">
        <w:rPr>
          <w:color w:val="auto"/>
        </w:rPr>
        <w:t>n in</w:t>
      </w:r>
      <w:r w:rsidR="00122678" w:rsidRPr="00A071C2">
        <w:rPr>
          <w:color w:val="auto"/>
        </w:rPr>
        <w:t xml:space="preserve">dependent </w:t>
      </w:r>
      <w:r w:rsidR="00F42ECF" w:rsidRPr="00A071C2">
        <w:rPr>
          <w:color w:val="auto"/>
        </w:rPr>
        <w:t>e</w:t>
      </w:r>
      <w:r w:rsidR="00122678" w:rsidRPr="00A071C2">
        <w:rPr>
          <w:color w:val="auto"/>
        </w:rPr>
        <w:t xml:space="preserve">valuation is scheduled for </w:t>
      </w:r>
      <w:r w:rsidR="00B80816">
        <w:rPr>
          <w:color w:val="auto"/>
        </w:rPr>
        <w:t xml:space="preserve">completion in </w:t>
      </w:r>
      <w:r w:rsidR="00122678" w:rsidRPr="00A071C2">
        <w:rPr>
          <w:color w:val="auto"/>
        </w:rPr>
        <w:t>late 2019</w:t>
      </w:r>
      <w:r w:rsidR="00AA5D72" w:rsidRPr="00A071C2">
        <w:rPr>
          <w:color w:val="auto"/>
        </w:rPr>
        <w:t>,</w:t>
      </w:r>
      <w:r w:rsidR="00122678" w:rsidRPr="00A071C2">
        <w:rPr>
          <w:color w:val="auto"/>
        </w:rPr>
        <w:t xml:space="preserve"> which will confirm </w:t>
      </w:r>
      <w:r w:rsidR="009235B6" w:rsidRPr="00A071C2">
        <w:rPr>
          <w:color w:val="auto"/>
        </w:rPr>
        <w:t xml:space="preserve">SDIP </w:t>
      </w:r>
      <w:r w:rsidR="00122678" w:rsidRPr="00A071C2">
        <w:rPr>
          <w:color w:val="auto"/>
        </w:rPr>
        <w:t xml:space="preserve">performance and inform </w:t>
      </w:r>
      <w:r w:rsidR="0052772B" w:rsidRPr="00A071C2">
        <w:rPr>
          <w:color w:val="auto"/>
        </w:rPr>
        <w:t>future programming. In the next reporting period, th</w:t>
      </w:r>
      <w:r w:rsidR="00C61ABC" w:rsidRPr="00A071C2">
        <w:rPr>
          <w:color w:val="auto"/>
        </w:rPr>
        <w:t xml:space="preserve">e regional program’s objective is likely to shift to align with changes to </w:t>
      </w:r>
      <w:r w:rsidR="006F12AA">
        <w:rPr>
          <w:color w:val="auto"/>
        </w:rPr>
        <w:t>South Asia partner country</w:t>
      </w:r>
      <w:r w:rsidR="00C61ABC" w:rsidRPr="00A071C2">
        <w:rPr>
          <w:color w:val="auto"/>
        </w:rPr>
        <w:t xml:space="preserve"> and Australian government priorities. </w:t>
      </w:r>
      <w:r w:rsidR="00122678" w:rsidRPr="00E563C1">
        <w:rPr>
          <w:color w:val="auto"/>
        </w:rPr>
        <w:t>A new regional strategy</w:t>
      </w:r>
      <w:r w:rsidR="002F5A31" w:rsidRPr="00E563C1">
        <w:rPr>
          <w:color w:val="auto"/>
        </w:rPr>
        <w:t>,</w:t>
      </w:r>
      <w:r w:rsidR="00122678" w:rsidRPr="00E563C1">
        <w:rPr>
          <w:color w:val="auto"/>
        </w:rPr>
        <w:t xml:space="preserve"> t</w:t>
      </w:r>
      <w:r w:rsidR="0052772B" w:rsidRPr="00E563C1">
        <w:rPr>
          <w:color w:val="auto"/>
        </w:rPr>
        <w:t>ogether with the independent evaluation r</w:t>
      </w:r>
      <w:r w:rsidR="00122678" w:rsidRPr="00E563C1">
        <w:rPr>
          <w:color w:val="auto"/>
        </w:rPr>
        <w:t>eport</w:t>
      </w:r>
      <w:r w:rsidR="002F5A31" w:rsidRPr="00E563C1">
        <w:rPr>
          <w:color w:val="auto"/>
        </w:rPr>
        <w:t>,</w:t>
      </w:r>
      <w:r w:rsidRPr="00E563C1">
        <w:rPr>
          <w:color w:val="auto"/>
        </w:rPr>
        <w:t xml:space="preserve"> </w:t>
      </w:r>
      <w:r w:rsidR="00C61ABC" w:rsidRPr="00E563C1">
        <w:rPr>
          <w:color w:val="auto"/>
        </w:rPr>
        <w:t>will</w:t>
      </w:r>
      <w:r w:rsidRPr="00E563C1">
        <w:rPr>
          <w:color w:val="auto"/>
        </w:rPr>
        <w:t xml:space="preserve"> inform the </w:t>
      </w:r>
      <w:r w:rsidR="00C61ABC" w:rsidRPr="00E563C1">
        <w:rPr>
          <w:color w:val="auto"/>
        </w:rPr>
        <w:t>development of a ne</w:t>
      </w:r>
      <w:r w:rsidR="006F12AA">
        <w:rPr>
          <w:color w:val="auto"/>
        </w:rPr>
        <w:t>w regional AIP</w:t>
      </w:r>
      <w:r w:rsidR="00C61ABC" w:rsidRPr="00E563C1">
        <w:rPr>
          <w:color w:val="auto"/>
        </w:rPr>
        <w:t xml:space="preserve"> for the 2020-24 period</w:t>
      </w:r>
      <w:r w:rsidR="00122678" w:rsidRPr="00E563C1">
        <w:rPr>
          <w:color w:val="auto"/>
        </w:rPr>
        <w:t>.</w:t>
      </w:r>
      <w:r w:rsidR="00122678" w:rsidRPr="00A071C2">
        <w:rPr>
          <w:color w:val="auto"/>
        </w:rPr>
        <w:t xml:space="preserve"> </w:t>
      </w:r>
      <w:r w:rsidR="00C61ABC" w:rsidRPr="00A071C2">
        <w:rPr>
          <w:color w:val="auto"/>
        </w:rPr>
        <w:t xml:space="preserve"> </w:t>
      </w:r>
    </w:p>
    <w:p w:rsidR="00C150BD" w:rsidRPr="00A071C2" w:rsidRDefault="00C150BD" w:rsidP="00C150BD">
      <w:pPr>
        <w:rPr>
          <w:b/>
          <w:color w:val="auto"/>
        </w:rPr>
      </w:pPr>
      <w:r w:rsidRPr="00A071C2">
        <w:rPr>
          <w:b/>
          <w:color w:val="auto"/>
        </w:rPr>
        <w:t xml:space="preserve">Objective 2: Increased regional connectivity through trade facilitation and infrastructure connectivity </w:t>
      </w:r>
    </w:p>
    <w:p w:rsidR="00C150BD" w:rsidRPr="00A071C2" w:rsidRDefault="003C2742" w:rsidP="00C150BD">
      <w:pPr>
        <w:rPr>
          <w:color w:val="auto"/>
        </w:rPr>
      </w:pPr>
      <w:r w:rsidRPr="00A071C2">
        <w:rPr>
          <w:color w:val="auto"/>
        </w:rPr>
        <w:t>During the reporting period</w:t>
      </w:r>
      <w:r w:rsidR="00122678" w:rsidRPr="00A071C2">
        <w:rPr>
          <w:color w:val="auto"/>
        </w:rPr>
        <w:t>,</w:t>
      </w:r>
      <w:r w:rsidRPr="00A071C2">
        <w:rPr>
          <w:color w:val="auto"/>
        </w:rPr>
        <w:t xml:space="preserve"> </w:t>
      </w:r>
      <w:r w:rsidR="00C150BD" w:rsidRPr="00A071C2">
        <w:rPr>
          <w:color w:val="auto"/>
        </w:rPr>
        <w:t>Australia contributed to preparatory work for World Bank loan projects in Bangladesh, Bhutan, India and Nepal (BBIN)</w:t>
      </w:r>
      <w:r w:rsidRPr="00A071C2">
        <w:rPr>
          <w:color w:val="auto"/>
        </w:rPr>
        <w:t xml:space="preserve"> through two World Bank-led programs – Infrastructure for Growth (IFG, 2012-2018) and the South Asia Regional Trade Facilitation Program (SARTFP, 2015-2020). </w:t>
      </w:r>
      <w:r w:rsidR="001F43A2" w:rsidRPr="00A071C2">
        <w:rPr>
          <w:color w:val="auto"/>
        </w:rPr>
        <w:t>The I</w:t>
      </w:r>
      <w:r w:rsidR="00E50A32" w:rsidRPr="00A071C2">
        <w:rPr>
          <w:color w:val="auto"/>
        </w:rPr>
        <w:t xml:space="preserve">nfrastructure </w:t>
      </w:r>
      <w:r w:rsidR="00090482">
        <w:rPr>
          <w:color w:val="auto"/>
        </w:rPr>
        <w:t>f</w:t>
      </w:r>
      <w:r w:rsidR="00E50A32" w:rsidRPr="00A071C2">
        <w:rPr>
          <w:color w:val="auto"/>
        </w:rPr>
        <w:t xml:space="preserve">or </w:t>
      </w:r>
      <w:r w:rsidR="001F43A2" w:rsidRPr="00A071C2">
        <w:rPr>
          <w:color w:val="auto"/>
        </w:rPr>
        <w:t>G</w:t>
      </w:r>
      <w:r w:rsidR="00E50A32" w:rsidRPr="00A071C2">
        <w:rPr>
          <w:color w:val="auto"/>
        </w:rPr>
        <w:t>rowth (IFG)</w:t>
      </w:r>
      <w:r w:rsidR="001F43A2" w:rsidRPr="00A071C2">
        <w:rPr>
          <w:color w:val="auto"/>
        </w:rPr>
        <w:t xml:space="preserve"> program (</w:t>
      </w:r>
      <w:r w:rsidR="00C150BD" w:rsidRPr="00A071C2">
        <w:rPr>
          <w:color w:val="auto"/>
        </w:rPr>
        <w:t>conclud</w:t>
      </w:r>
      <w:r w:rsidR="001F43A2" w:rsidRPr="00A071C2">
        <w:rPr>
          <w:color w:val="auto"/>
        </w:rPr>
        <w:t xml:space="preserve">ed during the reporting period) </w:t>
      </w:r>
      <w:r w:rsidR="000B792B" w:rsidRPr="00A071C2">
        <w:rPr>
          <w:color w:val="auto"/>
        </w:rPr>
        <w:t>aimed</w:t>
      </w:r>
      <w:r w:rsidR="00C150BD" w:rsidRPr="00A071C2">
        <w:rPr>
          <w:color w:val="auto"/>
        </w:rPr>
        <w:t xml:space="preserve"> to improve con</w:t>
      </w:r>
      <w:r w:rsidRPr="00A071C2">
        <w:rPr>
          <w:color w:val="auto"/>
        </w:rPr>
        <w:t>nectivity and integration in South Asia’s</w:t>
      </w:r>
      <w:r w:rsidR="00C150BD" w:rsidRPr="00A071C2">
        <w:rPr>
          <w:color w:val="auto"/>
        </w:rPr>
        <w:t xml:space="preserve"> energy and transport sectors. </w:t>
      </w:r>
      <w:r w:rsidR="006F12AA" w:rsidRPr="00A071C2">
        <w:rPr>
          <w:color w:val="auto"/>
        </w:rPr>
        <w:t xml:space="preserve">SARTFP </w:t>
      </w:r>
      <w:r w:rsidR="00AC56BE">
        <w:rPr>
          <w:color w:val="auto"/>
        </w:rPr>
        <w:t>aims to provide</w:t>
      </w:r>
      <w:r w:rsidR="006F12AA" w:rsidRPr="00A071C2">
        <w:rPr>
          <w:color w:val="auto"/>
        </w:rPr>
        <w:t xml:space="preserve"> analytical and technical advisory, capacity building and support for regional trade facilitation dialogue. SARTFP’s objective is to improve cross-border trade and connectivity, particularly where these activities benefit women.</w:t>
      </w:r>
    </w:p>
    <w:p w:rsidR="00A229DA" w:rsidRPr="00A229DA" w:rsidRDefault="006F12AA" w:rsidP="007E54A6">
      <w:pPr>
        <w:rPr>
          <w:b/>
          <w:color w:val="auto"/>
        </w:rPr>
      </w:pPr>
      <w:r>
        <w:rPr>
          <w:b/>
          <w:color w:val="auto"/>
        </w:rPr>
        <w:t>Overall a</w:t>
      </w:r>
      <w:r w:rsidR="00A229DA" w:rsidRPr="00A229DA">
        <w:rPr>
          <w:b/>
          <w:color w:val="auto"/>
        </w:rPr>
        <w:t>ssessment</w:t>
      </w:r>
    </w:p>
    <w:p w:rsidR="007E54A6" w:rsidRPr="00A071C2" w:rsidRDefault="007E54A6" w:rsidP="007E54A6">
      <w:pPr>
        <w:rPr>
          <w:color w:val="auto"/>
        </w:rPr>
      </w:pPr>
      <w:r w:rsidRPr="00A071C2">
        <w:rPr>
          <w:color w:val="auto"/>
        </w:rPr>
        <w:t xml:space="preserve">Overall, programs under both objectives performed well in 2018-19. </w:t>
      </w:r>
      <w:r w:rsidR="001B0AB2">
        <w:rPr>
          <w:color w:val="auto"/>
        </w:rPr>
        <w:t>Through SDIP, t</w:t>
      </w:r>
      <w:r w:rsidRPr="00A071C2">
        <w:rPr>
          <w:color w:val="auto"/>
        </w:rPr>
        <w:t xml:space="preserve">he water, food and energy pillar is rated green (performing as expected). Both SARTFP and IFG generated knowledge and analysis that demonstrably informed partner country policies in the areas of energy, transport and climate change, and improved the quality of World Bank investments. </w:t>
      </w:r>
      <w:r w:rsidR="002F5A31">
        <w:rPr>
          <w:color w:val="auto"/>
        </w:rPr>
        <w:t>The</w:t>
      </w:r>
      <w:r w:rsidRPr="00A071C2">
        <w:rPr>
          <w:color w:val="auto"/>
        </w:rPr>
        <w:t xml:space="preserve"> connectivity pillar has</w:t>
      </w:r>
      <w:r w:rsidR="00A229DA">
        <w:rPr>
          <w:color w:val="auto"/>
        </w:rPr>
        <w:t xml:space="preserve"> been rated amber this year, </w:t>
      </w:r>
      <w:r w:rsidRPr="00A071C2">
        <w:rPr>
          <w:color w:val="auto"/>
        </w:rPr>
        <w:t>reflect</w:t>
      </w:r>
      <w:r w:rsidR="00A229DA">
        <w:rPr>
          <w:color w:val="auto"/>
        </w:rPr>
        <w:t>ing the</w:t>
      </w:r>
      <w:r w:rsidRPr="00A071C2">
        <w:rPr>
          <w:color w:val="auto"/>
        </w:rPr>
        <w:t xml:space="preserve"> need for closer attention to governance, reporting and public diplomacy.</w:t>
      </w:r>
    </w:p>
    <w:p w:rsidR="00C47FC4" w:rsidRPr="00A071C2" w:rsidRDefault="00C47FC4" w:rsidP="00C47FC4">
      <w:pPr>
        <w:rPr>
          <w:color w:val="auto"/>
        </w:rPr>
      </w:pPr>
      <w:r>
        <w:rPr>
          <w:color w:val="auto"/>
        </w:rPr>
        <w:t>As t</w:t>
      </w:r>
      <w:r w:rsidRPr="00A071C2">
        <w:rPr>
          <w:color w:val="auto"/>
        </w:rPr>
        <w:t>he current AIP expired in the reporting period</w:t>
      </w:r>
      <w:r>
        <w:rPr>
          <w:color w:val="auto"/>
        </w:rPr>
        <w:t>,</w:t>
      </w:r>
      <w:r w:rsidRPr="00A071C2">
        <w:rPr>
          <w:color w:val="auto"/>
        </w:rPr>
        <w:t xml:space="preserve"> in 2019-20 we will establish a new </w:t>
      </w:r>
      <w:r>
        <w:rPr>
          <w:color w:val="auto"/>
        </w:rPr>
        <w:t>version</w:t>
      </w:r>
      <w:r w:rsidRPr="00A071C2">
        <w:rPr>
          <w:color w:val="auto"/>
        </w:rPr>
        <w:t>. This will explore ways to become more focused on investments in areas of clear comparative advantage. We will look increasingly to how we can use innovative modalities to leverage available funding. While</w:t>
      </w:r>
      <w:r>
        <w:rPr>
          <w:color w:val="auto"/>
        </w:rPr>
        <w:t xml:space="preserve"> our</w:t>
      </w:r>
      <w:r w:rsidRPr="00A071C2">
        <w:rPr>
          <w:color w:val="auto"/>
        </w:rPr>
        <w:t xml:space="preserve"> focus on environment and connectivity will remain, </w:t>
      </w:r>
      <w:r w:rsidR="006F12AA">
        <w:rPr>
          <w:color w:val="auto"/>
        </w:rPr>
        <w:t>we will endeavour to become even more targeted,</w:t>
      </w:r>
      <w:r>
        <w:rPr>
          <w:color w:val="auto"/>
        </w:rPr>
        <w:t xml:space="preserve"> </w:t>
      </w:r>
      <w:r w:rsidR="006F12AA">
        <w:rPr>
          <w:color w:val="auto"/>
        </w:rPr>
        <w:t>with a</w:t>
      </w:r>
      <w:r w:rsidRPr="00A071C2">
        <w:rPr>
          <w:color w:val="auto"/>
        </w:rPr>
        <w:t xml:space="preserve"> reduced breadth of sectors and partners. </w:t>
      </w:r>
    </w:p>
    <w:p w:rsidR="00C150BD" w:rsidRPr="00A071C2" w:rsidRDefault="00C150BD" w:rsidP="00C150BD">
      <w:pPr>
        <w:rPr>
          <w:color w:val="auto"/>
        </w:rPr>
      </w:pPr>
      <w:r w:rsidRPr="00A071C2">
        <w:rPr>
          <w:color w:val="auto"/>
        </w:rPr>
        <w:t>In 2019-20, we will build on the successes and lessons of SDIP, IFG and SARTFP, to complete design and commence implementation of the new South Asia Regional Infrastructure Connectivity program (SARIC</w:t>
      </w:r>
      <w:r w:rsidR="00082F24">
        <w:rPr>
          <w:color w:val="auto"/>
        </w:rPr>
        <w:t>, $</w:t>
      </w:r>
      <w:r w:rsidR="00166C88" w:rsidRPr="00A071C2">
        <w:rPr>
          <w:color w:val="auto"/>
        </w:rPr>
        <w:t>30</w:t>
      </w:r>
      <w:r w:rsidR="00082F24">
        <w:rPr>
          <w:color w:val="auto"/>
        </w:rPr>
        <w:t> </w:t>
      </w:r>
      <w:r w:rsidR="00166C88" w:rsidRPr="00A071C2">
        <w:rPr>
          <w:color w:val="auto"/>
        </w:rPr>
        <w:t xml:space="preserve">million, </w:t>
      </w:r>
      <w:r w:rsidR="006F12AA">
        <w:rPr>
          <w:color w:val="auto"/>
        </w:rPr>
        <w:t>2019-</w:t>
      </w:r>
      <w:r w:rsidR="00166C88" w:rsidRPr="00A071C2">
        <w:rPr>
          <w:color w:val="auto"/>
        </w:rPr>
        <w:t>23</w:t>
      </w:r>
      <w:r w:rsidRPr="00A071C2">
        <w:rPr>
          <w:color w:val="auto"/>
        </w:rPr>
        <w:t>). Th</w:t>
      </w:r>
      <w:r w:rsidR="00166C88" w:rsidRPr="00A071C2">
        <w:rPr>
          <w:color w:val="auto"/>
        </w:rPr>
        <w:t xml:space="preserve">is three-layered program </w:t>
      </w:r>
      <w:r w:rsidRPr="00A071C2">
        <w:rPr>
          <w:color w:val="auto"/>
        </w:rPr>
        <w:t xml:space="preserve">will fund preparation of regional investment plans </w:t>
      </w:r>
      <w:r w:rsidR="009548D8" w:rsidRPr="00A071C2">
        <w:rPr>
          <w:color w:val="auto"/>
        </w:rPr>
        <w:t>across</w:t>
      </w:r>
      <w:r w:rsidR="006F12AA">
        <w:rPr>
          <w:color w:val="auto"/>
        </w:rPr>
        <w:t xml:space="preserve"> energy</w:t>
      </w:r>
      <w:r w:rsidR="00A229DA">
        <w:rPr>
          <w:color w:val="auto"/>
        </w:rPr>
        <w:t xml:space="preserve"> and transport </w:t>
      </w:r>
      <w:r w:rsidR="009548D8" w:rsidRPr="00A071C2">
        <w:rPr>
          <w:color w:val="auto"/>
        </w:rPr>
        <w:t xml:space="preserve">infrastructure sectors. It </w:t>
      </w:r>
      <w:r w:rsidRPr="00A071C2">
        <w:rPr>
          <w:color w:val="auto"/>
        </w:rPr>
        <w:t xml:space="preserve">will work with South Asian governments to enhance capacity </w:t>
      </w:r>
      <w:r w:rsidR="009548D8" w:rsidRPr="00A071C2">
        <w:rPr>
          <w:color w:val="auto"/>
        </w:rPr>
        <w:t>for</w:t>
      </w:r>
      <w:r w:rsidRPr="00A071C2">
        <w:rPr>
          <w:color w:val="auto"/>
        </w:rPr>
        <w:t xml:space="preserve"> deliver</w:t>
      </w:r>
      <w:r w:rsidR="009548D8" w:rsidRPr="00A071C2">
        <w:rPr>
          <w:color w:val="auto"/>
        </w:rPr>
        <w:t>ing</w:t>
      </w:r>
      <w:r w:rsidRPr="00A071C2">
        <w:rPr>
          <w:color w:val="auto"/>
        </w:rPr>
        <w:t xml:space="preserve"> high</w:t>
      </w:r>
      <w:r w:rsidR="00DA45F8" w:rsidRPr="00A071C2">
        <w:rPr>
          <w:color w:val="auto"/>
        </w:rPr>
        <w:t>-quality infrastructure projects and e</w:t>
      </w:r>
      <w:r w:rsidRPr="00A071C2">
        <w:rPr>
          <w:color w:val="auto"/>
        </w:rPr>
        <w:t>mbed best practic</w:t>
      </w:r>
      <w:r w:rsidR="00DA45F8" w:rsidRPr="00A071C2">
        <w:rPr>
          <w:color w:val="auto"/>
        </w:rPr>
        <w:t xml:space="preserve">e. This aims to improve access to </w:t>
      </w:r>
      <w:r w:rsidRPr="00A071C2">
        <w:rPr>
          <w:color w:val="auto"/>
        </w:rPr>
        <w:t>private sector or multila</w:t>
      </w:r>
      <w:r w:rsidR="003C2742" w:rsidRPr="00A071C2">
        <w:rPr>
          <w:color w:val="auto"/>
        </w:rPr>
        <w:t>teral development bank finance. A design process is underway</w:t>
      </w:r>
      <w:r w:rsidR="009548D8" w:rsidRPr="00A071C2">
        <w:rPr>
          <w:color w:val="auto"/>
        </w:rPr>
        <w:t>, shaping</w:t>
      </w:r>
      <w:r w:rsidR="003C2742" w:rsidRPr="00A071C2">
        <w:rPr>
          <w:color w:val="auto"/>
        </w:rPr>
        <w:t xml:space="preserve"> performance benchmarks</w:t>
      </w:r>
      <w:r w:rsidR="009548D8" w:rsidRPr="00A071C2">
        <w:rPr>
          <w:color w:val="auto"/>
        </w:rPr>
        <w:t>, which will be built into</w:t>
      </w:r>
      <w:r w:rsidR="003C2742" w:rsidRPr="00A071C2">
        <w:rPr>
          <w:color w:val="auto"/>
        </w:rPr>
        <w:t xml:space="preserve"> </w:t>
      </w:r>
      <w:r w:rsidR="00A229DA">
        <w:rPr>
          <w:color w:val="auto"/>
        </w:rPr>
        <w:t>investment level monitoring and reporting</w:t>
      </w:r>
      <w:r w:rsidR="003C2742" w:rsidRPr="00A071C2">
        <w:rPr>
          <w:color w:val="auto"/>
        </w:rPr>
        <w:t xml:space="preserve">. </w:t>
      </w:r>
      <w:r w:rsidRPr="00A071C2">
        <w:rPr>
          <w:color w:val="auto"/>
        </w:rPr>
        <w:t xml:space="preserve">The first </w:t>
      </w:r>
      <w:r w:rsidR="00A229DA">
        <w:rPr>
          <w:color w:val="auto"/>
        </w:rPr>
        <w:t>project preparation work</w:t>
      </w:r>
      <w:r w:rsidRPr="00A071C2">
        <w:rPr>
          <w:color w:val="auto"/>
        </w:rPr>
        <w:t xml:space="preserve"> is scheduled to commence in early 2020.</w:t>
      </w:r>
    </w:p>
    <w:p w:rsidR="00A071C2" w:rsidRDefault="00A071C2" w:rsidP="00A071C2">
      <w:pPr>
        <w:rPr>
          <w:color w:val="auto"/>
        </w:rPr>
      </w:pPr>
    </w:p>
    <w:p w:rsidR="00A071C2" w:rsidRDefault="00A071C2" w:rsidP="00A071C2">
      <w:pPr>
        <w:rPr>
          <w:color w:val="auto"/>
        </w:rPr>
      </w:pPr>
    </w:p>
    <w:p w:rsidR="00A071C2" w:rsidRDefault="00A071C2" w:rsidP="00A071C2">
      <w:pPr>
        <w:rPr>
          <w:color w:val="auto"/>
        </w:rPr>
      </w:pPr>
    </w:p>
    <w:p w:rsidR="00A071C2" w:rsidRDefault="00A071C2" w:rsidP="00A071C2">
      <w:pPr>
        <w:rPr>
          <w:color w:val="auto"/>
        </w:rPr>
      </w:pPr>
    </w:p>
    <w:p w:rsidR="001E2201" w:rsidRDefault="001E2201">
      <w:pPr>
        <w:suppressAutoHyphens w:val="0"/>
        <w:spacing w:before="0" w:after="120" w:line="440" w:lineRule="atLeast"/>
        <w:rPr>
          <w:color w:val="auto"/>
        </w:rPr>
      </w:pPr>
      <w:r>
        <w:rPr>
          <w:color w:val="auto"/>
        </w:rPr>
        <w:br w:type="page"/>
      </w:r>
    </w:p>
    <w:p w:rsidR="00184F1E" w:rsidRPr="00A071C2" w:rsidRDefault="00184F1E" w:rsidP="00A071C2">
      <w:pPr>
        <w:rPr>
          <w:color w:val="auto"/>
        </w:rPr>
      </w:pPr>
      <w:r w:rsidRPr="00D26A54">
        <w:rPr>
          <w:rFonts w:eastAsiaTheme="majorEastAsia" w:cstheme="minorHAnsi"/>
          <w:caps/>
          <w:sz w:val="38"/>
          <w:szCs w:val="38"/>
        </w:rPr>
        <w:t>Expenditure</w:t>
      </w:r>
    </w:p>
    <w:p w:rsidR="00660104" w:rsidRPr="00D26A54" w:rsidRDefault="00660104" w:rsidP="00660104">
      <w:pPr>
        <w:rPr>
          <w:rFonts w:cstheme="minorHAnsi"/>
          <w:sz w:val="24"/>
          <w:szCs w:val="24"/>
        </w:rPr>
      </w:pPr>
      <w:r w:rsidRPr="00D26A54">
        <w:rPr>
          <w:rFonts w:cstheme="minorHAnsi"/>
          <w:sz w:val="24"/>
          <w:szCs w:val="24"/>
        </w:rPr>
        <w:t xml:space="preserve">Total Estimated ODA </w:t>
      </w:r>
      <w:r w:rsidR="00082F24">
        <w:rPr>
          <w:rFonts w:cstheme="minorHAnsi"/>
          <w:sz w:val="24"/>
          <w:szCs w:val="24"/>
        </w:rPr>
        <w:t>Expenditure in 2018-19 was $</w:t>
      </w:r>
      <w:r w:rsidRPr="00D26A54">
        <w:rPr>
          <w:rFonts w:cstheme="minorHAnsi"/>
          <w:sz w:val="24"/>
          <w:szCs w:val="24"/>
        </w:rPr>
        <w:t>24.3 million.</w:t>
      </w:r>
    </w:p>
    <w:p w:rsidR="00660104" w:rsidRPr="00D26A54" w:rsidRDefault="00660104" w:rsidP="00660104">
      <w:pPr>
        <w:rPr>
          <w:rFonts w:cstheme="minorHAnsi"/>
          <w:b/>
          <w:bCs/>
          <w:sz w:val="24"/>
          <w:szCs w:val="24"/>
        </w:rPr>
      </w:pPr>
      <w:r w:rsidRPr="00D26A54">
        <w:rPr>
          <w:rFonts w:cstheme="minorHAnsi"/>
          <w:b/>
          <w:bCs/>
          <w:sz w:val="24"/>
          <w:szCs w:val="24"/>
        </w:rPr>
        <w:t>Table 1 Total ODA Expenditure in FY 2018-19</w:t>
      </w:r>
    </w:p>
    <w:tbl>
      <w:tblPr>
        <w:tblW w:w="0" w:type="auto"/>
        <w:tblCellMar>
          <w:left w:w="0" w:type="dxa"/>
          <w:right w:w="0" w:type="dxa"/>
        </w:tblCellMar>
        <w:tblLook w:val="04A0" w:firstRow="1" w:lastRow="0" w:firstColumn="1" w:lastColumn="0" w:noHBand="0" w:noVBand="1"/>
      </w:tblPr>
      <w:tblGrid>
        <w:gridCol w:w="6374"/>
        <w:gridCol w:w="1423"/>
        <w:gridCol w:w="1417"/>
      </w:tblGrid>
      <w:tr w:rsidR="00BE70DF" w:rsidRPr="00D26A54" w:rsidTr="00660104">
        <w:tc>
          <w:tcPr>
            <w:tcW w:w="6374" w:type="dxa"/>
            <w:tcBorders>
              <w:top w:val="single" w:sz="12" w:space="0" w:color="auto"/>
              <w:left w:val="nil"/>
              <w:bottom w:val="nil"/>
              <w:right w:val="nil"/>
            </w:tcBorders>
            <w:tcMar>
              <w:top w:w="0" w:type="dxa"/>
              <w:left w:w="108" w:type="dxa"/>
              <w:bottom w:w="0" w:type="dxa"/>
              <w:right w:w="108" w:type="dxa"/>
            </w:tcMar>
            <w:hideMark/>
          </w:tcPr>
          <w:p w:rsidR="00660104" w:rsidRPr="00A071C2" w:rsidRDefault="00660104" w:rsidP="00A071C2">
            <w:pPr>
              <w:rPr>
                <w:b/>
                <w:color w:val="auto"/>
                <w:sz w:val="20"/>
              </w:rPr>
            </w:pPr>
            <w:r w:rsidRPr="00A071C2">
              <w:rPr>
                <w:b/>
                <w:color w:val="auto"/>
                <w:sz w:val="20"/>
              </w:rPr>
              <w:t>Objective</w:t>
            </w:r>
          </w:p>
        </w:tc>
        <w:tc>
          <w:tcPr>
            <w:tcW w:w="1423" w:type="dxa"/>
            <w:tcBorders>
              <w:top w:val="single" w:sz="12" w:space="0" w:color="auto"/>
              <w:left w:val="nil"/>
              <w:bottom w:val="nil"/>
              <w:right w:val="nil"/>
            </w:tcBorders>
            <w:tcMar>
              <w:top w:w="0" w:type="dxa"/>
              <w:left w:w="108" w:type="dxa"/>
              <w:bottom w:w="0" w:type="dxa"/>
              <w:right w:w="108" w:type="dxa"/>
            </w:tcMar>
            <w:hideMark/>
          </w:tcPr>
          <w:p w:rsidR="00660104" w:rsidRPr="00A071C2" w:rsidRDefault="00660104" w:rsidP="00A071C2">
            <w:pPr>
              <w:jc w:val="center"/>
              <w:rPr>
                <w:b/>
                <w:color w:val="auto"/>
                <w:sz w:val="20"/>
              </w:rPr>
            </w:pPr>
            <w:r w:rsidRPr="00A071C2">
              <w:rPr>
                <w:b/>
                <w:color w:val="auto"/>
                <w:sz w:val="20"/>
              </w:rPr>
              <w:t>$ million</w:t>
            </w:r>
          </w:p>
        </w:tc>
        <w:tc>
          <w:tcPr>
            <w:tcW w:w="1417" w:type="dxa"/>
            <w:tcBorders>
              <w:top w:val="single" w:sz="12" w:space="0" w:color="auto"/>
              <w:left w:val="nil"/>
              <w:bottom w:val="nil"/>
              <w:right w:val="nil"/>
            </w:tcBorders>
            <w:tcMar>
              <w:top w:w="0" w:type="dxa"/>
              <w:left w:w="108" w:type="dxa"/>
              <w:bottom w:w="0" w:type="dxa"/>
              <w:right w:w="108" w:type="dxa"/>
            </w:tcMar>
            <w:hideMark/>
          </w:tcPr>
          <w:p w:rsidR="00660104" w:rsidRPr="00A071C2" w:rsidRDefault="00660104" w:rsidP="00A071C2">
            <w:pPr>
              <w:jc w:val="center"/>
              <w:rPr>
                <w:b/>
                <w:color w:val="auto"/>
                <w:sz w:val="20"/>
              </w:rPr>
            </w:pPr>
            <w:r w:rsidRPr="00A071C2">
              <w:rPr>
                <w:b/>
                <w:color w:val="auto"/>
                <w:sz w:val="20"/>
              </w:rPr>
              <w:t>% of total ODA</w:t>
            </w:r>
          </w:p>
        </w:tc>
      </w:tr>
      <w:tr w:rsidR="00BE70DF" w:rsidRPr="00D26A54" w:rsidTr="00660104">
        <w:tc>
          <w:tcPr>
            <w:tcW w:w="6374" w:type="dxa"/>
            <w:tcMar>
              <w:top w:w="0" w:type="dxa"/>
              <w:left w:w="108" w:type="dxa"/>
              <w:bottom w:w="0" w:type="dxa"/>
              <w:right w:w="108" w:type="dxa"/>
            </w:tcMar>
            <w:hideMark/>
          </w:tcPr>
          <w:p w:rsidR="00660104" w:rsidRPr="00A071C2" w:rsidRDefault="00660104" w:rsidP="00A071C2">
            <w:pPr>
              <w:rPr>
                <w:color w:val="auto"/>
                <w:sz w:val="20"/>
              </w:rPr>
            </w:pPr>
            <w:r w:rsidRPr="00A071C2">
              <w:rPr>
                <w:color w:val="auto"/>
                <w:sz w:val="20"/>
              </w:rPr>
              <w:t>1: Increased water, food and energy security in South Asia to facilitate economic growth and improve the livelihoods of the poor and vulnerable.</w:t>
            </w:r>
          </w:p>
        </w:tc>
        <w:tc>
          <w:tcPr>
            <w:tcW w:w="1423" w:type="dxa"/>
            <w:tcMar>
              <w:top w:w="0" w:type="dxa"/>
              <w:left w:w="108" w:type="dxa"/>
              <w:bottom w:w="0" w:type="dxa"/>
              <w:right w:w="108" w:type="dxa"/>
            </w:tcMar>
            <w:hideMark/>
          </w:tcPr>
          <w:p w:rsidR="00660104" w:rsidRPr="00A071C2" w:rsidRDefault="00660104" w:rsidP="00A071C2">
            <w:pPr>
              <w:rPr>
                <w:color w:val="auto"/>
                <w:sz w:val="20"/>
              </w:rPr>
            </w:pPr>
            <w:r w:rsidRPr="00A071C2">
              <w:rPr>
                <w:color w:val="auto"/>
                <w:sz w:val="20"/>
              </w:rPr>
              <w:t>10.2</w:t>
            </w:r>
          </w:p>
        </w:tc>
        <w:tc>
          <w:tcPr>
            <w:tcW w:w="1417" w:type="dxa"/>
            <w:tcMar>
              <w:top w:w="0" w:type="dxa"/>
              <w:left w:w="108" w:type="dxa"/>
              <w:bottom w:w="0" w:type="dxa"/>
              <w:right w:w="108" w:type="dxa"/>
            </w:tcMar>
            <w:hideMark/>
          </w:tcPr>
          <w:p w:rsidR="00660104" w:rsidRPr="00A071C2" w:rsidRDefault="00660104" w:rsidP="00A071C2">
            <w:pPr>
              <w:rPr>
                <w:color w:val="auto"/>
                <w:sz w:val="20"/>
              </w:rPr>
            </w:pPr>
            <w:r w:rsidRPr="00A071C2">
              <w:rPr>
                <w:color w:val="auto"/>
                <w:sz w:val="20"/>
              </w:rPr>
              <w:t>26.2</w:t>
            </w:r>
          </w:p>
        </w:tc>
      </w:tr>
      <w:tr w:rsidR="00BE70DF" w:rsidRPr="00D26A54" w:rsidTr="00660104">
        <w:tc>
          <w:tcPr>
            <w:tcW w:w="6374" w:type="dxa"/>
            <w:tcMar>
              <w:top w:w="0" w:type="dxa"/>
              <w:left w:w="108" w:type="dxa"/>
              <w:bottom w:w="0" w:type="dxa"/>
              <w:right w:w="108" w:type="dxa"/>
            </w:tcMar>
            <w:hideMark/>
          </w:tcPr>
          <w:p w:rsidR="00660104" w:rsidRPr="00A071C2" w:rsidRDefault="00660104" w:rsidP="00A071C2">
            <w:pPr>
              <w:rPr>
                <w:color w:val="auto"/>
                <w:sz w:val="20"/>
              </w:rPr>
            </w:pPr>
            <w:r w:rsidRPr="00A071C2">
              <w:rPr>
                <w:color w:val="auto"/>
                <w:sz w:val="20"/>
              </w:rPr>
              <w:t xml:space="preserve">2: Increased regional connectivity through trade facilitation and infrastructure. </w:t>
            </w:r>
          </w:p>
        </w:tc>
        <w:tc>
          <w:tcPr>
            <w:tcW w:w="1423" w:type="dxa"/>
            <w:tcMar>
              <w:top w:w="0" w:type="dxa"/>
              <w:left w:w="108" w:type="dxa"/>
              <w:bottom w:w="0" w:type="dxa"/>
              <w:right w:w="108" w:type="dxa"/>
            </w:tcMar>
            <w:hideMark/>
          </w:tcPr>
          <w:p w:rsidR="00660104" w:rsidRPr="00A071C2" w:rsidRDefault="00660104" w:rsidP="00A071C2">
            <w:pPr>
              <w:rPr>
                <w:color w:val="auto"/>
                <w:sz w:val="20"/>
              </w:rPr>
            </w:pPr>
            <w:r w:rsidRPr="00A071C2">
              <w:rPr>
                <w:color w:val="auto"/>
                <w:sz w:val="20"/>
              </w:rPr>
              <w:t>6.4</w:t>
            </w:r>
          </w:p>
        </w:tc>
        <w:tc>
          <w:tcPr>
            <w:tcW w:w="1417" w:type="dxa"/>
            <w:tcMar>
              <w:top w:w="0" w:type="dxa"/>
              <w:left w:w="108" w:type="dxa"/>
              <w:bottom w:w="0" w:type="dxa"/>
              <w:right w:w="108" w:type="dxa"/>
            </w:tcMar>
            <w:hideMark/>
          </w:tcPr>
          <w:p w:rsidR="00660104" w:rsidRPr="00A071C2" w:rsidRDefault="00660104" w:rsidP="00A071C2">
            <w:pPr>
              <w:rPr>
                <w:color w:val="auto"/>
                <w:sz w:val="20"/>
              </w:rPr>
            </w:pPr>
            <w:r w:rsidRPr="00A071C2">
              <w:rPr>
                <w:color w:val="auto"/>
                <w:sz w:val="20"/>
              </w:rPr>
              <w:t>42.0</w:t>
            </w:r>
          </w:p>
        </w:tc>
      </w:tr>
      <w:tr w:rsidR="00BE70DF" w:rsidRPr="00D26A54" w:rsidTr="00660104">
        <w:tc>
          <w:tcPr>
            <w:tcW w:w="6374" w:type="dxa"/>
            <w:tcMar>
              <w:top w:w="0" w:type="dxa"/>
              <w:left w:w="108" w:type="dxa"/>
              <w:bottom w:w="0" w:type="dxa"/>
              <w:right w:w="108" w:type="dxa"/>
            </w:tcMar>
            <w:hideMark/>
          </w:tcPr>
          <w:p w:rsidR="00660104" w:rsidRPr="00A071C2" w:rsidRDefault="00660104" w:rsidP="00A071C2">
            <w:pPr>
              <w:rPr>
                <w:b/>
                <w:color w:val="auto"/>
                <w:sz w:val="20"/>
              </w:rPr>
            </w:pPr>
            <w:r w:rsidRPr="00A071C2">
              <w:rPr>
                <w:b/>
                <w:color w:val="auto"/>
                <w:sz w:val="20"/>
              </w:rPr>
              <w:t xml:space="preserve">Sub-Total </w:t>
            </w:r>
          </w:p>
        </w:tc>
        <w:tc>
          <w:tcPr>
            <w:tcW w:w="1423" w:type="dxa"/>
            <w:tcMar>
              <w:top w:w="0" w:type="dxa"/>
              <w:left w:w="108" w:type="dxa"/>
              <w:bottom w:w="0" w:type="dxa"/>
              <w:right w:w="108" w:type="dxa"/>
            </w:tcMar>
            <w:hideMark/>
          </w:tcPr>
          <w:p w:rsidR="00660104" w:rsidRPr="00A071C2" w:rsidRDefault="00660104" w:rsidP="00A071C2">
            <w:pPr>
              <w:rPr>
                <w:b/>
                <w:color w:val="auto"/>
                <w:sz w:val="20"/>
              </w:rPr>
            </w:pPr>
            <w:r w:rsidRPr="00A071C2">
              <w:rPr>
                <w:b/>
                <w:color w:val="auto"/>
                <w:sz w:val="20"/>
              </w:rPr>
              <w:t>16.6</w:t>
            </w:r>
          </w:p>
        </w:tc>
        <w:tc>
          <w:tcPr>
            <w:tcW w:w="1417" w:type="dxa"/>
            <w:tcMar>
              <w:top w:w="0" w:type="dxa"/>
              <w:left w:w="108" w:type="dxa"/>
              <w:bottom w:w="0" w:type="dxa"/>
              <w:right w:w="108" w:type="dxa"/>
            </w:tcMar>
            <w:hideMark/>
          </w:tcPr>
          <w:p w:rsidR="00660104" w:rsidRPr="00A071C2" w:rsidRDefault="00660104" w:rsidP="00A071C2">
            <w:pPr>
              <w:rPr>
                <w:b/>
                <w:color w:val="auto"/>
                <w:sz w:val="20"/>
              </w:rPr>
            </w:pPr>
            <w:r w:rsidRPr="00A071C2">
              <w:rPr>
                <w:b/>
                <w:color w:val="auto"/>
                <w:sz w:val="20"/>
              </w:rPr>
              <w:t>68.2</w:t>
            </w:r>
          </w:p>
        </w:tc>
      </w:tr>
      <w:tr w:rsidR="00BE70DF" w:rsidRPr="00D26A54" w:rsidTr="00660104">
        <w:tc>
          <w:tcPr>
            <w:tcW w:w="6374" w:type="dxa"/>
            <w:tcMar>
              <w:top w:w="0" w:type="dxa"/>
              <w:left w:w="108" w:type="dxa"/>
              <w:bottom w:w="0" w:type="dxa"/>
              <w:right w:w="108" w:type="dxa"/>
            </w:tcMar>
            <w:hideMark/>
          </w:tcPr>
          <w:p w:rsidR="00660104" w:rsidRPr="00A071C2" w:rsidRDefault="00660104" w:rsidP="00A071C2">
            <w:pPr>
              <w:rPr>
                <w:color w:val="auto"/>
                <w:sz w:val="20"/>
              </w:rPr>
            </w:pPr>
            <w:r w:rsidRPr="00A071C2">
              <w:rPr>
                <w:color w:val="auto"/>
                <w:sz w:val="20"/>
              </w:rPr>
              <w:t xml:space="preserve">Other Commitments </w:t>
            </w:r>
          </w:p>
        </w:tc>
        <w:tc>
          <w:tcPr>
            <w:tcW w:w="1423" w:type="dxa"/>
            <w:tcMar>
              <w:top w:w="0" w:type="dxa"/>
              <w:left w:w="108" w:type="dxa"/>
              <w:bottom w:w="0" w:type="dxa"/>
              <w:right w:w="108" w:type="dxa"/>
            </w:tcMar>
            <w:hideMark/>
          </w:tcPr>
          <w:p w:rsidR="00660104" w:rsidRPr="00A071C2" w:rsidRDefault="00660104" w:rsidP="00A071C2">
            <w:pPr>
              <w:rPr>
                <w:color w:val="auto"/>
                <w:sz w:val="20"/>
              </w:rPr>
            </w:pPr>
            <w:r w:rsidRPr="00A071C2">
              <w:rPr>
                <w:color w:val="auto"/>
                <w:sz w:val="20"/>
              </w:rPr>
              <w:t>7.7</w:t>
            </w:r>
          </w:p>
        </w:tc>
        <w:tc>
          <w:tcPr>
            <w:tcW w:w="1417" w:type="dxa"/>
            <w:tcMar>
              <w:top w:w="0" w:type="dxa"/>
              <w:left w:w="108" w:type="dxa"/>
              <w:bottom w:w="0" w:type="dxa"/>
              <w:right w:w="108" w:type="dxa"/>
            </w:tcMar>
            <w:hideMark/>
          </w:tcPr>
          <w:p w:rsidR="00660104" w:rsidRPr="00A071C2" w:rsidRDefault="00660104" w:rsidP="00A071C2">
            <w:pPr>
              <w:rPr>
                <w:color w:val="auto"/>
                <w:sz w:val="20"/>
              </w:rPr>
            </w:pPr>
            <w:r w:rsidRPr="00A071C2">
              <w:rPr>
                <w:color w:val="auto"/>
                <w:sz w:val="20"/>
              </w:rPr>
              <w:t>31.8</w:t>
            </w:r>
          </w:p>
        </w:tc>
      </w:tr>
      <w:tr w:rsidR="00660104" w:rsidRPr="00D26A54" w:rsidTr="00660104">
        <w:tc>
          <w:tcPr>
            <w:tcW w:w="6374" w:type="dxa"/>
            <w:tcBorders>
              <w:top w:val="nil"/>
              <w:left w:val="nil"/>
              <w:bottom w:val="single" w:sz="12" w:space="0" w:color="auto"/>
              <w:right w:val="nil"/>
            </w:tcBorders>
            <w:tcMar>
              <w:top w:w="0" w:type="dxa"/>
              <w:left w:w="108" w:type="dxa"/>
              <w:bottom w:w="0" w:type="dxa"/>
              <w:right w:w="108" w:type="dxa"/>
            </w:tcMar>
            <w:hideMark/>
          </w:tcPr>
          <w:p w:rsidR="00660104" w:rsidRPr="00A071C2" w:rsidRDefault="00660104" w:rsidP="00A071C2">
            <w:pPr>
              <w:rPr>
                <w:b/>
                <w:color w:val="auto"/>
                <w:sz w:val="20"/>
              </w:rPr>
            </w:pPr>
            <w:r w:rsidRPr="00A071C2">
              <w:rPr>
                <w:b/>
                <w:color w:val="auto"/>
                <w:sz w:val="20"/>
              </w:rPr>
              <w:t>Total ODA Expenditure</w:t>
            </w:r>
          </w:p>
        </w:tc>
        <w:tc>
          <w:tcPr>
            <w:tcW w:w="1423" w:type="dxa"/>
            <w:tcBorders>
              <w:top w:val="nil"/>
              <w:left w:val="nil"/>
              <w:bottom w:val="single" w:sz="12" w:space="0" w:color="auto"/>
              <w:right w:val="nil"/>
            </w:tcBorders>
            <w:tcMar>
              <w:top w:w="0" w:type="dxa"/>
              <w:left w:w="108" w:type="dxa"/>
              <w:bottom w:w="0" w:type="dxa"/>
              <w:right w:w="108" w:type="dxa"/>
            </w:tcMar>
            <w:hideMark/>
          </w:tcPr>
          <w:p w:rsidR="00660104" w:rsidRPr="00A071C2" w:rsidRDefault="00660104" w:rsidP="00A071C2">
            <w:pPr>
              <w:rPr>
                <w:b/>
                <w:color w:val="auto"/>
                <w:sz w:val="20"/>
              </w:rPr>
            </w:pPr>
            <w:r w:rsidRPr="00A071C2">
              <w:rPr>
                <w:b/>
                <w:color w:val="auto"/>
                <w:sz w:val="20"/>
              </w:rPr>
              <w:t>24.3</w:t>
            </w:r>
          </w:p>
        </w:tc>
        <w:tc>
          <w:tcPr>
            <w:tcW w:w="1417" w:type="dxa"/>
            <w:tcBorders>
              <w:top w:val="nil"/>
              <w:left w:val="nil"/>
              <w:bottom w:val="single" w:sz="12" w:space="0" w:color="auto"/>
              <w:right w:val="nil"/>
            </w:tcBorders>
            <w:tcMar>
              <w:top w:w="0" w:type="dxa"/>
              <w:left w:w="108" w:type="dxa"/>
              <w:bottom w:w="0" w:type="dxa"/>
              <w:right w:w="108" w:type="dxa"/>
            </w:tcMar>
            <w:hideMark/>
          </w:tcPr>
          <w:p w:rsidR="00660104" w:rsidRPr="00A071C2" w:rsidRDefault="00660104" w:rsidP="00A071C2">
            <w:pPr>
              <w:rPr>
                <w:b/>
                <w:color w:val="auto"/>
                <w:sz w:val="20"/>
              </w:rPr>
            </w:pPr>
            <w:r w:rsidRPr="00A071C2">
              <w:rPr>
                <w:b/>
                <w:color w:val="auto"/>
                <w:sz w:val="20"/>
              </w:rPr>
              <w:t>100.0</w:t>
            </w:r>
          </w:p>
        </w:tc>
      </w:tr>
    </w:tbl>
    <w:p w:rsidR="00DE34B0" w:rsidRDefault="00DE34B0" w:rsidP="00323E53">
      <w:pPr>
        <w:pStyle w:val="ListBullet"/>
        <w:tabs>
          <w:tab w:val="clear" w:pos="284"/>
        </w:tabs>
        <w:spacing w:before="360" w:line="300" w:lineRule="exact"/>
        <w:rPr>
          <w:rFonts w:asciiTheme="minorHAnsi" w:eastAsiaTheme="majorEastAsia" w:hAnsiTheme="minorHAnsi" w:cstheme="minorHAnsi"/>
          <w:caps/>
          <w:color w:val="495965" w:themeColor="text2"/>
          <w:sz w:val="38"/>
          <w:szCs w:val="38"/>
          <w:lang w:val="en-GB" w:eastAsia="en-US"/>
        </w:rPr>
      </w:pPr>
    </w:p>
    <w:p w:rsidR="005B5769" w:rsidRPr="00D26A54" w:rsidRDefault="005B5769" w:rsidP="00323E53">
      <w:pPr>
        <w:pStyle w:val="ListBullet"/>
        <w:tabs>
          <w:tab w:val="clear" w:pos="284"/>
        </w:tabs>
        <w:spacing w:before="360" w:line="300" w:lineRule="exact"/>
        <w:rPr>
          <w:rFonts w:asciiTheme="minorHAnsi" w:eastAsiaTheme="majorEastAsia" w:hAnsiTheme="minorHAnsi" w:cstheme="minorHAnsi"/>
          <w:caps/>
          <w:color w:val="495965" w:themeColor="text2"/>
          <w:sz w:val="38"/>
          <w:szCs w:val="38"/>
          <w:lang w:val="en-GB" w:eastAsia="en-US"/>
        </w:rPr>
      </w:pPr>
      <w:r w:rsidRPr="00D26A54">
        <w:rPr>
          <w:rFonts w:asciiTheme="minorHAnsi" w:eastAsiaTheme="majorEastAsia" w:hAnsiTheme="minorHAnsi" w:cstheme="minorHAnsi"/>
          <w:caps/>
          <w:color w:val="495965" w:themeColor="text2"/>
          <w:sz w:val="38"/>
          <w:szCs w:val="38"/>
          <w:lang w:val="en-GB" w:eastAsia="en-US"/>
        </w:rPr>
        <w:t xml:space="preserve">Performance </w:t>
      </w:r>
      <w:r w:rsidR="006545B9" w:rsidRPr="00D26A54">
        <w:rPr>
          <w:rFonts w:asciiTheme="minorHAnsi" w:eastAsiaTheme="majorEastAsia" w:hAnsiTheme="minorHAnsi" w:cstheme="minorHAnsi"/>
          <w:caps/>
          <w:color w:val="495965" w:themeColor="text2"/>
          <w:sz w:val="38"/>
          <w:szCs w:val="38"/>
          <w:lang w:val="en-GB" w:eastAsia="en-US"/>
        </w:rPr>
        <w:t xml:space="preserve">TOWARDS aip </w:t>
      </w:r>
      <w:r w:rsidRPr="00D26A54">
        <w:rPr>
          <w:rFonts w:asciiTheme="minorHAnsi" w:eastAsiaTheme="majorEastAsia" w:hAnsiTheme="minorHAnsi" w:cstheme="minorHAnsi"/>
          <w:caps/>
          <w:color w:val="495965" w:themeColor="text2"/>
          <w:sz w:val="38"/>
          <w:szCs w:val="38"/>
          <w:lang w:val="en-GB" w:eastAsia="en-US"/>
        </w:rPr>
        <w:t>Objectives</w:t>
      </w:r>
    </w:p>
    <w:p w:rsidR="00323E53" w:rsidRPr="00D26A54" w:rsidRDefault="00323E53" w:rsidP="00323E53">
      <w:pPr>
        <w:rPr>
          <w:rFonts w:cstheme="minorHAnsi"/>
          <w:b/>
          <w:sz w:val="24"/>
        </w:rPr>
      </w:pPr>
      <w:r w:rsidRPr="00D26A54">
        <w:rPr>
          <w:rFonts w:cstheme="minorHAnsi"/>
          <w:b/>
          <w:sz w:val="24"/>
        </w:rPr>
        <w:t xml:space="preserve">Table </w:t>
      </w:r>
      <w:r w:rsidRPr="00D26A54">
        <w:rPr>
          <w:rFonts w:cstheme="minorHAnsi"/>
          <w:b/>
          <w:sz w:val="24"/>
        </w:rPr>
        <w:fldChar w:fldCharType="begin"/>
      </w:r>
      <w:r w:rsidRPr="00D26A54">
        <w:rPr>
          <w:rFonts w:cstheme="minorHAnsi"/>
          <w:b/>
          <w:sz w:val="24"/>
        </w:rPr>
        <w:instrText xml:space="preserve"> SEQ Table \* ARABIC </w:instrText>
      </w:r>
      <w:r w:rsidRPr="00D26A54">
        <w:rPr>
          <w:rFonts w:cstheme="minorHAnsi"/>
          <w:b/>
          <w:sz w:val="24"/>
        </w:rPr>
        <w:fldChar w:fldCharType="separate"/>
      </w:r>
      <w:r w:rsidR="00DE5B59">
        <w:rPr>
          <w:rFonts w:cstheme="minorHAnsi"/>
          <w:b/>
          <w:noProof/>
          <w:sz w:val="24"/>
        </w:rPr>
        <w:t>1</w:t>
      </w:r>
      <w:r w:rsidRPr="00D26A54">
        <w:rPr>
          <w:rFonts w:cstheme="minorHAnsi"/>
          <w:b/>
          <w:noProof/>
          <w:sz w:val="24"/>
        </w:rPr>
        <w:fldChar w:fldCharType="end"/>
      </w:r>
      <w:r w:rsidRPr="00D26A54">
        <w:rPr>
          <w:rFonts w:cstheme="minorHAnsi"/>
          <w:b/>
          <w:sz w:val="24"/>
        </w:rPr>
        <w:t xml:space="preserve"> Rating of the Program's Progress towards Australia’s Aid Objectives</w:t>
      </w:r>
    </w:p>
    <w:tbl>
      <w:tblPr>
        <w:tblStyle w:val="APPR"/>
        <w:tblW w:w="4928" w:type="pct"/>
        <w:tblLook w:val="0000" w:firstRow="0" w:lastRow="0" w:firstColumn="0" w:lastColumn="0" w:noHBand="0" w:noVBand="0"/>
      </w:tblPr>
      <w:tblGrid>
        <w:gridCol w:w="6664"/>
        <w:gridCol w:w="1416"/>
        <w:gridCol w:w="1419"/>
      </w:tblGrid>
      <w:tr w:rsidR="00BE70DF" w:rsidRPr="00D26A54" w:rsidTr="00436526">
        <w:trPr>
          <w:cnfStyle w:val="000000010000" w:firstRow="0" w:lastRow="0" w:firstColumn="0" w:lastColumn="0" w:oddVBand="0" w:evenVBand="0" w:oddHBand="0" w:evenHBand="1" w:firstRowFirstColumn="0" w:firstRowLastColumn="0" w:lastRowFirstColumn="0" w:lastRowLastColumn="0"/>
          <w:trHeight w:val="651"/>
        </w:trPr>
        <w:tc>
          <w:tcPr>
            <w:tcW w:w="6622" w:type="dxa"/>
          </w:tcPr>
          <w:p w:rsidR="00436526" w:rsidRPr="00D26A54" w:rsidRDefault="00436526" w:rsidP="00436526">
            <w:pPr>
              <w:pStyle w:val="TableTextColumnHeading"/>
              <w:ind w:left="0"/>
              <w:rPr>
                <w:rFonts w:asciiTheme="minorHAnsi" w:hAnsiTheme="minorHAnsi" w:cstheme="minorHAnsi"/>
                <w:color w:val="495965" w:themeColor="text2"/>
              </w:rPr>
            </w:pPr>
            <w:r w:rsidRPr="00D26A54">
              <w:rPr>
                <w:rFonts w:asciiTheme="minorHAnsi" w:hAnsiTheme="minorHAnsi" w:cstheme="minorHAnsi"/>
                <w:noProof/>
                <w:color w:val="495965" w:themeColor="text2"/>
              </w:rPr>
              <w:drawing>
                <wp:anchor distT="0" distB="0" distL="114300" distR="114300" simplePos="0" relativeHeight="251680768" behindDoc="0" locked="0" layoutInCell="1" allowOverlap="1" wp14:anchorId="2D2BA82E" wp14:editId="7EDFB2D7">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A54">
              <w:rPr>
                <w:rFonts w:asciiTheme="minorHAnsi" w:hAnsiTheme="minorHAnsi" w:cstheme="minorHAnsi"/>
                <w:color w:val="495965" w:themeColor="text2"/>
              </w:rPr>
              <w:t>Objective</w:t>
            </w:r>
          </w:p>
        </w:tc>
        <w:tc>
          <w:tcPr>
            <w:tcW w:w="1388" w:type="dxa"/>
          </w:tcPr>
          <w:p w:rsidR="00436526" w:rsidRPr="00D26A54" w:rsidRDefault="00436526" w:rsidP="00E65105">
            <w:pPr>
              <w:pStyle w:val="TableTextColumnHeading"/>
              <w:rPr>
                <w:rFonts w:asciiTheme="minorHAnsi" w:hAnsiTheme="minorHAnsi" w:cstheme="minorHAnsi"/>
                <w:color w:val="495965" w:themeColor="text2"/>
              </w:rPr>
            </w:pPr>
            <w:r w:rsidRPr="00D26A54">
              <w:rPr>
                <w:rFonts w:asciiTheme="minorHAnsi" w:hAnsiTheme="minorHAnsi" w:cstheme="minorHAnsi"/>
                <w:color w:val="495965" w:themeColor="text2"/>
              </w:rPr>
              <w:t>Previous Rating</w:t>
            </w:r>
          </w:p>
        </w:tc>
        <w:tc>
          <w:tcPr>
            <w:tcW w:w="1377" w:type="dxa"/>
          </w:tcPr>
          <w:p w:rsidR="00436526" w:rsidRPr="00D26A54" w:rsidRDefault="00436526" w:rsidP="00E65105">
            <w:pPr>
              <w:pStyle w:val="TableTextColumnHeading"/>
              <w:rPr>
                <w:rFonts w:asciiTheme="minorHAnsi" w:hAnsiTheme="minorHAnsi" w:cstheme="minorHAnsi"/>
                <w:color w:val="495965" w:themeColor="text2"/>
              </w:rPr>
            </w:pPr>
            <w:r w:rsidRPr="00D26A54">
              <w:rPr>
                <w:rFonts w:asciiTheme="minorHAnsi" w:hAnsiTheme="minorHAnsi" w:cstheme="minorHAnsi"/>
                <w:color w:val="495965" w:themeColor="text2"/>
              </w:rPr>
              <w:t>Current Rating</w:t>
            </w:r>
          </w:p>
        </w:tc>
      </w:tr>
      <w:tr w:rsidR="00BE70DF" w:rsidRPr="00D26A54" w:rsidTr="002D35BB">
        <w:trPr>
          <w:cnfStyle w:val="000000010000" w:firstRow="0" w:lastRow="0" w:firstColumn="0" w:lastColumn="0" w:oddVBand="0" w:evenVBand="0" w:oddHBand="0" w:evenHBand="1" w:firstRowFirstColumn="0" w:firstRowLastColumn="0" w:lastRowFirstColumn="0" w:lastRowLastColumn="0"/>
        </w:trPr>
        <w:tc>
          <w:tcPr>
            <w:tcW w:w="6622" w:type="dxa"/>
          </w:tcPr>
          <w:p w:rsidR="002D35BB" w:rsidRPr="00A071C2" w:rsidRDefault="002D35BB" w:rsidP="002D35BB">
            <w:pPr>
              <w:pStyle w:val="TableTextEntries"/>
              <w:rPr>
                <w:rFonts w:asciiTheme="minorHAnsi" w:eastAsiaTheme="minorHAnsi" w:hAnsiTheme="minorHAnsi" w:cstheme="minorBidi"/>
                <w:iCs w:val="0"/>
                <w:sz w:val="20"/>
                <w:szCs w:val="22"/>
                <w:lang w:val="en-GB" w:eastAsia="en-US"/>
              </w:rPr>
            </w:pPr>
            <w:r w:rsidRPr="00A071C2">
              <w:rPr>
                <w:rFonts w:asciiTheme="minorHAnsi" w:eastAsiaTheme="minorHAnsi" w:hAnsiTheme="minorHAnsi" w:cstheme="minorBidi"/>
                <w:iCs w:val="0"/>
                <w:sz w:val="20"/>
                <w:szCs w:val="22"/>
                <w:lang w:val="en-GB" w:eastAsia="en-US"/>
              </w:rPr>
              <w:t>1: Increased water, food and energy security in South Asia to facilitate economic growth and improve the livelihoods of the poor and vulnerable.</w:t>
            </w:r>
          </w:p>
        </w:tc>
        <w:tc>
          <w:tcPr>
            <w:tcW w:w="1388" w:type="dxa"/>
            <w:shd w:val="clear" w:color="auto" w:fill="72AF2F"/>
            <w:noWrap/>
          </w:tcPr>
          <w:p w:rsidR="002D35BB" w:rsidRPr="00A071C2" w:rsidRDefault="002D35BB" w:rsidP="002D35BB">
            <w:pPr>
              <w:pStyle w:val="TableTextEntries"/>
              <w:jc w:val="center"/>
              <w:rPr>
                <w:rFonts w:asciiTheme="minorHAnsi" w:eastAsiaTheme="minorHAnsi" w:hAnsiTheme="minorHAnsi" w:cstheme="minorBidi"/>
                <w:iCs w:val="0"/>
                <w:sz w:val="20"/>
                <w:szCs w:val="22"/>
                <w:lang w:val="en-GB" w:eastAsia="en-US"/>
              </w:rPr>
            </w:pPr>
            <w:r w:rsidRPr="00A071C2">
              <w:rPr>
                <w:rFonts w:asciiTheme="minorHAnsi" w:eastAsiaTheme="minorHAnsi" w:hAnsiTheme="minorHAnsi" w:cstheme="minorBidi"/>
                <w:iCs w:val="0"/>
                <w:sz w:val="20"/>
                <w:szCs w:val="22"/>
                <w:lang w:val="en-GB" w:eastAsia="en-US"/>
              </w:rPr>
              <w:t>Green</w:t>
            </w:r>
          </w:p>
        </w:tc>
        <w:tc>
          <w:tcPr>
            <w:tcW w:w="1377" w:type="dxa"/>
            <w:shd w:val="clear" w:color="auto" w:fill="7FB64D" w:themeFill="accent3" w:themeFillShade="BF"/>
            <w:noWrap/>
          </w:tcPr>
          <w:p w:rsidR="002D35BB" w:rsidRPr="00A071C2" w:rsidRDefault="002D35BB" w:rsidP="002D35BB">
            <w:pPr>
              <w:pStyle w:val="TableTextEntries"/>
              <w:jc w:val="center"/>
              <w:rPr>
                <w:rFonts w:asciiTheme="minorHAnsi" w:eastAsiaTheme="minorHAnsi" w:hAnsiTheme="minorHAnsi" w:cstheme="minorBidi"/>
                <w:iCs w:val="0"/>
                <w:sz w:val="20"/>
                <w:szCs w:val="22"/>
                <w:lang w:val="en-GB" w:eastAsia="en-US"/>
              </w:rPr>
            </w:pPr>
            <w:r w:rsidRPr="00A071C2">
              <w:rPr>
                <w:rFonts w:asciiTheme="minorHAnsi" w:eastAsiaTheme="minorHAnsi" w:hAnsiTheme="minorHAnsi" w:cstheme="minorBidi"/>
                <w:iCs w:val="0"/>
                <w:sz w:val="20"/>
                <w:szCs w:val="22"/>
                <w:lang w:val="en-GB" w:eastAsia="en-US"/>
              </w:rPr>
              <w:t>Green</w:t>
            </w:r>
            <w:r w:rsidR="00603E7E" w:rsidRPr="00A071C2">
              <w:rPr>
                <w:rFonts w:asciiTheme="minorHAnsi" w:eastAsiaTheme="minorHAnsi" w:hAnsiTheme="minorHAnsi" w:cstheme="minorBidi"/>
                <w:iCs w:val="0"/>
                <w:sz w:val="20"/>
                <w:szCs w:val="22"/>
                <w:lang w:val="en-GB" w:eastAsia="en-US"/>
              </w:rPr>
              <w:t xml:space="preserve"> </w:t>
            </w:r>
          </w:p>
        </w:tc>
      </w:tr>
      <w:tr w:rsidR="00BE70DF" w:rsidRPr="00D26A54" w:rsidTr="009A4762">
        <w:trPr>
          <w:cnfStyle w:val="000000010000" w:firstRow="0" w:lastRow="0" w:firstColumn="0" w:lastColumn="0" w:oddVBand="0" w:evenVBand="0" w:oddHBand="0" w:evenHBand="1" w:firstRowFirstColumn="0" w:firstRowLastColumn="0" w:lastRowFirstColumn="0" w:lastRowLastColumn="0"/>
        </w:trPr>
        <w:tc>
          <w:tcPr>
            <w:tcW w:w="6622" w:type="dxa"/>
          </w:tcPr>
          <w:p w:rsidR="002D35BB" w:rsidRPr="00A071C2" w:rsidRDefault="002D35BB" w:rsidP="002D35BB">
            <w:pPr>
              <w:pStyle w:val="TableTextEntries"/>
              <w:rPr>
                <w:rFonts w:asciiTheme="minorHAnsi" w:eastAsiaTheme="minorHAnsi" w:hAnsiTheme="minorHAnsi" w:cstheme="minorBidi"/>
                <w:iCs w:val="0"/>
                <w:sz w:val="20"/>
                <w:szCs w:val="22"/>
                <w:lang w:val="en-GB" w:eastAsia="en-US"/>
              </w:rPr>
            </w:pPr>
            <w:r w:rsidRPr="00A071C2">
              <w:rPr>
                <w:rFonts w:asciiTheme="minorHAnsi" w:eastAsiaTheme="minorHAnsi" w:hAnsiTheme="minorHAnsi" w:cstheme="minorBidi"/>
                <w:iCs w:val="0"/>
                <w:sz w:val="20"/>
                <w:szCs w:val="22"/>
                <w:lang w:val="en-GB" w:eastAsia="en-US"/>
              </w:rPr>
              <w:t xml:space="preserve">2: Increased regional connectivity through trade facilitation and infrastructure. </w:t>
            </w:r>
          </w:p>
        </w:tc>
        <w:tc>
          <w:tcPr>
            <w:tcW w:w="1388" w:type="dxa"/>
            <w:shd w:val="clear" w:color="auto" w:fill="7FB64D" w:themeFill="accent3" w:themeFillShade="BF"/>
            <w:noWrap/>
          </w:tcPr>
          <w:p w:rsidR="002D35BB" w:rsidRPr="00A071C2" w:rsidRDefault="002D35BB" w:rsidP="002D35BB">
            <w:pPr>
              <w:pStyle w:val="TableTextEntries"/>
              <w:jc w:val="center"/>
              <w:rPr>
                <w:rFonts w:asciiTheme="minorHAnsi" w:eastAsiaTheme="minorHAnsi" w:hAnsiTheme="minorHAnsi" w:cstheme="minorBidi"/>
                <w:iCs w:val="0"/>
                <w:sz w:val="20"/>
                <w:szCs w:val="22"/>
                <w:lang w:val="en-GB" w:eastAsia="en-US"/>
              </w:rPr>
            </w:pPr>
            <w:r w:rsidRPr="00A071C2">
              <w:rPr>
                <w:rFonts w:asciiTheme="minorHAnsi" w:eastAsiaTheme="minorHAnsi" w:hAnsiTheme="minorHAnsi" w:cstheme="minorBidi"/>
                <w:iCs w:val="0"/>
                <w:sz w:val="20"/>
                <w:szCs w:val="22"/>
                <w:lang w:val="en-GB" w:eastAsia="en-US"/>
              </w:rPr>
              <w:t>Green</w:t>
            </w:r>
          </w:p>
        </w:tc>
        <w:tc>
          <w:tcPr>
            <w:tcW w:w="1377" w:type="dxa"/>
            <w:shd w:val="clear" w:color="auto" w:fill="FF9900"/>
            <w:noWrap/>
          </w:tcPr>
          <w:p w:rsidR="002D35BB" w:rsidRPr="00A071C2" w:rsidRDefault="009A4762" w:rsidP="002D35BB">
            <w:pPr>
              <w:pStyle w:val="TableTextEntries"/>
              <w:jc w:val="center"/>
              <w:rPr>
                <w:rFonts w:asciiTheme="minorHAnsi" w:eastAsiaTheme="minorHAnsi" w:hAnsiTheme="minorHAnsi" w:cstheme="minorBidi"/>
                <w:iCs w:val="0"/>
                <w:sz w:val="20"/>
                <w:szCs w:val="22"/>
                <w:lang w:val="en-GB" w:eastAsia="en-US"/>
              </w:rPr>
            </w:pPr>
            <w:r w:rsidRPr="00A071C2">
              <w:rPr>
                <w:rFonts w:asciiTheme="minorHAnsi" w:eastAsiaTheme="minorHAnsi" w:hAnsiTheme="minorHAnsi" w:cstheme="minorBidi"/>
                <w:iCs w:val="0"/>
                <w:sz w:val="20"/>
                <w:szCs w:val="22"/>
                <w:lang w:val="en-GB" w:eastAsia="en-US"/>
              </w:rPr>
              <w:t>Amber</w:t>
            </w:r>
            <w:r w:rsidR="002D35BB" w:rsidRPr="00A071C2">
              <w:rPr>
                <w:rFonts w:asciiTheme="minorHAnsi" w:eastAsiaTheme="minorHAnsi" w:hAnsiTheme="minorHAnsi" w:cstheme="minorBidi"/>
                <w:iCs w:val="0"/>
                <w:sz w:val="20"/>
                <w:szCs w:val="22"/>
                <w:lang w:val="en-GB" w:eastAsia="en-US"/>
              </w:rPr>
              <w:t xml:space="preserve"> </w:t>
            </w:r>
          </w:p>
        </w:tc>
      </w:tr>
    </w:tbl>
    <w:p w:rsidR="00A071C2" w:rsidRPr="00E127D4" w:rsidRDefault="00A071C2" w:rsidP="00A071C2">
      <w:pPr>
        <w:pStyle w:val="Note"/>
        <w:rPr>
          <w:rFonts w:asciiTheme="minorHAnsi" w:hAnsiTheme="minorHAnsi"/>
        </w:rPr>
      </w:pPr>
      <w:r w:rsidRPr="00E127D4">
        <w:rPr>
          <w:rFonts w:asciiTheme="minorHAnsi" w:hAnsiTheme="minorHAnsi"/>
        </w:rPr>
        <w:t xml:space="preserve">Note: </w:t>
      </w:r>
    </w:p>
    <w:p w:rsidR="00A071C2" w:rsidRPr="00E127D4" w:rsidRDefault="00A071C2" w:rsidP="00A071C2">
      <w:pPr>
        <w:pStyle w:val="Note"/>
        <w:rPr>
          <w:rFonts w:asciiTheme="minorHAnsi" w:hAnsiTheme="minorHAnsi"/>
        </w:rPr>
      </w:pPr>
      <w:r w:rsidRPr="00E127D4">
        <w:rPr>
          <w:rFonts w:asciiTheme="minorHAnsi" w:hAnsiTheme="minorHAnsi"/>
          <w:color w:val="72AF2F"/>
        </w:rPr>
        <w:sym w:font="Webdings" w:char="F067"/>
      </w:r>
      <w:r w:rsidRPr="00E127D4">
        <w:rPr>
          <w:rFonts w:asciiTheme="minorHAnsi" w:hAnsiTheme="minorHAnsi"/>
        </w:rPr>
        <w:t> </w:t>
      </w:r>
      <w:r w:rsidRPr="00E127D4">
        <w:rPr>
          <w:rFonts w:asciiTheme="minorHAnsi" w:hAnsiTheme="minorHAnsi"/>
        </w:rPr>
        <w:t xml:space="preserve"> Green. Progress is as expected at this stage of implementation and it is likely that the objective will be achieved. Standard program management practices are sufficient.</w:t>
      </w:r>
    </w:p>
    <w:p w:rsidR="00A071C2" w:rsidRPr="00E127D4" w:rsidRDefault="00A071C2" w:rsidP="00A071C2">
      <w:pPr>
        <w:pStyle w:val="Note"/>
        <w:rPr>
          <w:rFonts w:asciiTheme="minorHAnsi" w:hAnsiTheme="minorHAnsi"/>
        </w:rPr>
      </w:pPr>
      <w:r w:rsidRPr="00E127D4">
        <w:rPr>
          <w:rFonts w:asciiTheme="minorHAnsi" w:hAnsiTheme="minorHAnsi"/>
          <w:color w:val="E36C0A"/>
        </w:rPr>
        <w:sym w:font="Webdings" w:char="F067"/>
      </w:r>
      <w:r w:rsidRPr="00E127D4">
        <w:rPr>
          <w:rFonts w:asciiTheme="minorHAnsi" w:hAnsiTheme="minorHAnsi"/>
        </w:rPr>
        <w:t> </w:t>
      </w:r>
      <w:r w:rsidRPr="00E127D4">
        <w:rPr>
          <w:rFonts w:asciiTheme="minorHAnsi" w:hAnsiTheme="minorHAnsi"/>
        </w:rPr>
        <w:t xml:space="preserve"> Amber. Progress is somewhat less than expected at this stage of implementation and restorative action will be necessary if the objective is to be achieved. Close performance monitoring is recommended.</w:t>
      </w:r>
    </w:p>
    <w:p w:rsidR="00A071C2" w:rsidRPr="00E127D4" w:rsidRDefault="00A071C2" w:rsidP="00A071C2">
      <w:pPr>
        <w:pStyle w:val="Note"/>
        <w:rPr>
          <w:rFonts w:asciiTheme="minorHAnsi" w:hAnsiTheme="minorHAnsi"/>
        </w:rPr>
      </w:pPr>
      <w:r w:rsidRPr="00E127D4">
        <w:rPr>
          <w:rFonts w:asciiTheme="minorHAnsi" w:hAnsiTheme="minorHAnsi"/>
          <w:color w:val="FF0000"/>
        </w:rPr>
        <w:sym w:font="Webdings" w:char="F067"/>
      </w:r>
      <w:r w:rsidRPr="00E127D4">
        <w:rPr>
          <w:rFonts w:asciiTheme="minorHAnsi" w:hAnsiTheme="minorHAnsi"/>
        </w:rPr>
        <w:t> </w:t>
      </w:r>
      <w:r w:rsidRPr="00E127D4">
        <w:rPr>
          <w:rFonts w:asciiTheme="minorHAnsi" w:hAnsiTheme="minorHAnsi"/>
        </w:rPr>
        <w:t xml:space="preserve"> Red. Progress is significantly less than expected at this stage of implementation and the objective is not likely to be met given available resources and priorities. Recasting the objective may be required.</w:t>
      </w:r>
    </w:p>
    <w:p w:rsidR="00A071C2" w:rsidRDefault="00AB7E94" w:rsidP="00AB7E94">
      <w:pPr>
        <w:pStyle w:val="Note"/>
        <w:rPr>
          <w:rFonts w:asciiTheme="minorHAnsi" w:hAnsiTheme="minorHAnsi" w:cstheme="minorHAnsi"/>
          <w:color w:val="495965" w:themeColor="text2"/>
        </w:rPr>
      </w:pPr>
      <w:r w:rsidRPr="00D26A54">
        <w:rPr>
          <w:rFonts w:asciiTheme="minorHAnsi" w:hAnsiTheme="minorHAnsi" w:cstheme="minorHAnsi"/>
          <w:color w:val="495965" w:themeColor="text2"/>
        </w:rPr>
        <w:t xml:space="preserve">  </w:t>
      </w:r>
      <w:r w:rsidR="005B5769" w:rsidRPr="00D26A54">
        <w:rPr>
          <w:rFonts w:asciiTheme="minorHAnsi" w:hAnsiTheme="minorHAnsi" w:cstheme="minorHAnsi"/>
          <w:color w:val="495965" w:themeColor="text2"/>
        </w:rPr>
        <w:t xml:space="preserve"> </w:t>
      </w:r>
    </w:p>
    <w:p w:rsidR="00A071C2" w:rsidRDefault="00A071C2">
      <w:pPr>
        <w:suppressAutoHyphens w:val="0"/>
        <w:spacing w:before="0" w:after="120" w:line="440" w:lineRule="atLeast"/>
        <w:rPr>
          <w:rFonts w:eastAsia="Times New Roman" w:cstheme="minorHAnsi"/>
          <w:sz w:val="14"/>
          <w:szCs w:val="14"/>
          <w:lang w:val="en-AU" w:eastAsia="en-AU"/>
        </w:rPr>
      </w:pPr>
      <w:r>
        <w:rPr>
          <w:rFonts w:cstheme="minorHAnsi"/>
        </w:rPr>
        <w:br w:type="page"/>
      </w:r>
    </w:p>
    <w:tbl>
      <w:tblPr>
        <w:tblStyle w:val="TableGrid1"/>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23"/>
        <w:gridCol w:w="236"/>
        <w:gridCol w:w="236"/>
        <w:gridCol w:w="236"/>
        <w:gridCol w:w="236"/>
      </w:tblGrid>
      <w:tr w:rsidR="00BE70DF" w:rsidRPr="00D26A54" w:rsidTr="00802CC8">
        <w:tc>
          <w:tcPr>
            <w:tcW w:w="8753" w:type="dxa"/>
            <w:hideMark/>
          </w:tcPr>
          <w:p w:rsidR="00C150BD" w:rsidRPr="00201A1E" w:rsidRDefault="00802CC8" w:rsidP="00802CC8">
            <w:pPr>
              <w:spacing w:before="240"/>
              <w:rPr>
                <w:rFonts w:eastAsiaTheme="majorEastAsia" w:cstheme="minorHAnsi"/>
                <w:caps/>
                <w:sz w:val="32"/>
                <w:szCs w:val="32"/>
              </w:rPr>
            </w:pPr>
            <w:r w:rsidRPr="00D26A54">
              <w:rPr>
                <w:rFonts w:cstheme="minorHAnsi"/>
                <w:noProof/>
                <w:lang w:val="en-AU" w:eastAsia="en-AU"/>
              </w:rPr>
              <mc:AlternateContent>
                <mc:Choice Requires="wps">
                  <w:drawing>
                    <wp:anchor distT="45720" distB="45720" distL="114300" distR="114300" simplePos="0" relativeHeight="251658239" behindDoc="1" locked="0" layoutInCell="1" allowOverlap="1" wp14:anchorId="66DCE2E8" wp14:editId="3A60CBB0">
                      <wp:simplePos x="0" y="0"/>
                      <wp:positionH relativeFrom="margin">
                        <wp:posOffset>-68580</wp:posOffset>
                      </wp:positionH>
                      <wp:positionV relativeFrom="paragraph">
                        <wp:posOffset>977900</wp:posOffset>
                      </wp:positionV>
                      <wp:extent cx="5920740" cy="930275"/>
                      <wp:effectExtent l="0" t="0" r="0" b="3175"/>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0275"/>
                              </a:xfrm>
                              <a:prstGeom prst="rect">
                                <a:avLst/>
                              </a:prstGeom>
                              <a:noFill/>
                              <a:ln w="9525">
                                <a:noFill/>
                                <a:miter lim="800000"/>
                                <a:headEnd/>
                                <a:tailEnd/>
                              </a:ln>
                            </wps:spPr>
                            <wps:txbx>
                              <w:txbxContent>
                                <w:p w:rsidR="008414EC" w:rsidRDefault="008414EC" w:rsidP="00C150BD">
                                  <w:pPr>
                                    <w:spacing w:before="240"/>
                                    <w:rPr>
                                      <w:color w:val="auto"/>
                                    </w:rPr>
                                  </w:pPr>
                                  <w:r>
                                    <w:rPr>
                                      <w:noProof/>
                                      <w:color w:val="auto"/>
                                      <w:sz w:val="20"/>
                                      <w:szCs w:val="20"/>
                                      <w:lang w:val="en-AU" w:eastAsia="en-AU"/>
                                    </w:rPr>
                                    <w:drawing>
                                      <wp:inline distT="0" distB="0" distL="0" distR="0" wp14:anchorId="40C0F27A" wp14:editId="45230D0F">
                                        <wp:extent cx="1123950" cy="66675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66675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6CB8D103" wp14:editId="093754C2">
                                        <wp:extent cx="609600" cy="60960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2ABB42E9" wp14:editId="6D02B377">
                                        <wp:extent cx="609600" cy="609600"/>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1BABDFBB" wp14:editId="2BB2DA62">
                                        <wp:extent cx="609600" cy="609600"/>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0770A617" wp14:editId="07A07496">
                                        <wp:extent cx="609600" cy="609600"/>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31A542C2" wp14:editId="2BFEE305">
                                        <wp:extent cx="609600" cy="60960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6C5808C9" wp14:editId="0855FC49">
                                        <wp:extent cx="609600" cy="60960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C326A">
                                    <w:rPr>
                                      <w:lang w:eastAsia="en-AU"/>
                                    </w:rPr>
                                    <w:t xml:space="preserve"> </w:t>
                                  </w:r>
                                  <w:r>
                                    <w:rPr>
                                      <w:noProof/>
                                      <w:lang w:val="en-AU" w:eastAsia="en-AU"/>
                                    </w:rPr>
                                    <w:drawing>
                                      <wp:inline distT="0" distB="0" distL="0" distR="0" wp14:anchorId="65BC3A55" wp14:editId="0116C977">
                                        <wp:extent cx="609600" cy="60960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414EC" w:rsidRDefault="008414EC" w:rsidP="00C15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CE2E8" id="_x0000_t202" coordsize="21600,21600" o:spt="202" path="m,l,21600r21600,l21600,xe">
                      <v:stroke joinstyle="miter"/>
                      <v:path gradientshapeok="t" o:connecttype="rect"/>
                    </v:shapetype>
                    <v:shape id="Text Box 44" o:spid="_x0000_s1026" type="#_x0000_t202" style="position:absolute;margin-left:-5.4pt;margin-top:77pt;width:466.2pt;height:73.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" filled="f" stroked="f">
                      <v:textbox>
                        <w:txbxContent>
                          <w:p w:rsidR="008414EC" w:rsidRDefault="008414EC" w:rsidP="00C150BD">
                            <w:pPr>
                              <w:spacing w:before="240"/>
                              <w:rPr>
                                <w:color w:val="auto"/>
                              </w:rPr>
                            </w:pPr>
                            <w:r>
                              <w:rPr>
                                <w:noProof/>
                                <w:color w:val="auto"/>
                                <w:sz w:val="20"/>
                                <w:szCs w:val="20"/>
                                <w:lang w:val="en-AU" w:eastAsia="en-AU"/>
                              </w:rPr>
                              <w:drawing>
                                <wp:inline distT="0" distB="0" distL="0" distR="0" wp14:anchorId="40C0F27A" wp14:editId="45230D0F">
                                  <wp:extent cx="1123950" cy="66675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3950" cy="66675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6CB8D103" wp14:editId="093754C2">
                                  <wp:extent cx="609600" cy="60960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2ABB42E9" wp14:editId="6D02B377">
                                  <wp:extent cx="609600" cy="609600"/>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1BABDFBB" wp14:editId="2BB2DA62">
                                  <wp:extent cx="609600" cy="609600"/>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0770A617" wp14:editId="07A07496">
                                  <wp:extent cx="609600" cy="609600"/>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31A542C2" wp14:editId="2BFEE305">
                                  <wp:extent cx="609600" cy="60960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color w:val="auto"/>
                                <w:lang w:val="en-AU" w:eastAsia="en-AU"/>
                              </w:rPr>
                              <w:t xml:space="preserve"> </w:t>
                            </w:r>
                            <w:r>
                              <w:rPr>
                                <w:noProof/>
                                <w:color w:val="auto"/>
                                <w:sz w:val="20"/>
                                <w:szCs w:val="20"/>
                                <w:lang w:val="en-AU" w:eastAsia="en-AU"/>
                              </w:rPr>
                              <w:drawing>
                                <wp:inline distT="0" distB="0" distL="0" distR="0" wp14:anchorId="6C5808C9" wp14:editId="0855FC49">
                                  <wp:extent cx="609600" cy="60960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C326A">
                              <w:rPr>
                                <w:lang w:eastAsia="en-AU"/>
                              </w:rPr>
                              <w:t xml:space="preserve"> </w:t>
                            </w:r>
                            <w:r>
                              <w:rPr>
                                <w:noProof/>
                                <w:lang w:val="en-AU" w:eastAsia="en-AU"/>
                              </w:rPr>
                              <w:drawing>
                                <wp:inline distT="0" distB="0" distL="0" distR="0" wp14:anchorId="65BC3A55" wp14:editId="0116C977">
                                  <wp:extent cx="609600" cy="60960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414EC" w:rsidRDefault="008414EC" w:rsidP="00C150BD"/>
                        </w:txbxContent>
                      </v:textbox>
                      <w10:wrap type="square" anchorx="margin"/>
                    </v:shape>
                  </w:pict>
                </mc:Fallback>
              </mc:AlternateContent>
            </w:r>
            <w:r w:rsidR="00E206FF" w:rsidRPr="00D26A54">
              <w:rPr>
                <w:rFonts w:cstheme="minorHAnsi"/>
              </w:rPr>
              <w:br w:type="page"/>
            </w:r>
            <w:r w:rsidR="00C150BD" w:rsidRPr="00D26A54">
              <w:rPr>
                <w:rFonts w:cstheme="minorHAnsi"/>
              </w:rPr>
              <w:br w:type="page"/>
            </w:r>
            <w:r w:rsidR="00C150BD" w:rsidRPr="00D26A54">
              <w:rPr>
                <w:rFonts w:cstheme="minorHAnsi"/>
              </w:rPr>
              <w:br w:type="page"/>
            </w:r>
            <w:r w:rsidR="00C150BD" w:rsidRPr="00201A1E">
              <w:rPr>
                <w:rFonts w:eastAsiaTheme="majorEastAsia" w:cstheme="minorHAnsi"/>
                <w:caps/>
                <w:sz w:val="32"/>
                <w:szCs w:val="32"/>
              </w:rPr>
              <w:t>Objective 1: Increased Water, food and energy security in south asia to facilitate economic growth and improve the livelihoods of the poor and vulnerable</w:t>
            </w:r>
          </w:p>
          <w:p w:rsidR="00017F9C" w:rsidRDefault="00C150BD" w:rsidP="001E2201">
            <w:pPr>
              <w:rPr>
                <w:color w:val="auto"/>
              </w:rPr>
            </w:pPr>
            <w:r w:rsidRPr="00A071C2">
              <w:rPr>
                <w:color w:val="auto"/>
              </w:rPr>
              <w:t xml:space="preserve">The Sustainable Development Investment Portfolio (SDIP) contributes to the Sustainable Development Goals for poverty, </w:t>
            </w:r>
            <w:r w:rsidR="00345882">
              <w:rPr>
                <w:color w:val="auto"/>
              </w:rPr>
              <w:t xml:space="preserve">zero hunger, </w:t>
            </w:r>
            <w:r w:rsidRPr="00A071C2">
              <w:rPr>
                <w:color w:val="auto"/>
              </w:rPr>
              <w:t>gender equality, clean water and sanitation, affordable and clean energy</w:t>
            </w:r>
            <w:r w:rsidR="00345882">
              <w:rPr>
                <w:color w:val="auto"/>
              </w:rPr>
              <w:t>,</w:t>
            </w:r>
            <w:r w:rsidRPr="00A071C2">
              <w:rPr>
                <w:color w:val="auto"/>
              </w:rPr>
              <w:t xml:space="preserve"> climate action</w:t>
            </w:r>
            <w:r w:rsidR="00345882">
              <w:rPr>
                <w:color w:val="auto"/>
              </w:rPr>
              <w:t xml:space="preserve"> and partnerships</w:t>
            </w:r>
            <w:r w:rsidRPr="00A071C2">
              <w:rPr>
                <w:color w:val="auto"/>
              </w:rPr>
              <w:t xml:space="preserve">. The SDIP is the only program under this objective. It is rated green, </w:t>
            </w:r>
            <w:r w:rsidR="009A4762" w:rsidRPr="00A071C2">
              <w:rPr>
                <w:color w:val="auto"/>
              </w:rPr>
              <w:t>as</w:t>
            </w:r>
            <w:r w:rsidRPr="00A071C2">
              <w:rPr>
                <w:color w:val="auto"/>
              </w:rPr>
              <w:t xml:space="preserve"> it has mostly met </w:t>
            </w:r>
            <w:r w:rsidR="00342E47" w:rsidRPr="00A071C2">
              <w:rPr>
                <w:color w:val="auto"/>
              </w:rPr>
              <w:t>the</w:t>
            </w:r>
            <w:r w:rsidR="00010488" w:rsidRPr="00A071C2">
              <w:rPr>
                <w:color w:val="auto"/>
              </w:rPr>
              <w:t xml:space="preserve"> performance</w:t>
            </w:r>
            <w:r w:rsidR="00342E47" w:rsidRPr="00A071C2">
              <w:rPr>
                <w:color w:val="auto"/>
              </w:rPr>
              <w:t xml:space="preserve"> </w:t>
            </w:r>
            <w:r w:rsidR="00010488" w:rsidRPr="00A071C2">
              <w:rPr>
                <w:color w:val="auto"/>
              </w:rPr>
              <w:t>benchmarks outlined in its Performance Assessment F</w:t>
            </w:r>
            <w:r w:rsidRPr="00A071C2">
              <w:rPr>
                <w:color w:val="auto"/>
              </w:rPr>
              <w:t>ramework</w:t>
            </w:r>
            <w:r w:rsidR="00010488" w:rsidRPr="00A071C2">
              <w:rPr>
                <w:color w:val="auto"/>
              </w:rPr>
              <w:t xml:space="preserve"> (PAF)</w:t>
            </w:r>
            <w:r w:rsidRPr="00A071C2">
              <w:rPr>
                <w:color w:val="auto"/>
              </w:rPr>
              <w:t xml:space="preserve">. </w:t>
            </w:r>
            <w:r w:rsidR="00010488" w:rsidRPr="00A071C2">
              <w:rPr>
                <w:color w:val="auto"/>
              </w:rPr>
              <w:t>Benchmark indicators are grouped into</w:t>
            </w:r>
            <w:r w:rsidRPr="00A071C2">
              <w:rPr>
                <w:color w:val="auto"/>
              </w:rPr>
              <w:t xml:space="preserve"> six key </w:t>
            </w:r>
            <w:r w:rsidR="002B424F">
              <w:rPr>
                <w:color w:val="auto"/>
              </w:rPr>
              <w:t>focus</w:t>
            </w:r>
            <w:r w:rsidR="003F506B" w:rsidRPr="00A071C2">
              <w:rPr>
                <w:color w:val="auto"/>
              </w:rPr>
              <w:t xml:space="preserve"> areas: </w:t>
            </w:r>
          </w:p>
          <w:p w:rsidR="00017F9C" w:rsidRDefault="00017F9C" w:rsidP="00017F9C">
            <w:pPr>
              <w:pStyle w:val="ListParagraph"/>
              <w:numPr>
                <w:ilvl w:val="0"/>
                <w:numId w:val="20"/>
              </w:numPr>
              <w:rPr>
                <w:color w:val="auto"/>
              </w:rPr>
            </w:pPr>
            <w:r>
              <w:rPr>
                <w:color w:val="auto"/>
              </w:rPr>
              <w:t>I</w:t>
            </w:r>
            <w:r w:rsidR="002B424F" w:rsidRPr="00017F9C">
              <w:rPr>
                <w:color w:val="auto"/>
              </w:rPr>
              <w:t>nstitutional capacity in water resource management</w:t>
            </w:r>
            <w:r w:rsidR="00587A61" w:rsidRPr="00017F9C">
              <w:rPr>
                <w:color w:val="auto"/>
              </w:rPr>
              <w:t xml:space="preserve">; </w:t>
            </w:r>
          </w:p>
          <w:p w:rsidR="00017F9C" w:rsidRDefault="00017F9C" w:rsidP="00017F9C">
            <w:pPr>
              <w:pStyle w:val="ListParagraph"/>
              <w:numPr>
                <w:ilvl w:val="0"/>
                <w:numId w:val="20"/>
              </w:numPr>
              <w:rPr>
                <w:color w:val="auto"/>
              </w:rPr>
            </w:pPr>
            <w:r>
              <w:rPr>
                <w:color w:val="auto"/>
              </w:rPr>
              <w:t>C</w:t>
            </w:r>
            <w:r w:rsidR="002B424F" w:rsidRPr="00017F9C">
              <w:rPr>
                <w:color w:val="auto"/>
              </w:rPr>
              <w:t xml:space="preserve">ross-border management of floods and other water-related disasters; </w:t>
            </w:r>
          </w:p>
          <w:p w:rsidR="00017F9C" w:rsidRDefault="00017F9C" w:rsidP="00017F9C">
            <w:pPr>
              <w:pStyle w:val="ListParagraph"/>
              <w:numPr>
                <w:ilvl w:val="0"/>
                <w:numId w:val="20"/>
              </w:numPr>
              <w:rPr>
                <w:color w:val="auto"/>
              </w:rPr>
            </w:pPr>
            <w:r>
              <w:rPr>
                <w:color w:val="auto"/>
              </w:rPr>
              <w:t>I</w:t>
            </w:r>
            <w:r w:rsidR="002B424F" w:rsidRPr="00017F9C">
              <w:rPr>
                <w:color w:val="auto"/>
              </w:rPr>
              <w:t>mproved understanding of water-energy-food systems</w:t>
            </w:r>
            <w:r>
              <w:rPr>
                <w:color w:val="auto"/>
              </w:rPr>
              <w:t xml:space="preserve"> and the linkages between them;</w:t>
            </w:r>
          </w:p>
          <w:p w:rsidR="00017F9C" w:rsidRDefault="00017F9C" w:rsidP="00017F9C">
            <w:pPr>
              <w:pStyle w:val="ListParagraph"/>
              <w:numPr>
                <w:ilvl w:val="0"/>
                <w:numId w:val="20"/>
              </w:numPr>
              <w:rPr>
                <w:color w:val="auto"/>
              </w:rPr>
            </w:pPr>
            <w:r>
              <w:rPr>
                <w:color w:val="auto"/>
              </w:rPr>
              <w:t>U</w:t>
            </w:r>
            <w:r w:rsidR="002B424F" w:rsidRPr="00017F9C">
              <w:rPr>
                <w:color w:val="auto"/>
              </w:rPr>
              <w:t>ptake and scaling of sustainable food systems</w:t>
            </w:r>
            <w:r w:rsidR="00587A61" w:rsidRPr="00017F9C">
              <w:rPr>
                <w:color w:val="auto"/>
              </w:rPr>
              <w:t xml:space="preserve">; </w:t>
            </w:r>
            <w:r w:rsidR="002B424F" w:rsidRPr="00017F9C">
              <w:rPr>
                <w:color w:val="auto"/>
              </w:rPr>
              <w:t xml:space="preserve">and </w:t>
            </w:r>
          </w:p>
          <w:p w:rsidR="00017F9C" w:rsidRDefault="00017F9C" w:rsidP="00017F9C">
            <w:pPr>
              <w:pStyle w:val="ListParagraph"/>
              <w:numPr>
                <w:ilvl w:val="0"/>
                <w:numId w:val="20"/>
              </w:numPr>
              <w:rPr>
                <w:color w:val="auto"/>
              </w:rPr>
            </w:pPr>
            <w:r>
              <w:rPr>
                <w:color w:val="auto"/>
              </w:rPr>
              <w:t>I</w:t>
            </w:r>
            <w:r w:rsidR="00587A61" w:rsidRPr="00017F9C">
              <w:rPr>
                <w:color w:val="auto"/>
              </w:rPr>
              <w:t>nnovative investment in renewable energy and resource efficiency measures.</w:t>
            </w:r>
            <w:r w:rsidR="00342E47" w:rsidRPr="00017F9C">
              <w:rPr>
                <w:color w:val="auto"/>
              </w:rPr>
              <w:t xml:space="preserve"> </w:t>
            </w:r>
          </w:p>
          <w:p w:rsidR="00587A61" w:rsidRPr="00017F9C" w:rsidRDefault="004800BE" w:rsidP="00017F9C">
            <w:pPr>
              <w:rPr>
                <w:color w:val="auto"/>
              </w:rPr>
            </w:pPr>
            <w:r>
              <w:rPr>
                <w:color w:val="auto"/>
              </w:rPr>
              <w:t>The basis for measuring performance was progress against the six performance indicators using an a</w:t>
            </w:r>
            <w:r w:rsidR="00AB740E">
              <w:rPr>
                <w:color w:val="auto"/>
              </w:rPr>
              <w:t xml:space="preserve">daptive management </w:t>
            </w:r>
            <w:r>
              <w:rPr>
                <w:color w:val="auto"/>
              </w:rPr>
              <w:t>approach</w:t>
            </w:r>
            <w:r w:rsidR="00AB740E">
              <w:rPr>
                <w:color w:val="auto"/>
              </w:rPr>
              <w:t xml:space="preserve">. This </w:t>
            </w:r>
            <w:r>
              <w:rPr>
                <w:color w:val="auto"/>
              </w:rPr>
              <w:t xml:space="preserve">approach </w:t>
            </w:r>
            <w:r w:rsidR="006F12AA">
              <w:rPr>
                <w:color w:val="auto"/>
              </w:rPr>
              <w:t>allows</w:t>
            </w:r>
            <w:r>
              <w:rPr>
                <w:color w:val="auto"/>
              </w:rPr>
              <w:t xml:space="preserve"> performance benchmarks </w:t>
            </w:r>
            <w:r w:rsidR="006F12AA">
              <w:rPr>
                <w:color w:val="auto"/>
              </w:rPr>
              <w:t xml:space="preserve">to be revised during implementation in response to </w:t>
            </w:r>
            <w:r>
              <w:rPr>
                <w:color w:val="auto"/>
              </w:rPr>
              <w:t>complex operating environment</w:t>
            </w:r>
            <w:r w:rsidR="006F12AA">
              <w:rPr>
                <w:color w:val="auto"/>
              </w:rPr>
              <w:t>s</w:t>
            </w:r>
            <w:r>
              <w:rPr>
                <w:color w:val="auto"/>
              </w:rPr>
              <w:t xml:space="preserve">. </w:t>
            </w:r>
            <w:r w:rsidR="00FE6574" w:rsidRPr="00017F9C">
              <w:rPr>
                <w:color w:val="auto"/>
              </w:rPr>
              <w:t>During the reporting period, progress was particularly strong against indicators related to strengthened capacity for water resource management, renewable energy access and efficiency and the development of climate change research.</w:t>
            </w:r>
          </w:p>
          <w:p w:rsidR="00C150BD" w:rsidRPr="00A071C2" w:rsidRDefault="003F506B" w:rsidP="00587A61">
            <w:pPr>
              <w:suppressAutoHyphens w:val="0"/>
              <w:spacing w:before="40" w:after="40" w:line="200" w:lineRule="atLeast"/>
              <w:rPr>
                <w:color w:val="auto"/>
              </w:rPr>
            </w:pPr>
            <w:r w:rsidRPr="00A071C2">
              <w:rPr>
                <w:color w:val="auto"/>
              </w:rPr>
              <w:t xml:space="preserve">Key achievements </w:t>
            </w:r>
            <w:r w:rsidR="00302129" w:rsidRPr="00A071C2">
              <w:rPr>
                <w:color w:val="auto"/>
              </w:rPr>
              <w:t>record</w:t>
            </w:r>
            <w:r w:rsidR="001E2201">
              <w:rPr>
                <w:color w:val="auto"/>
              </w:rPr>
              <w:t>ed in 2018-19 include:</w:t>
            </w:r>
          </w:p>
          <w:p w:rsidR="00AE5618" w:rsidRDefault="008414EC" w:rsidP="003B32B0">
            <w:pPr>
              <w:pStyle w:val="ListParagraph"/>
              <w:numPr>
                <w:ilvl w:val="0"/>
                <w:numId w:val="16"/>
              </w:numPr>
              <w:suppressAutoHyphens w:val="0"/>
              <w:spacing w:before="40" w:after="40" w:line="200" w:lineRule="atLeast"/>
              <w:rPr>
                <w:color w:val="auto"/>
              </w:rPr>
            </w:pPr>
            <w:r>
              <w:rPr>
                <w:color w:val="auto"/>
              </w:rPr>
              <w:t>The International Finance Corporation (</w:t>
            </w:r>
            <w:r w:rsidR="00AE5618">
              <w:rPr>
                <w:color w:val="auto"/>
              </w:rPr>
              <w:t>IFC</w:t>
            </w:r>
            <w:r>
              <w:rPr>
                <w:color w:val="auto"/>
              </w:rPr>
              <w:t>)</w:t>
            </w:r>
            <w:r w:rsidR="00AE5618">
              <w:rPr>
                <w:color w:val="auto"/>
              </w:rPr>
              <w:t xml:space="preserve"> </w:t>
            </w:r>
            <w:r w:rsidR="00132151">
              <w:rPr>
                <w:color w:val="auto"/>
              </w:rPr>
              <w:t>is</w:t>
            </w:r>
            <w:r w:rsidR="00AE5618">
              <w:rPr>
                <w:color w:val="auto"/>
              </w:rPr>
              <w:t xml:space="preserve"> support</w:t>
            </w:r>
            <w:r w:rsidR="00132151">
              <w:rPr>
                <w:color w:val="auto"/>
              </w:rPr>
              <w:t>ing</w:t>
            </w:r>
            <w:r w:rsidR="00AE5618">
              <w:rPr>
                <w:color w:val="auto"/>
              </w:rPr>
              <w:t xml:space="preserve"> India to progress</w:t>
            </w:r>
            <w:r w:rsidR="00017F9C">
              <w:rPr>
                <w:color w:val="auto"/>
              </w:rPr>
              <w:t xml:space="preserve"> towards its</w:t>
            </w:r>
            <w:r w:rsidR="00AE5618">
              <w:rPr>
                <w:color w:val="auto"/>
              </w:rPr>
              <w:t xml:space="preserve"> renewable energy generation targets. </w:t>
            </w:r>
            <w:r w:rsidR="00017F9C">
              <w:rPr>
                <w:color w:val="auto"/>
              </w:rPr>
              <w:t>SDIP helped the IFC to mobilise</w:t>
            </w:r>
            <w:r w:rsidR="00082F24">
              <w:rPr>
                <w:color w:val="auto"/>
              </w:rPr>
              <w:t xml:space="preserve"> US$</w:t>
            </w:r>
            <w:r w:rsidR="00AE5618">
              <w:rPr>
                <w:color w:val="auto"/>
              </w:rPr>
              <w:t>570 million in private investment for the world’s largest grid-connected solar power facility</w:t>
            </w:r>
            <w:r w:rsidR="00017F9C">
              <w:rPr>
                <w:color w:val="auto"/>
              </w:rPr>
              <w:t xml:space="preserve"> by efficiently creating a market</w:t>
            </w:r>
            <w:r w:rsidR="00AE5618">
              <w:rPr>
                <w:color w:val="auto"/>
              </w:rPr>
              <w:t xml:space="preserve">. The model </w:t>
            </w:r>
            <w:r w:rsidR="00132151" w:rsidRPr="00132151">
              <w:rPr>
                <w:color w:val="auto"/>
              </w:rPr>
              <w:t>stimulated an additional 1500</w:t>
            </w:r>
            <w:r>
              <w:rPr>
                <w:color w:val="auto"/>
              </w:rPr>
              <w:t xml:space="preserve"> megawatts (</w:t>
            </w:r>
            <w:r w:rsidR="00132151" w:rsidRPr="00132151">
              <w:rPr>
                <w:color w:val="auto"/>
              </w:rPr>
              <w:t>MW</w:t>
            </w:r>
            <w:r>
              <w:rPr>
                <w:color w:val="auto"/>
              </w:rPr>
              <w:t>)</w:t>
            </w:r>
            <w:r w:rsidR="00132151" w:rsidRPr="00132151">
              <w:rPr>
                <w:color w:val="auto"/>
              </w:rPr>
              <w:t xml:space="preserve"> in other </w:t>
            </w:r>
            <w:r w:rsidR="00017F9C" w:rsidRPr="00132151">
              <w:rPr>
                <w:color w:val="auto"/>
              </w:rPr>
              <w:t>projects</w:t>
            </w:r>
            <w:r w:rsidR="00017F9C">
              <w:rPr>
                <w:color w:val="auto"/>
              </w:rPr>
              <w:t xml:space="preserve"> that</w:t>
            </w:r>
            <w:r w:rsidR="00132151">
              <w:rPr>
                <w:color w:val="auto"/>
              </w:rPr>
              <w:t xml:space="preserve"> </w:t>
            </w:r>
            <w:r w:rsidR="00017F9C">
              <w:rPr>
                <w:color w:val="auto"/>
              </w:rPr>
              <w:t>leveraged</w:t>
            </w:r>
            <w:r w:rsidR="00082F24">
              <w:rPr>
                <w:color w:val="auto"/>
              </w:rPr>
              <w:t xml:space="preserve"> US$</w:t>
            </w:r>
            <w:r w:rsidR="00132151" w:rsidRPr="00132151">
              <w:rPr>
                <w:color w:val="auto"/>
              </w:rPr>
              <w:t>900 million</w:t>
            </w:r>
            <w:r w:rsidR="00090482">
              <w:rPr>
                <w:color w:val="auto"/>
              </w:rPr>
              <w:t>.</w:t>
            </w:r>
            <w:r w:rsidR="00FE6574">
              <w:rPr>
                <w:color w:val="auto"/>
              </w:rPr>
              <w:t xml:space="preserve"> </w:t>
            </w:r>
          </w:p>
          <w:p w:rsidR="00587A61" w:rsidRPr="00FB0881" w:rsidRDefault="00CF1545" w:rsidP="00FB0881">
            <w:pPr>
              <w:pStyle w:val="ListParagraph"/>
              <w:numPr>
                <w:ilvl w:val="0"/>
                <w:numId w:val="16"/>
              </w:numPr>
              <w:suppressAutoHyphens w:val="0"/>
              <w:spacing w:before="40" w:after="40" w:line="200" w:lineRule="atLeast"/>
              <w:rPr>
                <w:color w:val="auto"/>
              </w:rPr>
            </w:pPr>
            <w:r w:rsidRPr="00FB0881">
              <w:rPr>
                <w:color w:val="auto"/>
              </w:rPr>
              <w:t xml:space="preserve">Australia is contributing to strengthened water resource management in South Asia. </w:t>
            </w:r>
            <w:r w:rsidR="000B378E" w:rsidRPr="00FB0881">
              <w:rPr>
                <w:color w:val="auto"/>
              </w:rPr>
              <w:t>In Pakista</w:t>
            </w:r>
            <w:r w:rsidR="000B378E" w:rsidRPr="00945BE0">
              <w:rPr>
                <w:color w:val="auto"/>
              </w:rPr>
              <w:t xml:space="preserve">n, </w:t>
            </w:r>
            <w:r w:rsidR="008414EC">
              <w:rPr>
                <w:color w:val="auto"/>
              </w:rPr>
              <w:t>the Commonwealth Scientific and Industrial Research Organisation (</w:t>
            </w:r>
            <w:r w:rsidR="000B378E" w:rsidRPr="00945BE0">
              <w:rPr>
                <w:color w:val="auto"/>
              </w:rPr>
              <w:t>CSIRO</w:t>
            </w:r>
            <w:r w:rsidR="008414EC">
              <w:rPr>
                <w:color w:val="auto"/>
              </w:rPr>
              <w:t>)</w:t>
            </w:r>
            <w:r w:rsidR="000B378E" w:rsidRPr="00945BE0">
              <w:rPr>
                <w:color w:val="auto"/>
              </w:rPr>
              <w:t xml:space="preserve"> worked with central and provincial governments to develop an accurate Indus River water allocation and modelling system</w:t>
            </w:r>
            <w:r w:rsidR="008414EC">
              <w:rPr>
                <w:color w:val="auto"/>
              </w:rPr>
              <w:t>.</w:t>
            </w:r>
            <w:r w:rsidR="000B378E" w:rsidRPr="00945BE0">
              <w:rPr>
                <w:color w:val="auto"/>
              </w:rPr>
              <w:t xml:space="preserve"> </w:t>
            </w:r>
            <w:r w:rsidR="008414EC">
              <w:rPr>
                <w:color w:val="auto"/>
              </w:rPr>
              <w:t>It is now available to</w:t>
            </w:r>
            <w:r w:rsidR="000B378E" w:rsidRPr="00945BE0">
              <w:rPr>
                <w:color w:val="auto"/>
              </w:rPr>
              <w:t xml:space="preserve"> be used by the Pakistan Government.  </w:t>
            </w:r>
          </w:p>
          <w:p w:rsidR="00961DFF" w:rsidRDefault="00961DFF" w:rsidP="003B32B0">
            <w:pPr>
              <w:pStyle w:val="ListParagraph"/>
              <w:numPr>
                <w:ilvl w:val="0"/>
                <w:numId w:val="16"/>
              </w:numPr>
              <w:suppressAutoHyphens w:val="0"/>
              <w:spacing w:before="40" w:after="40" w:line="200" w:lineRule="atLeast"/>
              <w:rPr>
                <w:color w:val="auto"/>
              </w:rPr>
            </w:pPr>
            <w:r w:rsidRPr="00A071C2">
              <w:rPr>
                <w:color w:val="auto"/>
              </w:rPr>
              <w:t>Across the Eastern Gangetic Plains</w:t>
            </w:r>
            <w:r w:rsidR="00780133" w:rsidRPr="00A071C2">
              <w:rPr>
                <w:color w:val="auto"/>
              </w:rPr>
              <w:t>,</w:t>
            </w:r>
            <w:r w:rsidRPr="00A071C2">
              <w:rPr>
                <w:color w:val="auto"/>
              </w:rPr>
              <w:t xml:space="preserve"> support to</w:t>
            </w:r>
            <w:r w:rsidR="008414EC">
              <w:rPr>
                <w:color w:val="auto"/>
              </w:rPr>
              <w:t xml:space="preserve"> the</w:t>
            </w:r>
            <w:r w:rsidRPr="00A071C2">
              <w:rPr>
                <w:color w:val="auto"/>
              </w:rPr>
              <w:t xml:space="preserve"> A</w:t>
            </w:r>
            <w:r w:rsidR="008414EC">
              <w:rPr>
                <w:color w:val="auto"/>
              </w:rPr>
              <w:t xml:space="preserve">ustralian </w:t>
            </w:r>
            <w:r w:rsidRPr="00A071C2">
              <w:rPr>
                <w:color w:val="auto"/>
              </w:rPr>
              <w:t>C</w:t>
            </w:r>
            <w:r w:rsidR="008414EC">
              <w:rPr>
                <w:color w:val="auto"/>
              </w:rPr>
              <w:t xml:space="preserve">entre for </w:t>
            </w:r>
            <w:r w:rsidRPr="00A071C2">
              <w:rPr>
                <w:color w:val="auto"/>
              </w:rPr>
              <w:t>I</w:t>
            </w:r>
            <w:r w:rsidR="008414EC">
              <w:rPr>
                <w:color w:val="auto"/>
              </w:rPr>
              <w:t xml:space="preserve">nternational </w:t>
            </w:r>
            <w:r w:rsidRPr="00A071C2">
              <w:rPr>
                <w:color w:val="auto"/>
              </w:rPr>
              <w:t>A</w:t>
            </w:r>
            <w:r w:rsidR="008414EC">
              <w:rPr>
                <w:color w:val="auto"/>
              </w:rPr>
              <w:t xml:space="preserve">gricultural </w:t>
            </w:r>
            <w:r w:rsidRPr="00A071C2">
              <w:rPr>
                <w:color w:val="auto"/>
              </w:rPr>
              <w:t>R</w:t>
            </w:r>
            <w:r w:rsidR="008414EC">
              <w:rPr>
                <w:color w:val="auto"/>
              </w:rPr>
              <w:t>esearch (ACIAR)</w:t>
            </w:r>
            <w:r w:rsidRPr="00A071C2">
              <w:rPr>
                <w:color w:val="auto"/>
              </w:rPr>
              <w:t xml:space="preserve"> demonstrated the effectiveness of Conservation Agriculture-based System Intensification </w:t>
            </w:r>
            <w:r w:rsidR="00082F24">
              <w:rPr>
                <w:color w:val="auto"/>
              </w:rPr>
              <w:t xml:space="preserve">(CASI) </w:t>
            </w:r>
            <w:r w:rsidRPr="00A071C2">
              <w:rPr>
                <w:color w:val="auto"/>
              </w:rPr>
              <w:t xml:space="preserve">approaches. These have improved the productivity and profitability of farming systems for </w:t>
            </w:r>
            <w:r w:rsidR="00090482">
              <w:rPr>
                <w:color w:val="auto"/>
              </w:rPr>
              <w:t>91</w:t>
            </w:r>
            <w:r w:rsidRPr="00A071C2">
              <w:rPr>
                <w:color w:val="auto"/>
              </w:rPr>
              <w:t>,000 farmers (</w:t>
            </w:r>
            <w:r w:rsidR="00090482">
              <w:rPr>
                <w:color w:val="auto"/>
              </w:rPr>
              <w:t>25 per cent women</w:t>
            </w:r>
            <w:r w:rsidRPr="00A071C2">
              <w:rPr>
                <w:color w:val="auto"/>
              </w:rPr>
              <w:t xml:space="preserve">) while also reducing </w:t>
            </w:r>
            <w:r w:rsidR="008414EC">
              <w:rPr>
                <w:color w:val="auto"/>
              </w:rPr>
              <w:t>greenhouse gas emissions.</w:t>
            </w:r>
          </w:p>
          <w:p w:rsidR="00E95063" w:rsidRDefault="00E95063" w:rsidP="003B32B0">
            <w:pPr>
              <w:pStyle w:val="ListParagraph"/>
              <w:numPr>
                <w:ilvl w:val="0"/>
                <w:numId w:val="16"/>
              </w:numPr>
              <w:suppressAutoHyphens w:val="0"/>
              <w:spacing w:before="40" w:after="40" w:line="200" w:lineRule="atLeast"/>
              <w:rPr>
                <w:color w:val="auto"/>
              </w:rPr>
            </w:pPr>
            <w:r>
              <w:rPr>
                <w:color w:val="auto"/>
              </w:rPr>
              <w:t>The Asia Foundation</w:t>
            </w:r>
            <w:r w:rsidR="008414EC">
              <w:rPr>
                <w:color w:val="auto"/>
              </w:rPr>
              <w:t xml:space="preserve"> (TAF)</w:t>
            </w:r>
            <w:r>
              <w:rPr>
                <w:color w:val="auto"/>
              </w:rPr>
              <w:t xml:space="preserve"> </w:t>
            </w:r>
            <w:r w:rsidRPr="00E95063">
              <w:rPr>
                <w:color w:val="auto"/>
              </w:rPr>
              <w:t xml:space="preserve">completed political economy analyses </w:t>
            </w:r>
            <w:r>
              <w:rPr>
                <w:color w:val="auto"/>
              </w:rPr>
              <w:t xml:space="preserve">to </w:t>
            </w:r>
            <w:r w:rsidRPr="00E95063">
              <w:rPr>
                <w:color w:val="auto"/>
              </w:rPr>
              <w:t>inform policy dialogue</w:t>
            </w:r>
            <w:r>
              <w:rPr>
                <w:color w:val="auto"/>
              </w:rPr>
              <w:t xml:space="preserve"> </w:t>
            </w:r>
            <w:r w:rsidR="008414EC">
              <w:rPr>
                <w:color w:val="auto"/>
              </w:rPr>
              <w:t>in</w:t>
            </w:r>
            <w:r w:rsidRPr="00E95063">
              <w:rPr>
                <w:color w:val="auto"/>
              </w:rPr>
              <w:t xml:space="preserve"> electricity trade</w:t>
            </w:r>
            <w:r w:rsidR="008414EC">
              <w:rPr>
                <w:color w:val="auto"/>
              </w:rPr>
              <w:t xml:space="preserve">, and hydropower, </w:t>
            </w:r>
            <w:r w:rsidRPr="00E95063">
              <w:rPr>
                <w:color w:val="auto"/>
              </w:rPr>
              <w:t xml:space="preserve">water </w:t>
            </w:r>
            <w:r w:rsidR="008414EC">
              <w:rPr>
                <w:color w:val="auto"/>
              </w:rPr>
              <w:t>and</w:t>
            </w:r>
            <w:r w:rsidRPr="00E95063">
              <w:rPr>
                <w:color w:val="auto"/>
              </w:rPr>
              <w:t xml:space="preserve"> conflict and fragility </w:t>
            </w:r>
            <w:r w:rsidR="008414EC">
              <w:rPr>
                <w:color w:val="auto"/>
              </w:rPr>
              <w:t>sectors.</w:t>
            </w:r>
          </w:p>
          <w:p w:rsidR="00CF1545" w:rsidRDefault="00CF1545" w:rsidP="003B32B0">
            <w:pPr>
              <w:pStyle w:val="ListParagraph"/>
              <w:numPr>
                <w:ilvl w:val="0"/>
                <w:numId w:val="16"/>
              </w:numPr>
              <w:suppressAutoHyphens w:val="0"/>
              <w:spacing w:before="40" w:after="40" w:line="200" w:lineRule="atLeast"/>
              <w:rPr>
                <w:color w:val="auto"/>
              </w:rPr>
            </w:pPr>
            <w:r>
              <w:rPr>
                <w:color w:val="auto"/>
              </w:rPr>
              <w:t xml:space="preserve">In Bhutan, </w:t>
            </w:r>
            <w:r w:rsidR="005F064B">
              <w:rPr>
                <w:color w:val="auto"/>
              </w:rPr>
              <w:t>SAWI</w:t>
            </w:r>
            <w:r>
              <w:rPr>
                <w:color w:val="auto"/>
              </w:rPr>
              <w:t xml:space="preserve"> supported the </w:t>
            </w:r>
            <w:r w:rsidR="008414EC">
              <w:rPr>
                <w:color w:val="auto"/>
              </w:rPr>
              <w:t>development of</w:t>
            </w:r>
            <w:r>
              <w:rPr>
                <w:color w:val="auto"/>
              </w:rPr>
              <w:t xml:space="preserve"> </w:t>
            </w:r>
            <w:r w:rsidRPr="006E0A6F">
              <w:rPr>
                <w:i/>
                <w:color w:val="auto"/>
              </w:rPr>
              <w:t>Guidelines for the Development of Hydropower</w:t>
            </w:r>
            <w:r>
              <w:rPr>
                <w:color w:val="auto"/>
              </w:rPr>
              <w:t xml:space="preserve">, which </w:t>
            </w:r>
            <w:r w:rsidR="00090482">
              <w:rPr>
                <w:color w:val="auto"/>
              </w:rPr>
              <w:t xml:space="preserve">will </w:t>
            </w:r>
            <w:r w:rsidR="008414EC">
              <w:rPr>
                <w:color w:val="auto"/>
              </w:rPr>
              <w:t xml:space="preserve">enhance the likelihood </w:t>
            </w:r>
            <w:r>
              <w:rPr>
                <w:color w:val="auto"/>
              </w:rPr>
              <w:t xml:space="preserve">sustainable development of hydropower </w:t>
            </w:r>
            <w:r w:rsidR="00E55AA7">
              <w:rPr>
                <w:color w:val="auto"/>
              </w:rPr>
              <w:t xml:space="preserve">in that country </w:t>
            </w:r>
            <w:r>
              <w:rPr>
                <w:color w:val="auto"/>
              </w:rPr>
              <w:t>over the next decade.</w:t>
            </w:r>
          </w:p>
          <w:p w:rsidR="00E95063" w:rsidRPr="00A071C2" w:rsidRDefault="00E95063" w:rsidP="003B32B0">
            <w:pPr>
              <w:pStyle w:val="ListParagraph"/>
              <w:numPr>
                <w:ilvl w:val="0"/>
                <w:numId w:val="16"/>
              </w:numPr>
              <w:suppressAutoHyphens w:val="0"/>
              <w:spacing w:before="40" w:after="40" w:line="200" w:lineRule="atLeast"/>
              <w:rPr>
                <w:color w:val="auto"/>
              </w:rPr>
            </w:pPr>
            <w:r>
              <w:rPr>
                <w:color w:val="auto"/>
              </w:rPr>
              <w:t xml:space="preserve">ICIMOD </w:t>
            </w:r>
            <w:r w:rsidRPr="00E95063">
              <w:rPr>
                <w:color w:val="auto"/>
              </w:rPr>
              <w:t>progress</w:t>
            </w:r>
            <w:r w:rsidR="008414EC">
              <w:rPr>
                <w:color w:val="auto"/>
              </w:rPr>
              <w:t>ed a five</w:t>
            </w:r>
            <w:r w:rsidRPr="00E95063">
              <w:rPr>
                <w:color w:val="auto"/>
              </w:rPr>
              <w:t>-year baseline assessment of the Hindu Kush Himalaya</w:t>
            </w:r>
            <w:r w:rsidR="005B2568">
              <w:rPr>
                <w:color w:val="auto"/>
              </w:rPr>
              <w:t>.</w:t>
            </w:r>
            <w:r w:rsidR="00DE34B0">
              <w:rPr>
                <w:color w:val="auto"/>
              </w:rPr>
              <w:t xml:space="preserve"> </w:t>
            </w:r>
            <w:r w:rsidR="00FE6574">
              <w:rPr>
                <w:color w:val="auto"/>
              </w:rPr>
              <w:t xml:space="preserve">The assessment </w:t>
            </w:r>
            <w:r w:rsidR="00017F9C">
              <w:rPr>
                <w:color w:val="auto"/>
              </w:rPr>
              <w:t>has been</w:t>
            </w:r>
            <w:r w:rsidR="005B2568">
              <w:rPr>
                <w:color w:val="auto"/>
              </w:rPr>
              <w:t xml:space="preserve"> used</w:t>
            </w:r>
            <w:r w:rsidR="00FE6574">
              <w:rPr>
                <w:color w:val="auto"/>
              </w:rPr>
              <w:t xml:space="preserve"> by South Asian nations </w:t>
            </w:r>
            <w:r w:rsidR="005B2568">
              <w:rPr>
                <w:color w:val="auto"/>
              </w:rPr>
              <w:t>to</w:t>
            </w:r>
            <w:r w:rsidR="00FE6574">
              <w:rPr>
                <w:color w:val="auto"/>
              </w:rPr>
              <w:t xml:space="preserve"> support action on climate change. </w:t>
            </w:r>
          </w:p>
          <w:p w:rsidR="00C150BD" w:rsidRPr="00A071C2" w:rsidRDefault="00C150BD" w:rsidP="001E2201">
            <w:pPr>
              <w:rPr>
                <w:color w:val="auto"/>
              </w:rPr>
            </w:pPr>
            <w:r w:rsidRPr="00A071C2">
              <w:rPr>
                <w:color w:val="auto"/>
              </w:rPr>
              <w:t>Efforts to integrate gender equality and women’s empowerment considerations across the portfolio were satisfactory</w:t>
            </w:r>
            <w:r w:rsidR="009A4762" w:rsidRPr="00A071C2">
              <w:rPr>
                <w:color w:val="auto"/>
              </w:rPr>
              <w:t>,</w:t>
            </w:r>
            <w:r w:rsidR="0010749C" w:rsidRPr="00A071C2">
              <w:rPr>
                <w:color w:val="auto"/>
              </w:rPr>
              <w:t xml:space="preserve"> </w:t>
            </w:r>
            <w:r w:rsidR="00017F9C">
              <w:rPr>
                <w:color w:val="auto"/>
              </w:rPr>
              <w:t>although Aid Quality Check</w:t>
            </w:r>
            <w:r w:rsidR="008414EC">
              <w:rPr>
                <w:color w:val="auto"/>
              </w:rPr>
              <w:t xml:space="preserve"> (AQC)</w:t>
            </w:r>
            <w:r w:rsidR="0010749C" w:rsidRPr="00A071C2">
              <w:rPr>
                <w:color w:val="auto"/>
              </w:rPr>
              <w:t xml:space="preserve"> highlighted areas for continued improvement</w:t>
            </w:r>
            <w:r w:rsidR="00017F9C">
              <w:rPr>
                <w:color w:val="auto"/>
              </w:rPr>
              <w:t>, especially monitoring and contributions to changes in social norms</w:t>
            </w:r>
            <w:r w:rsidR="005A1A21">
              <w:rPr>
                <w:color w:val="auto"/>
              </w:rPr>
              <w:t>. There is</w:t>
            </w:r>
            <w:r w:rsidRPr="00A071C2">
              <w:rPr>
                <w:color w:val="auto"/>
              </w:rPr>
              <w:t xml:space="preserve"> evidence </w:t>
            </w:r>
            <w:r w:rsidR="00027B80" w:rsidRPr="00A071C2">
              <w:rPr>
                <w:color w:val="auto"/>
              </w:rPr>
              <w:t>of partners’ improved</w:t>
            </w:r>
            <w:r w:rsidRPr="00A071C2">
              <w:rPr>
                <w:color w:val="auto"/>
              </w:rPr>
              <w:t xml:space="preserve"> understanding of</w:t>
            </w:r>
            <w:r w:rsidRPr="001E2201">
              <w:rPr>
                <w:color w:val="auto"/>
              </w:rPr>
              <w:t xml:space="preserve"> </w:t>
            </w:r>
            <w:r w:rsidRPr="00A071C2">
              <w:rPr>
                <w:color w:val="auto"/>
              </w:rPr>
              <w:t>gender equality, reflected in project designs, implementation, and gender disa</w:t>
            </w:r>
            <w:r w:rsidR="00B17744" w:rsidRPr="00A071C2">
              <w:rPr>
                <w:color w:val="auto"/>
              </w:rPr>
              <w:t>ggregated data.</w:t>
            </w:r>
            <w:r w:rsidR="003E3CAC" w:rsidRPr="00A071C2">
              <w:rPr>
                <w:color w:val="auto"/>
              </w:rPr>
              <w:t xml:space="preserve"> N</w:t>
            </w:r>
            <w:r w:rsidR="00B17744" w:rsidRPr="00A071C2">
              <w:rPr>
                <w:color w:val="auto"/>
              </w:rPr>
              <w:t>ew policy documents</w:t>
            </w:r>
            <w:r w:rsidR="007244EC" w:rsidRPr="00A071C2">
              <w:rPr>
                <w:color w:val="auto"/>
              </w:rPr>
              <w:t xml:space="preserve"> </w:t>
            </w:r>
            <w:r w:rsidR="00E92F84">
              <w:rPr>
                <w:color w:val="auto"/>
              </w:rPr>
              <w:t>differentiate needs based on gender and make recommendations to enhance</w:t>
            </w:r>
            <w:r w:rsidR="007244EC" w:rsidRPr="00A071C2">
              <w:rPr>
                <w:color w:val="auto"/>
              </w:rPr>
              <w:t xml:space="preserve"> the participation of women in water r</w:t>
            </w:r>
            <w:r w:rsidR="008414EC">
              <w:rPr>
                <w:color w:val="auto"/>
              </w:rPr>
              <w:t>esource management and planning. Evidence of this includes</w:t>
            </w:r>
            <w:r w:rsidR="00B17744" w:rsidRPr="00A071C2">
              <w:rPr>
                <w:color w:val="auto"/>
              </w:rPr>
              <w:t xml:space="preserve"> the </w:t>
            </w:r>
            <w:r w:rsidR="005B2568">
              <w:rPr>
                <w:color w:val="auto"/>
              </w:rPr>
              <w:t>e</w:t>
            </w:r>
            <w:r w:rsidR="00B17744" w:rsidRPr="00A071C2">
              <w:rPr>
                <w:color w:val="auto"/>
              </w:rPr>
              <w:t xml:space="preserve">nvironmental and </w:t>
            </w:r>
            <w:r w:rsidR="005B2568">
              <w:rPr>
                <w:color w:val="auto"/>
              </w:rPr>
              <w:t>s</w:t>
            </w:r>
            <w:r w:rsidR="00B17744" w:rsidRPr="00A071C2">
              <w:rPr>
                <w:color w:val="auto"/>
              </w:rPr>
              <w:t xml:space="preserve">ocial </w:t>
            </w:r>
            <w:r w:rsidR="005B2568">
              <w:rPr>
                <w:color w:val="auto"/>
              </w:rPr>
              <w:t>s</w:t>
            </w:r>
            <w:r w:rsidR="00B17744" w:rsidRPr="00A071C2">
              <w:rPr>
                <w:color w:val="auto"/>
              </w:rPr>
              <w:t xml:space="preserve">ystems </w:t>
            </w:r>
            <w:r w:rsidR="005B2568">
              <w:rPr>
                <w:color w:val="auto"/>
              </w:rPr>
              <w:t>a</w:t>
            </w:r>
            <w:r w:rsidR="00B17744" w:rsidRPr="00A071C2">
              <w:rPr>
                <w:color w:val="auto"/>
              </w:rPr>
              <w:t>ssessment for national g</w:t>
            </w:r>
            <w:r w:rsidR="008414EC">
              <w:rPr>
                <w:color w:val="auto"/>
              </w:rPr>
              <w:t>roundwater management in India by S</w:t>
            </w:r>
            <w:r w:rsidR="00082F24">
              <w:rPr>
                <w:color w:val="auto"/>
              </w:rPr>
              <w:t>outh Asia Water Initiative (S</w:t>
            </w:r>
            <w:r w:rsidR="008414EC">
              <w:rPr>
                <w:color w:val="auto"/>
              </w:rPr>
              <w:t>AWI</w:t>
            </w:r>
            <w:r w:rsidR="00082F24">
              <w:rPr>
                <w:color w:val="auto"/>
              </w:rPr>
              <w:t>)</w:t>
            </w:r>
            <w:r w:rsidR="008414EC">
              <w:rPr>
                <w:color w:val="auto"/>
              </w:rPr>
              <w:t>,</w:t>
            </w:r>
            <w:r w:rsidR="00B17744" w:rsidRPr="00A071C2">
              <w:rPr>
                <w:color w:val="auto"/>
              </w:rPr>
              <w:t xml:space="preserve"> and the draft National Water Policy for Nepal</w:t>
            </w:r>
            <w:r w:rsidR="008414EC">
              <w:rPr>
                <w:color w:val="auto"/>
              </w:rPr>
              <w:t xml:space="preserve">, supported by </w:t>
            </w:r>
            <w:r w:rsidR="00082F24">
              <w:rPr>
                <w:color w:val="auto"/>
              </w:rPr>
              <w:t>the International Centre of Excellence in Water Resource Management (</w:t>
            </w:r>
            <w:proofErr w:type="spellStart"/>
            <w:r w:rsidR="008414EC">
              <w:rPr>
                <w:color w:val="auto"/>
              </w:rPr>
              <w:t>ICEWaRM</w:t>
            </w:r>
            <w:proofErr w:type="spellEnd"/>
            <w:r w:rsidR="00082F24">
              <w:rPr>
                <w:color w:val="auto"/>
              </w:rPr>
              <w:t>)</w:t>
            </w:r>
            <w:r w:rsidR="00027B80" w:rsidRPr="00A071C2">
              <w:rPr>
                <w:color w:val="auto"/>
              </w:rPr>
              <w:t xml:space="preserve">. </w:t>
            </w:r>
          </w:p>
          <w:p w:rsidR="00587A61" w:rsidRPr="00A071C2" w:rsidRDefault="008C036E" w:rsidP="001E2201">
            <w:pPr>
              <w:rPr>
                <w:color w:val="auto"/>
              </w:rPr>
            </w:pPr>
            <w:r w:rsidRPr="00A071C2">
              <w:rPr>
                <w:color w:val="auto"/>
              </w:rPr>
              <w:t xml:space="preserve">Strong </w:t>
            </w:r>
            <w:r w:rsidR="00FB0881">
              <w:rPr>
                <w:color w:val="auto"/>
              </w:rPr>
              <w:t>c</w:t>
            </w:r>
            <w:r w:rsidR="00C150BD" w:rsidRPr="00A071C2">
              <w:rPr>
                <w:color w:val="auto"/>
              </w:rPr>
              <w:t xml:space="preserve">limate change results have been reported across the program. An example is </w:t>
            </w:r>
            <w:r w:rsidR="00FB0881">
              <w:rPr>
                <w:color w:val="auto"/>
              </w:rPr>
              <w:t xml:space="preserve">SDIP support for </w:t>
            </w:r>
            <w:r w:rsidR="00C024ED" w:rsidRPr="00A071C2">
              <w:rPr>
                <w:color w:val="auto"/>
              </w:rPr>
              <w:t xml:space="preserve">IFC’s </w:t>
            </w:r>
            <w:r w:rsidR="00FB0881">
              <w:rPr>
                <w:color w:val="auto"/>
              </w:rPr>
              <w:t>private-sector r</w:t>
            </w:r>
            <w:r w:rsidR="00C024ED" w:rsidRPr="00A071C2">
              <w:rPr>
                <w:color w:val="auto"/>
              </w:rPr>
              <w:t xml:space="preserve">esource efficiency </w:t>
            </w:r>
            <w:r w:rsidR="00FB0881">
              <w:rPr>
                <w:color w:val="auto"/>
              </w:rPr>
              <w:t>program in Bangladesh, India, Nepal and Pakistan which has saved 21.5 million cubic me</w:t>
            </w:r>
            <w:r w:rsidR="008414EC">
              <w:rPr>
                <w:color w:val="auto"/>
              </w:rPr>
              <w:t>tre of water and 2.5 million MW</w:t>
            </w:r>
            <w:r w:rsidR="00FB0881">
              <w:rPr>
                <w:color w:val="auto"/>
              </w:rPr>
              <w:t xml:space="preserve"> per year</w:t>
            </w:r>
            <w:r w:rsidR="00FE6574">
              <w:rPr>
                <w:color w:val="auto"/>
              </w:rPr>
              <w:t>. This has led to</w:t>
            </w:r>
            <w:r w:rsidR="00FB0881">
              <w:rPr>
                <w:color w:val="auto"/>
              </w:rPr>
              <w:t xml:space="preserve"> a reduction in </w:t>
            </w:r>
            <w:r w:rsidR="00C024ED" w:rsidRPr="00A071C2">
              <w:rPr>
                <w:color w:val="auto"/>
              </w:rPr>
              <w:t>greenhouse gas emissions by</w:t>
            </w:r>
            <w:r w:rsidR="008414EC">
              <w:rPr>
                <w:color w:val="auto"/>
              </w:rPr>
              <w:t xml:space="preserve"> an estimated</w:t>
            </w:r>
            <w:r w:rsidR="00C024ED" w:rsidRPr="00A071C2">
              <w:rPr>
                <w:color w:val="auto"/>
              </w:rPr>
              <w:t xml:space="preserve"> 106,036 metric tons </w:t>
            </w:r>
            <w:r w:rsidR="00FB0881">
              <w:rPr>
                <w:color w:val="auto"/>
              </w:rPr>
              <w:t>over the reporting period</w:t>
            </w:r>
            <w:r w:rsidR="00C024ED" w:rsidRPr="00A071C2">
              <w:rPr>
                <w:color w:val="auto"/>
              </w:rPr>
              <w:t>.</w:t>
            </w:r>
            <w:r w:rsidR="00587A61" w:rsidRPr="00A071C2">
              <w:rPr>
                <w:color w:val="auto"/>
              </w:rPr>
              <w:t xml:space="preserve"> </w:t>
            </w:r>
          </w:p>
          <w:p w:rsidR="00002CF0" w:rsidRPr="003B32B0" w:rsidRDefault="00C150BD" w:rsidP="008414EC">
            <w:pPr>
              <w:rPr>
                <w:color w:val="auto"/>
              </w:rPr>
            </w:pPr>
            <w:r w:rsidRPr="00A071C2">
              <w:rPr>
                <w:color w:val="auto"/>
              </w:rPr>
              <w:t xml:space="preserve">Challenges remain in promoting formal </w:t>
            </w:r>
            <w:r w:rsidR="00027B80" w:rsidRPr="00A071C2">
              <w:rPr>
                <w:color w:val="auto"/>
              </w:rPr>
              <w:t>government-to-government</w:t>
            </w:r>
            <w:r w:rsidRPr="00A071C2">
              <w:rPr>
                <w:color w:val="auto"/>
              </w:rPr>
              <w:t xml:space="preserve"> transboundary cooperation</w:t>
            </w:r>
            <w:r w:rsidR="003E3CAC" w:rsidRPr="00A071C2">
              <w:rPr>
                <w:color w:val="auto"/>
              </w:rPr>
              <w:t>,</w:t>
            </w:r>
            <w:r w:rsidRPr="00A071C2">
              <w:rPr>
                <w:color w:val="auto"/>
              </w:rPr>
              <w:t xml:space="preserve"> given ongoing sensitivities in inter-country relationships.</w:t>
            </w:r>
            <w:r w:rsidR="0010749C" w:rsidRPr="00A071C2">
              <w:rPr>
                <w:color w:val="auto"/>
              </w:rPr>
              <w:t xml:space="preserve"> Translating dialogue into formal cooperation remains difficult due to the complex operating environment in South Asia.</w:t>
            </w:r>
            <w:r w:rsidRPr="00A071C2">
              <w:rPr>
                <w:color w:val="auto"/>
              </w:rPr>
              <w:t xml:space="preserve"> Colla</w:t>
            </w:r>
            <w:r w:rsidR="00027B80" w:rsidRPr="00A071C2">
              <w:rPr>
                <w:color w:val="auto"/>
              </w:rPr>
              <w:t xml:space="preserve">boration and dialogue is </w:t>
            </w:r>
            <w:r w:rsidRPr="00A071C2">
              <w:rPr>
                <w:color w:val="auto"/>
              </w:rPr>
              <w:t>increasingly observed at the sub-regional level in South Asia, particularly within river basins</w:t>
            </w:r>
            <w:r w:rsidR="008414EC">
              <w:rPr>
                <w:color w:val="auto"/>
              </w:rPr>
              <w:t>.</w:t>
            </w:r>
          </w:p>
        </w:tc>
        <w:tc>
          <w:tcPr>
            <w:tcW w:w="236" w:type="dxa"/>
          </w:tcPr>
          <w:p w:rsidR="00C150BD" w:rsidRPr="00D26A54" w:rsidRDefault="00C150BD">
            <w:pPr>
              <w:suppressAutoHyphens w:val="0"/>
              <w:spacing w:before="160" w:after="80" w:line="240" w:lineRule="auto"/>
              <w:jc w:val="center"/>
              <w:rPr>
                <w:rFonts w:eastAsiaTheme="majorEastAsia" w:cstheme="minorHAnsi"/>
                <w:caps/>
                <w:sz w:val="38"/>
                <w:szCs w:val="26"/>
              </w:rPr>
            </w:pPr>
          </w:p>
        </w:tc>
        <w:tc>
          <w:tcPr>
            <w:tcW w:w="236" w:type="dxa"/>
          </w:tcPr>
          <w:p w:rsidR="00C150BD" w:rsidRPr="00D26A54" w:rsidRDefault="00C150BD">
            <w:pPr>
              <w:suppressAutoHyphens w:val="0"/>
              <w:spacing w:before="160" w:after="80" w:line="240" w:lineRule="auto"/>
              <w:jc w:val="center"/>
              <w:rPr>
                <w:rFonts w:eastAsiaTheme="majorEastAsia" w:cstheme="minorHAnsi"/>
                <w:caps/>
                <w:sz w:val="38"/>
                <w:szCs w:val="26"/>
              </w:rPr>
            </w:pPr>
          </w:p>
        </w:tc>
        <w:tc>
          <w:tcPr>
            <w:tcW w:w="221" w:type="dxa"/>
          </w:tcPr>
          <w:p w:rsidR="00C150BD" w:rsidRPr="00D26A54" w:rsidRDefault="00C150BD">
            <w:pPr>
              <w:suppressAutoHyphens w:val="0"/>
              <w:spacing w:before="160" w:after="80" w:line="240" w:lineRule="auto"/>
              <w:jc w:val="center"/>
              <w:rPr>
                <w:rFonts w:eastAsiaTheme="majorEastAsia" w:cstheme="minorHAnsi"/>
                <w:caps/>
                <w:sz w:val="38"/>
                <w:szCs w:val="26"/>
              </w:rPr>
            </w:pPr>
          </w:p>
        </w:tc>
        <w:tc>
          <w:tcPr>
            <w:tcW w:w="221" w:type="dxa"/>
          </w:tcPr>
          <w:p w:rsidR="00C150BD" w:rsidRPr="00D26A54" w:rsidRDefault="00C150BD">
            <w:pPr>
              <w:suppressAutoHyphens w:val="0"/>
              <w:spacing w:before="160" w:after="80" w:line="240" w:lineRule="auto"/>
              <w:jc w:val="center"/>
              <w:rPr>
                <w:rFonts w:eastAsiaTheme="majorEastAsia" w:cstheme="minorHAnsi"/>
                <w:caps/>
                <w:sz w:val="38"/>
                <w:szCs w:val="26"/>
              </w:rPr>
            </w:pPr>
          </w:p>
        </w:tc>
      </w:tr>
    </w:tbl>
    <w:p w:rsidR="00C150BD" w:rsidRPr="00201A1E" w:rsidRDefault="00C150BD" w:rsidP="00C150BD">
      <w:pPr>
        <w:spacing w:before="240"/>
        <w:rPr>
          <w:rFonts w:eastAsiaTheme="majorEastAsia" w:cstheme="minorHAnsi"/>
          <w:caps/>
          <w:sz w:val="32"/>
          <w:szCs w:val="32"/>
        </w:rPr>
      </w:pPr>
      <w:r w:rsidRPr="00201A1E">
        <w:rPr>
          <w:rFonts w:eastAsiaTheme="majorEastAsia" w:cstheme="minorHAnsi"/>
          <w:caps/>
          <w:sz w:val="32"/>
          <w:szCs w:val="32"/>
        </w:rPr>
        <w:t>Objective 2: Increased regional connectivity through trade facilitation and infrastructure</w:t>
      </w:r>
    </w:p>
    <w:p w:rsidR="00C150BD" w:rsidRPr="00D26A54" w:rsidRDefault="00C150BD" w:rsidP="00C150BD">
      <w:pPr>
        <w:suppressAutoHyphens w:val="0"/>
        <w:spacing w:before="80" w:after="80" w:line="240" w:lineRule="auto"/>
        <w:jc w:val="both"/>
        <w:rPr>
          <w:rFonts w:eastAsiaTheme="majorEastAsia" w:cstheme="minorHAnsi"/>
          <w:caps/>
          <w:noProof/>
          <w:sz w:val="38"/>
          <w:szCs w:val="26"/>
          <w:lang w:val="en-AU" w:eastAsia="en-AU"/>
        </w:rPr>
      </w:pPr>
      <w:r w:rsidRPr="00D26A54">
        <w:rPr>
          <w:rFonts w:eastAsiaTheme="majorEastAsia" w:cstheme="minorHAnsi"/>
          <w:caps/>
          <w:noProof/>
          <w:sz w:val="38"/>
          <w:szCs w:val="26"/>
          <w:lang w:val="en-AU" w:eastAsia="en-AU"/>
        </w:rPr>
        <w:drawing>
          <wp:inline distT="0" distB="0" distL="0" distR="0" wp14:anchorId="027DBEE7" wp14:editId="2D114AA8">
            <wp:extent cx="1123950" cy="723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inline>
        </w:drawing>
      </w:r>
      <w:r w:rsidRPr="00D26A54">
        <w:rPr>
          <w:rFonts w:eastAsiaTheme="majorEastAsia" w:cstheme="minorHAnsi"/>
          <w:caps/>
          <w:noProof/>
          <w:sz w:val="38"/>
          <w:szCs w:val="26"/>
          <w:lang w:val="en-AU" w:eastAsia="en-AU"/>
        </w:rPr>
        <w:t xml:space="preserve"> </w:t>
      </w:r>
      <w:r w:rsidRPr="00D26A54">
        <w:rPr>
          <w:rFonts w:eastAsiaTheme="majorEastAsia" w:cstheme="minorHAnsi"/>
          <w:caps/>
          <w:noProof/>
          <w:sz w:val="38"/>
          <w:szCs w:val="26"/>
          <w:lang w:val="en-AU" w:eastAsia="en-AU"/>
        </w:rPr>
        <w:drawing>
          <wp:inline distT="0" distB="0" distL="0" distR="0" wp14:anchorId="0B69E55B" wp14:editId="789081C3">
            <wp:extent cx="609600" cy="609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26A54">
        <w:rPr>
          <w:rFonts w:eastAsiaTheme="majorEastAsia" w:cstheme="minorHAnsi"/>
          <w:caps/>
          <w:noProof/>
          <w:sz w:val="38"/>
          <w:szCs w:val="26"/>
          <w:lang w:val="en-AU" w:eastAsia="en-AU"/>
        </w:rPr>
        <w:t xml:space="preserve"> </w:t>
      </w:r>
      <w:r w:rsidRPr="00D26A54">
        <w:rPr>
          <w:rFonts w:eastAsiaTheme="majorEastAsia" w:cstheme="minorHAnsi"/>
          <w:caps/>
          <w:noProof/>
          <w:sz w:val="38"/>
          <w:szCs w:val="26"/>
          <w:lang w:val="en-AU" w:eastAsia="en-AU"/>
        </w:rPr>
        <w:drawing>
          <wp:inline distT="0" distB="0" distL="0" distR="0" wp14:anchorId="5ACF0E66" wp14:editId="546842EF">
            <wp:extent cx="609600" cy="609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26A54">
        <w:rPr>
          <w:rFonts w:eastAsiaTheme="majorEastAsia" w:cstheme="minorHAnsi"/>
          <w:caps/>
          <w:noProof/>
          <w:sz w:val="38"/>
          <w:szCs w:val="26"/>
          <w:lang w:val="en-AU" w:eastAsia="en-AU"/>
        </w:rPr>
        <w:t xml:space="preserve"> </w:t>
      </w:r>
      <w:r w:rsidRPr="00D26A54">
        <w:rPr>
          <w:rFonts w:eastAsiaTheme="majorEastAsia" w:cstheme="minorHAnsi"/>
          <w:caps/>
          <w:noProof/>
          <w:sz w:val="38"/>
          <w:szCs w:val="26"/>
          <w:lang w:val="en-AU" w:eastAsia="en-AU"/>
        </w:rPr>
        <w:drawing>
          <wp:inline distT="0" distB="0" distL="0" distR="0" wp14:anchorId="3EDCA989" wp14:editId="3260B706">
            <wp:extent cx="609600" cy="609600"/>
            <wp:effectExtent l="0" t="0" r="0" b="0"/>
            <wp:docPr id="30" name="Picture 30"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DG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26A54">
        <w:rPr>
          <w:rFonts w:eastAsia="Times New Roman" w:cstheme="minorHAnsi"/>
          <w:snapToGrid w:val="0"/>
          <w:w w:val="1"/>
          <w:sz w:val="2"/>
          <w:szCs w:val="2"/>
          <w:bdr w:val="none" w:sz="0" w:space="0" w:color="auto" w:frame="1"/>
          <w:shd w:val="clear" w:color="auto" w:fill="000000"/>
          <w:lang w:val="x-none" w:eastAsia="x-none" w:bidi="x-none"/>
        </w:rPr>
        <w:t xml:space="preserve"> </w:t>
      </w:r>
      <w:r w:rsidRPr="00D26A54">
        <w:rPr>
          <w:rFonts w:eastAsiaTheme="majorEastAsia" w:cstheme="minorHAnsi"/>
          <w:caps/>
          <w:noProof/>
          <w:sz w:val="38"/>
          <w:szCs w:val="26"/>
          <w:lang w:val="en-AU" w:eastAsia="en-AU"/>
        </w:rPr>
        <w:t xml:space="preserve"> </w:t>
      </w:r>
      <w:r w:rsidRPr="00D26A54">
        <w:rPr>
          <w:rFonts w:eastAsiaTheme="majorEastAsia" w:cstheme="minorHAnsi"/>
          <w:caps/>
          <w:noProof/>
          <w:sz w:val="38"/>
          <w:szCs w:val="26"/>
          <w:lang w:val="en-AU" w:eastAsia="en-AU"/>
        </w:rPr>
        <w:drawing>
          <wp:inline distT="0" distB="0" distL="0" distR="0" wp14:anchorId="435A3B3E" wp14:editId="779FA019">
            <wp:extent cx="609600" cy="609600"/>
            <wp:effectExtent l="0" t="0" r="0" b="0"/>
            <wp:docPr id="29" name="Picture 29" descr="sdg-09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09 (0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26A54">
        <w:rPr>
          <w:rFonts w:eastAsiaTheme="majorEastAsia" w:cstheme="minorHAnsi"/>
          <w:caps/>
          <w:noProof/>
          <w:sz w:val="38"/>
          <w:szCs w:val="26"/>
          <w:lang w:val="en-AU" w:eastAsia="en-AU"/>
        </w:rPr>
        <w:t xml:space="preserve"> </w:t>
      </w:r>
      <w:r w:rsidRPr="00D26A54">
        <w:rPr>
          <w:rFonts w:eastAsiaTheme="majorEastAsia" w:cstheme="minorHAnsi"/>
          <w:caps/>
          <w:noProof/>
          <w:sz w:val="38"/>
          <w:szCs w:val="26"/>
          <w:lang w:val="en-AU" w:eastAsia="en-AU"/>
        </w:rPr>
        <w:drawing>
          <wp:inline distT="0" distB="0" distL="0" distR="0" wp14:anchorId="41CDD279" wp14:editId="10103B4F">
            <wp:extent cx="609600"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26A54">
        <w:rPr>
          <w:rFonts w:eastAsiaTheme="majorEastAsia" w:cstheme="minorHAnsi"/>
          <w:caps/>
          <w:noProof/>
          <w:sz w:val="38"/>
          <w:szCs w:val="26"/>
          <w:lang w:val="en-AU" w:eastAsia="en-AU"/>
        </w:rPr>
        <w:t xml:space="preserve"> </w:t>
      </w:r>
      <w:r w:rsidRPr="00D26A54">
        <w:rPr>
          <w:rFonts w:eastAsiaTheme="majorEastAsia" w:cstheme="minorHAnsi"/>
          <w:caps/>
          <w:noProof/>
          <w:sz w:val="38"/>
          <w:szCs w:val="26"/>
          <w:lang w:val="en-AU" w:eastAsia="en-AU"/>
        </w:rPr>
        <w:drawing>
          <wp:inline distT="0" distB="0" distL="0" distR="0" wp14:anchorId="59C006E3" wp14:editId="36D50D5B">
            <wp:extent cx="609600" cy="609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F61E9" w:rsidRDefault="00E50A32" w:rsidP="00D26A54">
      <w:pPr>
        <w:rPr>
          <w:color w:val="auto"/>
        </w:rPr>
      </w:pPr>
      <w:r w:rsidRPr="003B32B0">
        <w:rPr>
          <w:color w:val="auto"/>
        </w:rPr>
        <w:t>Australia’s</w:t>
      </w:r>
      <w:r w:rsidR="00C150BD" w:rsidRPr="003B32B0">
        <w:rPr>
          <w:color w:val="auto"/>
        </w:rPr>
        <w:t xml:space="preserve"> support</w:t>
      </w:r>
      <w:r w:rsidRPr="003B32B0">
        <w:rPr>
          <w:color w:val="auto"/>
        </w:rPr>
        <w:t xml:space="preserve"> for</w:t>
      </w:r>
      <w:r w:rsidR="00C150BD" w:rsidRPr="003B32B0">
        <w:rPr>
          <w:color w:val="auto"/>
        </w:rPr>
        <w:t xml:space="preserve"> increased regional connectivity through trade facilitation and infrastructure contributes to the Sustainable Development Goals for gender equality, affordable and clean energy, decent work and economic growth, industry innovation and infrastructure, sustainable cities and communities, and climate action. There were two active programs under this objecti</w:t>
      </w:r>
      <w:r w:rsidR="00E92F84">
        <w:rPr>
          <w:color w:val="auto"/>
        </w:rPr>
        <w:t xml:space="preserve">ve during the reporting </w:t>
      </w:r>
      <w:r w:rsidR="00365784">
        <w:rPr>
          <w:color w:val="auto"/>
        </w:rPr>
        <w:t>period;</w:t>
      </w:r>
      <w:r w:rsidR="00E92F84">
        <w:rPr>
          <w:color w:val="auto"/>
        </w:rPr>
        <w:t xml:space="preserve"> IFG and SARTFP</w:t>
      </w:r>
      <w:r w:rsidR="00C150BD" w:rsidRPr="003B32B0">
        <w:rPr>
          <w:color w:val="auto"/>
        </w:rPr>
        <w:t>. The objec</w:t>
      </w:r>
      <w:r w:rsidR="00935036" w:rsidRPr="003B32B0">
        <w:rPr>
          <w:color w:val="auto"/>
        </w:rPr>
        <w:t xml:space="preserve">tive was rated </w:t>
      </w:r>
      <w:r w:rsidR="003E3CAC" w:rsidRPr="003B32B0">
        <w:rPr>
          <w:color w:val="auto"/>
        </w:rPr>
        <w:t xml:space="preserve">amber, due to public diplomacy and information management </w:t>
      </w:r>
      <w:r w:rsidRPr="003B32B0">
        <w:rPr>
          <w:color w:val="auto"/>
        </w:rPr>
        <w:t>hurdles</w:t>
      </w:r>
      <w:r w:rsidR="00E31EC6" w:rsidRPr="003B32B0">
        <w:rPr>
          <w:color w:val="auto"/>
        </w:rPr>
        <w:t xml:space="preserve"> in SARTFP. These </w:t>
      </w:r>
      <w:r w:rsidR="003E3CAC" w:rsidRPr="003B32B0">
        <w:rPr>
          <w:color w:val="auto"/>
        </w:rPr>
        <w:t>have been addressed in this year</w:t>
      </w:r>
      <w:r w:rsidR="00E31EC6" w:rsidRPr="003B32B0">
        <w:rPr>
          <w:color w:val="auto"/>
        </w:rPr>
        <w:t>’</w:t>
      </w:r>
      <w:r w:rsidR="003E3CAC" w:rsidRPr="003B32B0">
        <w:rPr>
          <w:color w:val="auto"/>
        </w:rPr>
        <w:t xml:space="preserve">s management responses, and ongoing discussion with partners. </w:t>
      </w:r>
    </w:p>
    <w:p w:rsidR="00C150BD" w:rsidRPr="003B32B0" w:rsidRDefault="003E3CAC" w:rsidP="00D26A54">
      <w:pPr>
        <w:rPr>
          <w:color w:val="auto"/>
        </w:rPr>
      </w:pPr>
      <w:r w:rsidRPr="003B32B0">
        <w:rPr>
          <w:color w:val="auto"/>
        </w:rPr>
        <w:t>T</w:t>
      </w:r>
      <w:r w:rsidR="00935036" w:rsidRPr="003B32B0">
        <w:rPr>
          <w:color w:val="auto"/>
        </w:rPr>
        <w:t>he</w:t>
      </w:r>
      <w:r w:rsidR="00C150BD" w:rsidRPr="003B32B0">
        <w:rPr>
          <w:color w:val="auto"/>
        </w:rPr>
        <w:t xml:space="preserve"> final </w:t>
      </w:r>
      <w:r w:rsidR="00E31EC6" w:rsidRPr="003B32B0">
        <w:rPr>
          <w:color w:val="auto"/>
        </w:rPr>
        <w:t>AQC for</w:t>
      </w:r>
      <w:r w:rsidR="00C150BD" w:rsidRPr="003B32B0">
        <w:rPr>
          <w:color w:val="auto"/>
        </w:rPr>
        <w:t xml:space="preserve"> IFG </w:t>
      </w:r>
      <w:r w:rsidRPr="003B32B0">
        <w:rPr>
          <w:color w:val="auto"/>
        </w:rPr>
        <w:t>found</w:t>
      </w:r>
      <w:r w:rsidR="001F61E9">
        <w:rPr>
          <w:color w:val="auto"/>
        </w:rPr>
        <w:t xml:space="preserve"> it</w:t>
      </w:r>
      <w:r w:rsidR="00935036" w:rsidRPr="003B32B0">
        <w:rPr>
          <w:color w:val="auto"/>
        </w:rPr>
        <w:t xml:space="preserve"> </w:t>
      </w:r>
      <w:r w:rsidR="001F61E9">
        <w:rPr>
          <w:color w:val="auto"/>
        </w:rPr>
        <w:t>had</w:t>
      </w:r>
      <w:r w:rsidRPr="003B32B0">
        <w:rPr>
          <w:color w:val="auto"/>
        </w:rPr>
        <w:t xml:space="preserve"> met performance benchmarks. I</w:t>
      </w:r>
      <w:r w:rsidR="00C150BD" w:rsidRPr="003B32B0">
        <w:rPr>
          <w:color w:val="auto"/>
        </w:rPr>
        <w:t>nvestment level monitoring</w:t>
      </w:r>
      <w:r w:rsidR="00935036" w:rsidRPr="003B32B0">
        <w:rPr>
          <w:color w:val="auto"/>
        </w:rPr>
        <w:t xml:space="preserve"> of SARTFP</w:t>
      </w:r>
      <w:r w:rsidR="00C150BD" w:rsidRPr="003B32B0">
        <w:rPr>
          <w:color w:val="auto"/>
        </w:rPr>
        <w:t xml:space="preserve"> </w:t>
      </w:r>
      <w:r w:rsidR="001F61E9">
        <w:rPr>
          <w:color w:val="auto"/>
        </w:rPr>
        <w:t xml:space="preserve">made </w:t>
      </w:r>
      <w:r w:rsidR="00C150BD" w:rsidRPr="003B32B0">
        <w:rPr>
          <w:color w:val="auto"/>
        </w:rPr>
        <w:t xml:space="preserve">good progress against key milestones </w:t>
      </w:r>
      <w:r w:rsidRPr="003B32B0">
        <w:rPr>
          <w:color w:val="auto"/>
        </w:rPr>
        <w:t>despite the aforementioned areas requiring</w:t>
      </w:r>
      <w:r w:rsidR="00C150BD" w:rsidRPr="003B32B0">
        <w:rPr>
          <w:color w:val="auto"/>
        </w:rPr>
        <w:t xml:space="preserve"> improvement. </w:t>
      </w:r>
      <w:r w:rsidR="00E31EC6" w:rsidRPr="003B32B0">
        <w:rPr>
          <w:color w:val="auto"/>
        </w:rPr>
        <w:t>Notwithstanding</w:t>
      </w:r>
      <w:r w:rsidRPr="003B32B0">
        <w:rPr>
          <w:color w:val="auto"/>
        </w:rPr>
        <w:t xml:space="preserve"> the</w:t>
      </w:r>
      <w:r w:rsidR="00C150BD" w:rsidRPr="003B32B0">
        <w:rPr>
          <w:color w:val="auto"/>
        </w:rPr>
        <w:t xml:space="preserve"> challenges of elections in three of the four </w:t>
      </w:r>
      <w:r w:rsidR="00082F24">
        <w:rPr>
          <w:color w:val="auto"/>
        </w:rPr>
        <w:t>Bangladesh, Bhutan, India and Nepal (</w:t>
      </w:r>
      <w:r w:rsidR="00C150BD" w:rsidRPr="003B32B0">
        <w:rPr>
          <w:color w:val="auto"/>
        </w:rPr>
        <w:t>BBIN</w:t>
      </w:r>
      <w:r w:rsidR="00082F24">
        <w:rPr>
          <w:color w:val="auto"/>
        </w:rPr>
        <w:t>)</w:t>
      </w:r>
      <w:r w:rsidR="00C150BD" w:rsidRPr="003B32B0">
        <w:rPr>
          <w:color w:val="auto"/>
        </w:rPr>
        <w:t xml:space="preserve"> countries, the regional connectivity and trade facilitation pillar deliver</w:t>
      </w:r>
      <w:r w:rsidRPr="003B32B0">
        <w:rPr>
          <w:color w:val="auto"/>
        </w:rPr>
        <w:t>ed</w:t>
      </w:r>
      <w:r w:rsidR="00C150BD" w:rsidRPr="003B32B0">
        <w:rPr>
          <w:color w:val="auto"/>
        </w:rPr>
        <w:t xml:space="preserve"> stable contributions </w:t>
      </w:r>
      <w:r w:rsidR="001F61E9">
        <w:rPr>
          <w:color w:val="auto"/>
        </w:rPr>
        <w:t>to improving</w:t>
      </w:r>
      <w:r w:rsidR="00EA4891">
        <w:rPr>
          <w:color w:val="auto"/>
        </w:rPr>
        <w:t xml:space="preserve"> demand for</w:t>
      </w:r>
      <w:r w:rsidR="001F61E9">
        <w:rPr>
          <w:color w:val="auto"/>
        </w:rPr>
        <w:t xml:space="preserve"> gender </w:t>
      </w:r>
      <w:r w:rsidR="00EA4891">
        <w:rPr>
          <w:color w:val="auto"/>
        </w:rPr>
        <w:t xml:space="preserve">design and analytical work in delivering regional connectivity infrastructure </w:t>
      </w:r>
      <w:r w:rsidR="00C150BD" w:rsidRPr="003B32B0">
        <w:rPr>
          <w:color w:val="auto"/>
        </w:rPr>
        <w:t xml:space="preserve">activities across South Asia. With the approaching conclusion of SARTFP and IFG, emerging lessons and successes of the connectivity, infrastructure and gender ambitions are informing the design of </w:t>
      </w:r>
      <w:r w:rsidR="008414EC">
        <w:rPr>
          <w:color w:val="auto"/>
        </w:rPr>
        <w:t>SARIC</w:t>
      </w:r>
      <w:r w:rsidR="00C150BD" w:rsidRPr="003B32B0">
        <w:rPr>
          <w:color w:val="auto"/>
        </w:rPr>
        <w:t xml:space="preserve">. </w:t>
      </w:r>
    </w:p>
    <w:p w:rsidR="00FF2D41" w:rsidRDefault="00FF2D41" w:rsidP="003B32B0">
      <w:pPr>
        <w:rPr>
          <w:b/>
          <w:color w:val="auto"/>
        </w:rPr>
      </w:pPr>
    </w:p>
    <w:p w:rsidR="00FF2D41" w:rsidRDefault="00FF2D41" w:rsidP="003B32B0">
      <w:pPr>
        <w:rPr>
          <w:b/>
          <w:color w:val="auto"/>
        </w:rPr>
      </w:pPr>
    </w:p>
    <w:p w:rsidR="00C150BD" w:rsidRPr="003B32B0" w:rsidRDefault="00C150BD" w:rsidP="003B32B0">
      <w:pPr>
        <w:rPr>
          <w:b/>
          <w:color w:val="auto"/>
        </w:rPr>
      </w:pPr>
      <w:r w:rsidRPr="003B32B0">
        <w:rPr>
          <w:b/>
          <w:color w:val="auto"/>
        </w:rPr>
        <w:t>I</w:t>
      </w:r>
      <w:r w:rsidR="00E50A32" w:rsidRPr="003B32B0">
        <w:rPr>
          <w:b/>
          <w:color w:val="auto"/>
        </w:rPr>
        <w:t xml:space="preserve">nfrastructure </w:t>
      </w:r>
      <w:r w:rsidRPr="003B32B0">
        <w:rPr>
          <w:b/>
          <w:color w:val="auto"/>
        </w:rPr>
        <w:t>F</w:t>
      </w:r>
      <w:r w:rsidR="00E50A32" w:rsidRPr="003B32B0">
        <w:rPr>
          <w:b/>
          <w:color w:val="auto"/>
        </w:rPr>
        <w:t xml:space="preserve">or </w:t>
      </w:r>
      <w:r w:rsidRPr="003B32B0">
        <w:rPr>
          <w:b/>
          <w:color w:val="auto"/>
        </w:rPr>
        <w:t>G</w:t>
      </w:r>
      <w:r w:rsidR="00E50A32" w:rsidRPr="003B32B0">
        <w:rPr>
          <w:b/>
          <w:color w:val="auto"/>
        </w:rPr>
        <w:t>rowth</w:t>
      </w:r>
    </w:p>
    <w:p w:rsidR="00C150BD" w:rsidRPr="003B32B0" w:rsidRDefault="00C150BD" w:rsidP="00D26A54">
      <w:pPr>
        <w:rPr>
          <w:color w:val="auto"/>
        </w:rPr>
      </w:pPr>
      <w:r w:rsidRPr="003B32B0">
        <w:rPr>
          <w:color w:val="auto"/>
        </w:rPr>
        <w:t xml:space="preserve">The </w:t>
      </w:r>
      <w:r w:rsidR="00FF2D41">
        <w:rPr>
          <w:color w:val="auto"/>
        </w:rPr>
        <w:t>IFG</w:t>
      </w:r>
      <w:r w:rsidRPr="003B32B0">
        <w:rPr>
          <w:color w:val="auto"/>
        </w:rPr>
        <w:t xml:space="preserve"> program evaluation occurred during the reporting period. It found good evidence the program achieved its goals, based on the outcomes of its 57 activities (U</w:t>
      </w:r>
      <w:r w:rsidR="00082F24">
        <w:rPr>
          <w:color w:val="auto"/>
        </w:rPr>
        <w:t>S$</w:t>
      </w:r>
      <w:r w:rsidRPr="003B32B0">
        <w:rPr>
          <w:color w:val="auto"/>
        </w:rPr>
        <w:t>60.9</w:t>
      </w:r>
      <w:r w:rsidR="00453669" w:rsidRPr="003B32B0">
        <w:rPr>
          <w:color w:val="auto"/>
        </w:rPr>
        <w:t xml:space="preserve"> million). IFG </w:t>
      </w:r>
      <w:r w:rsidRPr="003B32B0">
        <w:rPr>
          <w:color w:val="auto"/>
        </w:rPr>
        <w:t xml:space="preserve">funded research and analysis </w:t>
      </w:r>
      <w:r w:rsidR="00B73C10">
        <w:rPr>
          <w:color w:val="auto"/>
        </w:rPr>
        <w:t xml:space="preserve">was found to have </w:t>
      </w:r>
      <w:r w:rsidRPr="003B32B0">
        <w:rPr>
          <w:color w:val="auto"/>
        </w:rPr>
        <w:t xml:space="preserve">effectively addressed knowledge gaps in energy, transport and climate change, and </w:t>
      </w:r>
      <w:r w:rsidR="00DB20DC" w:rsidRPr="003B32B0">
        <w:rPr>
          <w:color w:val="auto"/>
        </w:rPr>
        <w:t xml:space="preserve">contributed to </w:t>
      </w:r>
      <w:r w:rsidRPr="003B32B0">
        <w:rPr>
          <w:color w:val="auto"/>
        </w:rPr>
        <w:t xml:space="preserve">overall improvement </w:t>
      </w:r>
      <w:r w:rsidR="00DB20DC" w:rsidRPr="003B32B0">
        <w:rPr>
          <w:color w:val="auto"/>
        </w:rPr>
        <w:t>in</w:t>
      </w:r>
      <w:r w:rsidRPr="003B32B0">
        <w:rPr>
          <w:color w:val="auto"/>
        </w:rPr>
        <w:t xml:space="preserve"> the quality of </w:t>
      </w:r>
      <w:r w:rsidR="00DB20DC" w:rsidRPr="003B32B0">
        <w:rPr>
          <w:color w:val="auto"/>
        </w:rPr>
        <w:t>World Bank loans</w:t>
      </w:r>
      <w:r w:rsidRPr="003B32B0">
        <w:rPr>
          <w:color w:val="auto"/>
        </w:rPr>
        <w:t>. Although not initially a pillar of IFG, gender equality and social inclusion became i</w:t>
      </w:r>
      <w:r w:rsidR="00FF2D41">
        <w:rPr>
          <w:color w:val="auto"/>
        </w:rPr>
        <w:t>ncreasingly embedded</w:t>
      </w:r>
      <w:r w:rsidR="0040666C" w:rsidRPr="003B32B0">
        <w:rPr>
          <w:color w:val="auto"/>
        </w:rPr>
        <w:t xml:space="preserve"> throughout the program f</w:t>
      </w:r>
      <w:r w:rsidRPr="003B32B0">
        <w:rPr>
          <w:color w:val="auto"/>
        </w:rPr>
        <w:t>r</w:t>
      </w:r>
      <w:r w:rsidR="0040666C" w:rsidRPr="003B32B0">
        <w:rPr>
          <w:color w:val="auto"/>
        </w:rPr>
        <w:t>o</w:t>
      </w:r>
      <w:r w:rsidRPr="003B32B0">
        <w:rPr>
          <w:color w:val="auto"/>
        </w:rPr>
        <w:t xml:space="preserve">m 2016, and IFG activities paralleled DFAT and World Bank initiatives focusing on </w:t>
      </w:r>
      <w:r w:rsidR="002D7FBA">
        <w:rPr>
          <w:color w:val="auto"/>
        </w:rPr>
        <w:t>g</w:t>
      </w:r>
      <w:r w:rsidRPr="003B32B0">
        <w:rPr>
          <w:color w:val="auto"/>
        </w:rPr>
        <w:t xml:space="preserve">ender across the region. </w:t>
      </w:r>
    </w:p>
    <w:p w:rsidR="00C150BD" w:rsidRPr="003B32B0" w:rsidRDefault="00C150BD" w:rsidP="00D26A54">
      <w:pPr>
        <w:rPr>
          <w:color w:val="auto"/>
        </w:rPr>
      </w:pPr>
      <w:r w:rsidRPr="003B32B0">
        <w:rPr>
          <w:color w:val="auto"/>
        </w:rPr>
        <w:t>Key a</w:t>
      </w:r>
      <w:r w:rsidR="00B73C10">
        <w:rPr>
          <w:color w:val="auto"/>
        </w:rPr>
        <w:t>chievements recorded in 2018-19</w:t>
      </w:r>
      <w:r w:rsidRPr="003B32B0">
        <w:rPr>
          <w:color w:val="auto"/>
        </w:rPr>
        <w:t xml:space="preserve"> included: </w:t>
      </w:r>
    </w:p>
    <w:p w:rsidR="00C150BD" w:rsidRPr="003B32B0" w:rsidRDefault="00C150BD" w:rsidP="003B32B0">
      <w:pPr>
        <w:pStyle w:val="ListParagraph"/>
        <w:numPr>
          <w:ilvl w:val="0"/>
          <w:numId w:val="17"/>
        </w:numPr>
        <w:rPr>
          <w:color w:val="auto"/>
        </w:rPr>
      </w:pPr>
      <w:r w:rsidRPr="003B32B0">
        <w:rPr>
          <w:color w:val="auto"/>
        </w:rPr>
        <w:t>IFG’s analytical work generated the first assessment o</w:t>
      </w:r>
      <w:r w:rsidR="00935036" w:rsidRPr="003B32B0">
        <w:rPr>
          <w:color w:val="auto"/>
        </w:rPr>
        <w:t>f South Asian container ports.</w:t>
      </w:r>
      <w:r w:rsidRPr="003B32B0">
        <w:rPr>
          <w:color w:val="auto"/>
        </w:rPr>
        <w:t xml:space="preserve"> This became the most downloaded World Bank transport report and has been drawn on extensively by a wide range of South Asian Stakeholders. </w:t>
      </w:r>
    </w:p>
    <w:p w:rsidR="00C150BD" w:rsidRPr="003B32B0" w:rsidRDefault="00C150BD" w:rsidP="003B32B0">
      <w:pPr>
        <w:pStyle w:val="ListParagraph"/>
        <w:numPr>
          <w:ilvl w:val="0"/>
          <w:numId w:val="17"/>
        </w:numPr>
        <w:rPr>
          <w:color w:val="auto"/>
        </w:rPr>
      </w:pPr>
      <w:r w:rsidRPr="003B32B0">
        <w:rPr>
          <w:color w:val="auto"/>
        </w:rPr>
        <w:t xml:space="preserve">The Eastern Corridor Intermodal Transport and Logistics activity introduced new thinking on multi-modal transport and logistics in India. Insights were used by the </w:t>
      </w:r>
      <w:r w:rsidR="00CF64AE">
        <w:rPr>
          <w:color w:val="auto"/>
        </w:rPr>
        <w:t xml:space="preserve">Indian </w:t>
      </w:r>
      <w:r w:rsidRPr="003B32B0">
        <w:rPr>
          <w:color w:val="auto"/>
        </w:rPr>
        <w:t xml:space="preserve">Ministry of Railways for long-term strategic planning and prioritising investment projects. </w:t>
      </w:r>
    </w:p>
    <w:p w:rsidR="00C150BD" w:rsidRPr="003B32B0" w:rsidRDefault="00C150BD" w:rsidP="003B32B0">
      <w:pPr>
        <w:pStyle w:val="ListParagraph"/>
        <w:numPr>
          <w:ilvl w:val="0"/>
          <w:numId w:val="17"/>
        </w:numPr>
        <w:rPr>
          <w:color w:val="auto"/>
        </w:rPr>
      </w:pPr>
      <w:r w:rsidRPr="003B32B0">
        <w:rPr>
          <w:color w:val="auto"/>
        </w:rPr>
        <w:t>IFG built institutional capacity within the agency responsible for the Government of India's ambitious program to clean and conserve the Ganga</w:t>
      </w:r>
      <w:r w:rsidR="00CF64AE">
        <w:rPr>
          <w:color w:val="auto"/>
        </w:rPr>
        <w:t>,</w:t>
      </w:r>
      <w:r w:rsidRPr="003B32B0">
        <w:rPr>
          <w:color w:val="auto"/>
        </w:rPr>
        <w:t xml:space="preserve"> enabling the agency to move ahead with 33</w:t>
      </w:r>
      <w:r w:rsidR="00A52A5C">
        <w:rPr>
          <w:color w:val="auto"/>
        </w:rPr>
        <w:t xml:space="preserve"> contracts worth US$</w:t>
      </w:r>
      <w:r w:rsidRPr="003B32B0">
        <w:rPr>
          <w:color w:val="auto"/>
        </w:rPr>
        <w:t>626 million.</w:t>
      </w:r>
    </w:p>
    <w:p w:rsidR="00C150BD" w:rsidRPr="003B32B0" w:rsidRDefault="00C150BD" w:rsidP="003B32B0">
      <w:pPr>
        <w:pStyle w:val="ListParagraph"/>
        <w:numPr>
          <w:ilvl w:val="0"/>
          <w:numId w:val="17"/>
        </w:numPr>
        <w:rPr>
          <w:color w:val="auto"/>
        </w:rPr>
      </w:pPr>
      <w:r w:rsidRPr="003B32B0">
        <w:rPr>
          <w:color w:val="auto"/>
        </w:rPr>
        <w:t xml:space="preserve">The study on the </w:t>
      </w:r>
      <w:r w:rsidRPr="00365784">
        <w:rPr>
          <w:i/>
          <w:color w:val="auto"/>
        </w:rPr>
        <w:t>Cost of Distortions in the Power Sector</w:t>
      </w:r>
      <w:r w:rsidRPr="003B32B0">
        <w:rPr>
          <w:color w:val="auto"/>
        </w:rPr>
        <w:t xml:space="preserve"> for</w:t>
      </w:r>
      <w:r w:rsidR="009B3D5F" w:rsidRPr="003B32B0">
        <w:rPr>
          <w:color w:val="auto"/>
        </w:rPr>
        <w:t xml:space="preserve"> Bangladesh, India and Pakistan</w:t>
      </w:r>
      <w:r w:rsidRPr="003B32B0">
        <w:rPr>
          <w:color w:val="auto"/>
        </w:rPr>
        <w:t xml:space="preserve"> </w:t>
      </w:r>
      <w:r w:rsidR="00CF64AE">
        <w:rPr>
          <w:color w:val="auto"/>
        </w:rPr>
        <w:t xml:space="preserve">helped define </w:t>
      </w:r>
      <w:r w:rsidRPr="003B32B0">
        <w:rPr>
          <w:color w:val="auto"/>
        </w:rPr>
        <w:t xml:space="preserve">priorities for power sector reform. The </w:t>
      </w:r>
      <w:r w:rsidR="00CF64AE">
        <w:rPr>
          <w:color w:val="auto"/>
        </w:rPr>
        <w:t xml:space="preserve">reliability and rigor of the analysis in the </w:t>
      </w:r>
      <w:r w:rsidRPr="003B32B0">
        <w:rPr>
          <w:color w:val="auto"/>
        </w:rPr>
        <w:t xml:space="preserve">report compared </w:t>
      </w:r>
      <w:r w:rsidR="00CF64AE">
        <w:rPr>
          <w:color w:val="auto"/>
        </w:rPr>
        <w:t>favourably to previous analysis.</w:t>
      </w:r>
      <w:r w:rsidRPr="003B32B0">
        <w:rPr>
          <w:color w:val="auto"/>
        </w:rPr>
        <w:t xml:space="preserve"> </w:t>
      </w:r>
      <w:r w:rsidR="00CF64AE">
        <w:rPr>
          <w:color w:val="auto"/>
        </w:rPr>
        <w:t>This</w:t>
      </w:r>
      <w:r w:rsidRPr="003B32B0">
        <w:rPr>
          <w:color w:val="auto"/>
        </w:rPr>
        <w:t xml:space="preserve"> demonstrated to governments the importance of undertaking improvements, and removing price distortions.</w:t>
      </w:r>
    </w:p>
    <w:p w:rsidR="00C150BD" w:rsidRPr="003B32B0" w:rsidRDefault="009B3D5F" w:rsidP="00D26A54">
      <w:pPr>
        <w:rPr>
          <w:color w:val="auto"/>
        </w:rPr>
      </w:pPr>
      <w:r w:rsidRPr="003B32B0">
        <w:rPr>
          <w:color w:val="auto"/>
        </w:rPr>
        <w:t>T</w:t>
      </w:r>
      <w:r w:rsidR="003B32B0">
        <w:rPr>
          <w:color w:val="auto"/>
        </w:rPr>
        <w:t>he</w:t>
      </w:r>
      <w:r w:rsidR="00C150BD" w:rsidRPr="003B32B0">
        <w:rPr>
          <w:color w:val="auto"/>
        </w:rPr>
        <w:t xml:space="preserve"> reasonable flexib</w:t>
      </w:r>
      <w:r w:rsidR="00B73C10">
        <w:rPr>
          <w:color w:val="auto"/>
        </w:rPr>
        <w:t>ility of the trust f</w:t>
      </w:r>
      <w:r w:rsidR="00C150BD" w:rsidRPr="003B32B0">
        <w:rPr>
          <w:color w:val="auto"/>
        </w:rPr>
        <w:t>und mechanism enable</w:t>
      </w:r>
      <w:r w:rsidRPr="003B32B0">
        <w:rPr>
          <w:color w:val="auto"/>
        </w:rPr>
        <w:t>d</w:t>
      </w:r>
      <w:r w:rsidR="00C150BD" w:rsidRPr="003B32B0">
        <w:rPr>
          <w:color w:val="auto"/>
        </w:rPr>
        <w:t xml:space="preserve"> selection and emphasis of program activities to </w:t>
      </w:r>
      <w:r w:rsidR="00CF64AE">
        <w:rPr>
          <w:color w:val="auto"/>
        </w:rPr>
        <w:t xml:space="preserve">reflect </w:t>
      </w:r>
      <w:r w:rsidRPr="003B32B0">
        <w:rPr>
          <w:color w:val="auto"/>
        </w:rPr>
        <w:t>changes</w:t>
      </w:r>
      <w:r w:rsidR="00C150BD" w:rsidRPr="003B32B0">
        <w:rPr>
          <w:color w:val="auto"/>
        </w:rPr>
        <w:t xml:space="preserve"> to DFAT’s development priorities. This allowed IFG</w:t>
      </w:r>
      <w:r w:rsidR="00B73C10">
        <w:rPr>
          <w:color w:val="auto"/>
        </w:rPr>
        <w:t xml:space="preserve"> programs to work across</w:t>
      </w:r>
      <w:r w:rsidR="00C150BD" w:rsidRPr="003B32B0">
        <w:rPr>
          <w:color w:val="auto"/>
        </w:rPr>
        <w:t xml:space="preserve"> </w:t>
      </w:r>
      <w:r w:rsidR="00CF64AE">
        <w:rPr>
          <w:color w:val="auto"/>
        </w:rPr>
        <w:t>eight countries</w:t>
      </w:r>
      <w:r w:rsidR="00C150BD" w:rsidRPr="003B32B0">
        <w:rPr>
          <w:color w:val="auto"/>
        </w:rPr>
        <w:t xml:space="preserve"> which would not have been possible under </w:t>
      </w:r>
      <w:r w:rsidR="00CF64AE">
        <w:rPr>
          <w:color w:val="auto"/>
        </w:rPr>
        <w:t>a more conventional trust fund structure.</w:t>
      </w:r>
      <w:r w:rsidR="00C150BD" w:rsidRPr="003B32B0">
        <w:rPr>
          <w:color w:val="auto"/>
        </w:rPr>
        <w:t xml:space="preserve"> IFG successfully i</w:t>
      </w:r>
      <w:r w:rsidRPr="003B32B0">
        <w:rPr>
          <w:color w:val="auto"/>
        </w:rPr>
        <w:t>nfo</w:t>
      </w:r>
      <w:r w:rsidR="00A52A5C">
        <w:rPr>
          <w:color w:val="auto"/>
        </w:rPr>
        <w:t>rmed and contributed to some US$</w:t>
      </w:r>
      <w:r w:rsidR="00C150BD" w:rsidRPr="003B32B0">
        <w:rPr>
          <w:color w:val="auto"/>
        </w:rPr>
        <w:t>2.26 billion of World Bank investment projects in South Asia by undertaking in-depth design and technical analytical work.</w:t>
      </w:r>
    </w:p>
    <w:p w:rsidR="00C150BD" w:rsidRPr="00D26A54" w:rsidRDefault="00C150BD" w:rsidP="003B32B0">
      <w:pPr>
        <w:rPr>
          <w:rFonts w:eastAsiaTheme="majorEastAsia" w:cstheme="minorHAnsi"/>
          <w:b/>
          <w:caps/>
          <w:sz w:val="32"/>
          <w:szCs w:val="32"/>
        </w:rPr>
      </w:pPr>
      <w:r w:rsidRPr="003B32B0">
        <w:rPr>
          <w:b/>
          <w:color w:val="auto"/>
        </w:rPr>
        <w:t>S</w:t>
      </w:r>
      <w:r w:rsidR="003B32B0">
        <w:rPr>
          <w:b/>
          <w:color w:val="auto"/>
        </w:rPr>
        <w:t xml:space="preserve">outh </w:t>
      </w:r>
      <w:r w:rsidRPr="003B32B0">
        <w:rPr>
          <w:b/>
          <w:color w:val="auto"/>
        </w:rPr>
        <w:t>A</w:t>
      </w:r>
      <w:r w:rsidR="003B32B0">
        <w:rPr>
          <w:b/>
          <w:color w:val="auto"/>
        </w:rPr>
        <w:t xml:space="preserve">sia </w:t>
      </w:r>
      <w:r w:rsidRPr="003B32B0">
        <w:rPr>
          <w:b/>
          <w:color w:val="auto"/>
        </w:rPr>
        <w:t>R</w:t>
      </w:r>
      <w:r w:rsidR="003B32B0">
        <w:rPr>
          <w:b/>
          <w:color w:val="auto"/>
        </w:rPr>
        <w:t xml:space="preserve">egional </w:t>
      </w:r>
      <w:r w:rsidRPr="003B32B0">
        <w:rPr>
          <w:b/>
          <w:color w:val="auto"/>
        </w:rPr>
        <w:t>T</w:t>
      </w:r>
      <w:r w:rsidR="003B32B0">
        <w:rPr>
          <w:b/>
          <w:color w:val="auto"/>
        </w:rPr>
        <w:t xml:space="preserve">rade </w:t>
      </w:r>
      <w:r w:rsidRPr="003B32B0">
        <w:rPr>
          <w:b/>
          <w:color w:val="auto"/>
        </w:rPr>
        <w:t>F</w:t>
      </w:r>
      <w:r w:rsidR="003B32B0">
        <w:rPr>
          <w:b/>
          <w:color w:val="auto"/>
        </w:rPr>
        <w:t xml:space="preserve">acilitation </w:t>
      </w:r>
      <w:r w:rsidRPr="003B32B0">
        <w:rPr>
          <w:b/>
          <w:color w:val="auto"/>
        </w:rPr>
        <w:t>P</w:t>
      </w:r>
      <w:r w:rsidR="003B32B0">
        <w:rPr>
          <w:b/>
          <w:color w:val="auto"/>
        </w:rPr>
        <w:t>rogram</w:t>
      </w:r>
    </w:p>
    <w:p w:rsidR="00C150BD" w:rsidRPr="001E2201" w:rsidRDefault="00C150BD" w:rsidP="001E2201">
      <w:pPr>
        <w:rPr>
          <w:color w:val="auto"/>
        </w:rPr>
      </w:pPr>
      <w:r w:rsidRPr="003B32B0">
        <w:rPr>
          <w:color w:val="auto"/>
        </w:rPr>
        <w:t xml:space="preserve">SARTFP underwent an external evaluation during the reporting period. It found the program is achieving value for money and made positive projections for the final phase of the program. </w:t>
      </w:r>
      <w:r w:rsidR="00723D77">
        <w:rPr>
          <w:color w:val="auto"/>
        </w:rPr>
        <w:t>The e</w:t>
      </w:r>
      <w:r w:rsidR="004800BE">
        <w:rPr>
          <w:color w:val="auto"/>
        </w:rPr>
        <w:t>valuation identified opportunities for strengthening the World Bank</w:t>
      </w:r>
      <w:r w:rsidR="00B73C10">
        <w:rPr>
          <w:color w:val="auto"/>
        </w:rPr>
        <w:t>’</w:t>
      </w:r>
      <w:r w:rsidR="004800BE">
        <w:rPr>
          <w:color w:val="auto"/>
        </w:rPr>
        <w:t xml:space="preserve">s approach to gender integration across its investments. </w:t>
      </w:r>
      <w:r w:rsidR="00B73C10">
        <w:rPr>
          <w:color w:val="auto"/>
        </w:rPr>
        <w:t>A</w:t>
      </w:r>
      <w:r w:rsidRPr="003B32B0">
        <w:rPr>
          <w:color w:val="auto"/>
        </w:rPr>
        <w:t xml:space="preserve">t least nine SARTFP activities contributed to more robust consideration of gender - linked to 19 investments, of which the World Bank share is estimated at </w:t>
      </w:r>
      <w:r w:rsidR="00A52A5C">
        <w:rPr>
          <w:color w:val="auto"/>
        </w:rPr>
        <w:t>US$</w:t>
      </w:r>
      <w:r w:rsidRPr="003B32B0">
        <w:rPr>
          <w:color w:val="auto"/>
        </w:rPr>
        <w:t xml:space="preserve">3.379 billion. </w:t>
      </w:r>
      <w:r w:rsidR="00723D77">
        <w:rPr>
          <w:color w:val="auto"/>
        </w:rPr>
        <w:t>The e</w:t>
      </w:r>
      <w:r w:rsidR="00B8385E">
        <w:rPr>
          <w:color w:val="auto"/>
        </w:rPr>
        <w:t xml:space="preserve">valuation also suggested DFAT improve visibility through a stronger emphasis on public diplomacy. </w:t>
      </w:r>
      <w:r w:rsidRPr="003B32B0">
        <w:rPr>
          <w:color w:val="auto"/>
        </w:rPr>
        <w:t>Regional awareness of SARTFP is increasing, evidenced by strong participation in its 42 outreach events, and dissemination o</w:t>
      </w:r>
      <w:r w:rsidRPr="001E2201">
        <w:rPr>
          <w:color w:val="auto"/>
        </w:rPr>
        <w:t xml:space="preserve">f 35 knowledge products in the reporting period. </w:t>
      </w:r>
    </w:p>
    <w:p w:rsidR="00C150BD" w:rsidRPr="003B32B0" w:rsidRDefault="00C150BD" w:rsidP="00365784">
      <w:pPr>
        <w:rPr>
          <w:color w:val="auto"/>
        </w:rPr>
      </w:pPr>
      <w:r w:rsidRPr="003B32B0">
        <w:rPr>
          <w:color w:val="auto"/>
        </w:rPr>
        <w:t>Key achievements in 2018-19, included: </w:t>
      </w:r>
    </w:p>
    <w:p w:rsidR="00C150BD" w:rsidRPr="003B32B0" w:rsidRDefault="00C150BD" w:rsidP="003B32B0">
      <w:pPr>
        <w:pStyle w:val="ListParagraph"/>
        <w:numPr>
          <w:ilvl w:val="0"/>
          <w:numId w:val="17"/>
        </w:numPr>
        <w:rPr>
          <w:color w:val="auto"/>
        </w:rPr>
      </w:pPr>
      <w:r w:rsidRPr="003B32B0">
        <w:rPr>
          <w:color w:val="auto"/>
        </w:rPr>
        <w:t xml:space="preserve">A standalone SARTFP Gender Platform was established. The platform provides technical support, knowledge generation and information sharing on gender and trade, focusing on women’s economic empowerment. </w:t>
      </w:r>
    </w:p>
    <w:p w:rsidR="00C150BD" w:rsidRPr="003B32B0" w:rsidRDefault="00C150BD" w:rsidP="003B32B0">
      <w:pPr>
        <w:pStyle w:val="ListParagraph"/>
        <w:numPr>
          <w:ilvl w:val="0"/>
          <w:numId w:val="17"/>
        </w:numPr>
        <w:rPr>
          <w:color w:val="auto"/>
        </w:rPr>
      </w:pPr>
      <w:r w:rsidRPr="003B32B0">
        <w:rPr>
          <w:color w:val="auto"/>
        </w:rPr>
        <w:t xml:space="preserve">SARTFP supported </w:t>
      </w:r>
      <w:r w:rsidR="00B73C10">
        <w:rPr>
          <w:color w:val="auto"/>
        </w:rPr>
        <w:t xml:space="preserve">an </w:t>
      </w:r>
      <w:r w:rsidR="009B3D5F" w:rsidRPr="003B32B0">
        <w:rPr>
          <w:color w:val="auto"/>
        </w:rPr>
        <w:t xml:space="preserve">activity </w:t>
      </w:r>
      <w:r w:rsidRPr="003B32B0">
        <w:rPr>
          <w:color w:val="auto"/>
        </w:rPr>
        <w:t xml:space="preserve">to map women-led </w:t>
      </w:r>
      <w:r w:rsidR="00B8385E">
        <w:rPr>
          <w:color w:val="auto"/>
        </w:rPr>
        <w:t>small and medium enterprises (</w:t>
      </w:r>
      <w:r w:rsidRPr="003B32B0">
        <w:rPr>
          <w:color w:val="auto"/>
        </w:rPr>
        <w:t>SMEs</w:t>
      </w:r>
      <w:r w:rsidR="00B8385E">
        <w:rPr>
          <w:color w:val="auto"/>
        </w:rPr>
        <w:t>)</w:t>
      </w:r>
      <w:r w:rsidRPr="003B32B0">
        <w:rPr>
          <w:color w:val="auto"/>
        </w:rPr>
        <w:t xml:space="preserve"> in border regions of India and Bangladesh. The activity analyses impediments to growth in transport, storage and distribution systems, including examining supply chains for gender-specific issues. Outcomes of the study (due October 2019) will be used by the </w:t>
      </w:r>
      <w:r w:rsidR="009A7463" w:rsidRPr="003B32B0">
        <w:rPr>
          <w:color w:val="auto"/>
        </w:rPr>
        <w:t xml:space="preserve">World </w:t>
      </w:r>
      <w:r w:rsidRPr="003B32B0">
        <w:rPr>
          <w:color w:val="auto"/>
        </w:rPr>
        <w:t xml:space="preserve">Bank to guide new synergies between relevant ministries and private sector partners, and project future freight flows along the Eastern Corridors. </w:t>
      </w:r>
    </w:p>
    <w:p w:rsidR="00C150BD" w:rsidRPr="003B32B0" w:rsidRDefault="00C150BD" w:rsidP="003B32B0">
      <w:pPr>
        <w:pStyle w:val="ListParagraph"/>
        <w:numPr>
          <w:ilvl w:val="0"/>
          <w:numId w:val="17"/>
        </w:numPr>
        <w:rPr>
          <w:color w:val="auto"/>
        </w:rPr>
      </w:pPr>
      <w:r w:rsidRPr="003B32B0">
        <w:rPr>
          <w:color w:val="auto"/>
        </w:rPr>
        <w:t>SARTFP extended its capacity building and regional dissemination events, to reach broader audiences, generate awareness of SARTFP</w:t>
      </w:r>
      <w:r w:rsidR="009B3D5F" w:rsidRPr="003B32B0">
        <w:rPr>
          <w:color w:val="auto"/>
        </w:rPr>
        <w:t xml:space="preserve"> and build regional consensus</w:t>
      </w:r>
      <w:r w:rsidRPr="003B32B0">
        <w:rPr>
          <w:color w:val="auto"/>
        </w:rPr>
        <w:t>. For example, a week long regional capacity building w</w:t>
      </w:r>
      <w:r w:rsidR="00CF64AE">
        <w:rPr>
          <w:color w:val="auto"/>
        </w:rPr>
        <w:t>orkshop on tax policy was held in August 2018</w:t>
      </w:r>
      <w:r w:rsidRPr="003B32B0">
        <w:rPr>
          <w:color w:val="auto"/>
        </w:rPr>
        <w:t>.</w:t>
      </w:r>
    </w:p>
    <w:p w:rsidR="00C150BD" w:rsidRPr="00D26A54" w:rsidRDefault="00C150BD" w:rsidP="003B32B0">
      <w:pPr>
        <w:pStyle w:val="ListParagraph"/>
        <w:numPr>
          <w:ilvl w:val="0"/>
          <w:numId w:val="17"/>
        </w:numPr>
      </w:pPr>
      <w:r w:rsidRPr="003B32B0">
        <w:rPr>
          <w:color w:val="auto"/>
        </w:rPr>
        <w:t xml:space="preserve">SARTFP funded training and networking </w:t>
      </w:r>
      <w:r w:rsidR="00B73C10">
        <w:rPr>
          <w:color w:val="auto"/>
        </w:rPr>
        <w:t>supported h</w:t>
      </w:r>
      <w:r w:rsidR="00B73C10" w:rsidRPr="003B32B0">
        <w:rPr>
          <w:color w:val="auto"/>
        </w:rPr>
        <w:t xml:space="preserve">oney producers in Nepal benefitted from </w:t>
      </w:r>
      <w:r w:rsidRPr="003B32B0">
        <w:rPr>
          <w:color w:val="auto"/>
        </w:rPr>
        <w:t xml:space="preserve">with </w:t>
      </w:r>
      <w:r w:rsidR="00B73C10">
        <w:rPr>
          <w:color w:val="auto"/>
        </w:rPr>
        <w:t>increase</w:t>
      </w:r>
      <w:r w:rsidRPr="003B32B0">
        <w:rPr>
          <w:color w:val="auto"/>
        </w:rPr>
        <w:t xml:space="preserve"> in profits and volumes sold</w:t>
      </w:r>
      <w:r w:rsidR="00B73C10">
        <w:rPr>
          <w:color w:val="auto"/>
        </w:rPr>
        <w:t>.</w:t>
      </w:r>
      <w:r w:rsidRPr="003B32B0">
        <w:rPr>
          <w:color w:val="auto"/>
        </w:rPr>
        <w:t xml:space="preserve"> </w:t>
      </w:r>
    </w:p>
    <w:p w:rsidR="002A3C7E" w:rsidRPr="00E563C1" w:rsidRDefault="00B8385E" w:rsidP="001E2201">
      <w:pPr>
        <w:rPr>
          <w:color w:val="auto"/>
          <w:highlight w:val="cyan"/>
        </w:rPr>
      </w:pPr>
      <w:r>
        <w:rPr>
          <w:color w:val="auto"/>
        </w:rPr>
        <w:t>In 2019-20 DFAT will seek to strengthen</w:t>
      </w:r>
      <w:r w:rsidR="002A3C7E" w:rsidRPr="00E563C1">
        <w:rPr>
          <w:color w:val="auto"/>
        </w:rPr>
        <w:t xml:space="preserve"> public diplomacy through the SARTFP program. </w:t>
      </w:r>
      <w:r w:rsidR="00365784">
        <w:rPr>
          <w:color w:val="auto"/>
        </w:rPr>
        <w:t>C</w:t>
      </w:r>
      <w:r w:rsidRPr="00E563C1">
        <w:rPr>
          <w:color w:val="auto"/>
        </w:rPr>
        <w:t>onsistent resourcing of attendance at</w:t>
      </w:r>
      <w:r w:rsidR="002A3C7E" w:rsidRPr="00E563C1">
        <w:rPr>
          <w:color w:val="auto"/>
        </w:rPr>
        <w:t xml:space="preserve"> operational meetings</w:t>
      </w:r>
      <w:r w:rsidRPr="00E563C1">
        <w:rPr>
          <w:color w:val="auto"/>
        </w:rPr>
        <w:t>, and increased engagement with Posts,</w:t>
      </w:r>
      <w:r w:rsidR="002A3C7E" w:rsidRPr="00E563C1">
        <w:rPr>
          <w:color w:val="auto"/>
        </w:rPr>
        <w:t xml:space="preserve"> </w:t>
      </w:r>
      <w:r w:rsidRPr="00E563C1">
        <w:rPr>
          <w:color w:val="auto"/>
        </w:rPr>
        <w:t>will</w:t>
      </w:r>
      <w:r w:rsidR="00365784">
        <w:rPr>
          <w:color w:val="auto"/>
        </w:rPr>
        <w:t xml:space="preserve"> improve DFAT’s management of</w:t>
      </w:r>
      <w:r w:rsidRPr="00E563C1">
        <w:rPr>
          <w:color w:val="auto"/>
        </w:rPr>
        <w:t xml:space="preserve"> </w:t>
      </w:r>
      <w:r w:rsidR="00365784">
        <w:rPr>
          <w:color w:val="auto"/>
        </w:rPr>
        <w:t>SARTFP’s performance</w:t>
      </w:r>
      <w:r w:rsidR="002A3C7E" w:rsidRPr="00E563C1">
        <w:rPr>
          <w:color w:val="auto"/>
        </w:rPr>
        <w:t xml:space="preserve">. </w:t>
      </w:r>
      <w:r w:rsidR="00365784">
        <w:rPr>
          <w:color w:val="auto"/>
        </w:rPr>
        <w:t>We will also seek</w:t>
      </w:r>
      <w:r w:rsidR="002A3C7E" w:rsidRPr="00E563C1">
        <w:rPr>
          <w:color w:val="auto"/>
        </w:rPr>
        <w:t xml:space="preserve"> more frequent engagement with Posts. For reporting, there is room for improvement on data collection and utilisation</w:t>
      </w:r>
      <w:r w:rsidRPr="00E563C1">
        <w:rPr>
          <w:color w:val="auto"/>
        </w:rPr>
        <w:t>.</w:t>
      </w:r>
    </w:p>
    <w:p w:rsidR="001F43A2" w:rsidRPr="003B32B0" w:rsidRDefault="001F43A2" w:rsidP="003B32B0">
      <w:pPr>
        <w:spacing w:before="240" w:line="240" w:lineRule="auto"/>
        <w:rPr>
          <w:b/>
          <w:color w:val="auto"/>
        </w:rPr>
      </w:pPr>
      <w:r w:rsidRPr="003B32B0">
        <w:rPr>
          <w:b/>
          <w:color w:val="auto"/>
        </w:rPr>
        <w:t>Australia Awards</w:t>
      </w:r>
    </w:p>
    <w:p w:rsidR="001F43A2" w:rsidRPr="003B32B0" w:rsidRDefault="00102C38" w:rsidP="001E2201">
      <w:pPr>
        <w:rPr>
          <w:color w:val="auto"/>
        </w:rPr>
      </w:pPr>
      <w:r w:rsidRPr="003B32B0">
        <w:rPr>
          <w:color w:val="auto"/>
        </w:rPr>
        <w:t xml:space="preserve">The Australia Awards South and West Asia program is on track to reach all of its long-term objectives. </w:t>
      </w:r>
      <w:r w:rsidR="001F43A2" w:rsidRPr="003B32B0">
        <w:rPr>
          <w:color w:val="auto"/>
        </w:rPr>
        <w:t xml:space="preserve">In 2018, 758 (50 per cent female, 50 per cent male) Australia Awards Scholarships and Short Course recipients undertook tertiary education and training programs delivered by Australian </w:t>
      </w:r>
      <w:r w:rsidR="00B73C10">
        <w:rPr>
          <w:color w:val="auto"/>
        </w:rPr>
        <w:t>providers  - an increase of 29  recipients from</w:t>
      </w:r>
      <w:r w:rsidR="001F43A2" w:rsidRPr="003B32B0">
        <w:rPr>
          <w:color w:val="auto"/>
        </w:rPr>
        <w:t xml:space="preserve"> 2017. In 2019, 191 new Australia Awards long-term scholarships have been offered for studies in Australia (55 per cent female).  The Alumni Tracer Study (September 2018) found that of 119 respondents across Bangladesh, Bhutan, India and Nepal (BBIN) countries, 97 per cent indicated they had passed on new skills and knowledge to others and 96 per cent introduced improved practices and innovations into their work following their award</w:t>
      </w:r>
      <w:r w:rsidR="00453669" w:rsidRPr="003B32B0">
        <w:rPr>
          <w:color w:val="auto"/>
        </w:rPr>
        <w:t xml:space="preserve">. The program </w:t>
      </w:r>
      <w:r w:rsidRPr="003B32B0">
        <w:rPr>
          <w:color w:val="auto"/>
        </w:rPr>
        <w:t>continues to meet g</w:t>
      </w:r>
      <w:r w:rsidR="001F43A2" w:rsidRPr="003B32B0">
        <w:rPr>
          <w:color w:val="auto"/>
        </w:rPr>
        <w:t xml:space="preserve">ender equality and social </w:t>
      </w:r>
      <w:r w:rsidRPr="003B32B0">
        <w:rPr>
          <w:color w:val="auto"/>
        </w:rPr>
        <w:t xml:space="preserve">inclusion targets. </w:t>
      </w:r>
    </w:p>
    <w:p w:rsidR="005B5769" w:rsidRPr="00D26A54" w:rsidRDefault="005B5769" w:rsidP="00BB648A">
      <w:pPr>
        <w:pStyle w:val="ListBullet"/>
        <w:tabs>
          <w:tab w:val="clear" w:pos="284"/>
        </w:tabs>
        <w:spacing w:before="360" w:line="300" w:lineRule="exact"/>
        <w:rPr>
          <w:rFonts w:asciiTheme="minorHAnsi" w:eastAsiaTheme="majorEastAsia" w:hAnsiTheme="minorHAnsi" w:cstheme="minorHAnsi"/>
          <w:caps/>
          <w:color w:val="495965" w:themeColor="text2"/>
          <w:sz w:val="38"/>
          <w:szCs w:val="26"/>
          <w:lang w:val="en-GB" w:eastAsia="en-US"/>
        </w:rPr>
      </w:pPr>
      <w:r w:rsidRPr="00D26A54">
        <w:rPr>
          <w:rFonts w:asciiTheme="minorHAnsi" w:eastAsiaTheme="majorEastAsia" w:hAnsiTheme="minorHAnsi" w:cstheme="minorHAnsi"/>
          <w:caps/>
          <w:color w:val="495965" w:themeColor="text2"/>
          <w:sz w:val="38"/>
          <w:szCs w:val="26"/>
          <w:lang w:val="en-GB" w:eastAsia="en-US"/>
        </w:rPr>
        <w:t>Mutual Obligations</w:t>
      </w:r>
    </w:p>
    <w:p w:rsidR="00713318" w:rsidRPr="003B32B0" w:rsidRDefault="00713318" w:rsidP="001E2201">
      <w:pPr>
        <w:rPr>
          <w:color w:val="auto"/>
        </w:rPr>
      </w:pPr>
      <w:r w:rsidRPr="003B32B0">
        <w:rPr>
          <w:color w:val="auto"/>
        </w:rPr>
        <w:t xml:space="preserve">The South Asia Regional program is aligned with the priorities of partner governments and Australia’s national interest and expertise. We do not have formalised mutual obligations or shared priorities in the same way as a large single-country bilateral program. Instead we deliver </w:t>
      </w:r>
      <w:r w:rsidR="00102C38" w:rsidRPr="003B32B0">
        <w:rPr>
          <w:color w:val="auto"/>
        </w:rPr>
        <w:t>programs</w:t>
      </w:r>
      <w:r w:rsidRPr="003B32B0">
        <w:rPr>
          <w:color w:val="auto"/>
        </w:rPr>
        <w:t xml:space="preserve"> in line wi</w:t>
      </w:r>
      <w:r w:rsidR="00102C38" w:rsidRPr="003B32B0">
        <w:rPr>
          <w:color w:val="auto"/>
        </w:rPr>
        <w:t>th the objectives</w:t>
      </w:r>
      <w:r w:rsidR="003C2742" w:rsidRPr="003B32B0">
        <w:rPr>
          <w:color w:val="auto"/>
        </w:rPr>
        <w:t xml:space="preserve"> in our Regional Strategy. Over the next reporting period a new </w:t>
      </w:r>
      <w:r w:rsidR="00615C98" w:rsidRPr="003B32B0">
        <w:rPr>
          <w:color w:val="auto"/>
        </w:rPr>
        <w:t>AIP will be created. It will set out clear performance benchmarks for the South Asia Regional Program’s objectives</w:t>
      </w:r>
      <w:r w:rsidR="00102C38" w:rsidRPr="003B32B0">
        <w:rPr>
          <w:color w:val="auto"/>
        </w:rPr>
        <w:t>,</w:t>
      </w:r>
      <w:r w:rsidR="00615C98" w:rsidRPr="003B32B0">
        <w:rPr>
          <w:color w:val="auto"/>
        </w:rPr>
        <w:t xml:space="preserve"> informed by lessons learnt from previous programs, ongoing design activities and consideration of Australia’s comparative advantage.</w:t>
      </w:r>
      <w:r w:rsidRPr="003B32B0">
        <w:rPr>
          <w:color w:val="auto"/>
        </w:rPr>
        <w:t xml:space="preserve"> </w:t>
      </w:r>
      <w:r w:rsidR="00CF64AE">
        <w:rPr>
          <w:color w:val="auto"/>
        </w:rPr>
        <w:t>The Regional program will focus on performance linkages that support partner countries that show the greatest interest in reform in water resource management and infrastructure connectivity.</w:t>
      </w:r>
    </w:p>
    <w:p w:rsidR="00713318" w:rsidRPr="003B32B0" w:rsidRDefault="00713318" w:rsidP="001E2201">
      <w:pPr>
        <w:rPr>
          <w:color w:val="auto"/>
        </w:rPr>
      </w:pPr>
      <w:r w:rsidRPr="003B32B0">
        <w:rPr>
          <w:color w:val="auto"/>
        </w:rPr>
        <w:t xml:space="preserve">Australia works closely with key donors in the region including the United Kingdom, and through </w:t>
      </w:r>
      <w:r w:rsidR="00FE6574">
        <w:rPr>
          <w:color w:val="auto"/>
        </w:rPr>
        <w:t>m</w:t>
      </w:r>
      <w:r w:rsidRPr="003B32B0">
        <w:rPr>
          <w:color w:val="auto"/>
        </w:rPr>
        <w:t xml:space="preserve">ultilateral </w:t>
      </w:r>
      <w:r w:rsidR="00266F82">
        <w:rPr>
          <w:color w:val="auto"/>
        </w:rPr>
        <w:t>d</w:t>
      </w:r>
      <w:r w:rsidRPr="003B32B0">
        <w:rPr>
          <w:color w:val="auto"/>
        </w:rPr>
        <w:t xml:space="preserve">evelopment </w:t>
      </w:r>
      <w:r w:rsidR="00266F82">
        <w:rPr>
          <w:color w:val="auto"/>
        </w:rPr>
        <w:t>b</w:t>
      </w:r>
      <w:r w:rsidRPr="003B32B0">
        <w:rPr>
          <w:color w:val="auto"/>
        </w:rPr>
        <w:t xml:space="preserve">anks, </w:t>
      </w:r>
      <w:r w:rsidR="00102C38" w:rsidRPr="003B32B0">
        <w:rPr>
          <w:color w:val="auto"/>
        </w:rPr>
        <w:t xml:space="preserve">including the World Bank, to ensure efficient </w:t>
      </w:r>
      <w:r w:rsidRPr="003B32B0">
        <w:rPr>
          <w:color w:val="auto"/>
        </w:rPr>
        <w:t xml:space="preserve">implementation, monitoring and evaluation of </w:t>
      </w:r>
      <w:r w:rsidR="00102C38" w:rsidRPr="003B32B0">
        <w:rPr>
          <w:color w:val="auto"/>
        </w:rPr>
        <w:t xml:space="preserve">jointly funded investments. This reporting period saw a challenging </w:t>
      </w:r>
      <w:r w:rsidRPr="003B32B0">
        <w:rPr>
          <w:color w:val="auto"/>
        </w:rPr>
        <w:t xml:space="preserve">operating environment </w:t>
      </w:r>
      <w:r w:rsidR="00102C38" w:rsidRPr="003B32B0">
        <w:rPr>
          <w:color w:val="auto"/>
        </w:rPr>
        <w:t xml:space="preserve">with </w:t>
      </w:r>
      <w:r w:rsidRPr="003B32B0">
        <w:rPr>
          <w:color w:val="auto"/>
        </w:rPr>
        <w:t>multiple elections across the region, and subsequent shifting</w:t>
      </w:r>
      <w:r w:rsidR="00723D77">
        <w:rPr>
          <w:color w:val="auto"/>
        </w:rPr>
        <w:t xml:space="preserve"> of</w:t>
      </w:r>
      <w:r w:rsidRPr="003B32B0">
        <w:rPr>
          <w:color w:val="auto"/>
        </w:rPr>
        <w:t xml:space="preserve"> focus towards domestic priorities. </w:t>
      </w:r>
      <w:r w:rsidR="00723D77">
        <w:rPr>
          <w:color w:val="auto"/>
        </w:rPr>
        <w:t>Despite this,</w:t>
      </w:r>
      <w:r w:rsidRPr="003B32B0">
        <w:rPr>
          <w:color w:val="auto"/>
        </w:rPr>
        <w:t xml:space="preserve"> Australia’s regional programs managed to continue </w:t>
      </w:r>
      <w:r w:rsidR="00102C38" w:rsidRPr="003B32B0">
        <w:rPr>
          <w:color w:val="auto"/>
        </w:rPr>
        <w:t>to contribute to</w:t>
      </w:r>
      <w:r w:rsidRPr="003B32B0">
        <w:rPr>
          <w:color w:val="auto"/>
        </w:rPr>
        <w:t xml:space="preserve"> improved connectivity and resource security. As partner governments continue to seek more sophisticated and trade-focused development support, Australia will continue to recalibrate areas of focus and modalities through which it provides aid to the South and West Asia Region.</w:t>
      </w:r>
    </w:p>
    <w:p w:rsidR="005B5769" w:rsidRPr="00D26A54" w:rsidRDefault="005B5769" w:rsidP="00BB648A">
      <w:pPr>
        <w:pStyle w:val="ListBullet"/>
        <w:tabs>
          <w:tab w:val="clear" w:pos="284"/>
        </w:tabs>
        <w:spacing w:before="360" w:line="300" w:lineRule="exact"/>
        <w:rPr>
          <w:rFonts w:asciiTheme="minorHAnsi" w:eastAsiaTheme="majorEastAsia" w:hAnsiTheme="minorHAnsi" w:cstheme="minorHAnsi"/>
          <w:caps/>
          <w:color w:val="495965" w:themeColor="text2"/>
          <w:sz w:val="38"/>
          <w:szCs w:val="26"/>
          <w:lang w:val="en-GB" w:eastAsia="en-US"/>
        </w:rPr>
      </w:pPr>
      <w:r w:rsidRPr="00D26A54">
        <w:rPr>
          <w:rFonts w:asciiTheme="minorHAnsi" w:eastAsiaTheme="majorEastAsia" w:hAnsiTheme="minorHAnsi" w:cstheme="minorHAnsi"/>
          <w:caps/>
          <w:color w:val="495965" w:themeColor="text2"/>
          <w:sz w:val="38"/>
          <w:szCs w:val="26"/>
          <w:lang w:val="en-GB" w:eastAsia="en-US"/>
        </w:rPr>
        <w:t>Program Quality</w:t>
      </w:r>
    </w:p>
    <w:p w:rsidR="008505C6" w:rsidRPr="003B32B0" w:rsidRDefault="008505C6" w:rsidP="001E2201">
      <w:pPr>
        <w:rPr>
          <w:color w:val="auto"/>
        </w:rPr>
      </w:pPr>
      <w:r w:rsidRPr="003B32B0">
        <w:rPr>
          <w:color w:val="auto"/>
        </w:rPr>
        <w:t xml:space="preserve">During the reporting period, overall </w:t>
      </w:r>
      <w:r w:rsidR="00027B80" w:rsidRPr="003B32B0">
        <w:rPr>
          <w:color w:val="auto"/>
        </w:rPr>
        <w:t>AQC</w:t>
      </w:r>
      <w:r w:rsidRPr="003B32B0">
        <w:rPr>
          <w:color w:val="auto"/>
        </w:rPr>
        <w:t xml:space="preserve"> performance for the South Asia Regional program was consistent with the previous year</w:t>
      </w:r>
      <w:r w:rsidR="001A54B7" w:rsidRPr="003B32B0">
        <w:rPr>
          <w:color w:val="auto"/>
        </w:rPr>
        <w:t xml:space="preserve">, </w:t>
      </w:r>
      <w:r w:rsidR="00526C5D">
        <w:rPr>
          <w:color w:val="auto"/>
        </w:rPr>
        <w:t>not including</w:t>
      </w:r>
      <w:r w:rsidR="00526C5D" w:rsidRPr="003B32B0">
        <w:rPr>
          <w:color w:val="auto"/>
        </w:rPr>
        <w:t xml:space="preserve"> </w:t>
      </w:r>
      <w:r w:rsidR="001A54B7" w:rsidRPr="003B32B0">
        <w:rPr>
          <w:color w:val="auto"/>
        </w:rPr>
        <w:t>SARTFP’s gaps in communication management and public diplomacy</w:t>
      </w:r>
      <w:r w:rsidRPr="003B32B0">
        <w:rPr>
          <w:color w:val="auto"/>
        </w:rPr>
        <w:t xml:space="preserve"> (see Annex D). </w:t>
      </w:r>
      <w:r w:rsidR="001A54B7" w:rsidRPr="003B32B0">
        <w:rPr>
          <w:color w:val="auto"/>
        </w:rPr>
        <w:t>The SDIP</w:t>
      </w:r>
      <w:r w:rsidRPr="003B32B0">
        <w:rPr>
          <w:color w:val="auto"/>
        </w:rPr>
        <w:t xml:space="preserve"> program continues to be well aligned with our foreign policy, economic and regional objectives and its strong public diplomacy focus. </w:t>
      </w:r>
      <w:r w:rsidR="00B8385E">
        <w:rPr>
          <w:color w:val="auto"/>
        </w:rPr>
        <w:t>The</w:t>
      </w:r>
      <w:r w:rsidRPr="003B32B0">
        <w:rPr>
          <w:color w:val="auto"/>
        </w:rPr>
        <w:t xml:space="preserve"> most recent Annual Review (released 2018-19) confirmed strong achievements were made and partners have progressed key deliverables to support the three </w:t>
      </w:r>
      <w:r w:rsidR="001A54B7" w:rsidRPr="003B32B0">
        <w:rPr>
          <w:color w:val="auto"/>
        </w:rPr>
        <w:t>outcome areas</w:t>
      </w:r>
      <w:r w:rsidRPr="003B32B0">
        <w:rPr>
          <w:color w:val="auto"/>
        </w:rPr>
        <w:t>. The review confirms partners are deepening engagement and relationships with Government, the private sector and non-government actors to make meaningful contributions to water, food</w:t>
      </w:r>
      <w:r w:rsidR="00B8385E">
        <w:rPr>
          <w:color w:val="auto"/>
        </w:rPr>
        <w:t>,</w:t>
      </w:r>
      <w:r w:rsidRPr="003B32B0">
        <w:rPr>
          <w:color w:val="auto"/>
        </w:rPr>
        <w:t xml:space="preserve"> and energy security decisions in South Asia. The AQC rated SDIP ‘good’ on effectiveness and efficiency, with particularly strong examples of progress under climate change, water resource management and energy efficiency and access. Gender equality was rated ‘adequate’, recognising that while the adoption and embedding of gender considerations has shown positive results in partner investments and institutions, there is further work to be done.</w:t>
      </w:r>
    </w:p>
    <w:p w:rsidR="00ED2EAC" w:rsidRPr="003B32B0" w:rsidRDefault="00935B01" w:rsidP="001E2201">
      <w:pPr>
        <w:rPr>
          <w:color w:val="auto"/>
        </w:rPr>
      </w:pPr>
      <w:r w:rsidRPr="003B32B0">
        <w:rPr>
          <w:color w:val="auto"/>
        </w:rPr>
        <w:t>Ratings for the South Asia</w:t>
      </w:r>
      <w:r w:rsidR="003B2332" w:rsidRPr="003B32B0">
        <w:rPr>
          <w:color w:val="auto"/>
        </w:rPr>
        <w:t xml:space="preserve"> Regional p</w:t>
      </w:r>
      <w:r w:rsidRPr="003B32B0">
        <w:rPr>
          <w:color w:val="auto"/>
        </w:rPr>
        <w:t>rogram’s regional con</w:t>
      </w:r>
      <w:r w:rsidR="001A54B7" w:rsidRPr="003B32B0">
        <w:rPr>
          <w:color w:val="auto"/>
        </w:rPr>
        <w:t>nectivity objectives between</w:t>
      </w:r>
      <w:r w:rsidRPr="003B32B0">
        <w:rPr>
          <w:color w:val="auto"/>
        </w:rPr>
        <w:t xml:space="preserve"> 2018</w:t>
      </w:r>
      <w:r w:rsidRPr="003B32B0">
        <w:rPr>
          <w:color w:val="auto"/>
        </w:rPr>
        <w:noBreakHyphen/>
        <w:t>19</w:t>
      </w:r>
      <w:r w:rsidR="001A54B7" w:rsidRPr="003B32B0">
        <w:rPr>
          <w:color w:val="auto"/>
        </w:rPr>
        <w:t xml:space="preserve"> shifted from green to amber</w:t>
      </w:r>
      <w:r w:rsidR="00B8385E">
        <w:rPr>
          <w:color w:val="auto"/>
        </w:rPr>
        <w:t>.</w:t>
      </w:r>
      <w:r w:rsidRPr="003B32B0">
        <w:rPr>
          <w:color w:val="auto"/>
        </w:rPr>
        <w:t xml:space="preserve"> In July 2018, the World Bank and DFAT revised the theory of change and progress indicators during the life of SARTFP in response to the AQC and independent evaluation.</w:t>
      </w:r>
      <w:r w:rsidR="00ED2EAC" w:rsidRPr="003B32B0">
        <w:rPr>
          <w:color w:val="auto"/>
        </w:rPr>
        <w:t xml:space="preserve"> Changes were finalised mid-August and have guided 2018 management and reporting. Communication challenges </w:t>
      </w:r>
      <w:r w:rsidR="00FD0770" w:rsidRPr="003B32B0">
        <w:rPr>
          <w:color w:val="auto"/>
        </w:rPr>
        <w:t>(including no action on developing a communications plan), remain</w:t>
      </w:r>
      <w:r w:rsidR="00ED2EAC" w:rsidRPr="003B32B0">
        <w:rPr>
          <w:color w:val="auto"/>
        </w:rPr>
        <w:t xml:space="preserve"> which</w:t>
      </w:r>
      <w:r w:rsidR="00FD0770" w:rsidRPr="003B32B0">
        <w:rPr>
          <w:color w:val="auto"/>
        </w:rPr>
        <w:t xml:space="preserve"> is</w:t>
      </w:r>
      <w:r w:rsidR="00ED2EAC" w:rsidRPr="003B32B0">
        <w:rPr>
          <w:color w:val="auto"/>
        </w:rPr>
        <w:t xml:space="preserve"> inhibit</w:t>
      </w:r>
      <w:r w:rsidR="00FD0770" w:rsidRPr="003B32B0">
        <w:rPr>
          <w:color w:val="auto"/>
        </w:rPr>
        <w:t>ing</w:t>
      </w:r>
      <w:r w:rsidR="00ED2EAC" w:rsidRPr="003B32B0">
        <w:rPr>
          <w:color w:val="auto"/>
        </w:rPr>
        <w:t xml:space="preserve"> effective reporting</w:t>
      </w:r>
      <w:r w:rsidR="00FD0770" w:rsidRPr="003B32B0">
        <w:rPr>
          <w:color w:val="auto"/>
        </w:rPr>
        <w:t>. Improvement</w:t>
      </w:r>
      <w:r w:rsidR="00E43640" w:rsidRPr="003B32B0">
        <w:rPr>
          <w:color w:val="auto"/>
        </w:rPr>
        <w:t xml:space="preserve"> will require active program management from DFAT Canberra a</w:t>
      </w:r>
      <w:r w:rsidR="00FD0770" w:rsidRPr="003B32B0">
        <w:rPr>
          <w:color w:val="auto"/>
        </w:rPr>
        <w:t xml:space="preserve">nd Post, to support </w:t>
      </w:r>
      <w:r w:rsidR="00F36C86">
        <w:rPr>
          <w:color w:val="auto"/>
        </w:rPr>
        <w:t xml:space="preserve">the </w:t>
      </w:r>
      <w:r w:rsidR="00FD0770" w:rsidRPr="003B32B0">
        <w:rPr>
          <w:color w:val="auto"/>
        </w:rPr>
        <w:t xml:space="preserve">World Bank </w:t>
      </w:r>
      <w:r w:rsidR="00E43640" w:rsidRPr="003B32B0">
        <w:rPr>
          <w:color w:val="auto"/>
        </w:rPr>
        <w:t xml:space="preserve">(see </w:t>
      </w:r>
      <w:r w:rsidR="00FD0770" w:rsidRPr="003B32B0">
        <w:rPr>
          <w:color w:val="auto"/>
        </w:rPr>
        <w:t>Annex D</w:t>
      </w:r>
      <w:r w:rsidR="00E43640" w:rsidRPr="003B32B0">
        <w:rPr>
          <w:color w:val="auto"/>
        </w:rPr>
        <w:t>).</w:t>
      </w:r>
      <w:r w:rsidR="00ED2EAC" w:rsidRPr="003B32B0">
        <w:rPr>
          <w:color w:val="auto"/>
        </w:rPr>
        <w:t xml:space="preserve"> </w:t>
      </w:r>
      <w:r w:rsidR="00FD0770" w:rsidRPr="003B32B0">
        <w:rPr>
          <w:color w:val="auto"/>
        </w:rPr>
        <w:t xml:space="preserve">There remains room for improvement in public diplomacy opportunities, a challenge </w:t>
      </w:r>
      <w:r w:rsidR="00CE695B">
        <w:rPr>
          <w:color w:val="auto"/>
        </w:rPr>
        <w:t>exacerbated</w:t>
      </w:r>
      <w:r w:rsidR="00FD0770" w:rsidRPr="003B32B0">
        <w:rPr>
          <w:color w:val="auto"/>
        </w:rPr>
        <w:t xml:space="preserve"> by the regional nature of the program and </w:t>
      </w:r>
      <w:r w:rsidR="00CE695B">
        <w:rPr>
          <w:color w:val="auto"/>
        </w:rPr>
        <w:t>constraints on the ability of DFAT staff to travel to certain locations</w:t>
      </w:r>
      <w:r w:rsidR="00FD0770" w:rsidRPr="003B32B0">
        <w:rPr>
          <w:color w:val="auto"/>
        </w:rPr>
        <w:t xml:space="preserve">. </w:t>
      </w:r>
    </w:p>
    <w:p w:rsidR="001A54B7" w:rsidRPr="003B32B0" w:rsidRDefault="001A54B7" w:rsidP="001E2201">
      <w:pPr>
        <w:rPr>
          <w:color w:val="auto"/>
        </w:rPr>
      </w:pPr>
      <w:r w:rsidRPr="003B32B0">
        <w:rPr>
          <w:color w:val="auto"/>
        </w:rPr>
        <w:t>The World Bank</w:t>
      </w:r>
      <w:r w:rsidR="00E43640" w:rsidRPr="003B32B0">
        <w:rPr>
          <w:color w:val="auto"/>
        </w:rPr>
        <w:t>'s approach to gender equality has changed significantly since the start of SARTFP</w:t>
      </w:r>
      <w:r w:rsidR="00453669" w:rsidRPr="003B32B0">
        <w:rPr>
          <w:color w:val="auto"/>
        </w:rPr>
        <w:t>,</w:t>
      </w:r>
      <w:r w:rsidR="00E43640" w:rsidRPr="003B32B0">
        <w:rPr>
          <w:color w:val="auto"/>
        </w:rPr>
        <w:t xml:space="preserve"> and continues to </w:t>
      </w:r>
      <w:r w:rsidRPr="003B32B0">
        <w:rPr>
          <w:color w:val="auto"/>
        </w:rPr>
        <w:t>evolve. Significantly, the introduction of gender tagging requires robust analysis of gender issues and integration of operational responses to reduce gender gaps. South As</w:t>
      </w:r>
      <w:r w:rsidR="009A7463" w:rsidRPr="003B32B0">
        <w:rPr>
          <w:color w:val="auto"/>
        </w:rPr>
        <w:t>ia Regional management in the World Bank</w:t>
      </w:r>
      <w:r w:rsidRPr="003B32B0">
        <w:rPr>
          <w:color w:val="auto"/>
        </w:rPr>
        <w:t xml:space="preserve"> has placed a target of 100 per cent of all operations to be gender tagged. This has driven demand for analytical work early in design, specific gender skills throughout and improved dialogue with governments on gender equality. SARTFP’s gender tagging has </w:t>
      </w:r>
      <w:r w:rsidR="00CE695B">
        <w:rPr>
          <w:color w:val="auto"/>
        </w:rPr>
        <w:t>applied pressure to the World Bank to increase gender</w:t>
      </w:r>
      <w:r w:rsidRPr="003B32B0">
        <w:rPr>
          <w:color w:val="auto"/>
        </w:rPr>
        <w:t xml:space="preserve"> related analytical work, tools and skills. </w:t>
      </w:r>
    </w:p>
    <w:p w:rsidR="001A54B7" w:rsidRPr="003B32B0" w:rsidRDefault="001A54B7" w:rsidP="001E2201">
      <w:pPr>
        <w:rPr>
          <w:color w:val="auto"/>
        </w:rPr>
      </w:pPr>
      <w:r w:rsidRPr="003B32B0">
        <w:rPr>
          <w:color w:val="auto"/>
        </w:rPr>
        <w:t>SARTFP has proven ideally placed to help BBIN countries respond to the new World Bank gender and trade facilitation requirements. Moreover, by developing broadly applicable tools, and building experience and country level knowledge bases, SARTFP is helping grow institutional capacity to embed gender good practice in the longer term. The SARTFP-funded Gender Platform activity has been a core contributor to this work. This is supported by records of conversation from recent technical level meetings with the</w:t>
      </w:r>
      <w:r w:rsidR="009A7463" w:rsidRPr="003B32B0">
        <w:rPr>
          <w:color w:val="auto"/>
        </w:rPr>
        <w:t xml:space="preserve"> World</w:t>
      </w:r>
      <w:r w:rsidRPr="003B32B0">
        <w:rPr>
          <w:color w:val="auto"/>
        </w:rPr>
        <w:t xml:space="preserve"> Bank, recent discussion at the Donor Steering Committee and mission report to </w:t>
      </w:r>
      <w:r w:rsidR="00723D77">
        <w:rPr>
          <w:color w:val="auto"/>
        </w:rPr>
        <w:t xml:space="preserve">the World </w:t>
      </w:r>
      <w:r w:rsidRPr="003B32B0">
        <w:rPr>
          <w:color w:val="auto"/>
        </w:rPr>
        <w:t xml:space="preserve">Bank </w:t>
      </w:r>
      <w:r w:rsidR="00E563C1">
        <w:rPr>
          <w:color w:val="auto"/>
        </w:rPr>
        <w:t>headquarters</w:t>
      </w:r>
      <w:r w:rsidRPr="003B32B0">
        <w:rPr>
          <w:color w:val="auto"/>
        </w:rPr>
        <w:t xml:space="preserve"> by the SARTFP Gender Adviser (2019).  </w:t>
      </w:r>
    </w:p>
    <w:p w:rsidR="005B5769" w:rsidRPr="00D26A54" w:rsidRDefault="005B5769" w:rsidP="00BB648A">
      <w:pPr>
        <w:pStyle w:val="ListBullet"/>
        <w:tabs>
          <w:tab w:val="clear" w:pos="284"/>
        </w:tabs>
        <w:spacing w:before="360" w:line="300" w:lineRule="exact"/>
        <w:rPr>
          <w:rFonts w:asciiTheme="minorHAnsi" w:eastAsiaTheme="majorEastAsia" w:hAnsiTheme="minorHAnsi" w:cstheme="minorHAnsi"/>
          <w:caps/>
          <w:color w:val="495965" w:themeColor="text2"/>
          <w:sz w:val="38"/>
          <w:szCs w:val="26"/>
          <w:lang w:val="en-GB" w:eastAsia="en-US"/>
        </w:rPr>
      </w:pPr>
      <w:r w:rsidRPr="00D26A54">
        <w:rPr>
          <w:rFonts w:asciiTheme="minorHAnsi" w:eastAsiaTheme="majorEastAsia" w:hAnsiTheme="minorHAnsi" w:cstheme="minorHAnsi"/>
          <w:caps/>
          <w:color w:val="495965" w:themeColor="text2"/>
          <w:sz w:val="38"/>
          <w:szCs w:val="26"/>
          <w:lang w:val="en-GB" w:eastAsia="en-US"/>
        </w:rPr>
        <w:t xml:space="preserve">Management </w:t>
      </w:r>
      <w:r w:rsidR="00E65105" w:rsidRPr="00D26A54">
        <w:rPr>
          <w:rFonts w:asciiTheme="minorHAnsi" w:eastAsiaTheme="majorEastAsia" w:hAnsiTheme="minorHAnsi" w:cstheme="minorHAnsi"/>
          <w:caps/>
          <w:color w:val="495965" w:themeColor="text2"/>
          <w:sz w:val="38"/>
          <w:szCs w:val="26"/>
          <w:lang w:val="en-GB" w:eastAsia="en-US"/>
        </w:rPr>
        <w:t>actions</w:t>
      </w:r>
    </w:p>
    <w:p w:rsidR="009C6AB6" w:rsidRPr="001E2201" w:rsidRDefault="009C6AB6" w:rsidP="009C6AB6">
      <w:pPr>
        <w:pStyle w:val="ListBullet"/>
        <w:rPr>
          <w:rFonts w:asciiTheme="minorHAnsi" w:eastAsiaTheme="minorHAnsi" w:hAnsiTheme="minorHAnsi" w:cstheme="minorBidi"/>
          <w:sz w:val="22"/>
          <w:szCs w:val="22"/>
          <w:lang w:val="en-GB" w:eastAsia="en-US"/>
        </w:rPr>
      </w:pPr>
      <w:r w:rsidRPr="001E2201">
        <w:rPr>
          <w:rFonts w:asciiTheme="minorHAnsi" w:eastAsiaTheme="minorHAnsi" w:hAnsiTheme="minorHAnsi" w:cstheme="minorBidi"/>
          <w:sz w:val="22"/>
          <w:szCs w:val="22"/>
          <w:lang w:val="en-GB" w:eastAsia="en-US"/>
        </w:rPr>
        <w:t xml:space="preserve">New </w:t>
      </w:r>
      <w:r w:rsidR="00E563C1">
        <w:rPr>
          <w:rFonts w:asciiTheme="minorHAnsi" w:eastAsiaTheme="minorHAnsi" w:hAnsiTheme="minorHAnsi" w:cstheme="minorBidi"/>
          <w:sz w:val="22"/>
          <w:szCs w:val="22"/>
          <w:lang w:val="en-GB" w:eastAsia="en-US"/>
        </w:rPr>
        <w:t>Objective 1</w:t>
      </w:r>
      <w:r w:rsidR="00E563C1" w:rsidRPr="001E2201">
        <w:rPr>
          <w:rFonts w:asciiTheme="minorHAnsi" w:eastAsiaTheme="minorHAnsi" w:hAnsiTheme="minorHAnsi" w:cstheme="minorBidi"/>
          <w:sz w:val="22"/>
          <w:szCs w:val="22"/>
          <w:lang w:val="en-GB" w:eastAsia="en-US"/>
        </w:rPr>
        <w:t xml:space="preserve"> </w:t>
      </w:r>
      <w:r w:rsidRPr="001E2201">
        <w:rPr>
          <w:rFonts w:asciiTheme="minorHAnsi" w:eastAsiaTheme="minorHAnsi" w:hAnsiTheme="minorHAnsi" w:cstheme="minorBidi"/>
          <w:sz w:val="22"/>
          <w:szCs w:val="22"/>
          <w:lang w:val="en-GB" w:eastAsia="en-US"/>
        </w:rPr>
        <w:t>management actions:</w:t>
      </w:r>
    </w:p>
    <w:p w:rsidR="002E2159" w:rsidRPr="003B32B0" w:rsidRDefault="00E563C1" w:rsidP="001E2201">
      <w:pPr>
        <w:pStyle w:val="ListBullet"/>
        <w:numPr>
          <w:ilvl w:val="0"/>
          <w:numId w:val="18"/>
        </w:numPr>
        <w:spacing w:after="0"/>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DFAT Canberra to c</w:t>
      </w:r>
      <w:r w:rsidR="00CE695B">
        <w:rPr>
          <w:rFonts w:asciiTheme="minorHAnsi" w:eastAsiaTheme="minorHAnsi" w:hAnsiTheme="minorHAnsi" w:cstheme="minorBidi"/>
          <w:sz w:val="22"/>
          <w:szCs w:val="22"/>
          <w:lang w:val="en-GB" w:eastAsia="en-US"/>
        </w:rPr>
        <w:t xml:space="preserve">omplete </w:t>
      </w:r>
      <w:r w:rsidR="009C6AB6" w:rsidRPr="003B32B0">
        <w:rPr>
          <w:rFonts w:asciiTheme="minorHAnsi" w:eastAsiaTheme="minorHAnsi" w:hAnsiTheme="minorHAnsi" w:cstheme="minorBidi"/>
          <w:sz w:val="22"/>
          <w:szCs w:val="22"/>
          <w:lang w:val="en-GB" w:eastAsia="en-US"/>
        </w:rPr>
        <w:t xml:space="preserve">an independent evaluation of SDIP </w:t>
      </w:r>
      <w:r w:rsidR="00CE695B">
        <w:rPr>
          <w:rFonts w:asciiTheme="minorHAnsi" w:eastAsiaTheme="minorHAnsi" w:hAnsiTheme="minorHAnsi" w:cstheme="minorBidi"/>
          <w:sz w:val="22"/>
          <w:szCs w:val="22"/>
          <w:lang w:val="en-GB" w:eastAsia="en-US"/>
        </w:rPr>
        <w:t>during 2019.</w:t>
      </w:r>
    </w:p>
    <w:p w:rsidR="002E2159" w:rsidRPr="003B32B0" w:rsidRDefault="00E563C1" w:rsidP="001E2201">
      <w:pPr>
        <w:pStyle w:val="ListBullet"/>
        <w:numPr>
          <w:ilvl w:val="0"/>
          <w:numId w:val="18"/>
        </w:numPr>
        <w:spacing w:after="0"/>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DFAT SDIP Program Manager to c</w:t>
      </w:r>
      <w:r w:rsidR="009C6AB6" w:rsidRPr="003B32B0">
        <w:rPr>
          <w:rFonts w:asciiTheme="minorHAnsi" w:eastAsiaTheme="minorHAnsi" w:hAnsiTheme="minorHAnsi" w:cstheme="minorBidi"/>
          <w:sz w:val="22"/>
          <w:szCs w:val="22"/>
          <w:lang w:val="en-GB" w:eastAsia="en-US"/>
        </w:rPr>
        <w:t xml:space="preserve">ontinue </w:t>
      </w:r>
      <w:r w:rsidR="00CE695B">
        <w:rPr>
          <w:rFonts w:asciiTheme="minorHAnsi" w:eastAsiaTheme="minorHAnsi" w:hAnsiTheme="minorHAnsi" w:cstheme="minorBidi"/>
          <w:sz w:val="22"/>
          <w:szCs w:val="22"/>
          <w:lang w:val="en-GB" w:eastAsia="en-US"/>
        </w:rPr>
        <w:t xml:space="preserve">to work on enhancing the quality and flow of </w:t>
      </w:r>
      <w:r w:rsidR="009C6AB6" w:rsidRPr="003B32B0">
        <w:rPr>
          <w:rFonts w:asciiTheme="minorHAnsi" w:eastAsiaTheme="minorHAnsi" w:hAnsiTheme="minorHAnsi" w:cstheme="minorBidi"/>
          <w:sz w:val="22"/>
          <w:szCs w:val="22"/>
          <w:lang w:val="en-GB" w:eastAsia="en-US"/>
        </w:rPr>
        <w:t>communication between SDIP, bilateral programs and thematic areas on results, including linking to departmental and whole-of-government priorities. This includes finalising an internal communication strategy, and the development and sharing of country/portfolio knowledge products produced by SDIP partners to a wider audience.</w:t>
      </w:r>
      <w:r>
        <w:rPr>
          <w:rFonts w:asciiTheme="minorHAnsi" w:eastAsiaTheme="minorHAnsi" w:hAnsiTheme="minorHAnsi" w:cstheme="minorBidi"/>
          <w:sz w:val="22"/>
          <w:szCs w:val="22"/>
          <w:lang w:val="en-GB" w:eastAsia="en-US"/>
        </w:rPr>
        <w:t xml:space="preserve"> This will be undertaken throughout 2019-20.</w:t>
      </w:r>
    </w:p>
    <w:p w:rsidR="00015316" w:rsidRPr="00F36C86" w:rsidRDefault="00E563C1" w:rsidP="00F36C86">
      <w:pPr>
        <w:pStyle w:val="ListBullet"/>
        <w:numPr>
          <w:ilvl w:val="0"/>
          <w:numId w:val="18"/>
        </w:numPr>
        <w:ind w:left="641" w:hanging="357"/>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DFAT SDIP Program Manager to focus partners on efforts to strengthen </w:t>
      </w:r>
      <w:r w:rsidR="009C6AB6" w:rsidRPr="003B32B0">
        <w:rPr>
          <w:rFonts w:asciiTheme="minorHAnsi" w:eastAsiaTheme="minorHAnsi" w:hAnsiTheme="minorHAnsi" w:cstheme="minorBidi"/>
          <w:sz w:val="22"/>
          <w:szCs w:val="22"/>
          <w:lang w:val="en-GB" w:eastAsia="en-US"/>
        </w:rPr>
        <w:t>gender equity, including completion and integration of learning from the 'gender project' and support to partner-specifi</w:t>
      </w:r>
      <w:r w:rsidR="003B32B0">
        <w:rPr>
          <w:rFonts w:asciiTheme="minorHAnsi" w:eastAsiaTheme="minorHAnsi" w:hAnsiTheme="minorHAnsi" w:cstheme="minorBidi"/>
          <w:sz w:val="22"/>
          <w:szCs w:val="22"/>
          <w:lang w:val="en-GB" w:eastAsia="en-US"/>
        </w:rPr>
        <w:t>c institutionalisation efforts.</w:t>
      </w:r>
      <w:r w:rsidRPr="00E563C1">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This will be undertaken throughout 2019-20.</w:t>
      </w:r>
    </w:p>
    <w:p w:rsidR="00144336" w:rsidRPr="00365784" w:rsidRDefault="00E563C1" w:rsidP="00365784">
      <w:pPr>
        <w:pStyle w:val="ListBullet"/>
        <w:rPr>
          <w:rFonts w:asciiTheme="minorHAnsi" w:eastAsiaTheme="minorHAnsi" w:hAnsiTheme="minorHAnsi" w:cstheme="minorBidi"/>
          <w:sz w:val="22"/>
          <w:szCs w:val="22"/>
          <w:lang w:val="en-GB" w:eastAsia="en-US"/>
        </w:rPr>
      </w:pPr>
      <w:r w:rsidRPr="001E2201">
        <w:rPr>
          <w:rFonts w:asciiTheme="minorHAnsi" w:eastAsiaTheme="minorHAnsi" w:hAnsiTheme="minorHAnsi" w:cstheme="minorBidi"/>
          <w:sz w:val="22"/>
          <w:szCs w:val="22"/>
          <w:lang w:val="en-GB" w:eastAsia="en-US"/>
        </w:rPr>
        <w:t xml:space="preserve">New </w:t>
      </w:r>
      <w:r>
        <w:rPr>
          <w:rFonts w:asciiTheme="minorHAnsi" w:eastAsiaTheme="minorHAnsi" w:hAnsiTheme="minorHAnsi" w:cstheme="minorBidi"/>
          <w:sz w:val="22"/>
          <w:szCs w:val="22"/>
          <w:lang w:val="en-GB" w:eastAsia="en-US"/>
        </w:rPr>
        <w:t>Objective 2</w:t>
      </w:r>
      <w:r w:rsidR="00365784">
        <w:rPr>
          <w:rFonts w:asciiTheme="minorHAnsi" w:eastAsiaTheme="minorHAnsi" w:hAnsiTheme="minorHAnsi" w:cstheme="minorBidi"/>
          <w:sz w:val="22"/>
          <w:szCs w:val="22"/>
          <w:lang w:val="en-GB" w:eastAsia="en-US"/>
        </w:rPr>
        <w:t xml:space="preserve"> management actions:</w:t>
      </w:r>
    </w:p>
    <w:p w:rsidR="00144336" w:rsidRPr="003B32B0" w:rsidRDefault="00144336" w:rsidP="00144336">
      <w:pPr>
        <w:pStyle w:val="ListBullet"/>
        <w:numPr>
          <w:ilvl w:val="0"/>
          <w:numId w:val="14"/>
        </w:numPr>
        <w:spacing w:after="0"/>
        <w:rPr>
          <w:rFonts w:asciiTheme="minorHAnsi" w:eastAsiaTheme="minorHAnsi" w:hAnsiTheme="minorHAnsi" w:cstheme="minorBidi"/>
          <w:sz w:val="22"/>
          <w:szCs w:val="22"/>
          <w:lang w:val="en-GB" w:eastAsia="en-US"/>
        </w:rPr>
      </w:pPr>
      <w:r w:rsidRPr="003B32B0">
        <w:rPr>
          <w:rFonts w:asciiTheme="minorHAnsi" w:eastAsiaTheme="minorHAnsi" w:hAnsiTheme="minorHAnsi" w:cstheme="minorBidi"/>
          <w:sz w:val="22"/>
          <w:szCs w:val="22"/>
          <w:lang w:val="en-GB" w:eastAsia="en-US"/>
        </w:rPr>
        <w:t>DFAT (Canberra with support from New Delhi Post) will work with the World Bank to more routinely communicate and utilise data on activities</w:t>
      </w:r>
      <w:r w:rsidR="00E563C1">
        <w:rPr>
          <w:rFonts w:asciiTheme="minorHAnsi" w:eastAsiaTheme="minorHAnsi" w:hAnsiTheme="minorHAnsi" w:cstheme="minorBidi"/>
          <w:sz w:val="22"/>
          <w:szCs w:val="22"/>
          <w:lang w:val="en-GB" w:eastAsia="en-US"/>
        </w:rPr>
        <w:t xml:space="preserve"> across the next reporting period</w:t>
      </w:r>
      <w:r w:rsidRPr="003B32B0">
        <w:rPr>
          <w:rFonts w:asciiTheme="minorHAnsi" w:eastAsiaTheme="minorHAnsi" w:hAnsiTheme="minorHAnsi" w:cstheme="minorBidi"/>
          <w:sz w:val="22"/>
          <w:szCs w:val="22"/>
          <w:lang w:val="en-GB" w:eastAsia="en-US"/>
        </w:rPr>
        <w:t>.</w:t>
      </w:r>
    </w:p>
    <w:p w:rsidR="00144336" w:rsidRPr="003B32B0" w:rsidRDefault="00144336" w:rsidP="00144336">
      <w:pPr>
        <w:pStyle w:val="ListBullet"/>
        <w:numPr>
          <w:ilvl w:val="0"/>
          <w:numId w:val="14"/>
        </w:numPr>
        <w:spacing w:after="0"/>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DFAT Canberra</w:t>
      </w:r>
      <w:r w:rsidRPr="003B32B0">
        <w:rPr>
          <w:rFonts w:asciiTheme="minorHAnsi" w:eastAsiaTheme="minorHAnsi" w:hAnsiTheme="minorHAnsi" w:cstheme="minorBidi"/>
          <w:sz w:val="22"/>
          <w:szCs w:val="22"/>
          <w:lang w:val="en-GB" w:eastAsia="en-US"/>
        </w:rPr>
        <w:t xml:space="preserve"> will reassess the required resources to effectively manage the investment and achieve expected outcomes, including those relating to public diplomacy, and influence and dissemination of knowledge within DFAT. An assessment will be provided to senior management with recommendations</w:t>
      </w:r>
      <w:r w:rsidR="00E563C1">
        <w:rPr>
          <w:rFonts w:asciiTheme="minorHAnsi" w:eastAsiaTheme="minorHAnsi" w:hAnsiTheme="minorHAnsi" w:cstheme="minorBidi"/>
          <w:sz w:val="22"/>
          <w:szCs w:val="22"/>
          <w:lang w:val="en-GB" w:eastAsia="en-US"/>
        </w:rPr>
        <w:t xml:space="preserve"> by the end of 2019.</w:t>
      </w:r>
    </w:p>
    <w:p w:rsidR="00144336" w:rsidRPr="003B32B0" w:rsidRDefault="00144336" w:rsidP="00144336">
      <w:pPr>
        <w:pStyle w:val="ListBullet"/>
        <w:numPr>
          <w:ilvl w:val="0"/>
          <w:numId w:val="14"/>
        </w:numPr>
        <w:spacing w:after="0"/>
        <w:rPr>
          <w:rFonts w:asciiTheme="minorHAnsi" w:eastAsiaTheme="minorHAnsi" w:hAnsiTheme="minorHAnsi" w:cstheme="minorBidi"/>
          <w:sz w:val="22"/>
          <w:szCs w:val="22"/>
          <w:lang w:val="en-GB" w:eastAsia="en-US"/>
        </w:rPr>
      </w:pPr>
      <w:r w:rsidRPr="003B32B0">
        <w:rPr>
          <w:rFonts w:asciiTheme="minorHAnsi" w:eastAsiaTheme="minorHAnsi" w:hAnsiTheme="minorHAnsi" w:cstheme="minorBidi"/>
          <w:sz w:val="22"/>
          <w:szCs w:val="22"/>
          <w:lang w:val="en-GB" w:eastAsia="en-US"/>
        </w:rPr>
        <w:t xml:space="preserve">DFAT </w:t>
      </w:r>
      <w:r w:rsidR="00E563C1">
        <w:rPr>
          <w:rFonts w:asciiTheme="minorHAnsi" w:eastAsiaTheme="minorHAnsi" w:hAnsiTheme="minorHAnsi" w:cstheme="minorBidi"/>
          <w:sz w:val="22"/>
          <w:szCs w:val="22"/>
          <w:lang w:val="en-GB" w:eastAsia="en-US"/>
        </w:rPr>
        <w:t xml:space="preserve">Canberra </w:t>
      </w:r>
      <w:r w:rsidRPr="003B32B0">
        <w:rPr>
          <w:rFonts w:asciiTheme="minorHAnsi" w:eastAsiaTheme="minorHAnsi" w:hAnsiTheme="minorHAnsi" w:cstheme="minorBidi"/>
          <w:sz w:val="22"/>
          <w:szCs w:val="22"/>
          <w:lang w:val="en-GB" w:eastAsia="en-US"/>
        </w:rPr>
        <w:t xml:space="preserve">will maintain the current technical advisory facility </w:t>
      </w:r>
      <w:r>
        <w:rPr>
          <w:rFonts w:asciiTheme="minorHAnsi" w:eastAsiaTheme="minorHAnsi" w:hAnsiTheme="minorHAnsi" w:cstheme="minorBidi"/>
          <w:sz w:val="22"/>
          <w:szCs w:val="22"/>
          <w:lang w:val="en-GB" w:eastAsia="en-US"/>
        </w:rPr>
        <w:t>until the</w:t>
      </w:r>
      <w:r w:rsidRPr="003B32B0">
        <w:rPr>
          <w:rFonts w:asciiTheme="minorHAnsi" w:eastAsiaTheme="minorHAnsi" w:hAnsiTheme="minorHAnsi" w:cstheme="minorBidi"/>
          <w:sz w:val="22"/>
          <w:szCs w:val="22"/>
          <w:lang w:val="en-GB" w:eastAsia="en-US"/>
        </w:rPr>
        <w:t xml:space="preserve"> end of 2019</w:t>
      </w:r>
      <w:r>
        <w:rPr>
          <w:rFonts w:asciiTheme="minorHAnsi" w:eastAsiaTheme="minorHAnsi" w:hAnsiTheme="minorHAnsi" w:cstheme="minorBidi"/>
          <w:sz w:val="22"/>
          <w:szCs w:val="22"/>
          <w:lang w:val="en-GB" w:eastAsia="en-US"/>
        </w:rPr>
        <w:t>,</w:t>
      </w:r>
      <w:r w:rsidRPr="003B32B0">
        <w:rPr>
          <w:rFonts w:asciiTheme="minorHAnsi" w:eastAsiaTheme="minorHAnsi" w:hAnsiTheme="minorHAnsi" w:cstheme="minorBidi"/>
          <w:sz w:val="22"/>
          <w:szCs w:val="22"/>
          <w:lang w:val="en-GB" w:eastAsia="en-US"/>
        </w:rPr>
        <w:t xml:space="preserve"> while the assessment of management resource requirements (above) is conducted.</w:t>
      </w:r>
    </w:p>
    <w:p w:rsidR="00144336" w:rsidRDefault="00144336" w:rsidP="00144336">
      <w:pPr>
        <w:pStyle w:val="ListBullet"/>
        <w:numPr>
          <w:ilvl w:val="0"/>
          <w:numId w:val="14"/>
        </w:numPr>
        <w:spacing w:after="0"/>
        <w:rPr>
          <w:rFonts w:asciiTheme="minorHAnsi" w:eastAsiaTheme="minorHAnsi" w:hAnsiTheme="minorHAnsi" w:cstheme="minorBidi"/>
          <w:sz w:val="22"/>
          <w:szCs w:val="22"/>
          <w:lang w:val="en-GB" w:eastAsia="en-US"/>
        </w:rPr>
      </w:pPr>
      <w:r w:rsidRPr="003B32B0">
        <w:rPr>
          <w:rFonts w:asciiTheme="minorHAnsi" w:eastAsiaTheme="minorHAnsi" w:hAnsiTheme="minorHAnsi" w:cstheme="minorBidi"/>
          <w:sz w:val="22"/>
          <w:szCs w:val="22"/>
          <w:lang w:val="en-GB" w:eastAsia="en-US"/>
        </w:rPr>
        <w:t xml:space="preserve">DFAT </w:t>
      </w:r>
      <w:r w:rsidR="00E563C1">
        <w:rPr>
          <w:rFonts w:asciiTheme="minorHAnsi" w:eastAsiaTheme="minorHAnsi" w:hAnsiTheme="minorHAnsi" w:cstheme="minorBidi"/>
          <w:sz w:val="22"/>
          <w:szCs w:val="22"/>
          <w:lang w:val="en-GB" w:eastAsia="en-US"/>
        </w:rPr>
        <w:t>SARTFP Program Manager will undertake</w:t>
      </w:r>
      <w:r w:rsidRPr="003B32B0">
        <w:rPr>
          <w:rFonts w:asciiTheme="minorHAnsi" w:eastAsiaTheme="minorHAnsi" w:hAnsiTheme="minorHAnsi" w:cstheme="minorBidi"/>
          <w:sz w:val="22"/>
          <w:szCs w:val="22"/>
          <w:lang w:val="en-GB" w:eastAsia="en-US"/>
        </w:rPr>
        <w:t xml:space="preserve"> routine operational level meetings - in South Asia </w:t>
      </w:r>
      <w:r>
        <w:rPr>
          <w:rFonts w:asciiTheme="minorHAnsi" w:eastAsiaTheme="minorHAnsi" w:hAnsiTheme="minorHAnsi" w:cstheme="minorBidi"/>
          <w:sz w:val="22"/>
          <w:szCs w:val="22"/>
          <w:lang w:val="en-GB" w:eastAsia="en-US"/>
        </w:rPr>
        <w:t>- twice a year preceding the steering committee meeting for 2019-20</w:t>
      </w:r>
      <w:r w:rsidR="00F36C86">
        <w:rPr>
          <w:rFonts w:asciiTheme="minorHAnsi" w:eastAsiaTheme="minorHAnsi" w:hAnsiTheme="minorHAnsi" w:cstheme="minorBidi"/>
          <w:sz w:val="22"/>
          <w:szCs w:val="22"/>
          <w:lang w:val="en-GB" w:eastAsia="en-US"/>
        </w:rPr>
        <w:t>.</w:t>
      </w:r>
    </w:p>
    <w:p w:rsidR="00E563C1" w:rsidRDefault="00E563C1" w:rsidP="00E563C1">
      <w:pPr>
        <w:pStyle w:val="ListBullet"/>
        <w:spacing w:after="0"/>
        <w:rPr>
          <w:rFonts w:asciiTheme="minorHAnsi" w:eastAsiaTheme="minorHAnsi" w:hAnsiTheme="minorHAnsi" w:cstheme="minorBidi"/>
          <w:sz w:val="22"/>
          <w:szCs w:val="22"/>
          <w:lang w:val="en-GB" w:eastAsia="en-US"/>
        </w:rPr>
      </w:pPr>
    </w:p>
    <w:p w:rsidR="00144336" w:rsidRPr="003B32B0" w:rsidRDefault="00144336" w:rsidP="00E563C1">
      <w:pPr>
        <w:pStyle w:val="ListBullet"/>
        <w:spacing w:after="0"/>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DFAT (South Asia Regional in collaboration with posts) </w:t>
      </w:r>
      <w:r w:rsidR="00E563C1">
        <w:rPr>
          <w:rFonts w:asciiTheme="minorHAnsi" w:eastAsiaTheme="minorHAnsi" w:hAnsiTheme="minorHAnsi" w:cstheme="minorBidi"/>
          <w:sz w:val="22"/>
          <w:szCs w:val="22"/>
          <w:lang w:val="en-GB" w:eastAsia="en-US"/>
        </w:rPr>
        <w:t>will</w:t>
      </w:r>
      <w:r>
        <w:rPr>
          <w:rFonts w:asciiTheme="minorHAnsi" w:eastAsiaTheme="minorHAnsi" w:hAnsiTheme="minorHAnsi" w:cstheme="minorBidi"/>
          <w:sz w:val="22"/>
          <w:szCs w:val="22"/>
          <w:lang w:val="en-GB" w:eastAsia="en-US"/>
        </w:rPr>
        <w:t xml:space="preserve"> finalise the next phase of the South Asia Regional Aid Investment Plan by October 2019 in alignment with</w:t>
      </w:r>
      <w:r w:rsidR="00DE5B59">
        <w:rPr>
          <w:rFonts w:asciiTheme="minorHAnsi" w:eastAsiaTheme="minorHAnsi" w:hAnsiTheme="minorHAnsi" w:cstheme="minorBidi"/>
          <w:sz w:val="22"/>
          <w:szCs w:val="22"/>
          <w:lang w:val="en-GB" w:eastAsia="en-US"/>
        </w:rPr>
        <w:t xml:space="preserve"> Australia’s Foreign Policy Whit</w:t>
      </w:r>
      <w:r>
        <w:rPr>
          <w:rFonts w:asciiTheme="minorHAnsi" w:eastAsiaTheme="minorHAnsi" w:hAnsiTheme="minorHAnsi" w:cstheme="minorBidi"/>
          <w:sz w:val="22"/>
          <w:szCs w:val="22"/>
          <w:lang w:val="en-GB" w:eastAsia="en-US"/>
        </w:rPr>
        <w:t>e Paper.</w:t>
      </w:r>
    </w:p>
    <w:p w:rsidR="001E2201" w:rsidRDefault="001E2201">
      <w:pPr>
        <w:suppressAutoHyphens w:val="0"/>
        <w:spacing w:before="0" w:after="120" w:line="440" w:lineRule="atLeast"/>
        <w:rPr>
          <w:rFonts w:eastAsia="Times New Roman" w:cstheme="minorHAnsi"/>
          <w:sz w:val="21"/>
          <w:szCs w:val="24"/>
          <w:lang w:val="en-AU" w:eastAsia="en-AU"/>
        </w:rPr>
      </w:pPr>
      <w:r>
        <w:rPr>
          <w:rFonts w:cstheme="minorHAnsi"/>
        </w:rPr>
        <w:br w:type="page"/>
      </w:r>
    </w:p>
    <w:p w:rsidR="00D00802" w:rsidRPr="00D26A54" w:rsidRDefault="00D00802" w:rsidP="005B5769">
      <w:pPr>
        <w:pStyle w:val="ListBullet"/>
        <w:tabs>
          <w:tab w:val="clear" w:pos="284"/>
        </w:tabs>
        <w:rPr>
          <w:rFonts w:asciiTheme="minorHAnsi" w:hAnsiTheme="minorHAnsi" w:cstheme="minorHAnsi"/>
          <w:color w:val="495965" w:themeColor="text2"/>
        </w:rPr>
        <w:sectPr w:rsidR="00D00802" w:rsidRPr="00D26A54" w:rsidSect="00D2653F">
          <w:headerReference w:type="default" r:id="rId43"/>
          <w:footerReference w:type="default" r:id="rId44"/>
          <w:pgSz w:w="11906" w:h="16838" w:code="9"/>
          <w:pgMar w:top="1811" w:right="1134" w:bottom="851" w:left="1134" w:header="1565" w:footer="342" w:gutter="0"/>
          <w:cols w:space="397"/>
          <w:docGrid w:linePitch="360"/>
        </w:sectPr>
      </w:pPr>
    </w:p>
    <w:p w:rsidR="00AF1B85" w:rsidRPr="00D26A54" w:rsidRDefault="00AF1B85" w:rsidP="00BB648A">
      <w:pPr>
        <w:pStyle w:val="Subtitle"/>
        <w:spacing w:before="360" w:after="120" w:line="300" w:lineRule="exact"/>
        <w:rPr>
          <w:rFonts w:cstheme="minorHAnsi"/>
        </w:rPr>
      </w:pPr>
      <w:r w:rsidRPr="00D26A54">
        <w:rPr>
          <w:rFonts w:cstheme="minorHAnsi"/>
        </w:rPr>
        <w:t>Annex A - Progress in Addressing Management Responses</w:t>
      </w:r>
    </w:p>
    <w:p w:rsidR="00AF1B85" w:rsidRPr="00D26A54" w:rsidRDefault="00AF1B85" w:rsidP="00C73C66">
      <w:pPr>
        <w:spacing w:after="120"/>
        <w:rPr>
          <w:rFonts w:cstheme="minorHAnsi"/>
        </w:rPr>
      </w:pPr>
    </w:p>
    <w:tbl>
      <w:tblPr>
        <w:tblStyle w:val="APPR"/>
        <w:tblpPr w:leftFromText="180" w:rightFromText="180" w:vertAnchor="text" w:tblpY="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2"/>
        <w:gridCol w:w="1178"/>
        <w:gridCol w:w="6733"/>
      </w:tblGrid>
      <w:tr w:rsidR="00BE70DF" w:rsidRPr="00D26A54" w:rsidTr="00054344">
        <w:trPr>
          <w:cnfStyle w:val="000000010000" w:firstRow="0" w:lastRow="0" w:firstColumn="0" w:lastColumn="0" w:oddVBand="0" w:evenVBand="0" w:oddHBand="0" w:evenHBand="1" w:firstRowFirstColumn="0" w:firstRowLastColumn="0" w:lastRowFirstColumn="0" w:lastRowLastColumn="0"/>
        </w:trPr>
        <w:tc>
          <w:tcPr>
            <w:tcW w:w="6284" w:type="dxa"/>
          </w:tcPr>
          <w:p w:rsidR="00AF1B85" w:rsidRPr="00D26A54" w:rsidRDefault="00AF1B85" w:rsidP="005D5723">
            <w:pPr>
              <w:keepLines/>
              <w:spacing w:before="80" w:after="80" w:line="200" w:lineRule="atLeast"/>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Management responses identified in 20</w:t>
            </w:r>
            <w:r w:rsidR="005D5723" w:rsidRPr="00D26A54">
              <w:rPr>
                <w:rFonts w:asciiTheme="minorHAnsi" w:eastAsia="Times New Roman" w:hAnsiTheme="minorHAnsi" w:cstheme="minorHAnsi"/>
                <w:b/>
                <w:iCs/>
                <w:szCs w:val="17"/>
                <w:lang w:eastAsia="en-US"/>
              </w:rPr>
              <w:t>17-18</w:t>
            </w:r>
            <w:r w:rsidRPr="00D26A54">
              <w:rPr>
                <w:rFonts w:asciiTheme="minorHAnsi" w:eastAsia="Times New Roman" w:hAnsiTheme="minorHAnsi" w:cstheme="minorHAnsi"/>
                <w:b/>
                <w:iCs/>
                <w:szCs w:val="17"/>
                <w:lang w:eastAsia="en-US"/>
              </w:rPr>
              <w:t xml:space="preserve"> APPR</w:t>
            </w:r>
            <w:r w:rsidRPr="00D26A54">
              <w:rPr>
                <w:rFonts w:asciiTheme="minorHAnsi" w:eastAsia="Times New Roman" w:hAnsiTheme="minorHAnsi" w:cstheme="minorHAnsi"/>
                <w:b/>
                <w:iCs/>
                <w:szCs w:val="17"/>
                <w:lang w:eastAsia="en-US"/>
              </w:rPr>
              <w:tab/>
            </w:r>
          </w:p>
        </w:tc>
        <w:tc>
          <w:tcPr>
            <w:tcW w:w="1151" w:type="dxa"/>
          </w:tcPr>
          <w:p w:rsidR="00AF1B85" w:rsidRPr="00D26A54" w:rsidRDefault="00AF1B85" w:rsidP="00812509">
            <w:pPr>
              <w:keepLines/>
              <w:spacing w:before="80" w:after="80" w:line="200" w:lineRule="atLeast"/>
              <w:jc w:val="center"/>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Rating</w:t>
            </w:r>
          </w:p>
        </w:tc>
        <w:tc>
          <w:tcPr>
            <w:tcW w:w="6696" w:type="dxa"/>
          </w:tcPr>
          <w:p w:rsidR="00AF1B85" w:rsidRPr="00D26A54" w:rsidRDefault="00AF1B85" w:rsidP="005D5723">
            <w:pPr>
              <w:keepLines/>
              <w:spacing w:before="80" w:after="80" w:line="200" w:lineRule="atLeast"/>
              <w:jc w:val="center"/>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Progress made  in 201</w:t>
            </w:r>
            <w:r w:rsidR="005D5723" w:rsidRPr="00D26A54">
              <w:rPr>
                <w:rFonts w:asciiTheme="minorHAnsi" w:eastAsia="Times New Roman" w:hAnsiTheme="minorHAnsi" w:cstheme="minorHAnsi"/>
                <w:b/>
                <w:iCs/>
                <w:szCs w:val="17"/>
                <w:lang w:eastAsia="en-US"/>
              </w:rPr>
              <w:t>8-19</w:t>
            </w:r>
          </w:p>
        </w:tc>
      </w:tr>
      <w:tr w:rsidR="00453669" w:rsidRPr="00D26A54" w:rsidTr="002E32E0">
        <w:trPr>
          <w:cnfStyle w:val="000000010000" w:firstRow="0" w:lastRow="0" w:firstColumn="0" w:lastColumn="0" w:oddVBand="0" w:evenVBand="0" w:oddHBand="0" w:evenHBand="1" w:firstRowFirstColumn="0" w:firstRowLastColumn="0" w:lastRowFirstColumn="0" w:lastRowLastColumn="0"/>
        </w:trPr>
        <w:tc>
          <w:tcPr>
            <w:tcW w:w="6284" w:type="dxa"/>
          </w:tcPr>
          <w:p w:rsidR="00453669" w:rsidRPr="003B32B0" w:rsidRDefault="002E32E0" w:rsidP="003B32B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Pursue</w:t>
            </w:r>
            <w:r w:rsidR="00453669" w:rsidRPr="003B32B0">
              <w:rPr>
                <w:rFonts w:asciiTheme="minorHAnsi" w:eastAsia="Times New Roman" w:hAnsiTheme="minorHAnsi"/>
                <w:iCs/>
                <w:color w:val="auto"/>
                <w:szCs w:val="17"/>
                <w:lang w:eastAsia="en-US"/>
              </w:rPr>
              <w:t xml:space="preserve"> increased whole-of-Government engagement on water, food and energy issues in South Asia to improve program outcomes and realise green business opportunities.</w:t>
            </w:r>
          </w:p>
          <w:p w:rsidR="00453669" w:rsidRPr="003B32B0" w:rsidRDefault="00453669" w:rsidP="003B32B0">
            <w:pPr>
              <w:keepLines/>
              <w:spacing w:before="40" w:after="40" w:line="200" w:lineRule="atLeast"/>
              <w:rPr>
                <w:rFonts w:asciiTheme="minorHAnsi" w:eastAsia="Times New Roman" w:hAnsiTheme="minorHAnsi"/>
                <w:iCs/>
                <w:color w:val="auto"/>
                <w:szCs w:val="17"/>
                <w:lang w:eastAsia="en-US"/>
              </w:rPr>
            </w:pPr>
          </w:p>
        </w:tc>
        <w:tc>
          <w:tcPr>
            <w:tcW w:w="1151" w:type="dxa"/>
            <w:shd w:val="clear" w:color="auto" w:fill="FFC000"/>
          </w:tcPr>
          <w:p w:rsidR="00453669" w:rsidRPr="003B32B0" w:rsidRDefault="00453669" w:rsidP="003B32B0">
            <w:pPr>
              <w:keepLines/>
              <w:spacing w:before="40" w:after="40" w:line="200" w:lineRule="atLeast"/>
              <w:jc w:val="center"/>
              <w:rPr>
                <w:rFonts w:asciiTheme="minorHAnsi" w:eastAsia="Times New Roman" w:hAnsiTheme="minorHAnsi"/>
                <w:iCs/>
                <w:color w:val="FFFFFF" w:themeColor="background1"/>
                <w:szCs w:val="17"/>
                <w:lang w:eastAsia="en-US"/>
              </w:rPr>
            </w:pPr>
            <w:r w:rsidRPr="003B32B0">
              <w:rPr>
                <w:rFonts w:asciiTheme="minorHAnsi" w:eastAsia="Times New Roman" w:hAnsiTheme="minorHAnsi"/>
                <w:iCs/>
                <w:color w:val="FFFFFF" w:themeColor="background1"/>
                <w:szCs w:val="17"/>
                <w:lang w:eastAsia="en-US"/>
              </w:rPr>
              <w:t>Partly achieved</w:t>
            </w:r>
          </w:p>
        </w:tc>
        <w:tc>
          <w:tcPr>
            <w:tcW w:w="6696" w:type="dxa"/>
          </w:tcPr>
          <w:p w:rsidR="00453669" w:rsidRPr="003B32B0" w:rsidRDefault="002E32E0" w:rsidP="00F36C86">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Whole of Government partners </w:t>
            </w:r>
            <w:r w:rsidR="00453669" w:rsidRPr="003B32B0">
              <w:rPr>
                <w:rFonts w:asciiTheme="minorHAnsi" w:eastAsia="Times New Roman" w:hAnsiTheme="minorHAnsi"/>
                <w:iCs/>
                <w:color w:val="auto"/>
                <w:szCs w:val="17"/>
                <w:lang w:eastAsia="en-US"/>
              </w:rPr>
              <w:t xml:space="preserve">ACIAR and CSIRO are SDIP partners. Effort is being made, especially at </w:t>
            </w:r>
            <w:r w:rsidR="003B11B8">
              <w:rPr>
                <w:rFonts w:asciiTheme="minorHAnsi" w:eastAsia="Times New Roman" w:hAnsiTheme="minorHAnsi"/>
                <w:iCs/>
                <w:color w:val="auto"/>
                <w:szCs w:val="17"/>
                <w:lang w:eastAsia="en-US"/>
              </w:rPr>
              <w:t xml:space="preserve">the New </w:t>
            </w:r>
            <w:r w:rsidR="00453669" w:rsidRPr="003B32B0">
              <w:rPr>
                <w:rFonts w:asciiTheme="minorHAnsi" w:eastAsia="Times New Roman" w:hAnsiTheme="minorHAnsi"/>
                <w:iCs/>
                <w:color w:val="auto"/>
                <w:szCs w:val="17"/>
                <w:lang w:eastAsia="en-US"/>
              </w:rPr>
              <w:t xml:space="preserve">Delhi Post, to engage </w:t>
            </w:r>
            <w:r w:rsidR="00F36C86">
              <w:rPr>
                <w:rFonts w:asciiTheme="minorHAnsi" w:eastAsia="Times New Roman" w:hAnsiTheme="minorHAnsi"/>
                <w:iCs/>
                <w:color w:val="auto"/>
                <w:szCs w:val="17"/>
                <w:lang w:eastAsia="en-US"/>
              </w:rPr>
              <w:t>with</w:t>
            </w:r>
            <w:r w:rsidR="00453669" w:rsidRPr="003B32B0">
              <w:rPr>
                <w:rFonts w:asciiTheme="minorHAnsi" w:eastAsia="Times New Roman" w:hAnsiTheme="minorHAnsi"/>
                <w:iCs/>
                <w:color w:val="auto"/>
                <w:szCs w:val="17"/>
                <w:lang w:eastAsia="en-US"/>
              </w:rPr>
              <w:t xml:space="preserve"> Department of Agriculture and Water Resources, </w:t>
            </w:r>
            <w:proofErr w:type="spellStart"/>
            <w:r w:rsidR="00453669" w:rsidRPr="003B32B0">
              <w:rPr>
                <w:rFonts w:asciiTheme="minorHAnsi" w:eastAsia="Times New Roman" w:hAnsiTheme="minorHAnsi"/>
                <w:iCs/>
                <w:color w:val="auto"/>
                <w:szCs w:val="17"/>
                <w:lang w:eastAsia="en-US"/>
              </w:rPr>
              <w:t>Austrade</w:t>
            </w:r>
            <w:proofErr w:type="spellEnd"/>
            <w:r w:rsidR="00453669" w:rsidRPr="003B32B0">
              <w:rPr>
                <w:rFonts w:asciiTheme="minorHAnsi" w:eastAsia="Times New Roman" w:hAnsiTheme="minorHAnsi"/>
                <w:iCs/>
                <w:color w:val="auto"/>
                <w:szCs w:val="17"/>
                <w:lang w:eastAsia="en-US"/>
              </w:rPr>
              <w:t xml:space="preserve"> and the Department of Industry, Innovation and Science. </w:t>
            </w:r>
          </w:p>
        </w:tc>
      </w:tr>
      <w:tr w:rsidR="00453669" w:rsidRPr="00D26A54" w:rsidTr="002E32E0">
        <w:trPr>
          <w:cnfStyle w:val="000000010000" w:firstRow="0" w:lastRow="0" w:firstColumn="0" w:lastColumn="0" w:oddVBand="0" w:evenVBand="0" w:oddHBand="0" w:evenHBand="1" w:firstRowFirstColumn="0" w:firstRowLastColumn="0" w:lastRowFirstColumn="0" w:lastRowLastColumn="0"/>
        </w:trPr>
        <w:tc>
          <w:tcPr>
            <w:tcW w:w="6284" w:type="dxa"/>
          </w:tcPr>
          <w:p w:rsidR="00453669" w:rsidRPr="003B32B0" w:rsidRDefault="002E32E0" w:rsidP="003B32B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Consider</w:t>
            </w:r>
            <w:r w:rsidR="00453669" w:rsidRPr="003B32B0">
              <w:rPr>
                <w:rFonts w:asciiTheme="minorHAnsi" w:eastAsia="Times New Roman" w:hAnsiTheme="minorHAnsi"/>
                <w:iCs/>
                <w:color w:val="auto"/>
                <w:szCs w:val="17"/>
                <w:lang w:eastAsia="en-US"/>
              </w:rPr>
              <w:t xml:space="preserve"> ways to further embed gender mainstreaming and social inclusion into SDIP investments, including by convening a Gender Technical Working Group for partners.</w:t>
            </w:r>
          </w:p>
          <w:p w:rsidR="00453669" w:rsidRPr="003B32B0" w:rsidRDefault="00453669" w:rsidP="003B32B0">
            <w:pPr>
              <w:keepLines/>
              <w:spacing w:before="40" w:after="40" w:line="200" w:lineRule="atLeast"/>
              <w:rPr>
                <w:rFonts w:asciiTheme="minorHAnsi" w:eastAsia="Times New Roman" w:hAnsiTheme="minorHAnsi"/>
                <w:iCs/>
                <w:color w:val="auto"/>
                <w:szCs w:val="17"/>
                <w:lang w:eastAsia="en-US"/>
              </w:rPr>
            </w:pPr>
          </w:p>
        </w:tc>
        <w:tc>
          <w:tcPr>
            <w:tcW w:w="1151" w:type="dxa"/>
            <w:shd w:val="clear" w:color="auto" w:fill="FFC000"/>
          </w:tcPr>
          <w:p w:rsidR="00453669" w:rsidRPr="003B32B0" w:rsidRDefault="00453669" w:rsidP="003B32B0">
            <w:pPr>
              <w:keepLines/>
              <w:spacing w:before="40" w:after="40" w:line="200" w:lineRule="atLeast"/>
              <w:jc w:val="center"/>
              <w:rPr>
                <w:rFonts w:asciiTheme="minorHAnsi" w:eastAsia="Times New Roman" w:hAnsiTheme="minorHAnsi"/>
                <w:iCs/>
                <w:color w:val="FFFFFF" w:themeColor="background1"/>
                <w:szCs w:val="17"/>
                <w:lang w:eastAsia="en-US"/>
              </w:rPr>
            </w:pPr>
            <w:r w:rsidRPr="003B32B0">
              <w:rPr>
                <w:rFonts w:asciiTheme="minorHAnsi" w:eastAsia="Times New Roman" w:hAnsiTheme="minorHAnsi"/>
                <w:iCs/>
                <w:color w:val="FFFFFF" w:themeColor="background1"/>
                <w:szCs w:val="17"/>
                <w:lang w:eastAsia="en-US"/>
              </w:rPr>
              <w:t>Partly achieved</w:t>
            </w:r>
          </w:p>
        </w:tc>
        <w:tc>
          <w:tcPr>
            <w:tcW w:w="6696" w:type="dxa"/>
          </w:tcPr>
          <w:p w:rsidR="00453669" w:rsidRPr="003B32B0" w:rsidRDefault="00453669" w:rsidP="003B32B0">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In 2018, a partner-initiated ‘gender project’ was established to understand how gender issues can be better integrated across SDIP. Five case studies are being researched to identify lessons, successes and challenges to gender mainstreaming into SD</w:t>
            </w:r>
            <w:r w:rsidR="00A62D34">
              <w:rPr>
                <w:rFonts w:asciiTheme="minorHAnsi" w:eastAsia="Times New Roman" w:hAnsiTheme="minorHAnsi"/>
                <w:iCs/>
                <w:color w:val="auto"/>
                <w:szCs w:val="17"/>
                <w:lang w:eastAsia="en-US"/>
              </w:rPr>
              <w:t>IP investments. Strong examples</w:t>
            </w:r>
            <w:r w:rsidRPr="003B32B0">
              <w:rPr>
                <w:rFonts w:asciiTheme="minorHAnsi" w:eastAsia="Times New Roman" w:hAnsiTheme="minorHAnsi"/>
                <w:iCs/>
                <w:color w:val="auto"/>
                <w:szCs w:val="17"/>
                <w:lang w:eastAsia="en-US"/>
              </w:rPr>
              <w:t xml:space="preserve"> include ACIAR’s research into the feminisation of agriculture in the Eastern Gangetic Plains, Nepal’s adoption of IFC’s work to strengthen environmental, gender and social impact assessments into hydropower project designs and ICIMOD’s establishment of a dedicated gender team.</w:t>
            </w:r>
          </w:p>
        </w:tc>
      </w:tr>
      <w:tr w:rsidR="00BE70DF" w:rsidRPr="00D26A54" w:rsidTr="00054344">
        <w:trPr>
          <w:cnfStyle w:val="000000010000" w:firstRow="0" w:lastRow="0" w:firstColumn="0" w:lastColumn="0" w:oddVBand="0" w:evenVBand="0" w:oddHBand="0" w:evenHBand="1" w:firstRowFirstColumn="0" w:firstRowLastColumn="0" w:lastRowFirstColumn="0" w:lastRowLastColumn="0"/>
        </w:trPr>
        <w:tc>
          <w:tcPr>
            <w:tcW w:w="6284" w:type="dxa"/>
          </w:tcPr>
          <w:p w:rsidR="004B1DE0" w:rsidRPr="003B32B0" w:rsidRDefault="002E32E0" w:rsidP="003B32B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Continue</w:t>
            </w:r>
            <w:r w:rsidR="004B1DE0" w:rsidRPr="003B32B0">
              <w:rPr>
                <w:rFonts w:asciiTheme="minorHAnsi" w:eastAsia="Times New Roman" w:hAnsiTheme="minorHAnsi"/>
                <w:iCs/>
                <w:color w:val="auto"/>
                <w:szCs w:val="17"/>
                <w:lang w:eastAsia="en-US"/>
              </w:rPr>
              <w:t xml:space="preserve"> the focus on promoting and embedding gender equality in regional economic connectivity work. DFAT will continue to enforce SARTFP governance arrangements to ensure all activities demonstrate a ben</w:t>
            </w:r>
            <w:r w:rsidR="00723D77">
              <w:rPr>
                <w:rFonts w:asciiTheme="minorHAnsi" w:eastAsia="Times New Roman" w:hAnsiTheme="minorHAnsi"/>
                <w:iCs/>
                <w:color w:val="auto"/>
                <w:szCs w:val="17"/>
                <w:lang w:eastAsia="en-US"/>
              </w:rPr>
              <w:t xml:space="preserve">efit to women. Lessons from IFG and </w:t>
            </w:r>
            <w:r w:rsidR="004B1DE0" w:rsidRPr="003B32B0">
              <w:rPr>
                <w:rFonts w:asciiTheme="minorHAnsi" w:eastAsia="Times New Roman" w:hAnsiTheme="minorHAnsi"/>
                <w:iCs/>
                <w:color w:val="auto"/>
                <w:szCs w:val="17"/>
                <w:lang w:eastAsia="en-US"/>
              </w:rPr>
              <w:t>SARTFP on integrating gender in trade facilitation and connectivity will be shared across DFAT.</w:t>
            </w:r>
          </w:p>
          <w:p w:rsidR="00AF1B85" w:rsidRPr="003B32B0" w:rsidRDefault="00AF1B85" w:rsidP="003B32B0">
            <w:pPr>
              <w:keepLines/>
              <w:spacing w:before="40" w:after="40" w:line="200" w:lineRule="atLeast"/>
              <w:rPr>
                <w:rFonts w:asciiTheme="minorHAnsi" w:eastAsia="Times New Roman" w:hAnsiTheme="minorHAnsi"/>
                <w:iCs/>
                <w:color w:val="auto"/>
                <w:szCs w:val="17"/>
                <w:lang w:eastAsia="en-US"/>
              </w:rPr>
            </w:pPr>
          </w:p>
        </w:tc>
        <w:tc>
          <w:tcPr>
            <w:tcW w:w="1151" w:type="dxa"/>
            <w:shd w:val="clear" w:color="auto" w:fill="72AF2F"/>
          </w:tcPr>
          <w:p w:rsidR="00AF1B85" w:rsidRPr="003B32B0" w:rsidRDefault="00AF1B85" w:rsidP="003B32B0">
            <w:pPr>
              <w:keepLines/>
              <w:spacing w:before="40" w:after="40" w:line="200" w:lineRule="atLeast"/>
              <w:jc w:val="center"/>
              <w:rPr>
                <w:rFonts w:asciiTheme="minorHAnsi" w:eastAsia="Times New Roman" w:hAnsiTheme="minorHAnsi"/>
                <w:iCs/>
                <w:color w:val="FFFFFF" w:themeColor="background1"/>
                <w:szCs w:val="17"/>
                <w:lang w:eastAsia="en-US"/>
              </w:rPr>
            </w:pPr>
            <w:r w:rsidRPr="003B32B0">
              <w:rPr>
                <w:rFonts w:asciiTheme="minorHAnsi" w:eastAsia="Times New Roman" w:hAnsiTheme="minorHAnsi"/>
                <w:iCs/>
                <w:color w:val="FFFFFF" w:themeColor="background1"/>
                <w:szCs w:val="17"/>
                <w:lang w:eastAsia="en-US"/>
              </w:rPr>
              <w:t>Achieved</w:t>
            </w:r>
          </w:p>
        </w:tc>
        <w:tc>
          <w:tcPr>
            <w:tcW w:w="6696" w:type="dxa"/>
          </w:tcPr>
          <w:p w:rsidR="00A92D2C" w:rsidRPr="003B32B0" w:rsidRDefault="00A92D2C" w:rsidP="003B32B0">
            <w:pPr>
              <w:keepLines/>
              <w:widowControl w:val="0"/>
              <w:tabs>
                <w:tab w:val="left" w:pos="409"/>
              </w:tabs>
              <w:suppressAutoHyphens w:val="0"/>
              <w:autoSpaceDE w:val="0"/>
              <w:autoSpaceDN w:val="0"/>
              <w:spacing w:before="40" w:after="40" w:line="200" w:lineRule="atLeast"/>
              <w:ind w:right="412"/>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 xml:space="preserve">DFAT (Canberra with support from New Delhi Post) has continued to maintain the emphasis on gender equality in SARTFP, despite concerns that this may be leading to reduced interest in SARTFP funding. Changes within the </w:t>
            </w:r>
            <w:r w:rsidR="009A7463" w:rsidRPr="003B32B0">
              <w:rPr>
                <w:rFonts w:asciiTheme="minorHAnsi" w:eastAsia="Times New Roman" w:hAnsiTheme="minorHAnsi"/>
                <w:iCs/>
                <w:color w:val="auto"/>
                <w:szCs w:val="17"/>
                <w:lang w:eastAsia="en-US"/>
              </w:rPr>
              <w:t xml:space="preserve">World </w:t>
            </w:r>
            <w:r w:rsidRPr="003B32B0">
              <w:rPr>
                <w:rFonts w:asciiTheme="minorHAnsi" w:eastAsia="Times New Roman" w:hAnsiTheme="minorHAnsi"/>
                <w:iCs/>
                <w:color w:val="auto"/>
                <w:szCs w:val="17"/>
                <w:lang w:eastAsia="en-US"/>
              </w:rPr>
              <w:t>Bank regarding gender equality are now driving increased demand, and SARTFP's gender adviser has been re-engaged to continue this work.</w:t>
            </w:r>
            <w:r w:rsidR="00723D77">
              <w:rPr>
                <w:rFonts w:asciiTheme="minorHAnsi" w:eastAsia="Times New Roman" w:hAnsiTheme="minorHAnsi"/>
                <w:iCs/>
                <w:color w:val="auto"/>
                <w:szCs w:val="17"/>
                <w:lang w:eastAsia="en-US"/>
              </w:rPr>
              <w:t xml:space="preserve"> The 100 per cent</w:t>
            </w:r>
            <w:r w:rsidR="007257B0" w:rsidRPr="003B32B0">
              <w:rPr>
                <w:rFonts w:asciiTheme="minorHAnsi" w:eastAsia="Times New Roman" w:hAnsiTheme="minorHAnsi"/>
                <w:iCs/>
                <w:color w:val="auto"/>
                <w:szCs w:val="17"/>
                <w:lang w:eastAsia="en-US"/>
              </w:rPr>
              <w:t xml:space="preserve"> gender tagged benchmark for SARTFP linked activities continues to set the benchmark for good practice and gender in trade facilitation and connectivity.  Reporting on these lessons is embedded in briefing and talking points. </w:t>
            </w:r>
          </w:p>
          <w:p w:rsidR="00AF1B85" w:rsidRPr="003B32B0" w:rsidRDefault="00AF1B85" w:rsidP="003B32B0">
            <w:pPr>
              <w:keepLines/>
              <w:spacing w:before="40" w:after="40" w:line="200" w:lineRule="atLeast"/>
              <w:rPr>
                <w:rFonts w:asciiTheme="minorHAnsi" w:eastAsia="Times New Roman" w:hAnsiTheme="minorHAnsi"/>
                <w:iCs/>
                <w:color w:val="auto"/>
                <w:szCs w:val="17"/>
                <w:lang w:eastAsia="en-US"/>
              </w:rPr>
            </w:pPr>
          </w:p>
        </w:tc>
      </w:tr>
      <w:tr w:rsidR="00BE70DF" w:rsidRPr="00D26A54" w:rsidTr="002E32E0">
        <w:trPr>
          <w:cnfStyle w:val="000000010000" w:firstRow="0" w:lastRow="0" w:firstColumn="0" w:lastColumn="0" w:oddVBand="0" w:evenVBand="0" w:oddHBand="0" w:evenHBand="1" w:firstRowFirstColumn="0" w:firstRowLastColumn="0" w:lastRowFirstColumn="0" w:lastRowLastColumn="0"/>
        </w:trPr>
        <w:tc>
          <w:tcPr>
            <w:tcW w:w="6284" w:type="dxa"/>
          </w:tcPr>
          <w:p w:rsidR="00AF1B85" w:rsidRPr="003B32B0" w:rsidRDefault="002E32E0" w:rsidP="00D15A0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Continue</w:t>
            </w:r>
            <w:r w:rsidR="004B1DE0" w:rsidRPr="003B32B0">
              <w:rPr>
                <w:rFonts w:asciiTheme="minorHAnsi" w:eastAsia="Times New Roman" w:hAnsiTheme="minorHAnsi"/>
                <w:iCs/>
                <w:color w:val="auto"/>
                <w:szCs w:val="17"/>
                <w:lang w:eastAsia="en-US"/>
              </w:rPr>
              <w:t xml:space="preserve"> the focus on improving reporting, monitoring and evaluation across SARTFP including by agreeing on a protocol for financial reporting and more frequent feedback by DFAT</w:t>
            </w:r>
          </w:p>
        </w:tc>
        <w:tc>
          <w:tcPr>
            <w:tcW w:w="1151" w:type="dxa"/>
            <w:shd w:val="clear" w:color="auto" w:fill="FFC000"/>
          </w:tcPr>
          <w:p w:rsidR="00AF1B85" w:rsidRPr="003B32B0"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32B0">
              <w:rPr>
                <w:rFonts w:asciiTheme="minorHAnsi" w:eastAsia="Times New Roman" w:hAnsiTheme="minorHAnsi"/>
                <w:iCs/>
                <w:color w:val="FFFFFF" w:themeColor="background1"/>
                <w:szCs w:val="17"/>
                <w:lang w:eastAsia="en-US"/>
              </w:rPr>
              <w:t>Partly achieved</w:t>
            </w:r>
          </w:p>
        </w:tc>
        <w:tc>
          <w:tcPr>
            <w:tcW w:w="6696" w:type="dxa"/>
          </w:tcPr>
          <w:p w:rsidR="00AF1B85" w:rsidRPr="003B32B0" w:rsidRDefault="004B1DE0" w:rsidP="00F36C86">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Over 2018</w:t>
            </w:r>
            <w:r w:rsidR="002E32E0">
              <w:rPr>
                <w:rFonts w:asciiTheme="minorHAnsi" w:eastAsia="Times New Roman" w:hAnsiTheme="minorHAnsi"/>
                <w:iCs/>
                <w:color w:val="auto"/>
                <w:szCs w:val="17"/>
                <w:lang w:eastAsia="en-US"/>
              </w:rPr>
              <w:t>-19,</w:t>
            </w:r>
            <w:r w:rsidRPr="003B32B0">
              <w:rPr>
                <w:rFonts w:asciiTheme="minorHAnsi" w:eastAsia="Times New Roman" w:hAnsiTheme="minorHAnsi"/>
                <w:iCs/>
                <w:color w:val="auto"/>
                <w:szCs w:val="17"/>
                <w:lang w:eastAsia="en-US"/>
              </w:rPr>
              <w:t xml:space="preserve"> </w:t>
            </w:r>
            <w:r w:rsidR="003B11B8">
              <w:rPr>
                <w:rFonts w:asciiTheme="minorHAnsi" w:eastAsia="Times New Roman" w:hAnsiTheme="minorHAnsi"/>
                <w:iCs/>
                <w:color w:val="auto"/>
                <w:szCs w:val="17"/>
                <w:lang w:eastAsia="en-US"/>
              </w:rPr>
              <w:t>turnover made it</w:t>
            </w:r>
            <w:r w:rsidR="002E32E0">
              <w:rPr>
                <w:rFonts w:asciiTheme="minorHAnsi" w:eastAsia="Times New Roman" w:hAnsiTheme="minorHAnsi"/>
                <w:iCs/>
                <w:color w:val="auto"/>
                <w:szCs w:val="17"/>
                <w:lang w:eastAsia="en-US"/>
              </w:rPr>
              <w:t xml:space="preserve"> difficult to maintain continuous </w:t>
            </w:r>
            <w:r w:rsidR="00F36C86">
              <w:rPr>
                <w:rFonts w:asciiTheme="minorHAnsi" w:eastAsia="Times New Roman" w:hAnsiTheme="minorHAnsi"/>
                <w:iCs/>
                <w:color w:val="auto"/>
                <w:szCs w:val="17"/>
                <w:lang w:eastAsia="en-US"/>
              </w:rPr>
              <w:t>monitoring</w:t>
            </w:r>
            <w:r w:rsidR="002E32E0">
              <w:rPr>
                <w:rFonts w:asciiTheme="minorHAnsi" w:eastAsia="Times New Roman" w:hAnsiTheme="minorHAnsi"/>
                <w:iCs/>
                <w:color w:val="auto"/>
                <w:szCs w:val="17"/>
                <w:lang w:eastAsia="en-US"/>
              </w:rPr>
              <w:t xml:space="preserve"> and engagement with SARTFP</w:t>
            </w:r>
            <w:r w:rsidRPr="003B32B0">
              <w:rPr>
                <w:rFonts w:asciiTheme="minorHAnsi" w:eastAsia="Times New Roman" w:hAnsiTheme="minorHAnsi"/>
                <w:iCs/>
                <w:color w:val="auto"/>
                <w:szCs w:val="17"/>
                <w:lang w:eastAsia="en-US"/>
              </w:rPr>
              <w:t>. This resulted in a loss of momentum in a</w:t>
            </w:r>
            <w:r w:rsidR="007257B0" w:rsidRPr="003B32B0">
              <w:rPr>
                <w:rFonts w:asciiTheme="minorHAnsi" w:eastAsia="Times New Roman" w:hAnsiTheme="minorHAnsi"/>
                <w:iCs/>
                <w:color w:val="auto"/>
                <w:szCs w:val="17"/>
                <w:lang w:eastAsia="en-US"/>
              </w:rPr>
              <w:t xml:space="preserve">ddressing management responses, particularly in managing reporting and communications strategies. </w:t>
            </w:r>
            <w:r w:rsidR="00004139" w:rsidRPr="003B32B0">
              <w:rPr>
                <w:rFonts w:asciiTheme="minorHAnsi" w:eastAsia="Times New Roman" w:hAnsiTheme="minorHAnsi"/>
                <w:iCs/>
                <w:color w:val="auto"/>
                <w:szCs w:val="17"/>
                <w:lang w:eastAsia="en-US"/>
              </w:rPr>
              <w:t>The i</w:t>
            </w:r>
            <w:r w:rsidR="00F36C86">
              <w:rPr>
                <w:rFonts w:asciiTheme="minorHAnsi" w:eastAsia="Times New Roman" w:hAnsiTheme="minorHAnsi"/>
                <w:iCs/>
                <w:color w:val="auto"/>
                <w:szCs w:val="17"/>
                <w:lang w:eastAsia="en-US"/>
              </w:rPr>
              <w:t>ndependent evaluation revealed</w:t>
            </w:r>
            <w:r w:rsidR="00004139" w:rsidRPr="003B32B0">
              <w:rPr>
                <w:rFonts w:asciiTheme="minorHAnsi" w:eastAsia="Times New Roman" w:hAnsiTheme="minorHAnsi"/>
                <w:iCs/>
                <w:color w:val="auto"/>
                <w:szCs w:val="17"/>
                <w:lang w:eastAsia="en-US"/>
              </w:rPr>
              <w:t xml:space="preserve"> inefficiencies of the communi</w:t>
            </w:r>
            <w:r w:rsidR="002E32E0">
              <w:rPr>
                <w:rFonts w:asciiTheme="minorHAnsi" w:eastAsia="Times New Roman" w:hAnsiTheme="minorHAnsi"/>
                <w:iCs/>
                <w:color w:val="auto"/>
                <w:szCs w:val="17"/>
                <w:lang w:eastAsia="en-US"/>
              </w:rPr>
              <w:t>cations elements of the program with more effort being necessary to ensure dissemination of knowledge products.</w:t>
            </w:r>
          </w:p>
        </w:tc>
      </w:tr>
    </w:tbl>
    <w:p w:rsidR="005933B0" w:rsidRPr="00812509" w:rsidRDefault="005933B0" w:rsidP="005933B0">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5933B0" w:rsidRPr="00812509" w:rsidRDefault="005933B0" w:rsidP="005933B0">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5933B0" w:rsidRPr="00812509" w:rsidRDefault="005933B0" w:rsidP="005933B0">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5933B0" w:rsidRPr="00812509" w:rsidRDefault="005933B0" w:rsidP="005933B0">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184F1E" w:rsidRPr="00D26A54" w:rsidRDefault="00184F1E" w:rsidP="00BB648A">
      <w:pPr>
        <w:pStyle w:val="Subtitle"/>
        <w:spacing w:before="360" w:after="120" w:line="300" w:lineRule="exact"/>
        <w:rPr>
          <w:rFonts w:cstheme="minorHAnsi"/>
        </w:rPr>
      </w:pPr>
      <w:r w:rsidRPr="00D26A54">
        <w:rPr>
          <w:rFonts w:cstheme="minorHAnsi"/>
        </w:rPr>
        <w:t>Annex B – PERFORMANCE BENCHMARKS</w:t>
      </w:r>
    </w:p>
    <w:p w:rsidR="00184F1E" w:rsidRPr="00D26A54" w:rsidRDefault="00F8189A" w:rsidP="00184F1E">
      <w:pPr>
        <w:rPr>
          <w:rFonts w:eastAsia="Times New Roman" w:cstheme="minorHAnsi"/>
          <w:sz w:val="32"/>
          <w:szCs w:val="32"/>
        </w:rPr>
      </w:pPr>
      <w:r w:rsidRPr="00D26A54">
        <w:rPr>
          <w:rFonts w:eastAsia="Times New Roman" w:cstheme="minorHAnsi"/>
          <w:sz w:val="32"/>
          <w:szCs w:val="32"/>
        </w:rPr>
        <w:t xml:space="preserve">1 </w:t>
      </w:r>
      <w:r w:rsidR="00184F1E" w:rsidRPr="00D26A54">
        <w:rPr>
          <w:rFonts w:eastAsia="Times New Roman" w:cstheme="minorHAnsi"/>
          <w:sz w:val="32"/>
          <w:szCs w:val="32"/>
        </w:rPr>
        <w:t>Progress towards Performance Benchmarks in 201</w:t>
      </w:r>
      <w:r w:rsidRPr="00D26A54">
        <w:rPr>
          <w:rFonts w:eastAsia="Times New Roman" w:cstheme="minorHAnsi"/>
          <w:sz w:val="32"/>
          <w:szCs w:val="32"/>
        </w:rPr>
        <w:t>8-19</w:t>
      </w:r>
    </w:p>
    <w:p w:rsidR="003B2332" w:rsidRPr="00D26A54" w:rsidRDefault="003B2332" w:rsidP="00184F1E">
      <w:pPr>
        <w:spacing w:before="20" w:after="20" w:line="180" w:lineRule="atLeast"/>
        <w:jc w:val="both"/>
        <w:rPr>
          <w:rFonts w:eastAsia="Times New Roman" w:cstheme="minorHAnsi"/>
          <w:b/>
          <w:sz w:val="16"/>
          <w:szCs w:val="14"/>
        </w:rPr>
      </w:pPr>
    </w:p>
    <w:p w:rsidR="003B2332" w:rsidRPr="00D26A54" w:rsidRDefault="003B2332" w:rsidP="00184F1E">
      <w:pPr>
        <w:spacing w:before="20" w:after="20" w:line="180" w:lineRule="atLeast"/>
        <w:jc w:val="both"/>
        <w:rPr>
          <w:rFonts w:eastAsia="Times New Roman" w:cstheme="minorHAnsi"/>
          <w:b/>
          <w:sz w:val="16"/>
          <w:szCs w:val="14"/>
        </w:rPr>
      </w:pPr>
    </w:p>
    <w:tbl>
      <w:tblPr>
        <w:tblStyle w:val="DFATTable"/>
        <w:tblW w:w="5000" w:type="pct"/>
        <w:tblLook w:val="04A0" w:firstRow="1" w:lastRow="0" w:firstColumn="1" w:lastColumn="0" w:noHBand="0" w:noVBand="1"/>
      </w:tblPr>
      <w:tblGrid>
        <w:gridCol w:w="2190"/>
        <w:gridCol w:w="2189"/>
        <w:gridCol w:w="1319"/>
        <w:gridCol w:w="8337"/>
      </w:tblGrid>
      <w:tr w:rsidR="00BE70DF" w:rsidRPr="00D26A54" w:rsidTr="00E95063">
        <w:trPr>
          <w:tblHeader/>
        </w:trPr>
        <w:tc>
          <w:tcPr>
            <w:tcW w:w="780" w:type="pct"/>
            <w:tcMar>
              <w:top w:w="57" w:type="dxa"/>
              <w:bottom w:w="57" w:type="dxa"/>
            </w:tcMar>
          </w:tcPr>
          <w:p w:rsidR="003B2332" w:rsidRPr="00D26A54" w:rsidRDefault="003B2332" w:rsidP="00E95063">
            <w:pPr>
              <w:keepLines/>
              <w:spacing w:before="80" w:after="80" w:line="200" w:lineRule="atLeast"/>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Aid objective</w:t>
            </w:r>
          </w:p>
        </w:tc>
        <w:tc>
          <w:tcPr>
            <w:tcW w:w="780" w:type="pct"/>
          </w:tcPr>
          <w:p w:rsidR="003B2332" w:rsidRPr="00D26A54" w:rsidRDefault="003B2332" w:rsidP="00E95063">
            <w:pPr>
              <w:keepLines/>
              <w:spacing w:before="80" w:after="80" w:line="200" w:lineRule="atLeast"/>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 xml:space="preserve">Performance Benchmark </w:t>
            </w:r>
          </w:p>
        </w:tc>
        <w:tc>
          <w:tcPr>
            <w:tcW w:w="470" w:type="pct"/>
          </w:tcPr>
          <w:p w:rsidR="003B2332" w:rsidRPr="00D26A54" w:rsidRDefault="003B2332" w:rsidP="00E95063">
            <w:pPr>
              <w:keepLines/>
              <w:spacing w:before="80" w:after="80" w:line="200" w:lineRule="atLeast"/>
              <w:jc w:val="center"/>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Rating</w:t>
            </w:r>
          </w:p>
        </w:tc>
        <w:tc>
          <w:tcPr>
            <w:tcW w:w="2970" w:type="pct"/>
          </w:tcPr>
          <w:p w:rsidR="003B2332" w:rsidRPr="00D26A54" w:rsidRDefault="003B2332" w:rsidP="00E95063">
            <w:pPr>
              <w:keepLines/>
              <w:spacing w:before="80" w:after="80" w:line="200" w:lineRule="atLeast"/>
              <w:jc w:val="center"/>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Progress in 2018</w:t>
            </w:r>
            <w:r w:rsidR="00266F82">
              <w:rPr>
                <w:rFonts w:asciiTheme="minorHAnsi" w:eastAsia="Times New Roman" w:hAnsiTheme="minorHAnsi" w:cstheme="minorHAnsi"/>
                <w:b/>
                <w:iCs/>
                <w:szCs w:val="17"/>
                <w:lang w:eastAsia="en-US"/>
              </w:rPr>
              <w:t>-19</w:t>
            </w:r>
          </w:p>
        </w:tc>
      </w:tr>
      <w:tr w:rsidR="00BE70DF" w:rsidRPr="00D26A54" w:rsidTr="00E95063">
        <w:tc>
          <w:tcPr>
            <w:tcW w:w="780" w:type="pct"/>
            <w:tcMar>
              <w:top w:w="57" w:type="dxa"/>
              <w:bottom w:w="57" w:type="dxa"/>
            </w:tcMar>
          </w:tcPr>
          <w:p w:rsidR="00E558FA" w:rsidRPr="003B32B0" w:rsidRDefault="00E558FA" w:rsidP="00E558FA">
            <w:pPr>
              <w:keepLines/>
              <w:spacing w:before="40" w:after="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Increased water, food and energy security in South Asia to facilitate economic growth and improve the livelihoods of the poor and vulnerable (particularly women and girls)</w:t>
            </w:r>
            <w:r w:rsidR="00723D77">
              <w:rPr>
                <w:rFonts w:asciiTheme="minorHAnsi" w:eastAsia="Times New Roman" w:hAnsiTheme="minorHAnsi"/>
                <w:iCs/>
                <w:color w:val="auto"/>
                <w:szCs w:val="17"/>
                <w:lang w:eastAsia="en-US"/>
              </w:rPr>
              <w:t>.</w:t>
            </w:r>
          </w:p>
        </w:tc>
        <w:tc>
          <w:tcPr>
            <w:tcW w:w="780" w:type="pct"/>
          </w:tcPr>
          <w:p w:rsidR="00E558FA" w:rsidRPr="003B32B0" w:rsidRDefault="00E558FA" w:rsidP="00E558FA">
            <w:pPr>
              <w:pStyle w:val="Default"/>
              <w:rPr>
                <w:rFonts w:asciiTheme="minorHAnsi" w:eastAsia="Times New Roman" w:hAnsiTheme="minorHAnsi" w:cstheme="minorBidi"/>
                <w:iCs/>
                <w:color w:val="auto"/>
                <w:sz w:val="17"/>
                <w:szCs w:val="17"/>
                <w:lang w:val="en-GB" w:eastAsia="en-US"/>
              </w:rPr>
            </w:pPr>
            <w:r w:rsidRPr="003B32B0">
              <w:rPr>
                <w:rFonts w:asciiTheme="minorHAnsi" w:eastAsia="Times New Roman" w:hAnsiTheme="minorHAnsi" w:cstheme="minorBidi"/>
                <w:iCs/>
                <w:color w:val="auto"/>
                <w:sz w:val="17"/>
                <w:szCs w:val="17"/>
                <w:lang w:val="en-GB" w:eastAsia="en-US"/>
              </w:rPr>
              <w:t xml:space="preserve">Improvements in the region’s agriculture, energy and water management capabilities, that include considerations of climate change impacts through SDIP efforts. </w:t>
            </w:r>
          </w:p>
          <w:p w:rsidR="00E558FA" w:rsidRPr="003B32B0" w:rsidRDefault="00E558FA" w:rsidP="00E558FA">
            <w:pPr>
              <w:keepLines/>
              <w:spacing w:before="40" w:after="40" w:line="200" w:lineRule="atLeast"/>
              <w:rPr>
                <w:rFonts w:asciiTheme="minorHAnsi" w:eastAsia="Times New Roman" w:hAnsiTheme="minorHAnsi"/>
                <w:iCs/>
                <w:color w:val="auto"/>
                <w:szCs w:val="17"/>
                <w:lang w:eastAsia="en-US"/>
              </w:rPr>
            </w:pPr>
          </w:p>
        </w:tc>
        <w:tc>
          <w:tcPr>
            <w:tcW w:w="470" w:type="pct"/>
            <w:shd w:val="clear" w:color="auto" w:fill="72AF50"/>
          </w:tcPr>
          <w:p w:rsidR="00E558FA" w:rsidRPr="003B32B0" w:rsidRDefault="00E558FA" w:rsidP="00E558FA">
            <w:pPr>
              <w:keepLines/>
              <w:spacing w:before="40" w:after="40" w:line="200" w:lineRule="atLeast"/>
              <w:jc w:val="center"/>
              <w:rPr>
                <w:rFonts w:asciiTheme="minorHAnsi" w:eastAsia="Times New Roman" w:hAnsiTheme="minorHAnsi"/>
                <w:iCs/>
                <w:color w:val="FFFFFF" w:themeColor="background1"/>
                <w:szCs w:val="17"/>
                <w:lang w:eastAsia="en-US"/>
              </w:rPr>
            </w:pPr>
            <w:r w:rsidRPr="003B32B0">
              <w:rPr>
                <w:rFonts w:asciiTheme="minorHAnsi" w:eastAsia="Times New Roman" w:hAnsiTheme="minorHAnsi"/>
                <w:iCs/>
                <w:color w:val="FFFFFF" w:themeColor="background1"/>
                <w:szCs w:val="17"/>
                <w:lang w:eastAsia="en-US"/>
              </w:rPr>
              <w:t>Achieved</w:t>
            </w:r>
          </w:p>
        </w:tc>
        <w:tc>
          <w:tcPr>
            <w:tcW w:w="2970" w:type="pct"/>
          </w:tcPr>
          <w:p w:rsidR="00E558FA" w:rsidRPr="003B32B0" w:rsidRDefault="00E558FA" w:rsidP="00E558FA">
            <w:pPr>
              <w:keepLines/>
              <w:spacing w:before="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Initiatives by SDIP partners have contributed to improvements in the region’s agriculture, energy and</w:t>
            </w:r>
            <w:r w:rsidR="00F36C86">
              <w:rPr>
                <w:rFonts w:asciiTheme="minorHAnsi" w:eastAsia="Times New Roman" w:hAnsiTheme="minorHAnsi"/>
                <w:iCs/>
                <w:color w:val="auto"/>
                <w:szCs w:val="17"/>
                <w:lang w:eastAsia="en-US"/>
              </w:rPr>
              <w:t xml:space="preserve"> water management capabilities </w:t>
            </w:r>
            <w:r w:rsidRPr="003B32B0">
              <w:rPr>
                <w:rFonts w:asciiTheme="minorHAnsi" w:eastAsia="Times New Roman" w:hAnsiTheme="minorHAnsi"/>
                <w:iCs/>
                <w:color w:val="auto"/>
                <w:szCs w:val="17"/>
                <w:lang w:eastAsia="en-US"/>
              </w:rPr>
              <w:t>as evidenced by:</w:t>
            </w:r>
          </w:p>
          <w:p w:rsidR="00E558FA" w:rsidRPr="003B32B0" w:rsidRDefault="00E558FA" w:rsidP="003B32B0">
            <w:pPr>
              <w:pStyle w:val="ListParagraph"/>
              <w:keepLines/>
              <w:numPr>
                <w:ilvl w:val="0"/>
                <w:numId w:val="15"/>
              </w:numPr>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 xml:space="preserve">SDIP partners are supporting localised examples of regional </w:t>
            </w:r>
            <w:r w:rsidR="00F36C86">
              <w:rPr>
                <w:rFonts w:asciiTheme="minorHAnsi" w:eastAsia="Times New Roman" w:hAnsiTheme="minorHAnsi"/>
                <w:iCs/>
                <w:color w:val="auto"/>
                <w:szCs w:val="17"/>
                <w:lang w:eastAsia="en-US"/>
              </w:rPr>
              <w:t>cooperation through successful disaster risk reduction (D</w:t>
            </w:r>
            <w:r w:rsidRPr="003B32B0">
              <w:rPr>
                <w:rFonts w:asciiTheme="minorHAnsi" w:eastAsia="Times New Roman" w:hAnsiTheme="minorHAnsi"/>
                <w:iCs/>
                <w:color w:val="auto"/>
                <w:szCs w:val="17"/>
                <w:lang w:eastAsia="en-US"/>
              </w:rPr>
              <w:t>RR</w:t>
            </w:r>
            <w:r w:rsidR="00F36C86">
              <w:rPr>
                <w:rFonts w:asciiTheme="minorHAnsi" w:eastAsia="Times New Roman" w:hAnsiTheme="minorHAnsi"/>
                <w:iCs/>
                <w:color w:val="auto"/>
                <w:szCs w:val="17"/>
                <w:lang w:eastAsia="en-US"/>
              </w:rPr>
              <w:t>)</w:t>
            </w:r>
            <w:r w:rsidRPr="003B32B0">
              <w:rPr>
                <w:rFonts w:asciiTheme="minorHAnsi" w:eastAsia="Times New Roman" w:hAnsiTheme="minorHAnsi"/>
                <w:iCs/>
                <w:color w:val="auto"/>
                <w:szCs w:val="17"/>
                <w:lang w:eastAsia="en-US"/>
              </w:rPr>
              <w:t xml:space="preserve"> and community-based flood early warning systems in the Indus and Ganges river basins.</w:t>
            </w:r>
          </w:p>
          <w:p w:rsidR="00E558FA" w:rsidRPr="003B32B0" w:rsidRDefault="00E558FA" w:rsidP="003B32B0">
            <w:pPr>
              <w:pStyle w:val="ListParagraph"/>
              <w:keepLines/>
              <w:numPr>
                <w:ilvl w:val="0"/>
                <w:numId w:val="15"/>
              </w:numPr>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 xml:space="preserve">New models and approaches by IFC to support uptake and investment in resource efficiency in Bangladesh, India, Nepal and Pakistan, saving 21.5 million cubic metres </w:t>
            </w:r>
            <w:r w:rsidR="00F36C86">
              <w:rPr>
                <w:rFonts w:asciiTheme="minorHAnsi" w:eastAsia="Times New Roman" w:hAnsiTheme="minorHAnsi"/>
                <w:iCs/>
                <w:color w:val="auto"/>
                <w:szCs w:val="17"/>
                <w:lang w:eastAsia="en-US"/>
              </w:rPr>
              <w:t xml:space="preserve">of water and 2.5 million MW </w:t>
            </w:r>
            <w:r w:rsidRPr="003B32B0">
              <w:rPr>
                <w:rFonts w:asciiTheme="minorHAnsi" w:eastAsia="Times New Roman" w:hAnsiTheme="minorHAnsi"/>
                <w:iCs/>
                <w:color w:val="auto"/>
                <w:szCs w:val="17"/>
                <w:lang w:eastAsia="en-US"/>
              </w:rPr>
              <w:t>per year.</w:t>
            </w:r>
          </w:p>
          <w:p w:rsidR="00E558FA" w:rsidRPr="003B32B0" w:rsidRDefault="00E558FA" w:rsidP="003B32B0">
            <w:pPr>
              <w:pStyle w:val="ListParagraph"/>
              <w:keepLines/>
              <w:numPr>
                <w:ilvl w:val="0"/>
                <w:numId w:val="15"/>
              </w:numPr>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ACIAR is contributing to an improved enabling environment for scaling sustainable food systems in the Eastern</w:t>
            </w:r>
            <w:r w:rsidR="00F36C86">
              <w:rPr>
                <w:rFonts w:asciiTheme="minorHAnsi" w:eastAsia="Times New Roman" w:hAnsiTheme="minorHAnsi"/>
                <w:iCs/>
                <w:color w:val="auto"/>
                <w:szCs w:val="17"/>
                <w:lang w:eastAsia="en-US"/>
              </w:rPr>
              <w:t xml:space="preserve"> Gangetic Plains. Conservation Agriculture-based System I</w:t>
            </w:r>
            <w:r w:rsidRPr="003B32B0">
              <w:rPr>
                <w:rFonts w:asciiTheme="minorHAnsi" w:eastAsia="Times New Roman" w:hAnsiTheme="minorHAnsi"/>
                <w:iCs/>
                <w:color w:val="auto"/>
                <w:szCs w:val="17"/>
                <w:lang w:eastAsia="en-US"/>
              </w:rPr>
              <w:t>ntensification approaches to increase carbon storage in soils and reduce the amount of water, fuel, labour and greenhouse gas emissions, benefitted over 75,000 farmers.</w:t>
            </w:r>
          </w:p>
          <w:p w:rsidR="00E558FA" w:rsidRPr="003B32B0" w:rsidRDefault="00E558FA" w:rsidP="003B32B0">
            <w:pPr>
              <w:pStyle w:val="ListParagraph"/>
              <w:keepLines/>
              <w:numPr>
                <w:ilvl w:val="0"/>
                <w:numId w:val="15"/>
              </w:numPr>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ICIMOD’s HIMAP, a comprehensive analysis of the H</w:t>
            </w:r>
            <w:r w:rsidR="00A62D34">
              <w:rPr>
                <w:rFonts w:asciiTheme="minorHAnsi" w:eastAsia="Times New Roman" w:hAnsiTheme="minorHAnsi"/>
                <w:iCs/>
                <w:color w:val="auto"/>
                <w:szCs w:val="17"/>
                <w:lang w:eastAsia="en-US"/>
              </w:rPr>
              <w:t xml:space="preserve">indu </w:t>
            </w:r>
            <w:r w:rsidRPr="003B32B0">
              <w:rPr>
                <w:rFonts w:asciiTheme="minorHAnsi" w:eastAsia="Times New Roman" w:hAnsiTheme="minorHAnsi"/>
                <w:iCs/>
                <w:color w:val="auto"/>
                <w:szCs w:val="17"/>
                <w:lang w:eastAsia="en-US"/>
              </w:rPr>
              <w:t>K</w:t>
            </w:r>
            <w:r w:rsidR="00A62D34">
              <w:rPr>
                <w:rFonts w:asciiTheme="minorHAnsi" w:eastAsia="Times New Roman" w:hAnsiTheme="minorHAnsi"/>
                <w:iCs/>
                <w:color w:val="auto"/>
                <w:szCs w:val="17"/>
                <w:lang w:eastAsia="en-US"/>
              </w:rPr>
              <w:t xml:space="preserve">ush </w:t>
            </w:r>
            <w:r w:rsidRPr="003B32B0">
              <w:rPr>
                <w:rFonts w:asciiTheme="minorHAnsi" w:eastAsia="Times New Roman" w:hAnsiTheme="minorHAnsi"/>
                <w:iCs/>
                <w:color w:val="auto"/>
                <w:szCs w:val="17"/>
                <w:lang w:eastAsia="en-US"/>
              </w:rPr>
              <w:t>H</w:t>
            </w:r>
            <w:r w:rsidR="00A62D34">
              <w:rPr>
                <w:rFonts w:asciiTheme="minorHAnsi" w:eastAsia="Times New Roman" w:hAnsiTheme="minorHAnsi"/>
                <w:iCs/>
                <w:color w:val="auto"/>
                <w:szCs w:val="17"/>
                <w:lang w:eastAsia="en-US"/>
              </w:rPr>
              <w:t>imalayan</w:t>
            </w:r>
            <w:r w:rsidRPr="003B32B0">
              <w:rPr>
                <w:rFonts w:asciiTheme="minorHAnsi" w:eastAsia="Times New Roman" w:hAnsiTheme="minorHAnsi"/>
                <w:iCs/>
                <w:color w:val="auto"/>
                <w:szCs w:val="17"/>
                <w:lang w:eastAsia="en-US"/>
              </w:rPr>
              <w:t xml:space="preserve"> mountain region, environments and livelihoods, was published in 2018-19, receiving global media attention and positive support from South Asian governments and donors. </w:t>
            </w:r>
          </w:p>
          <w:p w:rsidR="00E558FA" w:rsidRPr="003B32B0" w:rsidRDefault="00E558FA" w:rsidP="003B32B0">
            <w:pPr>
              <w:pStyle w:val="ListParagraph"/>
              <w:keepLines/>
              <w:numPr>
                <w:ilvl w:val="0"/>
                <w:numId w:val="15"/>
              </w:numPr>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IFC supported India to progress renewable energy generation targets, Australia was the sole financer of</w:t>
            </w:r>
            <w:r w:rsidR="00723D77">
              <w:rPr>
                <w:rFonts w:asciiTheme="minorHAnsi" w:eastAsia="Times New Roman" w:hAnsiTheme="minorHAnsi"/>
                <w:iCs/>
                <w:color w:val="auto"/>
                <w:szCs w:val="17"/>
                <w:lang w:eastAsia="en-US"/>
              </w:rPr>
              <w:t xml:space="preserve"> a new model that mobilised US$</w:t>
            </w:r>
            <w:r w:rsidRPr="003B32B0">
              <w:rPr>
                <w:rFonts w:asciiTheme="minorHAnsi" w:eastAsia="Times New Roman" w:hAnsiTheme="minorHAnsi"/>
                <w:iCs/>
                <w:color w:val="auto"/>
                <w:szCs w:val="17"/>
                <w:lang w:eastAsia="en-US"/>
              </w:rPr>
              <w:t>570 million in private investment during the reporting period.</w:t>
            </w:r>
          </w:p>
          <w:p w:rsidR="00E558FA" w:rsidRPr="003B32B0" w:rsidRDefault="00E558FA" w:rsidP="003B32B0">
            <w:pPr>
              <w:pStyle w:val="ListParagraph"/>
              <w:keepLines/>
              <w:numPr>
                <w:ilvl w:val="0"/>
                <w:numId w:val="15"/>
              </w:numPr>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Bhutan has finalised ‘Guidelines for the Development of Hydropower’ with support from SAWI (W</w:t>
            </w:r>
            <w:r w:rsidR="009A7463" w:rsidRPr="003B32B0">
              <w:rPr>
                <w:rFonts w:asciiTheme="minorHAnsi" w:eastAsia="Times New Roman" w:hAnsiTheme="minorHAnsi"/>
                <w:iCs/>
                <w:color w:val="auto"/>
                <w:szCs w:val="17"/>
                <w:lang w:eastAsia="en-US"/>
              </w:rPr>
              <w:t xml:space="preserve">orld </w:t>
            </w:r>
            <w:r w:rsidRPr="003B32B0">
              <w:rPr>
                <w:rFonts w:asciiTheme="minorHAnsi" w:eastAsia="Times New Roman" w:hAnsiTheme="minorHAnsi"/>
                <w:iCs/>
                <w:color w:val="auto"/>
                <w:szCs w:val="17"/>
                <w:lang w:eastAsia="en-US"/>
              </w:rPr>
              <w:t>B</w:t>
            </w:r>
            <w:r w:rsidR="009A7463" w:rsidRPr="003B32B0">
              <w:rPr>
                <w:rFonts w:asciiTheme="minorHAnsi" w:eastAsia="Times New Roman" w:hAnsiTheme="minorHAnsi"/>
                <w:iCs/>
                <w:color w:val="auto"/>
                <w:szCs w:val="17"/>
                <w:lang w:eastAsia="en-US"/>
              </w:rPr>
              <w:t>ank</w:t>
            </w:r>
            <w:r w:rsidRPr="003B32B0">
              <w:rPr>
                <w:rFonts w:asciiTheme="minorHAnsi" w:eastAsia="Times New Roman" w:hAnsiTheme="minorHAnsi"/>
                <w:iCs/>
                <w:color w:val="auto"/>
                <w:szCs w:val="17"/>
                <w:lang w:eastAsia="en-US"/>
              </w:rPr>
              <w:t>).</w:t>
            </w:r>
          </w:p>
          <w:p w:rsidR="00E558FA" w:rsidRPr="003B32B0" w:rsidRDefault="00E558FA" w:rsidP="003B32B0">
            <w:pPr>
              <w:pStyle w:val="ListParagraph"/>
              <w:keepLines/>
              <w:numPr>
                <w:ilvl w:val="0"/>
                <w:numId w:val="15"/>
              </w:numPr>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 xml:space="preserve">IFC’s Lighting Asia program </w:t>
            </w:r>
            <w:r w:rsidR="00F36C86">
              <w:rPr>
                <w:rFonts w:asciiTheme="minorHAnsi" w:eastAsia="Times New Roman" w:hAnsiTheme="minorHAnsi"/>
                <w:iCs/>
                <w:color w:val="auto"/>
                <w:szCs w:val="17"/>
                <w:lang w:eastAsia="en-US"/>
              </w:rPr>
              <w:t>provided</w:t>
            </w:r>
            <w:r w:rsidRPr="003B32B0">
              <w:rPr>
                <w:rFonts w:asciiTheme="minorHAnsi" w:eastAsia="Times New Roman" w:hAnsiTheme="minorHAnsi"/>
                <w:iCs/>
                <w:color w:val="auto"/>
                <w:szCs w:val="17"/>
                <w:lang w:eastAsia="en-US"/>
              </w:rPr>
              <w:t xml:space="preserve"> an additional 5.3 million people in India access to affordable off-grid solar energy lanterns.</w:t>
            </w:r>
          </w:p>
          <w:p w:rsidR="00E558FA" w:rsidRPr="003B32B0" w:rsidRDefault="001F61E9" w:rsidP="003B32B0">
            <w:pPr>
              <w:pStyle w:val="ListParagraph"/>
              <w:keepLines/>
              <w:numPr>
                <w:ilvl w:val="0"/>
                <w:numId w:val="15"/>
              </w:numPr>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CSIRO, </w:t>
            </w:r>
            <w:proofErr w:type="spellStart"/>
            <w:r>
              <w:rPr>
                <w:rFonts w:asciiTheme="minorHAnsi" w:eastAsia="Times New Roman" w:hAnsiTheme="minorHAnsi"/>
                <w:iCs/>
                <w:color w:val="auto"/>
                <w:szCs w:val="17"/>
                <w:lang w:eastAsia="en-US"/>
              </w:rPr>
              <w:t>ICE</w:t>
            </w:r>
            <w:r w:rsidR="00A62D34">
              <w:rPr>
                <w:rFonts w:asciiTheme="minorHAnsi" w:eastAsia="Times New Roman" w:hAnsiTheme="minorHAnsi"/>
                <w:iCs/>
                <w:color w:val="auto"/>
                <w:szCs w:val="17"/>
                <w:lang w:eastAsia="en-US"/>
              </w:rPr>
              <w:t>WaRM</w:t>
            </w:r>
            <w:proofErr w:type="spellEnd"/>
            <w:r w:rsidR="00A62D34">
              <w:rPr>
                <w:rFonts w:asciiTheme="minorHAnsi" w:eastAsia="Times New Roman" w:hAnsiTheme="minorHAnsi"/>
                <w:iCs/>
                <w:color w:val="auto"/>
                <w:szCs w:val="17"/>
                <w:lang w:eastAsia="en-US"/>
              </w:rPr>
              <w:t xml:space="preserve"> and ICIMOD introduced</w:t>
            </w:r>
            <w:r w:rsidR="00E558FA" w:rsidRPr="003B32B0">
              <w:rPr>
                <w:rFonts w:asciiTheme="minorHAnsi" w:eastAsia="Times New Roman" w:hAnsiTheme="minorHAnsi"/>
                <w:iCs/>
                <w:color w:val="auto"/>
                <w:szCs w:val="17"/>
                <w:lang w:eastAsia="en-US"/>
              </w:rPr>
              <w:t xml:space="preserve"> evidence-based research and training that is informing agricultural and water resource management policy making in Afghanistan, Bangladesh, Nepal, Pakistan and India. </w:t>
            </w:r>
          </w:p>
        </w:tc>
      </w:tr>
      <w:tr w:rsidR="00BE70DF" w:rsidRPr="00D26A54" w:rsidTr="001F61E9">
        <w:tc>
          <w:tcPr>
            <w:tcW w:w="780" w:type="pct"/>
            <w:tcMar>
              <w:top w:w="57" w:type="dxa"/>
              <w:bottom w:w="57" w:type="dxa"/>
            </w:tcMar>
          </w:tcPr>
          <w:p w:rsidR="00E558FA" w:rsidRPr="003B32B0" w:rsidRDefault="00E558FA" w:rsidP="00E558FA">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Increased regional connectivity through trade facilitation and infrastructure connectivity.</w:t>
            </w:r>
          </w:p>
        </w:tc>
        <w:tc>
          <w:tcPr>
            <w:tcW w:w="780" w:type="pct"/>
          </w:tcPr>
          <w:p w:rsidR="00E558FA" w:rsidRPr="003B32B0" w:rsidRDefault="00E558FA" w:rsidP="00E558FA">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Integration of gender equality and women’s economic empowerment in SARTFP activities.</w:t>
            </w:r>
          </w:p>
        </w:tc>
        <w:tc>
          <w:tcPr>
            <w:tcW w:w="470" w:type="pct"/>
            <w:shd w:val="clear" w:color="auto" w:fill="7FB64D" w:themeFill="accent3" w:themeFillShade="BF"/>
          </w:tcPr>
          <w:p w:rsidR="00E558FA" w:rsidRPr="003B32B0" w:rsidRDefault="00E558FA" w:rsidP="00E558FA">
            <w:pPr>
              <w:keepLines/>
              <w:spacing w:before="40" w:after="40" w:line="200" w:lineRule="atLeast"/>
              <w:jc w:val="center"/>
              <w:rPr>
                <w:rFonts w:asciiTheme="minorHAnsi" w:eastAsia="Times New Roman" w:hAnsiTheme="minorHAnsi"/>
                <w:iCs/>
                <w:color w:val="FFFFFF" w:themeColor="background1"/>
                <w:szCs w:val="17"/>
                <w:lang w:eastAsia="en-US"/>
              </w:rPr>
            </w:pPr>
            <w:r w:rsidRPr="003B32B0">
              <w:rPr>
                <w:rFonts w:asciiTheme="minorHAnsi" w:eastAsia="Times New Roman" w:hAnsiTheme="minorHAnsi"/>
                <w:iCs/>
                <w:color w:val="FFFFFF" w:themeColor="background1"/>
                <w:szCs w:val="17"/>
                <w:lang w:eastAsia="en-US"/>
              </w:rPr>
              <w:t>Achieved</w:t>
            </w:r>
          </w:p>
        </w:tc>
        <w:tc>
          <w:tcPr>
            <w:tcW w:w="2970" w:type="pct"/>
            <w:shd w:val="clear" w:color="auto" w:fill="FFFFFF" w:themeFill="background1"/>
          </w:tcPr>
          <w:p w:rsidR="00E558FA" w:rsidRDefault="00054344" w:rsidP="003B32B0">
            <w:pPr>
              <w:pStyle w:val="ListParagraph"/>
              <w:keepLines/>
              <w:numPr>
                <w:ilvl w:val="0"/>
                <w:numId w:val="11"/>
              </w:numPr>
              <w:shd w:val="clear" w:color="auto" w:fill="FFFFFF" w:themeFill="background1"/>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The introduction of 100 per cent</w:t>
            </w:r>
            <w:r w:rsidR="00E558FA" w:rsidRPr="003B32B0">
              <w:rPr>
                <w:rFonts w:asciiTheme="minorHAnsi" w:eastAsia="Times New Roman" w:hAnsiTheme="minorHAnsi"/>
                <w:iCs/>
                <w:color w:val="auto"/>
                <w:szCs w:val="17"/>
                <w:lang w:eastAsia="en-US"/>
              </w:rPr>
              <w:t xml:space="preserve"> gender tagging has been significant. This has driven the demand for analytical work early in design, specific gender skills during design and dialogue with government on gender equality.</w:t>
            </w:r>
          </w:p>
          <w:p w:rsidR="002E32E0" w:rsidRPr="003B32B0" w:rsidRDefault="002E32E0" w:rsidP="003B32B0">
            <w:pPr>
              <w:pStyle w:val="ListParagraph"/>
              <w:keepLines/>
              <w:numPr>
                <w:ilvl w:val="0"/>
                <w:numId w:val="11"/>
              </w:numPr>
              <w:shd w:val="clear" w:color="auto" w:fill="FFFFFF" w:themeFill="background1"/>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Areas for improvement include enhanced public diplomacy around these activities.</w:t>
            </w:r>
          </w:p>
          <w:p w:rsidR="00E558FA" w:rsidRPr="003B32B0" w:rsidRDefault="00E558FA" w:rsidP="003B32B0">
            <w:pPr>
              <w:pStyle w:val="ListParagraph"/>
              <w:keepLines/>
              <w:numPr>
                <w:ilvl w:val="0"/>
                <w:numId w:val="11"/>
              </w:numPr>
              <w:shd w:val="clear" w:color="auto" w:fill="FFFFFF" w:themeFill="background1"/>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 xml:space="preserve">In its initial phase, the Strengthening Cross-Border Value Chains Report produced new knowledge and analysis on cross-border value chains in NEI, and </w:t>
            </w:r>
            <w:r w:rsidR="00F36C86">
              <w:rPr>
                <w:rFonts w:asciiTheme="minorHAnsi" w:eastAsia="Times New Roman" w:hAnsiTheme="minorHAnsi"/>
                <w:iCs/>
                <w:color w:val="auto"/>
                <w:szCs w:val="17"/>
                <w:lang w:eastAsia="en-US"/>
              </w:rPr>
              <w:t>enhancing</w:t>
            </w:r>
            <w:r w:rsidRPr="003B32B0">
              <w:rPr>
                <w:rFonts w:asciiTheme="minorHAnsi" w:eastAsia="Times New Roman" w:hAnsiTheme="minorHAnsi"/>
                <w:iCs/>
                <w:color w:val="auto"/>
                <w:szCs w:val="17"/>
                <w:lang w:eastAsia="en-US"/>
              </w:rPr>
              <w:t xml:space="preserve"> efficient and gender-friendly infrastructure for border </w:t>
            </w:r>
            <w:proofErr w:type="spellStart"/>
            <w:r w:rsidRPr="003B32B0">
              <w:rPr>
                <w:rFonts w:asciiTheme="minorHAnsi" w:eastAsia="Times New Roman" w:hAnsiTheme="minorHAnsi"/>
                <w:iCs/>
                <w:color w:val="auto"/>
                <w:szCs w:val="17"/>
                <w:lang w:eastAsia="en-US"/>
              </w:rPr>
              <w:t>haats</w:t>
            </w:r>
            <w:proofErr w:type="spellEnd"/>
            <w:r w:rsidRPr="003B32B0">
              <w:rPr>
                <w:rFonts w:asciiTheme="minorHAnsi" w:eastAsia="Times New Roman" w:hAnsiTheme="minorHAnsi"/>
                <w:iCs/>
                <w:color w:val="auto"/>
                <w:szCs w:val="17"/>
                <w:lang w:eastAsia="en-US"/>
              </w:rPr>
              <w:t xml:space="preserve"> (official markets of small value trade between cross-border communities) along the India-Bangladesh border.</w:t>
            </w:r>
          </w:p>
          <w:p w:rsidR="00E558FA" w:rsidRPr="003B32B0" w:rsidRDefault="00E558FA" w:rsidP="003B32B0">
            <w:pPr>
              <w:pStyle w:val="ListParagraph"/>
              <w:keepLines/>
              <w:numPr>
                <w:ilvl w:val="0"/>
                <w:numId w:val="11"/>
              </w:numPr>
              <w:shd w:val="clear" w:color="auto" w:fill="FFFFFF" w:themeFill="background1"/>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The Better Tax Policies for Enhancing Economic Growth and Regional Trade activity is an example of analytical work that has enabled the Government of India to model the distributional impact of tax policies on women. The success of this work will be leveraged to create a bigger dataset, and study the broader gender implications of tax policy options.</w:t>
            </w:r>
          </w:p>
          <w:p w:rsidR="00E558FA" w:rsidRPr="003B32B0" w:rsidRDefault="003B11B8" w:rsidP="003B32B0">
            <w:pPr>
              <w:pStyle w:val="ListParagraph"/>
              <w:keepLines/>
              <w:numPr>
                <w:ilvl w:val="0"/>
                <w:numId w:val="11"/>
              </w:numPr>
              <w:shd w:val="clear" w:color="auto" w:fill="FFFFFF" w:themeFill="background1"/>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T</w:t>
            </w:r>
            <w:r w:rsidR="00E558FA" w:rsidRPr="003B32B0">
              <w:rPr>
                <w:rFonts w:asciiTheme="minorHAnsi" w:eastAsia="Times New Roman" w:hAnsiTheme="minorHAnsi"/>
                <w:iCs/>
                <w:color w:val="auto"/>
                <w:szCs w:val="17"/>
                <w:lang w:eastAsia="en-US"/>
              </w:rPr>
              <w:t xml:space="preserve">he </w:t>
            </w:r>
            <w:r w:rsidR="00E558FA" w:rsidRPr="00F36C86">
              <w:rPr>
                <w:rFonts w:asciiTheme="minorHAnsi" w:eastAsia="Times New Roman" w:hAnsiTheme="minorHAnsi"/>
                <w:i/>
                <w:iCs/>
                <w:color w:val="auto"/>
                <w:szCs w:val="17"/>
                <w:lang w:eastAsia="en-US"/>
              </w:rPr>
              <w:t>Report on Women's and Children's Risks from Enhanced Connectivity</w:t>
            </w:r>
            <w:r w:rsidR="00E558FA" w:rsidRPr="003B32B0">
              <w:rPr>
                <w:rFonts w:asciiTheme="minorHAnsi" w:eastAsia="Times New Roman" w:hAnsiTheme="minorHAnsi"/>
                <w:iCs/>
                <w:color w:val="auto"/>
                <w:szCs w:val="17"/>
                <w:lang w:eastAsia="en-US"/>
              </w:rPr>
              <w:t xml:space="preserve">, includes background studies (not yet available), practical tools and guidance notes, and the project has built the capacity of Bank staff and government counterparts to identify and address these risks.  </w:t>
            </w:r>
          </w:p>
        </w:tc>
      </w:tr>
      <w:tr w:rsidR="00BE70DF" w:rsidRPr="00D26A54" w:rsidTr="00E95063">
        <w:trPr>
          <w:trHeight w:val="633"/>
        </w:trPr>
        <w:tc>
          <w:tcPr>
            <w:tcW w:w="780" w:type="pct"/>
            <w:tcMar>
              <w:top w:w="57" w:type="dxa"/>
              <w:bottom w:w="57" w:type="dxa"/>
            </w:tcMar>
          </w:tcPr>
          <w:p w:rsidR="00E558FA" w:rsidRPr="00D26A54" w:rsidRDefault="00E558FA" w:rsidP="00E558FA">
            <w:pPr>
              <w:keepLines/>
              <w:spacing w:before="40" w:after="40" w:line="200" w:lineRule="atLeast"/>
              <w:rPr>
                <w:rFonts w:asciiTheme="minorHAnsi" w:eastAsia="Times New Roman" w:hAnsiTheme="minorHAnsi" w:cstheme="minorHAnsi"/>
                <w:iCs/>
                <w:szCs w:val="17"/>
                <w:lang w:eastAsia="en-US"/>
              </w:rPr>
            </w:pPr>
          </w:p>
        </w:tc>
        <w:tc>
          <w:tcPr>
            <w:tcW w:w="780" w:type="pct"/>
          </w:tcPr>
          <w:p w:rsidR="00E558FA" w:rsidRPr="003B32B0" w:rsidRDefault="00E558FA" w:rsidP="00E558FA">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 xml:space="preserve">Activities contribute to improvements in cross-border trade and connectivity. </w:t>
            </w:r>
          </w:p>
        </w:tc>
        <w:tc>
          <w:tcPr>
            <w:tcW w:w="470" w:type="pct"/>
            <w:shd w:val="clear" w:color="auto" w:fill="72AF50"/>
          </w:tcPr>
          <w:p w:rsidR="00E558FA" w:rsidRPr="003B32B0" w:rsidRDefault="00E558FA" w:rsidP="00E558FA">
            <w:pPr>
              <w:keepLines/>
              <w:spacing w:before="40" w:after="40" w:line="200" w:lineRule="atLeast"/>
              <w:jc w:val="center"/>
              <w:rPr>
                <w:rFonts w:asciiTheme="minorHAnsi" w:eastAsia="Times New Roman" w:hAnsiTheme="minorHAnsi"/>
                <w:iCs/>
                <w:color w:val="FFFFFF" w:themeColor="background1"/>
                <w:szCs w:val="17"/>
                <w:lang w:eastAsia="en-US"/>
              </w:rPr>
            </w:pPr>
            <w:r w:rsidRPr="003B32B0">
              <w:rPr>
                <w:rFonts w:asciiTheme="minorHAnsi" w:eastAsia="Times New Roman" w:hAnsiTheme="minorHAnsi"/>
                <w:iCs/>
                <w:color w:val="FFFFFF" w:themeColor="background1"/>
                <w:szCs w:val="17"/>
                <w:lang w:eastAsia="en-US"/>
              </w:rPr>
              <w:t>Achieved</w:t>
            </w:r>
          </w:p>
        </w:tc>
        <w:tc>
          <w:tcPr>
            <w:tcW w:w="2970" w:type="pct"/>
          </w:tcPr>
          <w:p w:rsidR="00E558FA" w:rsidRPr="003B32B0" w:rsidRDefault="00E558FA" w:rsidP="003B32B0">
            <w:pPr>
              <w:pStyle w:val="ListParagraph"/>
              <w:keepLines/>
              <w:numPr>
                <w:ilvl w:val="0"/>
                <w:numId w:val="12"/>
              </w:numPr>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 xml:space="preserve">The </w:t>
            </w:r>
            <w:r w:rsidRPr="00F36C86">
              <w:rPr>
                <w:rFonts w:asciiTheme="minorHAnsi" w:eastAsia="Times New Roman" w:hAnsiTheme="minorHAnsi"/>
                <w:i/>
                <w:iCs/>
                <w:color w:val="auto"/>
                <w:szCs w:val="17"/>
                <w:lang w:eastAsia="en-US"/>
              </w:rPr>
              <w:t>Strengthening Cross-Border Value Chains</w:t>
            </w:r>
            <w:r w:rsidRPr="003B32B0">
              <w:rPr>
                <w:rFonts w:asciiTheme="minorHAnsi" w:eastAsia="Times New Roman" w:hAnsiTheme="minorHAnsi"/>
                <w:iCs/>
                <w:color w:val="auto"/>
                <w:szCs w:val="17"/>
                <w:lang w:eastAsia="en-US"/>
              </w:rPr>
              <w:t xml:space="preserve"> report reflects the </w:t>
            </w:r>
            <w:r w:rsidR="009A7463" w:rsidRPr="003B32B0">
              <w:rPr>
                <w:rFonts w:asciiTheme="minorHAnsi" w:eastAsia="Times New Roman" w:hAnsiTheme="minorHAnsi"/>
                <w:iCs/>
                <w:color w:val="auto"/>
                <w:szCs w:val="17"/>
                <w:lang w:eastAsia="en-US"/>
              </w:rPr>
              <w:t xml:space="preserve">World </w:t>
            </w:r>
            <w:r w:rsidRPr="003B32B0">
              <w:rPr>
                <w:rFonts w:asciiTheme="minorHAnsi" w:eastAsia="Times New Roman" w:hAnsiTheme="minorHAnsi"/>
                <w:iCs/>
                <w:color w:val="auto"/>
                <w:szCs w:val="17"/>
                <w:lang w:eastAsia="en-US"/>
              </w:rPr>
              <w:t>Bank's focus on developing more efficient and gender-friendly infrastructure along the India-Bangladesh border. Through subsequent analytical and policy work (and interest in a similar project for the Pakistan-India border), the next phase of will deepen understanding of gender within government agencies and support them to implement the findings in their cross-border work.</w:t>
            </w:r>
          </w:p>
          <w:p w:rsidR="00E558FA" w:rsidRPr="003B32B0" w:rsidRDefault="00723D77" w:rsidP="003B32B0">
            <w:pPr>
              <w:pStyle w:val="ListParagraph"/>
              <w:keepLines/>
              <w:numPr>
                <w:ilvl w:val="0"/>
                <w:numId w:val="12"/>
              </w:numPr>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IFG contributed towards US$</w:t>
            </w:r>
            <w:r w:rsidR="00E558FA" w:rsidRPr="003B32B0">
              <w:rPr>
                <w:rFonts w:asciiTheme="minorHAnsi" w:eastAsia="Times New Roman" w:hAnsiTheme="minorHAnsi"/>
                <w:iCs/>
                <w:color w:val="auto"/>
                <w:szCs w:val="17"/>
                <w:lang w:eastAsia="en-US"/>
              </w:rPr>
              <w:t>2.26 billion of W</w:t>
            </w:r>
            <w:r w:rsidR="009A7463" w:rsidRPr="003B32B0">
              <w:rPr>
                <w:rFonts w:asciiTheme="minorHAnsi" w:eastAsia="Times New Roman" w:hAnsiTheme="minorHAnsi"/>
                <w:iCs/>
                <w:color w:val="auto"/>
                <w:szCs w:val="17"/>
                <w:lang w:eastAsia="en-US"/>
              </w:rPr>
              <w:t xml:space="preserve">orld </w:t>
            </w:r>
            <w:r w:rsidR="00E558FA" w:rsidRPr="003B32B0">
              <w:rPr>
                <w:rFonts w:asciiTheme="minorHAnsi" w:eastAsia="Times New Roman" w:hAnsiTheme="minorHAnsi"/>
                <w:iCs/>
                <w:color w:val="auto"/>
                <w:szCs w:val="17"/>
                <w:lang w:eastAsia="en-US"/>
              </w:rPr>
              <w:t>B</w:t>
            </w:r>
            <w:r w:rsidR="009A7463" w:rsidRPr="003B32B0">
              <w:rPr>
                <w:rFonts w:asciiTheme="minorHAnsi" w:eastAsia="Times New Roman" w:hAnsiTheme="minorHAnsi"/>
                <w:iCs/>
                <w:color w:val="auto"/>
                <w:szCs w:val="17"/>
                <w:lang w:eastAsia="en-US"/>
              </w:rPr>
              <w:t>ank</w:t>
            </w:r>
            <w:r w:rsidR="00E558FA" w:rsidRPr="003B32B0">
              <w:rPr>
                <w:rFonts w:asciiTheme="minorHAnsi" w:eastAsia="Times New Roman" w:hAnsiTheme="minorHAnsi"/>
                <w:iCs/>
                <w:color w:val="auto"/>
                <w:szCs w:val="17"/>
                <w:lang w:eastAsia="en-US"/>
              </w:rPr>
              <w:t xml:space="preserve"> investment projects in South Asia. Eastern Corridor Intermodal Transport and Logistics activity mapped trade and freight patterns of SMEs along the eastern cor</w:t>
            </w:r>
            <w:r w:rsidR="00F36C86">
              <w:rPr>
                <w:rFonts w:asciiTheme="minorHAnsi" w:eastAsia="Times New Roman" w:hAnsiTheme="minorHAnsi"/>
                <w:iCs/>
                <w:color w:val="auto"/>
                <w:szCs w:val="17"/>
                <w:lang w:eastAsia="en-US"/>
              </w:rPr>
              <w:t>ridor of India, inf</w:t>
            </w:r>
            <w:r>
              <w:rPr>
                <w:rFonts w:asciiTheme="minorHAnsi" w:eastAsia="Times New Roman" w:hAnsiTheme="minorHAnsi"/>
                <w:iCs/>
                <w:color w:val="auto"/>
                <w:szCs w:val="17"/>
                <w:lang w:eastAsia="en-US"/>
              </w:rPr>
              <w:t>orming a US$</w:t>
            </w:r>
            <w:r w:rsidR="00E558FA" w:rsidRPr="003B32B0">
              <w:rPr>
                <w:rFonts w:asciiTheme="minorHAnsi" w:eastAsia="Times New Roman" w:hAnsiTheme="minorHAnsi"/>
                <w:iCs/>
                <w:color w:val="auto"/>
                <w:szCs w:val="17"/>
                <w:lang w:eastAsia="en-US"/>
              </w:rPr>
              <w:t>40 million W</w:t>
            </w:r>
            <w:r w:rsidR="009A7463" w:rsidRPr="003B32B0">
              <w:rPr>
                <w:rFonts w:asciiTheme="minorHAnsi" w:eastAsia="Times New Roman" w:hAnsiTheme="minorHAnsi"/>
                <w:iCs/>
                <w:color w:val="auto"/>
                <w:szCs w:val="17"/>
                <w:lang w:eastAsia="en-US"/>
              </w:rPr>
              <w:t xml:space="preserve">orld </w:t>
            </w:r>
            <w:r w:rsidR="00E558FA" w:rsidRPr="003B32B0">
              <w:rPr>
                <w:rFonts w:asciiTheme="minorHAnsi" w:eastAsia="Times New Roman" w:hAnsiTheme="minorHAnsi"/>
                <w:iCs/>
                <w:color w:val="auto"/>
                <w:szCs w:val="17"/>
                <w:lang w:eastAsia="en-US"/>
              </w:rPr>
              <w:t>B</w:t>
            </w:r>
            <w:r w:rsidR="009A7463" w:rsidRPr="003B32B0">
              <w:rPr>
                <w:rFonts w:asciiTheme="minorHAnsi" w:eastAsia="Times New Roman" w:hAnsiTheme="minorHAnsi"/>
                <w:iCs/>
                <w:color w:val="auto"/>
                <w:szCs w:val="17"/>
                <w:lang w:eastAsia="en-US"/>
              </w:rPr>
              <w:t>ank</w:t>
            </w:r>
            <w:r w:rsidR="00E558FA" w:rsidRPr="003B32B0">
              <w:rPr>
                <w:rFonts w:asciiTheme="minorHAnsi" w:eastAsia="Times New Roman" w:hAnsiTheme="minorHAnsi"/>
                <w:iCs/>
                <w:color w:val="auto"/>
                <w:szCs w:val="17"/>
                <w:lang w:eastAsia="en-US"/>
              </w:rPr>
              <w:t xml:space="preserve"> project to develop the Varanasi Freight logistics hub.</w:t>
            </w:r>
          </w:p>
          <w:p w:rsidR="00E558FA" w:rsidRPr="003B32B0" w:rsidRDefault="00E558FA" w:rsidP="003B32B0">
            <w:pPr>
              <w:pStyle w:val="ListParagraph"/>
              <w:keepLines/>
              <w:numPr>
                <w:ilvl w:val="0"/>
                <w:numId w:val="12"/>
              </w:numPr>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Kolkata Urban Transport Integration strategy developed a freight demand model to improve the mobility of passengers and freight in one of the largest metropolises in India. The State Tr</w:t>
            </w:r>
            <w:r w:rsidR="00F36C86">
              <w:rPr>
                <w:rFonts w:asciiTheme="minorHAnsi" w:eastAsia="Times New Roman" w:hAnsiTheme="minorHAnsi"/>
                <w:iCs/>
                <w:color w:val="auto"/>
                <w:szCs w:val="17"/>
                <w:lang w:eastAsia="en-US"/>
              </w:rPr>
              <w:t xml:space="preserve">ansport Cooperation secured Government of India </w:t>
            </w:r>
            <w:r w:rsidRPr="003B32B0">
              <w:rPr>
                <w:rFonts w:asciiTheme="minorHAnsi" w:eastAsia="Times New Roman" w:hAnsiTheme="minorHAnsi"/>
                <w:iCs/>
                <w:color w:val="auto"/>
                <w:szCs w:val="17"/>
                <w:lang w:eastAsia="en-US"/>
              </w:rPr>
              <w:t>funding to procure 40 electric buses as a pilot project as a result of mapping work.</w:t>
            </w:r>
          </w:p>
        </w:tc>
      </w:tr>
      <w:tr w:rsidR="00BE70DF" w:rsidRPr="00D26A54" w:rsidTr="00004139">
        <w:tc>
          <w:tcPr>
            <w:tcW w:w="780" w:type="pct"/>
            <w:tcMar>
              <w:top w:w="57" w:type="dxa"/>
              <w:bottom w:w="57" w:type="dxa"/>
            </w:tcMar>
          </w:tcPr>
          <w:p w:rsidR="00E558FA" w:rsidRPr="003B32B0" w:rsidRDefault="00E558FA" w:rsidP="00E558FA">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Cross-cutting performance benchmark</w:t>
            </w:r>
            <w:r w:rsidR="00723D77">
              <w:rPr>
                <w:rFonts w:asciiTheme="minorHAnsi" w:eastAsia="Times New Roman" w:hAnsiTheme="minorHAnsi"/>
                <w:iCs/>
                <w:color w:val="auto"/>
                <w:szCs w:val="17"/>
                <w:lang w:eastAsia="en-US"/>
              </w:rPr>
              <w:t>.</w:t>
            </w:r>
          </w:p>
        </w:tc>
        <w:tc>
          <w:tcPr>
            <w:tcW w:w="780" w:type="pct"/>
          </w:tcPr>
          <w:p w:rsidR="00E558FA" w:rsidRPr="003B32B0" w:rsidRDefault="00E558FA" w:rsidP="00E558FA">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 xml:space="preserve">SDIP and SARTFP advance public diplomacy and economic diplomacy objectives. </w:t>
            </w:r>
          </w:p>
        </w:tc>
        <w:tc>
          <w:tcPr>
            <w:tcW w:w="470" w:type="pct"/>
            <w:shd w:val="clear" w:color="auto" w:fill="FF9900"/>
          </w:tcPr>
          <w:p w:rsidR="00E558FA" w:rsidRPr="003B32B0" w:rsidRDefault="00E558FA" w:rsidP="00E558FA">
            <w:pPr>
              <w:keepLines/>
              <w:spacing w:before="40" w:after="40" w:line="200" w:lineRule="atLeast"/>
              <w:jc w:val="center"/>
              <w:rPr>
                <w:rFonts w:asciiTheme="minorHAnsi" w:eastAsia="Times New Roman" w:hAnsiTheme="minorHAnsi"/>
                <w:iCs/>
                <w:color w:val="FFFFFF" w:themeColor="background1"/>
                <w:szCs w:val="17"/>
                <w:lang w:eastAsia="en-US"/>
              </w:rPr>
            </w:pPr>
            <w:r w:rsidRPr="003B32B0">
              <w:rPr>
                <w:rFonts w:asciiTheme="minorHAnsi" w:eastAsia="Times New Roman" w:hAnsiTheme="minorHAnsi"/>
                <w:iCs/>
                <w:color w:val="FFFFFF" w:themeColor="background1"/>
                <w:szCs w:val="17"/>
                <w:lang w:eastAsia="en-US"/>
              </w:rPr>
              <w:t>Partly Achieved</w:t>
            </w:r>
          </w:p>
          <w:p w:rsidR="00E558FA" w:rsidRPr="003B32B0" w:rsidRDefault="00E558FA" w:rsidP="00E558FA">
            <w:pPr>
              <w:rPr>
                <w:rFonts w:asciiTheme="minorHAnsi" w:eastAsia="Times New Roman" w:hAnsiTheme="minorHAnsi"/>
                <w:iCs/>
                <w:color w:val="FFFFFF" w:themeColor="background1"/>
                <w:szCs w:val="17"/>
                <w:lang w:eastAsia="en-US"/>
              </w:rPr>
            </w:pPr>
          </w:p>
          <w:p w:rsidR="00E558FA" w:rsidRPr="003B32B0" w:rsidRDefault="00E558FA" w:rsidP="00E558FA">
            <w:pPr>
              <w:rPr>
                <w:rFonts w:asciiTheme="minorHAnsi" w:eastAsia="Times New Roman" w:hAnsiTheme="minorHAnsi"/>
                <w:iCs/>
                <w:color w:val="FFFFFF" w:themeColor="background1"/>
                <w:szCs w:val="17"/>
                <w:lang w:eastAsia="en-US"/>
              </w:rPr>
            </w:pPr>
          </w:p>
        </w:tc>
        <w:tc>
          <w:tcPr>
            <w:tcW w:w="2970" w:type="pct"/>
          </w:tcPr>
          <w:p w:rsidR="00E558FA" w:rsidRPr="003B32B0" w:rsidRDefault="00E558FA" w:rsidP="00E558FA">
            <w:pPr>
              <w:pStyle w:val="TableTextEntries"/>
              <w:keepNext/>
              <w:rPr>
                <w:rFonts w:asciiTheme="minorHAnsi" w:hAnsiTheme="minorHAnsi" w:cstheme="minorBidi"/>
                <w:lang w:val="en-GB" w:eastAsia="en-US"/>
              </w:rPr>
            </w:pPr>
            <w:r w:rsidRPr="003B32B0">
              <w:rPr>
                <w:rFonts w:asciiTheme="minorHAnsi" w:hAnsiTheme="minorHAnsi" w:cstheme="minorBidi"/>
                <w:lang w:val="en-GB" w:eastAsia="en-US"/>
              </w:rPr>
              <w:t>SDIP advanced public diplomacy and economic diplomacy objectives, including by:</w:t>
            </w:r>
          </w:p>
          <w:p w:rsidR="00101AE6" w:rsidRPr="003B32B0" w:rsidRDefault="00101AE6" w:rsidP="006E0A6F">
            <w:pPr>
              <w:pStyle w:val="ListParagraph"/>
              <w:keepLines/>
              <w:numPr>
                <w:ilvl w:val="0"/>
                <w:numId w:val="19"/>
              </w:numPr>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Engagement by HOMs and DHOMs in multi-stakeholder dialogues. The Upper Indus Basin Network</w:t>
            </w:r>
            <w:r w:rsidR="00393158">
              <w:rPr>
                <w:rFonts w:asciiTheme="minorHAnsi" w:eastAsia="Times New Roman" w:hAnsiTheme="minorHAnsi"/>
                <w:iCs/>
                <w:color w:val="auto"/>
                <w:szCs w:val="17"/>
                <w:lang w:eastAsia="en-US"/>
              </w:rPr>
              <w:t xml:space="preserve">, led by </w:t>
            </w:r>
            <w:r w:rsidRPr="003B32B0">
              <w:rPr>
                <w:rFonts w:asciiTheme="minorHAnsi" w:eastAsia="Times New Roman" w:hAnsiTheme="minorHAnsi"/>
                <w:iCs/>
                <w:color w:val="auto"/>
                <w:szCs w:val="17"/>
                <w:lang w:eastAsia="en-US"/>
              </w:rPr>
              <w:t>ICIMOD</w:t>
            </w:r>
            <w:r w:rsidR="00393158">
              <w:rPr>
                <w:rFonts w:asciiTheme="minorHAnsi" w:eastAsia="Times New Roman" w:hAnsiTheme="minorHAnsi"/>
                <w:iCs/>
                <w:color w:val="auto"/>
                <w:szCs w:val="17"/>
                <w:lang w:eastAsia="en-US"/>
              </w:rPr>
              <w:t>,</w:t>
            </w:r>
            <w:r w:rsidRPr="003B32B0">
              <w:rPr>
                <w:rFonts w:asciiTheme="minorHAnsi" w:eastAsia="Times New Roman" w:hAnsiTheme="minorHAnsi"/>
                <w:iCs/>
                <w:color w:val="auto"/>
                <w:szCs w:val="17"/>
                <w:lang w:eastAsia="en-US"/>
              </w:rPr>
              <w:t xml:space="preserve"> is fostering science-based cooperation between Afghanistan, China, India and Pakistan on water availability.  TAF co-hosted the South Asia Power Summit, an annual platform to discuss issues facing India's power sector. It was attended by 100 of India's largest power sector companies/financiers and addressed by HOM Delhi. A side event hosted the heads of utilities and government agencies engaged in cross-border power trade in Bangladesh, Bhutan, India and Nepal.</w:t>
            </w:r>
          </w:p>
          <w:p w:rsidR="00E558FA" w:rsidRPr="003B32B0" w:rsidRDefault="00E558FA" w:rsidP="00F36C86">
            <w:pPr>
              <w:pStyle w:val="TableTextEntries"/>
              <w:keepNext/>
              <w:numPr>
                <w:ilvl w:val="0"/>
                <w:numId w:val="19"/>
              </w:numPr>
              <w:rPr>
                <w:rFonts w:asciiTheme="minorHAnsi" w:hAnsiTheme="minorHAnsi" w:cstheme="minorBidi"/>
                <w:lang w:val="en-GB" w:eastAsia="en-US"/>
              </w:rPr>
            </w:pPr>
            <w:r w:rsidRPr="003B32B0">
              <w:rPr>
                <w:rFonts w:asciiTheme="minorHAnsi" w:hAnsiTheme="minorHAnsi" w:cstheme="minorBidi"/>
                <w:lang w:val="en-GB" w:eastAsia="en-US"/>
              </w:rPr>
              <w:t xml:space="preserve">DFAT </w:t>
            </w:r>
            <w:r w:rsidR="00F36C86">
              <w:rPr>
                <w:rFonts w:asciiTheme="minorHAnsi" w:hAnsiTheme="minorHAnsi" w:cstheme="minorBidi"/>
                <w:lang w:val="en-GB" w:eastAsia="en-US"/>
              </w:rPr>
              <w:t>anticipated SARTFP would have</w:t>
            </w:r>
            <w:r w:rsidRPr="003B32B0">
              <w:rPr>
                <w:rFonts w:asciiTheme="minorHAnsi" w:hAnsiTheme="minorHAnsi" w:cstheme="minorBidi"/>
                <w:lang w:val="en-GB" w:eastAsia="en-US"/>
              </w:rPr>
              <w:t xml:space="preserve"> greater visibility in South Asia. While there were some opportunities for public diplomacy in 2018</w:t>
            </w:r>
            <w:r w:rsidR="00F36C86">
              <w:rPr>
                <w:rFonts w:asciiTheme="minorHAnsi" w:hAnsiTheme="minorHAnsi" w:cstheme="minorBidi"/>
                <w:lang w:val="en-GB" w:eastAsia="en-US"/>
              </w:rPr>
              <w:t xml:space="preserve"> these have not been </w:t>
            </w:r>
            <w:r w:rsidRPr="003B32B0">
              <w:rPr>
                <w:rFonts w:asciiTheme="minorHAnsi" w:hAnsiTheme="minorHAnsi" w:cstheme="minorBidi"/>
                <w:lang w:val="en-GB" w:eastAsia="en-US"/>
              </w:rPr>
              <w:t>strong. There have often been short lead times for events, and DFAT has not always taken up invitations when offered.</w:t>
            </w:r>
          </w:p>
        </w:tc>
      </w:tr>
    </w:tbl>
    <w:p w:rsidR="005933B0" w:rsidRPr="00880004" w:rsidRDefault="005933B0" w:rsidP="005933B0">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5933B0" w:rsidRPr="00880004" w:rsidRDefault="005933B0" w:rsidP="005933B0">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5933B0" w:rsidRPr="00880004" w:rsidRDefault="005933B0" w:rsidP="005933B0">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5933B0" w:rsidRPr="00880004" w:rsidRDefault="005933B0" w:rsidP="005933B0">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BE1BEB" w:rsidRPr="00D26A54" w:rsidRDefault="00BE1BEB" w:rsidP="00184F1E">
      <w:pPr>
        <w:rPr>
          <w:rFonts w:eastAsia="Times New Roman" w:cstheme="minorHAnsi"/>
          <w:b/>
          <w:sz w:val="24"/>
          <w:szCs w:val="24"/>
        </w:rPr>
      </w:pPr>
    </w:p>
    <w:p w:rsidR="00184F1E" w:rsidRPr="00D26A54" w:rsidRDefault="00F8189A" w:rsidP="00184F1E">
      <w:pPr>
        <w:rPr>
          <w:rFonts w:eastAsia="Times New Roman" w:cstheme="minorHAnsi"/>
          <w:sz w:val="32"/>
          <w:szCs w:val="32"/>
        </w:rPr>
      </w:pPr>
      <w:r w:rsidRPr="00D26A54">
        <w:rPr>
          <w:rFonts w:eastAsia="Times New Roman" w:cstheme="minorHAnsi"/>
          <w:sz w:val="32"/>
          <w:szCs w:val="32"/>
        </w:rPr>
        <w:t xml:space="preserve">2 </w:t>
      </w:r>
      <w:r w:rsidR="00184F1E" w:rsidRPr="00D26A54">
        <w:rPr>
          <w:rFonts w:eastAsia="Times New Roman" w:cstheme="minorHAnsi"/>
          <w:sz w:val="32"/>
          <w:szCs w:val="32"/>
        </w:rPr>
        <w:t xml:space="preserve">Performance Benchmarks for </w:t>
      </w:r>
      <w:r w:rsidRPr="00D26A54">
        <w:rPr>
          <w:rFonts w:eastAsia="Times New Roman" w:cstheme="minorHAnsi"/>
          <w:sz w:val="32"/>
          <w:szCs w:val="32"/>
        </w:rPr>
        <w:t>2019-20</w:t>
      </w:r>
    </w:p>
    <w:tbl>
      <w:tblPr>
        <w:tblStyle w:val="DFATTable"/>
        <w:tblW w:w="5484" w:type="pct"/>
        <w:tblBorders>
          <w:top w:val="none" w:sz="0" w:space="0" w:color="auto"/>
          <w:bottom w:val="none" w:sz="0" w:space="0" w:color="auto"/>
        </w:tblBorders>
        <w:tblLook w:val="04A0" w:firstRow="1" w:lastRow="0" w:firstColumn="1" w:lastColumn="0" w:noHBand="0" w:noVBand="1"/>
      </w:tblPr>
      <w:tblGrid>
        <w:gridCol w:w="2242"/>
        <w:gridCol w:w="4224"/>
        <w:gridCol w:w="3599"/>
        <w:gridCol w:w="5329"/>
      </w:tblGrid>
      <w:tr w:rsidR="00BE70DF" w:rsidRPr="00D26A54" w:rsidTr="004A01C8">
        <w:trPr>
          <w:trHeight w:val="245"/>
        </w:trPr>
        <w:tc>
          <w:tcPr>
            <w:tcW w:w="728" w:type="pct"/>
          </w:tcPr>
          <w:p w:rsidR="005B027B" w:rsidRPr="00D26A54" w:rsidRDefault="005B027B" w:rsidP="00E82EDD">
            <w:pPr>
              <w:pStyle w:val="NormalIndented"/>
              <w:rPr>
                <w:rFonts w:asciiTheme="minorHAnsi" w:hAnsiTheme="minorHAnsi" w:cstheme="minorHAnsi"/>
              </w:rPr>
            </w:pPr>
            <w:r w:rsidRPr="00D26A54">
              <w:rPr>
                <w:rFonts w:asciiTheme="minorHAnsi" w:eastAsia="Times New Roman" w:hAnsiTheme="minorHAnsi" w:cstheme="minorHAnsi"/>
                <w:b/>
                <w:iCs/>
                <w:szCs w:val="17"/>
                <w:lang w:eastAsia="en-US"/>
              </w:rPr>
              <w:t>Aid objective</w:t>
            </w:r>
          </w:p>
        </w:tc>
        <w:tc>
          <w:tcPr>
            <w:tcW w:w="1372" w:type="pct"/>
          </w:tcPr>
          <w:p w:rsidR="005B027B" w:rsidRPr="00D26A54" w:rsidRDefault="005B027B" w:rsidP="00E82EDD">
            <w:pPr>
              <w:pStyle w:val="NormalIndented"/>
              <w:rPr>
                <w:rFonts w:asciiTheme="minorHAnsi" w:hAnsiTheme="minorHAnsi" w:cstheme="minorHAnsi"/>
              </w:rPr>
            </w:pPr>
            <w:r w:rsidRPr="00D26A54">
              <w:rPr>
                <w:rFonts w:asciiTheme="minorHAnsi" w:eastAsia="Times New Roman" w:hAnsiTheme="minorHAnsi" w:cstheme="minorHAnsi"/>
                <w:b/>
                <w:iCs/>
                <w:szCs w:val="17"/>
                <w:lang w:eastAsia="en-US"/>
              </w:rPr>
              <w:t xml:space="preserve">Performance Benchmark </w:t>
            </w:r>
          </w:p>
        </w:tc>
        <w:tc>
          <w:tcPr>
            <w:tcW w:w="1169" w:type="pct"/>
            <w:hideMark/>
          </w:tcPr>
          <w:p w:rsidR="005B027B" w:rsidRPr="00D26A54" w:rsidRDefault="001B0AB5" w:rsidP="001B0AB5">
            <w:pPr>
              <w:pStyle w:val="NormalIndented"/>
              <w:ind w:left="0"/>
              <w:jc w:val="center"/>
              <w:rPr>
                <w:rFonts w:asciiTheme="minorHAnsi" w:hAnsiTheme="minorHAnsi" w:cstheme="minorHAnsi"/>
                <w:b/>
              </w:rPr>
            </w:pPr>
            <w:r w:rsidRPr="00D26A54">
              <w:rPr>
                <w:rFonts w:asciiTheme="minorHAnsi" w:hAnsiTheme="minorHAnsi" w:cstheme="minorHAnsi"/>
                <w:b/>
              </w:rPr>
              <w:t>2019-20</w:t>
            </w:r>
          </w:p>
        </w:tc>
        <w:tc>
          <w:tcPr>
            <w:tcW w:w="1731" w:type="pct"/>
            <w:hideMark/>
          </w:tcPr>
          <w:p w:rsidR="005B027B" w:rsidRPr="00D26A54" w:rsidRDefault="000A73A1" w:rsidP="000A73A1">
            <w:pPr>
              <w:pStyle w:val="NormalIndented"/>
              <w:ind w:left="33"/>
              <w:jc w:val="center"/>
              <w:rPr>
                <w:rFonts w:asciiTheme="minorHAnsi" w:hAnsiTheme="minorHAnsi" w:cstheme="minorHAnsi"/>
                <w:b/>
              </w:rPr>
            </w:pPr>
            <w:r w:rsidRPr="00D26A54">
              <w:rPr>
                <w:rFonts w:asciiTheme="minorHAnsi" w:hAnsiTheme="minorHAnsi" w:cstheme="minorHAnsi"/>
                <w:b/>
              </w:rPr>
              <w:t>2020</w:t>
            </w:r>
            <w:r w:rsidR="005B027B" w:rsidRPr="00D26A54">
              <w:rPr>
                <w:rFonts w:asciiTheme="minorHAnsi" w:hAnsiTheme="minorHAnsi" w:cstheme="minorHAnsi"/>
                <w:b/>
              </w:rPr>
              <w:t>-2</w:t>
            </w:r>
            <w:r w:rsidRPr="00D26A54">
              <w:rPr>
                <w:rFonts w:asciiTheme="minorHAnsi" w:hAnsiTheme="minorHAnsi" w:cstheme="minorHAnsi"/>
                <w:b/>
              </w:rPr>
              <w:t>1</w:t>
            </w:r>
          </w:p>
        </w:tc>
      </w:tr>
      <w:tr w:rsidR="00054344" w:rsidRPr="00D26A54" w:rsidTr="004A01C8">
        <w:trPr>
          <w:trHeight w:val="730"/>
        </w:trPr>
        <w:tc>
          <w:tcPr>
            <w:tcW w:w="728" w:type="pct"/>
          </w:tcPr>
          <w:p w:rsidR="00054344" w:rsidRPr="003B32B0" w:rsidRDefault="00054344" w:rsidP="003B32B0">
            <w:pPr>
              <w:pStyle w:val="NormalIndented"/>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Increased water, food and energy security in South Asia to facilitate economic growth and improve the livelihoods of the poor and vulnerable</w:t>
            </w:r>
            <w:r w:rsidR="00723D77">
              <w:rPr>
                <w:rFonts w:asciiTheme="minorHAnsi" w:eastAsia="Times New Roman" w:hAnsiTheme="minorHAnsi"/>
                <w:iCs/>
                <w:color w:val="auto"/>
                <w:szCs w:val="17"/>
                <w:lang w:eastAsia="en-US"/>
              </w:rPr>
              <w:t>.</w:t>
            </w:r>
          </w:p>
        </w:tc>
        <w:tc>
          <w:tcPr>
            <w:tcW w:w="1372" w:type="pct"/>
          </w:tcPr>
          <w:p w:rsidR="00054344" w:rsidRPr="003B32B0" w:rsidRDefault="00054344" w:rsidP="00054344">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Institutional capacity in data management and modelling to promote collaboration for sustainable water resource management, accommodating gender and climate change considerations</w:t>
            </w:r>
            <w:r w:rsidR="00723D77">
              <w:rPr>
                <w:rFonts w:asciiTheme="minorHAnsi" w:eastAsia="Times New Roman" w:hAnsiTheme="minorHAnsi"/>
                <w:iCs/>
                <w:color w:val="auto"/>
                <w:szCs w:val="17"/>
                <w:lang w:eastAsia="en-US"/>
              </w:rPr>
              <w:t>.</w:t>
            </w:r>
          </w:p>
        </w:tc>
        <w:tc>
          <w:tcPr>
            <w:tcW w:w="1169" w:type="pct"/>
            <w:hideMark/>
          </w:tcPr>
          <w:p w:rsidR="00054344" w:rsidRPr="002E32E0" w:rsidRDefault="00054344" w:rsidP="003B32B0">
            <w:pPr>
              <w:pStyle w:val="NormalIndented"/>
              <w:rPr>
                <w:rFonts w:asciiTheme="minorHAnsi" w:eastAsia="Times New Roman" w:hAnsiTheme="minorHAnsi"/>
                <w:iCs/>
                <w:color w:val="auto"/>
                <w:szCs w:val="17"/>
                <w:lang w:eastAsia="en-US"/>
              </w:rPr>
            </w:pPr>
            <w:r w:rsidRPr="002E32E0">
              <w:rPr>
                <w:rFonts w:asciiTheme="minorHAnsi" w:eastAsia="Times New Roman" w:hAnsiTheme="minorHAnsi"/>
                <w:iCs/>
                <w:color w:val="auto"/>
                <w:szCs w:val="17"/>
                <w:lang w:eastAsia="en-US"/>
              </w:rPr>
              <w:t>New tools and approaches for inclusive and sustainable water resource management have been collaboratively developed and endorsed by key institutions in Nepal</w:t>
            </w:r>
            <w:r w:rsidR="00723D77">
              <w:rPr>
                <w:rFonts w:asciiTheme="minorHAnsi" w:eastAsia="Times New Roman" w:hAnsiTheme="minorHAnsi"/>
                <w:iCs/>
                <w:color w:val="auto"/>
                <w:szCs w:val="17"/>
                <w:lang w:eastAsia="en-US"/>
              </w:rPr>
              <w:t>.</w:t>
            </w:r>
          </w:p>
        </w:tc>
        <w:tc>
          <w:tcPr>
            <w:tcW w:w="1731" w:type="pct"/>
            <w:hideMark/>
          </w:tcPr>
          <w:p w:rsidR="00054344" w:rsidRPr="003B32B0" w:rsidRDefault="00054344" w:rsidP="003B32B0">
            <w:pPr>
              <w:pStyle w:val="NormalIndented"/>
              <w:rPr>
                <w:rFonts w:asciiTheme="minorHAnsi" w:eastAsia="Times New Roman" w:hAnsiTheme="minorHAnsi"/>
                <w:i/>
                <w:iCs/>
                <w:color w:val="auto"/>
                <w:szCs w:val="17"/>
                <w:lang w:eastAsia="en-US"/>
              </w:rPr>
            </w:pPr>
            <w:r w:rsidRPr="003B32B0">
              <w:rPr>
                <w:rFonts w:asciiTheme="minorHAnsi" w:eastAsia="Times New Roman" w:hAnsiTheme="minorHAnsi"/>
                <w:i/>
                <w:iCs/>
                <w:color w:val="auto"/>
                <w:szCs w:val="17"/>
                <w:lang w:eastAsia="en-US"/>
              </w:rPr>
              <w:t>To be informed by the new Aid Investment Plan 2020-24</w:t>
            </w:r>
            <w:r w:rsidR="00723D77">
              <w:rPr>
                <w:rFonts w:asciiTheme="minorHAnsi" w:eastAsia="Times New Roman" w:hAnsiTheme="minorHAnsi"/>
                <w:i/>
                <w:iCs/>
                <w:color w:val="auto"/>
                <w:szCs w:val="17"/>
                <w:lang w:eastAsia="en-US"/>
              </w:rPr>
              <w:t>.</w:t>
            </w:r>
            <w:r w:rsidRPr="003B32B0">
              <w:rPr>
                <w:rFonts w:asciiTheme="minorHAnsi" w:eastAsia="Times New Roman" w:hAnsiTheme="minorHAnsi"/>
                <w:i/>
                <w:iCs/>
                <w:color w:val="auto"/>
                <w:szCs w:val="17"/>
                <w:lang w:eastAsia="en-US"/>
              </w:rPr>
              <w:t xml:space="preserve"> </w:t>
            </w:r>
          </w:p>
        </w:tc>
      </w:tr>
      <w:tr w:rsidR="00054344" w:rsidRPr="00D26A54" w:rsidTr="004A01C8">
        <w:trPr>
          <w:trHeight w:val="730"/>
        </w:trPr>
        <w:tc>
          <w:tcPr>
            <w:tcW w:w="728" w:type="pct"/>
          </w:tcPr>
          <w:p w:rsidR="00054344" w:rsidRPr="003B32B0" w:rsidRDefault="00054344" w:rsidP="00054344">
            <w:pPr>
              <w:keepLines/>
              <w:spacing w:before="40" w:after="40" w:line="200" w:lineRule="atLeast"/>
              <w:rPr>
                <w:rFonts w:asciiTheme="minorHAnsi" w:eastAsia="Times New Roman" w:hAnsiTheme="minorHAnsi"/>
                <w:iCs/>
                <w:color w:val="auto"/>
                <w:szCs w:val="17"/>
                <w:lang w:eastAsia="en-US"/>
              </w:rPr>
            </w:pPr>
          </w:p>
        </w:tc>
        <w:tc>
          <w:tcPr>
            <w:tcW w:w="1372" w:type="pct"/>
          </w:tcPr>
          <w:p w:rsidR="00054344" w:rsidRPr="003B32B0" w:rsidRDefault="00054344" w:rsidP="00054344">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Improved understanding of water-energy-food systems, and their interaction, accommodating gender and climate change considerations</w:t>
            </w:r>
            <w:r w:rsidR="00723D77">
              <w:rPr>
                <w:rFonts w:asciiTheme="minorHAnsi" w:eastAsia="Times New Roman" w:hAnsiTheme="minorHAnsi"/>
                <w:iCs/>
                <w:color w:val="auto"/>
                <w:szCs w:val="17"/>
                <w:lang w:eastAsia="en-US"/>
              </w:rPr>
              <w:t>.</w:t>
            </w:r>
            <w:r w:rsidRPr="003B32B0" w:rsidDel="00C435E7">
              <w:rPr>
                <w:rFonts w:asciiTheme="minorHAnsi" w:eastAsia="Times New Roman" w:hAnsiTheme="minorHAnsi"/>
                <w:iCs/>
                <w:color w:val="auto"/>
                <w:szCs w:val="17"/>
                <w:lang w:eastAsia="en-US"/>
              </w:rPr>
              <w:t xml:space="preserve"> </w:t>
            </w:r>
          </w:p>
        </w:tc>
        <w:tc>
          <w:tcPr>
            <w:tcW w:w="1169" w:type="pct"/>
          </w:tcPr>
          <w:p w:rsidR="00054344" w:rsidRPr="002E32E0" w:rsidRDefault="00054344" w:rsidP="003B32B0">
            <w:pPr>
              <w:pStyle w:val="NormalIndented"/>
              <w:rPr>
                <w:rFonts w:asciiTheme="minorHAnsi" w:eastAsia="Times New Roman" w:hAnsiTheme="minorHAnsi"/>
                <w:iCs/>
                <w:color w:val="auto"/>
                <w:szCs w:val="17"/>
                <w:lang w:eastAsia="en-US"/>
              </w:rPr>
            </w:pPr>
            <w:r w:rsidRPr="002E32E0">
              <w:rPr>
                <w:rFonts w:asciiTheme="minorHAnsi" w:eastAsia="Times New Roman" w:hAnsiTheme="minorHAnsi"/>
                <w:iCs/>
                <w:color w:val="auto"/>
                <w:szCs w:val="17"/>
                <w:lang w:eastAsia="en-US"/>
              </w:rPr>
              <w:t>New knowledge raises awareness of the impacts of climate change on water-energy-food security and is beginning to be incorporated into policy and practice in Pakistan</w:t>
            </w:r>
            <w:r w:rsidR="00723D77">
              <w:rPr>
                <w:rFonts w:asciiTheme="minorHAnsi" w:eastAsia="Times New Roman" w:hAnsiTheme="minorHAnsi"/>
                <w:iCs/>
                <w:color w:val="auto"/>
                <w:szCs w:val="17"/>
                <w:lang w:eastAsia="en-US"/>
              </w:rPr>
              <w:t>.</w:t>
            </w:r>
          </w:p>
        </w:tc>
        <w:tc>
          <w:tcPr>
            <w:tcW w:w="1731" w:type="pct"/>
          </w:tcPr>
          <w:p w:rsidR="00054344" w:rsidRPr="003B32B0" w:rsidRDefault="00054344" w:rsidP="003B32B0">
            <w:pPr>
              <w:pStyle w:val="NormalIndented"/>
              <w:rPr>
                <w:rFonts w:asciiTheme="minorHAnsi" w:eastAsia="Times New Roman" w:hAnsiTheme="minorHAnsi"/>
                <w:i/>
                <w:iCs/>
                <w:color w:val="auto"/>
                <w:szCs w:val="17"/>
                <w:lang w:eastAsia="en-US"/>
              </w:rPr>
            </w:pPr>
            <w:r w:rsidRPr="003B32B0">
              <w:rPr>
                <w:rFonts w:asciiTheme="minorHAnsi" w:eastAsia="Times New Roman" w:hAnsiTheme="minorHAnsi"/>
                <w:i/>
                <w:iCs/>
                <w:color w:val="auto"/>
                <w:szCs w:val="17"/>
                <w:lang w:eastAsia="en-US"/>
              </w:rPr>
              <w:t>To be informed by the new Aid Investment Plan 2020-24</w:t>
            </w:r>
            <w:r w:rsidR="00723D77">
              <w:rPr>
                <w:rFonts w:asciiTheme="minorHAnsi" w:eastAsia="Times New Roman" w:hAnsiTheme="minorHAnsi"/>
                <w:i/>
                <w:iCs/>
                <w:color w:val="auto"/>
                <w:szCs w:val="17"/>
                <w:lang w:eastAsia="en-US"/>
              </w:rPr>
              <w:t>.</w:t>
            </w:r>
            <w:r w:rsidRPr="003B32B0">
              <w:rPr>
                <w:rFonts w:asciiTheme="minorHAnsi" w:eastAsia="Times New Roman" w:hAnsiTheme="minorHAnsi"/>
                <w:i/>
                <w:iCs/>
                <w:color w:val="auto"/>
                <w:szCs w:val="17"/>
                <w:lang w:eastAsia="en-US"/>
              </w:rPr>
              <w:t xml:space="preserve"> </w:t>
            </w:r>
          </w:p>
        </w:tc>
      </w:tr>
      <w:tr w:rsidR="00054344" w:rsidRPr="00D26A54" w:rsidTr="004A01C8">
        <w:trPr>
          <w:trHeight w:val="730"/>
        </w:trPr>
        <w:tc>
          <w:tcPr>
            <w:tcW w:w="728" w:type="pct"/>
          </w:tcPr>
          <w:p w:rsidR="00054344" w:rsidRPr="003B32B0" w:rsidRDefault="00054344" w:rsidP="00054344">
            <w:pPr>
              <w:keepLines/>
              <w:spacing w:before="40" w:after="40" w:line="200" w:lineRule="atLeast"/>
              <w:rPr>
                <w:rFonts w:asciiTheme="minorHAnsi" w:eastAsia="Times New Roman" w:hAnsiTheme="minorHAnsi"/>
                <w:iCs/>
                <w:color w:val="auto"/>
                <w:szCs w:val="17"/>
                <w:lang w:eastAsia="en-US"/>
              </w:rPr>
            </w:pPr>
          </w:p>
        </w:tc>
        <w:tc>
          <w:tcPr>
            <w:tcW w:w="1372" w:type="pct"/>
          </w:tcPr>
          <w:p w:rsidR="00054344" w:rsidRPr="003B32B0" w:rsidRDefault="00054344" w:rsidP="00054344">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Development of new models and approaches to support uptake and investment in renewable energy initiatives (may include P</w:t>
            </w:r>
            <w:r w:rsidR="004A01C8">
              <w:rPr>
                <w:rFonts w:asciiTheme="minorHAnsi" w:eastAsia="Times New Roman" w:hAnsiTheme="minorHAnsi"/>
                <w:iCs/>
                <w:color w:val="auto"/>
                <w:szCs w:val="17"/>
                <w:lang w:eastAsia="en-US"/>
              </w:rPr>
              <w:t xml:space="preserve">rivate </w:t>
            </w:r>
            <w:r w:rsidRPr="003B32B0">
              <w:rPr>
                <w:rFonts w:asciiTheme="minorHAnsi" w:eastAsia="Times New Roman" w:hAnsiTheme="minorHAnsi"/>
                <w:iCs/>
                <w:color w:val="auto"/>
                <w:szCs w:val="17"/>
                <w:lang w:eastAsia="en-US"/>
              </w:rPr>
              <w:t>P</w:t>
            </w:r>
            <w:r w:rsidR="004A01C8">
              <w:rPr>
                <w:rFonts w:asciiTheme="minorHAnsi" w:eastAsia="Times New Roman" w:hAnsiTheme="minorHAnsi"/>
                <w:iCs/>
                <w:color w:val="auto"/>
                <w:szCs w:val="17"/>
                <w:lang w:eastAsia="en-US"/>
              </w:rPr>
              <w:t xml:space="preserve">ublic </w:t>
            </w:r>
            <w:r w:rsidRPr="003B32B0">
              <w:rPr>
                <w:rFonts w:asciiTheme="minorHAnsi" w:eastAsia="Times New Roman" w:hAnsiTheme="minorHAnsi"/>
                <w:iCs/>
                <w:color w:val="auto"/>
                <w:szCs w:val="17"/>
                <w:lang w:eastAsia="en-US"/>
              </w:rPr>
              <w:t>P</w:t>
            </w:r>
            <w:r w:rsidR="004A01C8">
              <w:rPr>
                <w:rFonts w:asciiTheme="minorHAnsi" w:eastAsia="Times New Roman" w:hAnsiTheme="minorHAnsi"/>
                <w:iCs/>
                <w:color w:val="auto"/>
                <w:szCs w:val="17"/>
                <w:lang w:eastAsia="en-US"/>
              </w:rPr>
              <w:t>artnership</w:t>
            </w:r>
            <w:r w:rsidRPr="003B32B0">
              <w:rPr>
                <w:rFonts w:asciiTheme="minorHAnsi" w:eastAsia="Times New Roman" w:hAnsiTheme="minorHAnsi"/>
                <w:iCs/>
                <w:color w:val="auto"/>
                <w:szCs w:val="17"/>
                <w:lang w:eastAsia="en-US"/>
              </w:rPr>
              <w:t>s</w:t>
            </w:r>
            <w:r w:rsidR="004A01C8">
              <w:rPr>
                <w:rFonts w:asciiTheme="minorHAnsi" w:eastAsia="Times New Roman" w:hAnsiTheme="minorHAnsi"/>
                <w:iCs/>
                <w:color w:val="auto"/>
                <w:szCs w:val="17"/>
                <w:lang w:eastAsia="en-US"/>
              </w:rPr>
              <w:t xml:space="preserve"> (PPPs)</w:t>
            </w:r>
            <w:r w:rsidRPr="003B32B0">
              <w:rPr>
                <w:rFonts w:asciiTheme="minorHAnsi" w:eastAsia="Times New Roman" w:hAnsiTheme="minorHAnsi"/>
                <w:iCs/>
                <w:color w:val="auto"/>
                <w:szCs w:val="17"/>
                <w:lang w:eastAsia="en-US"/>
              </w:rPr>
              <w:t>), accommodating gender and climate change considerations</w:t>
            </w:r>
            <w:r w:rsidR="00723D77">
              <w:rPr>
                <w:rFonts w:asciiTheme="minorHAnsi" w:eastAsia="Times New Roman" w:hAnsiTheme="minorHAnsi"/>
                <w:iCs/>
                <w:color w:val="auto"/>
                <w:szCs w:val="17"/>
                <w:lang w:eastAsia="en-US"/>
              </w:rPr>
              <w:t>.</w:t>
            </w:r>
            <w:r w:rsidRPr="003B32B0" w:rsidDel="00C435E7">
              <w:rPr>
                <w:rFonts w:asciiTheme="minorHAnsi" w:eastAsia="Times New Roman" w:hAnsiTheme="minorHAnsi"/>
                <w:iCs/>
                <w:color w:val="auto"/>
                <w:szCs w:val="17"/>
                <w:lang w:eastAsia="en-US"/>
              </w:rPr>
              <w:t xml:space="preserve"> </w:t>
            </w:r>
          </w:p>
        </w:tc>
        <w:tc>
          <w:tcPr>
            <w:tcW w:w="1169" w:type="pct"/>
          </w:tcPr>
          <w:p w:rsidR="00054344" w:rsidRPr="002E32E0" w:rsidRDefault="00054344" w:rsidP="003B32B0">
            <w:pPr>
              <w:pStyle w:val="NormalIndented"/>
              <w:rPr>
                <w:rFonts w:asciiTheme="minorHAnsi" w:eastAsia="Times New Roman" w:hAnsiTheme="minorHAnsi"/>
                <w:iCs/>
                <w:color w:val="auto"/>
                <w:szCs w:val="17"/>
                <w:lang w:eastAsia="en-US"/>
              </w:rPr>
            </w:pPr>
            <w:r w:rsidRPr="002E32E0">
              <w:rPr>
                <w:rFonts w:asciiTheme="minorHAnsi" w:eastAsia="Times New Roman" w:hAnsiTheme="minorHAnsi"/>
                <w:iCs/>
                <w:color w:val="auto"/>
                <w:szCs w:val="17"/>
                <w:lang w:eastAsia="en-US"/>
              </w:rPr>
              <w:t>Private sector finance is increasingly being mobilised for both large-scale grid connected and rooftop solar projects (may include PPPs) in India</w:t>
            </w:r>
            <w:r w:rsidR="00723D77">
              <w:rPr>
                <w:rFonts w:asciiTheme="minorHAnsi" w:eastAsia="Times New Roman" w:hAnsiTheme="minorHAnsi"/>
                <w:iCs/>
                <w:color w:val="auto"/>
                <w:szCs w:val="17"/>
                <w:lang w:eastAsia="en-US"/>
              </w:rPr>
              <w:t>.</w:t>
            </w:r>
          </w:p>
        </w:tc>
        <w:tc>
          <w:tcPr>
            <w:tcW w:w="1731" w:type="pct"/>
          </w:tcPr>
          <w:p w:rsidR="00054344" w:rsidRPr="003B32B0" w:rsidRDefault="00054344" w:rsidP="003B32B0">
            <w:pPr>
              <w:pStyle w:val="NormalIndented"/>
              <w:rPr>
                <w:rFonts w:asciiTheme="minorHAnsi" w:eastAsia="Times New Roman" w:hAnsiTheme="minorHAnsi"/>
                <w:i/>
                <w:iCs/>
                <w:color w:val="auto"/>
                <w:szCs w:val="17"/>
                <w:lang w:eastAsia="en-US"/>
              </w:rPr>
            </w:pPr>
            <w:r w:rsidRPr="003B32B0">
              <w:rPr>
                <w:rFonts w:asciiTheme="minorHAnsi" w:eastAsia="Times New Roman" w:hAnsiTheme="minorHAnsi"/>
                <w:i/>
                <w:iCs/>
                <w:color w:val="auto"/>
                <w:szCs w:val="17"/>
                <w:lang w:eastAsia="en-US"/>
              </w:rPr>
              <w:t>To be informed by the new Aid Investment Plan 2020-24</w:t>
            </w:r>
            <w:r w:rsidR="00723D77">
              <w:rPr>
                <w:rFonts w:asciiTheme="minorHAnsi" w:eastAsia="Times New Roman" w:hAnsiTheme="minorHAnsi"/>
                <w:i/>
                <w:iCs/>
                <w:color w:val="auto"/>
                <w:szCs w:val="17"/>
                <w:lang w:eastAsia="en-US"/>
              </w:rPr>
              <w:t>.</w:t>
            </w:r>
            <w:r w:rsidRPr="003B32B0">
              <w:rPr>
                <w:rFonts w:asciiTheme="minorHAnsi" w:eastAsia="Times New Roman" w:hAnsiTheme="minorHAnsi"/>
                <w:i/>
                <w:iCs/>
                <w:color w:val="auto"/>
                <w:szCs w:val="17"/>
                <w:lang w:eastAsia="en-US"/>
              </w:rPr>
              <w:t xml:space="preserve"> </w:t>
            </w:r>
          </w:p>
        </w:tc>
      </w:tr>
      <w:tr w:rsidR="00054344" w:rsidRPr="00D26A54" w:rsidTr="004A01C8">
        <w:trPr>
          <w:trHeight w:val="730"/>
        </w:trPr>
        <w:tc>
          <w:tcPr>
            <w:tcW w:w="728" w:type="pct"/>
          </w:tcPr>
          <w:p w:rsidR="00054344" w:rsidRPr="003B32B0" w:rsidRDefault="00054344" w:rsidP="00054344">
            <w:pPr>
              <w:keepLines/>
              <w:spacing w:before="40" w:after="40" w:line="200" w:lineRule="atLeast"/>
              <w:rPr>
                <w:rFonts w:asciiTheme="minorHAnsi" w:eastAsia="Times New Roman" w:hAnsiTheme="minorHAnsi"/>
                <w:iCs/>
                <w:color w:val="auto"/>
                <w:szCs w:val="17"/>
                <w:lang w:eastAsia="en-US"/>
              </w:rPr>
            </w:pPr>
          </w:p>
        </w:tc>
        <w:tc>
          <w:tcPr>
            <w:tcW w:w="1372" w:type="pct"/>
          </w:tcPr>
          <w:p w:rsidR="00054344" w:rsidRPr="003B32B0" w:rsidRDefault="00054344" w:rsidP="00054344">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Development of new models and approaches to support uptake and investment in resource efficiency initiatives, accommodating gender and climate change considerations</w:t>
            </w:r>
            <w:r w:rsidR="00723D77">
              <w:rPr>
                <w:rFonts w:asciiTheme="minorHAnsi" w:eastAsia="Times New Roman" w:hAnsiTheme="minorHAnsi"/>
                <w:iCs/>
                <w:color w:val="auto"/>
                <w:szCs w:val="17"/>
                <w:lang w:eastAsia="en-US"/>
              </w:rPr>
              <w:t>.</w:t>
            </w:r>
          </w:p>
        </w:tc>
        <w:tc>
          <w:tcPr>
            <w:tcW w:w="1169" w:type="pct"/>
          </w:tcPr>
          <w:p w:rsidR="00054344" w:rsidRPr="002E32E0" w:rsidRDefault="00054344" w:rsidP="003B32B0">
            <w:pPr>
              <w:pStyle w:val="NormalIndented"/>
              <w:rPr>
                <w:rFonts w:asciiTheme="minorHAnsi" w:eastAsia="Times New Roman" w:hAnsiTheme="minorHAnsi"/>
                <w:iCs/>
                <w:color w:val="auto"/>
                <w:szCs w:val="17"/>
                <w:lang w:eastAsia="en-US"/>
              </w:rPr>
            </w:pPr>
            <w:r w:rsidRPr="002E32E0">
              <w:rPr>
                <w:rFonts w:asciiTheme="minorHAnsi" w:eastAsia="Times New Roman" w:hAnsiTheme="minorHAnsi"/>
                <w:iCs/>
                <w:color w:val="auto"/>
                <w:szCs w:val="17"/>
                <w:lang w:eastAsia="en-US"/>
              </w:rPr>
              <w:t>Private firms have improved understanding and technical capacity to implement resource efficiency measures that accommodate gender and/or climate change considerations in Bangladesh</w:t>
            </w:r>
            <w:r w:rsidR="00723D77">
              <w:rPr>
                <w:rFonts w:asciiTheme="minorHAnsi" w:eastAsia="Times New Roman" w:hAnsiTheme="minorHAnsi"/>
                <w:iCs/>
                <w:color w:val="auto"/>
                <w:szCs w:val="17"/>
                <w:lang w:eastAsia="en-US"/>
              </w:rPr>
              <w:t>.</w:t>
            </w:r>
          </w:p>
          <w:p w:rsidR="00054344" w:rsidRPr="002E32E0" w:rsidRDefault="00054344" w:rsidP="003B32B0">
            <w:pPr>
              <w:pStyle w:val="NormalIndented"/>
              <w:rPr>
                <w:rFonts w:asciiTheme="minorHAnsi" w:eastAsia="Times New Roman" w:hAnsiTheme="minorHAnsi"/>
                <w:iCs/>
                <w:color w:val="auto"/>
                <w:szCs w:val="17"/>
                <w:lang w:eastAsia="en-US"/>
              </w:rPr>
            </w:pPr>
          </w:p>
        </w:tc>
        <w:tc>
          <w:tcPr>
            <w:tcW w:w="1731" w:type="pct"/>
          </w:tcPr>
          <w:p w:rsidR="00054344" w:rsidRPr="003B32B0" w:rsidRDefault="00054344" w:rsidP="003B32B0">
            <w:pPr>
              <w:pStyle w:val="NormalIndented"/>
              <w:rPr>
                <w:rFonts w:asciiTheme="minorHAnsi" w:eastAsia="Times New Roman" w:hAnsiTheme="minorHAnsi"/>
                <w:i/>
                <w:iCs/>
                <w:color w:val="auto"/>
                <w:szCs w:val="17"/>
                <w:lang w:eastAsia="en-US"/>
              </w:rPr>
            </w:pPr>
            <w:r w:rsidRPr="003B32B0">
              <w:rPr>
                <w:rFonts w:asciiTheme="minorHAnsi" w:eastAsia="Times New Roman" w:hAnsiTheme="minorHAnsi"/>
                <w:i/>
                <w:iCs/>
                <w:color w:val="auto"/>
                <w:szCs w:val="17"/>
                <w:lang w:eastAsia="en-US"/>
              </w:rPr>
              <w:t>To be informed by the new Aid Investment Plan 2020-24</w:t>
            </w:r>
            <w:r w:rsidR="00723D77">
              <w:rPr>
                <w:rFonts w:asciiTheme="minorHAnsi" w:eastAsia="Times New Roman" w:hAnsiTheme="minorHAnsi"/>
                <w:i/>
                <w:iCs/>
                <w:color w:val="auto"/>
                <w:szCs w:val="17"/>
                <w:lang w:eastAsia="en-US"/>
              </w:rPr>
              <w:t>.</w:t>
            </w:r>
            <w:r w:rsidRPr="003B32B0">
              <w:rPr>
                <w:rFonts w:asciiTheme="minorHAnsi" w:eastAsia="Times New Roman" w:hAnsiTheme="minorHAnsi"/>
                <w:i/>
                <w:iCs/>
                <w:color w:val="auto"/>
                <w:szCs w:val="17"/>
                <w:lang w:eastAsia="en-US"/>
              </w:rPr>
              <w:t xml:space="preserve"> </w:t>
            </w:r>
          </w:p>
        </w:tc>
      </w:tr>
      <w:tr w:rsidR="003B32B0" w:rsidRPr="00D26A54" w:rsidTr="004A01C8">
        <w:trPr>
          <w:trHeight w:val="730"/>
        </w:trPr>
        <w:tc>
          <w:tcPr>
            <w:tcW w:w="728" w:type="pct"/>
          </w:tcPr>
          <w:p w:rsidR="003B32B0" w:rsidRPr="003B32B0" w:rsidRDefault="003B32B0" w:rsidP="003B32B0">
            <w:pPr>
              <w:keepLines/>
              <w:spacing w:before="40" w:after="40" w:line="200" w:lineRule="atLeast"/>
              <w:rPr>
                <w:rFonts w:asciiTheme="minorHAnsi" w:eastAsia="Times New Roman" w:hAnsiTheme="minorHAnsi"/>
                <w:iCs/>
                <w:color w:val="auto"/>
                <w:szCs w:val="17"/>
                <w:lang w:eastAsia="en-US"/>
              </w:rPr>
            </w:pPr>
          </w:p>
        </w:tc>
        <w:tc>
          <w:tcPr>
            <w:tcW w:w="1372" w:type="pct"/>
          </w:tcPr>
          <w:p w:rsidR="003B32B0" w:rsidRPr="003B32B0" w:rsidRDefault="003B32B0" w:rsidP="003B32B0">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Integrated practice (proven at scale) for cross-border management of floods and other water-related disasters, accommodating gender and climate change considerations</w:t>
            </w:r>
            <w:r w:rsidR="00723D77">
              <w:rPr>
                <w:rFonts w:asciiTheme="minorHAnsi" w:eastAsia="Times New Roman" w:hAnsiTheme="minorHAnsi"/>
                <w:iCs/>
                <w:color w:val="auto"/>
                <w:szCs w:val="17"/>
                <w:lang w:eastAsia="en-US"/>
              </w:rPr>
              <w:t>.</w:t>
            </w:r>
          </w:p>
        </w:tc>
        <w:tc>
          <w:tcPr>
            <w:tcW w:w="1169" w:type="pct"/>
          </w:tcPr>
          <w:p w:rsidR="003B32B0" w:rsidRPr="002E32E0" w:rsidRDefault="003B32B0" w:rsidP="003B32B0">
            <w:pPr>
              <w:pStyle w:val="NormalIndented"/>
              <w:rPr>
                <w:rFonts w:asciiTheme="minorHAnsi" w:eastAsia="Times New Roman" w:hAnsiTheme="minorHAnsi"/>
                <w:iCs/>
                <w:color w:val="auto"/>
                <w:szCs w:val="17"/>
                <w:lang w:eastAsia="en-US"/>
              </w:rPr>
            </w:pPr>
            <w:r w:rsidRPr="002E32E0">
              <w:rPr>
                <w:rFonts w:asciiTheme="minorHAnsi" w:eastAsia="Times New Roman" w:hAnsiTheme="minorHAnsi"/>
                <w:iCs/>
                <w:color w:val="auto"/>
                <w:szCs w:val="17"/>
                <w:lang w:eastAsia="en-US"/>
              </w:rPr>
              <w:t>Gender-responsive tools and approaches for cross-border management of floods and other water-related disasters (including from the impacts of climate change) have been developed in Nepal</w:t>
            </w:r>
            <w:r w:rsidR="00723D77">
              <w:rPr>
                <w:rFonts w:asciiTheme="minorHAnsi" w:eastAsia="Times New Roman" w:hAnsiTheme="minorHAnsi"/>
                <w:iCs/>
                <w:color w:val="auto"/>
                <w:szCs w:val="17"/>
                <w:lang w:eastAsia="en-US"/>
              </w:rPr>
              <w:t>.</w:t>
            </w:r>
          </w:p>
        </w:tc>
        <w:tc>
          <w:tcPr>
            <w:tcW w:w="1731" w:type="pct"/>
          </w:tcPr>
          <w:p w:rsidR="003B32B0" w:rsidRPr="003B32B0" w:rsidRDefault="003B32B0" w:rsidP="003B32B0">
            <w:pPr>
              <w:pStyle w:val="NormalIndented"/>
              <w:rPr>
                <w:rFonts w:asciiTheme="minorHAnsi" w:eastAsia="Times New Roman" w:hAnsiTheme="minorHAnsi"/>
                <w:i/>
                <w:iCs/>
                <w:color w:val="auto"/>
                <w:szCs w:val="17"/>
                <w:lang w:eastAsia="en-US"/>
              </w:rPr>
            </w:pPr>
            <w:r w:rsidRPr="003B32B0">
              <w:rPr>
                <w:rFonts w:asciiTheme="minorHAnsi" w:eastAsia="Times New Roman" w:hAnsiTheme="minorHAnsi"/>
                <w:i/>
                <w:iCs/>
                <w:color w:val="auto"/>
                <w:szCs w:val="17"/>
                <w:lang w:eastAsia="en-US"/>
              </w:rPr>
              <w:t>To be informed by the new Aid Investment Plan 2020-24</w:t>
            </w:r>
            <w:r w:rsidR="00723D77">
              <w:rPr>
                <w:rFonts w:asciiTheme="minorHAnsi" w:eastAsia="Times New Roman" w:hAnsiTheme="minorHAnsi"/>
                <w:i/>
                <w:iCs/>
                <w:color w:val="auto"/>
                <w:szCs w:val="17"/>
                <w:lang w:eastAsia="en-US"/>
              </w:rPr>
              <w:t>.</w:t>
            </w:r>
            <w:r w:rsidRPr="003B32B0">
              <w:rPr>
                <w:rFonts w:asciiTheme="minorHAnsi" w:eastAsia="Times New Roman" w:hAnsiTheme="minorHAnsi"/>
                <w:i/>
                <w:iCs/>
                <w:color w:val="auto"/>
                <w:szCs w:val="17"/>
                <w:lang w:eastAsia="en-US"/>
              </w:rPr>
              <w:t xml:space="preserve"> </w:t>
            </w:r>
          </w:p>
        </w:tc>
      </w:tr>
      <w:tr w:rsidR="003B32B0" w:rsidRPr="00D26A54" w:rsidTr="004A01C8">
        <w:trPr>
          <w:trHeight w:val="730"/>
        </w:trPr>
        <w:tc>
          <w:tcPr>
            <w:tcW w:w="728" w:type="pct"/>
          </w:tcPr>
          <w:p w:rsidR="003B32B0" w:rsidRPr="003B32B0" w:rsidRDefault="003B32B0" w:rsidP="003B32B0">
            <w:pPr>
              <w:pStyle w:val="NormalIndented"/>
              <w:rPr>
                <w:rFonts w:asciiTheme="minorHAnsi" w:eastAsia="Times New Roman" w:hAnsiTheme="minorHAnsi"/>
                <w:iCs/>
                <w:color w:val="auto"/>
                <w:szCs w:val="17"/>
                <w:lang w:eastAsia="en-US"/>
              </w:rPr>
            </w:pPr>
          </w:p>
        </w:tc>
        <w:tc>
          <w:tcPr>
            <w:tcW w:w="1372" w:type="pct"/>
          </w:tcPr>
          <w:p w:rsidR="003B32B0" w:rsidRPr="003B32B0" w:rsidRDefault="003B32B0" w:rsidP="003B32B0">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 xml:space="preserve">Enabling environment for scaling </w:t>
            </w:r>
            <w:r w:rsidR="00266F82">
              <w:rPr>
                <w:rFonts w:asciiTheme="minorHAnsi" w:eastAsia="Times New Roman" w:hAnsiTheme="minorHAnsi"/>
                <w:iCs/>
                <w:color w:val="auto"/>
                <w:szCs w:val="17"/>
                <w:lang w:eastAsia="en-US"/>
              </w:rPr>
              <w:t xml:space="preserve">of </w:t>
            </w:r>
            <w:r w:rsidRPr="003B32B0">
              <w:rPr>
                <w:rFonts w:asciiTheme="minorHAnsi" w:eastAsia="Times New Roman" w:hAnsiTheme="minorHAnsi"/>
                <w:iCs/>
                <w:color w:val="auto"/>
                <w:szCs w:val="17"/>
                <w:lang w:eastAsia="en-US"/>
              </w:rPr>
              <w:t>sustainable food systems in the Eastern Gangetic Plains, accommodating gender and climate change considerations</w:t>
            </w:r>
            <w:r w:rsidR="00723D77">
              <w:rPr>
                <w:rFonts w:asciiTheme="minorHAnsi" w:eastAsia="Times New Roman" w:hAnsiTheme="minorHAnsi"/>
                <w:iCs/>
                <w:color w:val="auto"/>
                <w:szCs w:val="17"/>
                <w:lang w:eastAsia="en-US"/>
              </w:rPr>
              <w:t>.</w:t>
            </w:r>
          </w:p>
        </w:tc>
        <w:tc>
          <w:tcPr>
            <w:tcW w:w="1169" w:type="pct"/>
          </w:tcPr>
          <w:p w:rsidR="003B32B0" w:rsidRPr="002E32E0" w:rsidRDefault="003B32B0" w:rsidP="00A62D34">
            <w:pPr>
              <w:pStyle w:val="NormalIndented"/>
              <w:rPr>
                <w:rFonts w:asciiTheme="minorHAnsi" w:eastAsia="Times New Roman" w:hAnsiTheme="minorHAnsi"/>
                <w:iCs/>
                <w:color w:val="auto"/>
                <w:szCs w:val="17"/>
                <w:lang w:eastAsia="en-US"/>
              </w:rPr>
            </w:pPr>
            <w:r w:rsidRPr="002E32E0">
              <w:rPr>
                <w:rFonts w:asciiTheme="minorHAnsi" w:eastAsia="Times New Roman" w:hAnsiTheme="minorHAnsi"/>
                <w:iCs/>
                <w:color w:val="auto"/>
                <w:szCs w:val="17"/>
                <w:lang w:eastAsia="en-US"/>
              </w:rPr>
              <w:t>Small-holder farmers (</w:t>
            </w:r>
            <w:r w:rsidR="00A62D34">
              <w:rPr>
                <w:rFonts w:asciiTheme="minorHAnsi" w:eastAsia="Times New Roman" w:hAnsiTheme="minorHAnsi"/>
                <w:iCs/>
                <w:color w:val="auto"/>
                <w:szCs w:val="17"/>
                <w:lang w:eastAsia="en-US"/>
              </w:rPr>
              <w:t>25 per cent women</w:t>
            </w:r>
            <w:r w:rsidRPr="002E32E0">
              <w:rPr>
                <w:rFonts w:asciiTheme="minorHAnsi" w:eastAsia="Times New Roman" w:hAnsiTheme="minorHAnsi"/>
                <w:iCs/>
                <w:color w:val="auto"/>
                <w:szCs w:val="17"/>
                <w:lang w:eastAsia="en-US"/>
              </w:rPr>
              <w:t>) utilising sustainable agricultural practices (including CASI) to increase resource efficiency and improve climate resilience in the Eastern Gangetic Plains</w:t>
            </w:r>
            <w:r w:rsidR="00723D77">
              <w:rPr>
                <w:rFonts w:asciiTheme="minorHAnsi" w:eastAsia="Times New Roman" w:hAnsiTheme="minorHAnsi"/>
                <w:iCs/>
                <w:color w:val="auto"/>
                <w:szCs w:val="17"/>
                <w:lang w:eastAsia="en-US"/>
              </w:rPr>
              <w:t>.</w:t>
            </w:r>
          </w:p>
        </w:tc>
        <w:tc>
          <w:tcPr>
            <w:tcW w:w="1731" w:type="pct"/>
          </w:tcPr>
          <w:p w:rsidR="003B32B0" w:rsidRPr="003B32B0" w:rsidRDefault="003B32B0" w:rsidP="003B32B0">
            <w:pPr>
              <w:pStyle w:val="NormalIndented"/>
              <w:rPr>
                <w:rFonts w:asciiTheme="minorHAnsi" w:eastAsia="Times New Roman" w:hAnsiTheme="minorHAnsi"/>
                <w:i/>
                <w:iCs/>
                <w:color w:val="auto"/>
                <w:szCs w:val="17"/>
                <w:lang w:eastAsia="en-US"/>
              </w:rPr>
            </w:pPr>
            <w:r w:rsidRPr="003B32B0">
              <w:rPr>
                <w:rFonts w:asciiTheme="minorHAnsi" w:eastAsia="Times New Roman" w:hAnsiTheme="minorHAnsi"/>
                <w:i/>
                <w:iCs/>
                <w:color w:val="auto"/>
                <w:szCs w:val="17"/>
                <w:lang w:eastAsia="en-US"/>
              </w:rPr>
              <w:t>To be informed by the new Aid Investment Plan 2020-24</w:t>
            </w:r>
            <w:r w:rsidR="00723D77">
              <w:rPr>
                <w:rFonts w:asciiTheme="minorHAnsi" w:eastAsia="Times New Roman" w:hAnsiTheme="minorHAnsi"/>
                <w:i/>
                <w:iCs/>
                <w:color w:val="auto"/>
                <w:szCs w:val="17"/>
                <w:lang w:eastAsia="en-US"/>
              </w:rPr>
              <w:t>.</w:t>
            </w:r>
            <w:r w:rsidRPr="003B32B0">
              <w:rPr>
                <w:rFonts w:asciiTheme="minorHAnsi" w:eastAsia="Times New Roman" w:hAnsiTheme="minorHAnsi"/>
                <w:i/>
                <w:iCs/>
                <w:color w:val="auto"/>
                <w:szCs w:val="17"/>
                <w:lang w:eastAsia="en-US"/>
              </w:rPr>
              <w:t xml:space="preserve"> </w:t>
            </w:r>
          </w:p>
        </w:tc>
      </w:tr>
      <w:tr w:rsidR="003B32B0" w:rsidRPr="00D26A54" w:rsidTr="004A01C8">
        <w:trPr>
          <w:trHeight w:val="455"/>
        </w:trPr>
        <w:tc>
          <w:tcPr>
            <w:tcW w:w="728" w:type="pct"/>
          </w:tcPr>
          <w:p w:rsidR="003B32B0" w:rsidRPr="003B32B0" w:rsidRDefault="003B32B0" w:rsidP="003B32B0">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Increased regional connectivity through trade facilitation and infrastructure connectivity</w:t>
            </w:r>
            <w:r w:rsidR="00723D77">
              <w:rPr>
                <w:rFonts w:asciiTheme="minorHAnsi" w:eastAsia="Times New Roman" w:hAnsiTheme="minorHAnsi"/>
                <w:iCs/>
                <w:color w:val="auto"/>
                <w:szCs w:val="17"/>
                <w:lang w:eastAsia="en-US"/>
              </w:rPr>
              <w:t>.</w:t>
            </w:r>
          </w:p>
        </w:tc>
        <w:tc>
          <w:tcPr>
            <w:tcW w:w="1372" w:type="pct"/>
          </w:tcPr>
          <w:p w:rsidR="003B32B0" w:rsidRPr="003B32B0" w:rsidRDefault="003B32B0" w:rsidP="003B32B0">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New technical knowledge and approaches generated by IFG strengthen the quality of the development and implementation of Government of India’s transport projects.</w:t>
            </w:r>
          </w:p>
          <w:p w:rsidR="003B32B0" w:rsidRPr="003B32B0" w:rsidRDefault="003B32B0" w:rsidP="003B32B0">
            <w:pPr>
              <w:keepLines/>
              <w:spacing w:before="40" w:after="40" w:line="200" w:lineRule="atLeast"/>
              <w:rPr>
                <w:rFonts w:asciiTheme="minorHAnsi" w:eastAsia="Times New Roman" w:hAnsiTheme="minorHAnsi"/>
                <w:iCs/>
                <w:color w:val="auto"/>
                <w:szCs w:val="17"/>
                <w:lang w:eastAsia="en-US"/>
              </w:rPr>
            </w:pPr>
          </w:p>
        </w:tc>
        <w:tc>
          <w:tcPr>
            <w:tcW w:w="1169" w:type="pct"/>
          </w:tcPr>
          <w:p w:rsidR="003B32B0" w:rsidRPr="002E32E0" w:rsidRDefault="003B32B0" w:rsidP="003B32B0">
            <w:pPr>
              <w:pStyle w:val="NormalIndented"/>
              <w:rPr>
                <w:rFonts w:asciiTheme="minorHAnsi" w:eastAsia="Times New Roman" w:hAnsiTheme="minorHAnsi"/>
                <w:iCs/>
                <w:color w:val="auto"/>
                <w:szCs w:val="17"/>
                <w:lang w:eastAsia="en-US"/>
              </w:rPr>
            </w:pPr>
            <w:r w:rsidRPr="002E32E0">
              <w:rPr>
                <w:rFonts w:asciiTheme="minorHAnsi" w:eastAsia="Times New Roman" w:hAnsiTheme="minorHAnsi"/>
                <w:iCs/>
                <w:color w:val="auto"/>
                <w:szCs w:val="17"/>
                <w:lang w:eastAsia="en-US"/>
              </w:rPr>
              <w:t>New knowledge and approaches adopted by Government of India to strengthen transport projects and policies</w:t>
            </w:r>
            <w:r w:rsidR="00723D77">
              <w:rPr>
                <w:rFonts w:asciiTheme="minorHAnsi" w:eastAsia="Times New Roman" w:hAnsiTheme="minorHAnsi"/>
                <w:iCs/>
                <w:color w:val="auto"/>
                <w:szCs w:val="17"/>
                <w:lang w:eastAsia="en-US"/>
              </w:rPr>
              <w:t>.</w:t>
            </w:r>
          </w:p>
        </w:tc>
        <w:tc>
          <w:tcPr>
            <w:tcW w:w="1731" w:type="pct"/>
          </w:tcPr>
          <w:p w:rsidR="003B32B0" w:rsidRPr="002E32E0" w:rsidRDefault="003B32B0" w:rsidP="002E32E0">
            <w:pPr>
              <w:pStyle w:val="NormalIndented"/>
              <w:rPr>
                <w:rFonts w:asciiTheme="minorHAnsi" w:eastAsia="Times New Roman" w:hAnsiTheme="minorHAnsi"/>
                <w:iCs/>
                <w:color w:val="auto"/>
                <w:szCs w:val="17"/>
                <w:lang w:eastAsia="en-US"/>
              </w:rPr>
            </w:pPr>
            <w:r w:rsidRPr="002E32E0">
              <w:rPr>
                <w:rFonts w:asciiTheme="minorHAnsi" w:eastAsia="Times New Roman" w:hAnsiTheme="minorHAnsi"/>
                <w:iCs/>
                <w:color w:val="auto"/>
                <w:szCs w:val="17"/>
                <w:lang w:eastAsia="en-US"/>
              </w:rPr>
              <w:t>A positive assessment of concluding programs, and full d</w:t>
            </w:r>
            <w:r w:rsidR="002E32E0">
              <w:rPr>
                <w:rFonts w:asciiTheme="minorHAnsi" w:eastAsia="Times New Roman" w:hAnsiTheme="minorHAnsi"/>
                <w:iCs/>
                <w:color w:val="auto"/>
                <w:szCs w:val="17"/>
                <w:lang w:eastAsia="en-US"/>
              </w:rPr>
              <w:t>isbursement</w:t>
            </w:r>
            <w:r w:rsidRPr="002E32E0">
              <w:rPr>
                <w:rFonts w:asciiTheme="minorHAnsi" w:eastAsia="Times New Roman" w:hAnsiTheme="minorHAnsi"/>
                <w:iCs/>
                <w:color w:val="auto"/>
                <w:szCs w:val="17"/>
                <w:lang w:eastAsia="en-US"/>
              </w:rPr>
              <w:t xml:space="preserve"> of funds by the World Bank is on track for closing in 2020-21.</w:t>
            </w:r>
          </w:p>
        </w:tc>
      </w:tr>
      <w:tr w:rsidR="003B32B0" w:rsidRPr="00D26A54" w:rsidTr="004A01C8">
        <w:trPr>
          <w:trHeight w:val="1018"/>
        </w:trPr>
        <w:tc>
          <w:tcPr>
            <w:tcW w:w="728" w:type="pct"/>
          </w:tcPr>
          <w:p w:rsidR="003B32B0" w:rsidRPr="003B32B0" w:rsidRDefault="003B32B0" w:rsidP="003B32B0">
            <w:pPr>
              <w:pStyle w:val="NormalIndented"/>
              <w:rPr>
                <w:rFonts w:asciiTheme="minorHAnsi" w:eastAsia="Times New Roman" w:hAnsiTheme="minorHAnsi"/>
                <w:iCs/>
                <w:color w:val="auto"/>
                <w:szCs w:val="17"/>
                <w:lang w:eastAsia="en-US"/>
              </w:rPr>
            </w:pPr>
          </w:p>
        </w:tc>
        <w:tc>
          <w:tcPr>
            <w:tcW w:w="1372" w:type="pct"/>
          </w:tcPr>
          <w:p w:rsidR="003B32B0" w:rsidRPr="003B32B0" w:rsidRDefault="003B32B0" w:rsidP="003B32B0">
            <w:pPr>
              <w:keepLines/>
              <w:spacing w:before="40" w:after="40" w:line="200" w:lineRule="atLeast"/>
              <w:rPr>
                <w:rFonts w:asciiTheme="minorHAnsi" w:eastAsia="Times New Roman" w:hAnsiTheme="minorHAnsi"/>
                <w:iCs/>
                <w:color w:val="auto"/>
                <w:szCs w:val="17"/>
                <w:lang w:eastAsia="en-US"/>
              </w:rPr>
            </w:pPr>
            <w:r w:rsidRPr="003B32B0">
              <w:rPr>
                <w:rFonts w:asciiTheme="minorHAnsi" w:eastAsia="Times New Roman" w:hAnsiTheme="minorHAnsi"/>
                <w:iCs/>
                <w:color w:val="auto"/>
                <w:szCs w:val="17"/>
                <w:lang w:eastAsia="en-US"/>
              </w:rPr>
              <w:t xml:space="preserve">SARTFP analysis contributes to improved inland waterway connectivity across India and Bangladesh with increased benefits to women. </w:t>
            </w:r>
          </w:p>
        </w:tc>
        <w:tc>
          <w:tcPr>
            <w:tcW w:w="1169" w:type="pct"/>
          </w:tcPr>
          <w:p w:rsidR="003B32B0" w:rsidRPr="002E32E0" w:rsidRDefault="003B32B0" w:rsidP="003B32B0">
            <w:pPr>
              <w:pStyle w:val="NormalIndented"/>
              <w:rPr>
                <w:rFonts w:asciiTheme="minorHAnsi" w:eastAsia="Times New Roman" w:hAnsiTheme="minorHAnsi"/>
                <w:iCs/>
                <w:color w:val="auto"/>
                <w:szCs w:val="17"/>
                <w:lang w:eastAsia="en-US"/>
              </w:rPr>
            </w:pPr>
            <w:r w:rsidRPr="002E32E0">
              <w:rPr>
                <w:rFonts w:asciiTheme="minorHAnsi" w:eastAsia="Times New Roman" w:hAnsiTheme="minorHAnsi"/>
                <w:iCs/>
                <w:color w:val="auto"/>
                <w:szCs w:val="17"/>
                <w:lang w:eastAsia="en-US"/>
              </w:rPr>
              <w:t>Knowledge generated influences the World Bank to integrate gender in its larger inland waterways projects with the Governments of India and Bangladesh</w:t>
            </w:r>
            <w:r w:rsidR="00723D77">
              <w:rPr>
                <w:rFonts w:asciiTheme="minorHAnsi" w:eastAsia="Times New Roman" w:hAnsiTheme="minorHAnsi"/>
                <w:iCs/>
                <w:color w:val="auto"/>
                <w:szCs w:val="17"/>
                <w:lang w:eastAsia="en-US"/>
              </w:rPr>
              <w:t>.</w:t>
            </w:r>
          </w:p>
        </w:tc>
        <w:tc>
          <w:tcPr>
            <w:tcW w:w="1731" w:type="pct"/>
          </w:tcPr>
          <w:p w:rsidR="003B32B0" w:rsidRPr="002E32E0" w:rsidRDefault="003B32B0" w:rsidP="00A62D34">
            <w:pPr>
              <w:pStyle w:val="NormalIndented"/>
              <w:rPr>
                <w:rFonts w:asciiTheme="minorHAnsi" w:eastAsia="Times New Roman" w:hAnsiTheme="minorHAnsi"/>
                <w:iCs/>
                <w:color w:val="auto"/>
                <w:szCs w:val="17"/>
                <w:lang w:eastAsia="en-US"/>
              </w:rPr>
            </w:pPr>
            <w:r w:rsidRPr="002E32E0">
              <w:rPr>
                <w:rFonts w:asciiTheme="minorHAnsi" w:eastAsia="Times New Roman" w:hAnsiTheme="minorHAnsi"/>
                <w:iCs/>
                <w:color w:val="auto"/>
                <w:szCs w:val="17"/>
                <w:lang w:eastAsia="en-US"/>
              </w:rPr>
              <w:t>IFG and SAR</w:t>
            </w:r>
            <w:r w:rsidR="00A62D34">
              <w:rPr>
                <w:rFonts w:asciiTheme="minorHAnsi" w:eastAsia="Times New Roman" w:hAnsiTheme="minorHAnsi"/>
                <w:iCs/>
                <w:color w:val="auto"/>
                <w:szCs w:val="17"/>
                <w:lang w:eastAsia="en-US"/>
              </w:rPr>
              <w:t>TFP have reached 100 per cent</w:t>
            </w:r>
            <w:r w:rsidR="00C1694D">
              <w:rPr>
                <w:rFonts w:asciiTheme="minorHAnsi" w:eastAsia="Times New Roman" w:hAnsiTheme="minorHAnsi"/>
                <w:iCs/>
                <w:color w:val="auto"/>
                <w:szCs w:val="17"/>
                <w:lang w:eastAsia="en-US"/>
              </w:rPr>
              <w:t xml:space="preserve"> disbursemen</w:t>
            </w:r>
            <w:r w:rsidRPr="002E32E0">
              <w:rPr>
                <w:rFonts w:asciiTheme="minorHAnsi" w:eastAsia="Times New Roman" w:hAnsiTheme="minorHAnsi"/>
                <w:iCs/>
                <w:color w:val="auto"/>
                <w:szCs w:val="17"/>
                <w:lang w:eastAsia="en-US"/>
              </w:rPr>
              <w:t xml:space="preserve">t and learnings have been built into the finalised </w:t>
            </w:r>
            <w:r w:rsidR="00A62D34">
              <w:rPr>
                <w:rFonts w:asciiTheme="minorHAnsi" w:eastAsia="Times New Roman" w:hAnsiTheme="minorHAnsi"/>
                <w:iCs/>
                <w:color w:val="auto"/>
                <w:szCs w:val="17"/>
                <w:lang w:eastAsia="en-US"/>
              </w:rPr>
              <w:t xml:space="preserve">SARIC </w:t>
            </w:r>
            <w:r w:rsidRPr="002E32E0">
              <w:rPr>
                <w:rFonts w:asciiTheme="minorHAnsi" w:eastAsia="Times New Roman" w:hAnsiTheme="minorHAnsi"/>
                <w:iCs/>
                <w:color w:val="auto"/>
                <w:szCs w:val="17"/>
                <w:lang w:eastAsia="en-US"/>
              </w:rPr>
              <w:t xml:space="preserve">Program design, for which implementation has commenced. </w:t>
            </w:r>
          </w:p>
        </w:tc>
      </w:tr>
    </w:tbl>
    <w:p w:rsidR="00AF1B85" w:rsidRPr="00D26A54" w:rsidRDefault="00184F1E" w:rsidP="00BB648A">
      <w:pPr>
        <w:pStyle w:val="Subtitle"/>
        <w:spacing w:before="360" w:after="120" w:line="300" w:lineRule="exact"/>
        <w:rPr>
          <w:rFonts w:cstheme="minorHAnsi"/>
        </w:rPr>
      </w:pPr>
      <w:r w:rsidRPr="00D26A54">
        <w:rPr>
          <w:rFonts w:cstheme="minorHAnsi"/>
        </w:rPr>
        <w:br w:type="page"/>
      </w:r>
      <w:r w:rsidR="00AF1B85" w:rsidRPr="00D26A54">
        <w:rPr>
          <w:rFonts w:cstheme="minorHAnsi"/>
        </w:rPr>
        <w:t xml:space="preserve">Annex </w:t>
      </w:r>
      <w:r w:rsidRPr="00D26A54">
        <w:rPr>
          <w:rFonts w:cstheme="minorHAnsi"/>
        </w:rPr>
        <w:t>C</w:t>
      </w:r>
      <w:r w:rsidR="00AF1B85" w:rsidRPr="00D26A54">
        <w:rPr>
          <w:rFonts w:cstheme="minorHAnsi"/>
        </w:rPr>
        <w:t xml:space="preserve"> - Evaluation Planning</w:t>
      </w:r>
    </w:p>
    <w:p w:rsidR="00AF1B85" w:rsidRPr="00D26A54" w:rsidRDefault="00EF26B5" w:rsidP="007A13AE">
      <w:pPr>
        <w:spacing w:before="360"/>
        <w:rPr>
          <w:rFonts w:eastAsiaTheme="majorEastAsia" w:cstheme="minorHAnsi"/>
          <w:caps/>
          <w:sz w:val="36"/>
          <w:szCs w:val="36"/>
        </w:rPr>
      </w:pPr>
      <w:r w:rsidRPr="00D26A54">
        <w:rPr>
          <w:rFonts w:eastAsiaTheme="majorEastAsia" w:cstheme="minorHAnsi"/>
          <w:caps/>
          <w:sz w:val="36"/>
          <w:szCs w:val="36"/>
        </w:rPr>
        <w:t xml:space="preserve">1 </w:t>
      </w:r>
      <w:r w:rsidR="00AF1B85" w:rsidRPr="00D26A54">
        <w:rPr>
          <w:rFonts w:eastAsiaTheme="majorEastAsia" w:cstheme="minorHAnsi"/>
          <w:caps/>
          <w:sz w:val="36"/>
          <w:szCs w:val="36"/>
        </w:rPr>
        <w:t xml:space="preserve">List of evaluations completed in the reporting period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3693"/>
        <w:gridCol w:w="1425"/>
        <w:gridCol w:w="1981"/>
        <w:gridCol w:w="1699"/>
        <w:gridCol w:w="2407"/>
      </w:tblGrid>
      <w:tr w:rsidR="00BE70DF" w:rsidRPr="00D26A54" w:rsidTr="00E01E9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D26A54" w:rsidRDefault="00AF1B85" w:rsidP="00D15A00">
            <w:pPr>
              <w:keepLines/>
              <w:spacing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 xml:space="preserve">Investment number and name </w:t>
            </w:r>
          </w:p>
          <w:p w:rsidR="00AF1B85" w:rsidRPr="00D26A54" w:rsidRDefault="00AF1B85" w:rsidP="00D15A00">
            <w:pPr>
              <w:keepLines/>
              <w:spacing w:line="200" w:lineRule="atLeast"/>
              <w:rPr>
                <w:rFonts w:asciiTheme="minorHAnsi" w:eastAsia="Times New Roman" w:hAnsiTheme="minorHAnsi" w:cstheme="minorHAnsi"/>
                <w:b w:val="0"/>
                <w:iCs/>
                <w:szCs w:val="17"/>
                <w:lang w:eastAsia="en-US"/>
              </w:rPr>
            </w:pPr>
            <w:r w:rsidRPr="00D26A54">
              <w:rPr>
                <w:rFonts w:asciiTheme="minorHAnsi" w:eastAsia="Times New Roman" w:hAnsiTheme="minorHAnsi" w:cstheme="minorHAnsi"/>
                <w:iCs/>
                <w:szCs w:val="17"/>
                <w:lang w:eastAsia="en-US"/>
              </w:rPr>
              <w:t xml:space="preserve">(if applicable) </w:t>
            </w:r>
          </w:p>
        </w:tc>
        <w:tc>
          <w:tcPr>
            <w:tcW w:w="3665" w:type="dxa"/>
          </w:tcPr>
          <w:p w:rsidR="00AF1B85" w:rsidRPr="00D26A54" w:rsidRDefault="00AF1B85" w:rsidP="00D15A00">
            <w:pPr>
              <w:keepLines/>
              <w:spacing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Name of evaluation</w:t>
            </w:r>
          </w:p>
        </w:tc>
        <w:tc>
          <w:tcPr>
            <w:tcW w:w="1397" w:type="dxa"/>
          </w:tcPr>
          <w:p w:rsidR="00AF1B85" w:rsidRPr="00D26A54" w:rsidRDefault="00AF1B85" w:rsidP="00D15A00">
            <w:pPr>
              <w:keepLines/>
              <w:spacing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Date completed</w:t>
            </w:r>
          </w:p>
        </w:tc>
        <w:tc>
          <w:tcPr>
            <w:tcW w:w="1953" w:type="dxa"/>
          </w:tcPr>
          <w:p w:rsidR="00AF1B85" w:rsidRPr="00D26A54" w:rsidRDefault="00AF1B85" w:rsidP="00D15A00">
            <w:pPr>
              <w:keepLines/>
              <w:spacing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Date Evaluation report Uploaded into AidWorks</w:t>
            </w:r>
          </w:p>
        </w:tc>
        <w:tc>
          <w:tcPr>
            <w:tcW w:w="1671" w:type="dxa"/>
          </w:tcPr>
          <w:p w:rsidR="00AF1B85" w:rsidRPr="00D26A54" w:rsidRDefault="00AF1B85" w:rsidP="00D15A00">
            <w:pPr>
              <w:keepLines/>
              <w:spacing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Date Management response uploaded into AidWorks</w:t>
            </w:r>
          </w:p>
        </w:tc>
        <w:tc>
          <w:tcPr>
            <w:tcW w:w="2365" w:type="dxa"/>
          </w:tcPr>
          <w:p w:rsidR="00AF1B85" w:rsidRPr="00D26A54" w:rsidRDefault="00AF1B85" w:rsidP="00D15A00">
            <w:pPr>
              <w:keepLines/>
              <w:spacing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Published on website</w:t>
            </w:r>
          </w:p>
        </w:tc>
      </w:tr>
      <w:tr w:rsidR="00BE70DF" w:rsidRPr="00D26A54" w:rsidTr="00E01E95">
        <w:trPr>
          <w:cnfStyle w:val="100000000000" w:firstRow="1" w:lastRow="0" w:firstColumn="0" w:lastColumn="0" w:oddVBand="0" w:evenVBand="0" w:oddHBand="0" w:evenHBand="0" w:firstRowFirstColumn="0" w:firstRowLastColumn="0" w:lastRowFirstColumn="0" w:lastRowLastColumn="0"/>
        </w:trPr>
        <w:tc>
          <w:tcPr>
            <w:tcW w:w="3064" w:type="dxa"/>
          </w:tcPr>
          <w:p w:rsidR="000C1351" w:rsidRPr="00D26A54" w:rsidRDefault="000C1351" w:rsidP="000C1351">
            <w:pPr>
              <w:keepLines/>
              <w:spacing w:before="40" w:after="40" w:line="200" w:lineRule="atLeast"/>
              <w:rPr>
                <w:rFonts w:asciiTheme="minorHAnsi" w:eastAsia="Times New Roman" w:hAnsiTheme="minorHAnsi" w:cstheme="minorHAnsi"/>
                <w:b w:val="0"/>
                <w:iCs/>
                <w:szCs w:val="17"/>
                <w:lang w:eastAsia="en-US"/>
              </w:rPr>
            </w:pPr>
            <w:r w:rsidRPr="00D26A54">
              <w:rPr>
                <w:rFonts w:asciiTheme="minorHAnsi" w:eastAsia="Times New Roman" w:hAnsiTheme="minorHAnsi" w:cstheme="minorHAnsi"/>
                <w:b w:val="0"/>
                <w:iCs/>
                <w:szCs w:val="17"/>
                <w:lang w:eastAsia="en-US"/>
              </w:rPr>
              <w:t>INL093 Trade Facilitation and Infrastructure</w:t>
            </w:r>
          </w:p>
        </w:tc>
        <w:tc>
          <w:tcPr>
            <w:tcW w:w="3665" w:type="dxa"/>
          </w:tcPr>
          <w:p w:rsidR="000C1351" w:rsidRPr="00D26A54" w:rsidRDefault="000C1351" w:rsidP="000C1351">
            <w:pPr>
              <w:keepLines/>
              <w:spacing w:before="40" w:after="40" w:line="200" w:lineRule="atLeast"/>
              <w:rPr>
                <w:rFonts w:asciiTheme="minorHAnsi" w:eastAsia="Times New Roman" w:hAnsiTheme="minorHAnsi" w:cstheme="minorHAnsi"/>
                <w:b w:val="0"/>
                <w:iCs/>
                <w:szCs w:val="17"/>
                <w:lang w:eastAsia="en-US"/>
              </w:rPr>
            </w:pPr>
            <w:r w:rsidRPr="00D26A54">
              <w:rPr>
                <w:rFonts w:asciiTheme="minorHAnsi" w:eastAsia="Times New Roman" w:hAnsiTheme="minorHAnsi" w:cstheme="minorHAnsi"/>
                <w:b w:val="0"/>
                <w:iCs/>
                <w:szCs w:val="17"/>
                <w:lang w:eastAsia="en-US"/>
              </w:rPr>
              <w:t>Independent Evaluation of Regional Connectivity Programs – IFG and SARTFP</w:t>
            </w:r>
          </w:p>
        </w:tc>
        <w:tc>
          <w:tcPr>
            <w:tcW w:w="1397" w:type="dxa"/>
          </w:tcPr>
          <w:p w:rsidR="000C1351" w:rsidRPr="00D26A54" w:rsidRDefault="000C1351" w:rsidP="000C1351">
            <w:pPr>
              <w:keepLines/>
              <w:spacing w:before="40" w:after="40" w:line="200" w:lineRule="atLeast"/>
              <w:rPr>
                <w:rFonts w:asciiTheme="minorHAnsi" w:eastAsia="Times New Roman" w:hAnsiTheme="minorHAnsi" w:cstheme="minorHAnsi"/>
                <w:b w:val="0"/>
                <w:iCs/>
                <w:szCs w:val="17"/>
                <w:lang w:eastAsia="en-US"/>
              </w:rPr>
            </w:pPr>
            <w:r w:rsidRPr="00D26A54">
              <w:rPr>
                <w:rFonts w:asciiTheme="minorHAnsi" w:eastAsia="Times New Roman" w:hAnsiTheme="minorHAnsi" w:cstheme="minorHAnsi"/>
                <w:b w:val="0"/>
                <w:iCs/>
                <w:szCs w:val="17"/>
                <w:lang w:eastAsia="en-US"/>
              </w:rPr>
              <w:t>July 2018</w:t>
            </w:r>
          </w:p>
        </w:tc>
        <w:tc>
          <w:tcPr>
            <w:tcW w:w="1953" w:type="dxa"/>
          </w:tcPr>
          <w:p w:rsidR="000C1351" w:rsidRPr="00D26A54" w:rsidRDefault="000C1351" w:rsidP="000C1351">
            <w:pPr>
              <w:keepLines/>
              <w:spacing w:before="40" w:after="40" w:line="200" w:lineRule="atLeast"/>
              <w:rPr>
                <w:rFonts w:asciiTheme="minorHAnsi" w:eastAsia="Times New Roman" w:hAnsiTheme="minorHAnsi" w:cstheme="minorHAnsi"/>
                <w:b w:val="0"/>
                <w:iCs/>
                <w:szCs w:val="17"/>
                <w:lang w:eastAsia="en-US"/>
              </w:rPr>
            </w:pPr>
            <w:r w:rsidRPr="00D26A54">
              <w:rPr>
                <w:rFonts w:asciiTheme="minorHAnsi" w:eastAsia="Times New Roman" w:hAnsiTheme="minorHAnsi" w:cstheme="minorHAnsi"/>
                <w:b w:val="0"/>
                <w:iCs/>
                <w:szCs w:val="17"/>
                <w:lang w:eastAsia="en-US"/>
              </w:rPr>
              <w:t>30 July 2018</w:t>
            </w:r>
          </w:p>
        </w:tc>
        <w:tc>
          <w:tcPr>
            <w:tcW w:w="1671" w:type="dxa"/>
          </w:tcPr>
          <w:p w:rsidR="000C1351" w:rsidRPr="00D26A54" w:rsidRDefault="000C1351" w:rsidP="000C1351">
            <w:pPr>
              <w:keepLines/>
              <w:spacing w:before="40" w:after="40" w:line="200" w:lineRule="atLeast"/>
              <w:rPr>
                <w:rFonts w:asciiTheme="minorHAnsi" w:eastAsia="Times New Roman" w:hAnsiTheme="minorHAnsi" w:cstheme="minorHAnsi"/>
                <w:b w:val="0"/>
                <w:iCs/>
                <w:szCs w:val="17"/>
                <w:lang w:eastAsia="en-US"/>
              </w:rPr>
            </w:pPr>
            <w:r w:rsidRPr="00D26A54">
              <w:rPr>
                <w:rFonts w:asciiTheme="minorHAnsi" w:eastAsia="Times New Roman" w:hAnsiTheme="minorHAnsi" w:cstheme="minorHAnsi"/>
                <w:b w:val="0"/>
                <w:iCs/>
                <w:szCs w:val="17"/>
                <w:lang w:eastAsia="en-US"/>
              </w:rPr>
              <w:t>30 July 2018</w:t>
            </w:r>
          </w:p>
        </w:tc>
        <w:tc>
          <w:tcPr>
            <w:tcW w:w="2365" w:type="dxa"/>
          </w:tcPr>
          <w:p w:rsidR="000C1351" w:rsidRPr="00D26A54" w:rsidRDefault="000C1351" w:rsidP="000C1351">
            <w:pPr>
              <w:keepLines/>
              <w:spacing w:before="40" w:after="40" w:line="200" w:lineRule="atLeast"/>
              <w:rPr>
                <w:rFonts w:asciiTheme="minorHAnsi" w:eastAsia="Times New Roman" w:hAnsiTheme="minorHAnsi" w:cstheme="minorHAnsi"/>
                <w:b w:val="0"/>
                <w:iCs/>
                <w:szCs w:val="17"/>
                <w:lang w:eastAsia="en-US"/>
              </w:rPr>
            </w:pPr>
            <w:r w:rsidRPr="00D26A54">
              <w:rPr>
                <w:rFonts w:asciiTheme="minorHAnsi" w:eastAsia="Times New Roman" w:hAnsiTheme="minorHAnsi" w:cstheme="minorHAnsi"/>
                <w:b w:val="0"/>
                <w:iCs/>
                <w:szCs w:val="17"/>
                <w:lang w:eastAsia="en-US"/>
              </w:rPr>
              <w:t>30 July 2018</w:t>
            </w:r>
          </w:p>
        </w:tc>
      </w:tr>
    </w:tbl>
    <w:p w:rsidR="00AF1B85" w:rsidRPr="00D26A54" w:rsidRDefault="00EF26B5" w:rsidP="007A13AE">
      <w:pPr>
        <w:spacing w:before="360"/>
        <w:rPr>
          <w:rFonts w:eastAsiaTheme="majorEastAsia" w:cstheme="minorHAnsi"/>
          <w:caps/>
          <w:sz w:val="36"/>
          <w:szCs w:val="36"/>
        </w:rPr>
      </w:pPr>
      <w:r w:rsidRPr="00D26A54">
        <w:rPr>
          <w:rFonts w:eastAsiaTheme="majorEastAsia" w:cstheme="minorHAnsi"/>
          <w:caps/>
          <w:sz w:val="36"/>
          <w:szCs w:val="36"/>
        </w:rPr>
        <w:t xml:space="preserve">2 </w:t>
      </w:r>
      <w:r w:rsidR="00AF1B85" w:rsidRPr="00D26A54">
        <w:rPr>
          <w:rFonts w:eastAsiaTheme="majorEastAsia" w:cstheme="minorHAnsi"/>
          <w:caps/>
          <w:sz w:val="36"/>
          <w:szCs w:val="36"/>
        </w:rPr>
        <w:t xml:space="preserve">List of program prioritised evaluations planned for the next 12 months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86"/>
        <w:gridCol w:w="2384"/>
        <w:gridCol w:w="2070"/>
        <w:gridCol w:w="2236"/>
        <w:gridCol w:w="2353"/>
        <w:gridCol w:w="2782"/>
      </w:tblGrid>
      <w:tr w:rsidR="00BE70DF" w:rsidRPr="00D26A54" w:rsidTr="00E01E95">
        <w:tc>
          <w:tcPr>
            <w:tcW w:w="2444" w:type="dxa"/>
          </w:tcPr>
          <w:p w:rsidR="00AF1B85" w:rsidRPr="00D26A54" w:rsidRDefault="00AF1B85" w:rsidP="00D15A00">
            <w:pPr>
              <w:keepLines/>
              <w:spacing w:before="80" w:after="80" w:line="200" w:lineRule="atLeast"/>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Evaluation title</w:t>
            </w:r>
          </w:p>
        </w:tc>
        <w:tc>
          <w:tcPr>
            <w:tcW w:w="2356" w:type="dxa"/>
          </w:tcPr>
          <w:p w:rsidR="00AF1B85" w:rsidRPr="00D26A54" w:rsidRDefault="00AF1B85" w:rsidP="00D15A00">
            <w:pPr>
              <w:keepLines/>
              <w:spacing w:before="80" w:after="80" w:line="200" w:lineRule="atLeast"/>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 xml:space="preserve">Investment number and name (if applicable) </w:t>
            </w:r>
          </w:p>
        </w:tc>
        <w:tc>
          <w:tcPr>
            <w:tcW w:w="2042" w:type="dxa"/>
          </w:tcPr>
          <w:p w:rsidR="00AF1B85" w:rsidRPr="00D26A54" w:rsidRDefault="00AF1B85" w:rsidP="00D15A00">
            <w:pPr>
              <w:keepLines/>
              <w:spacing w:before="80" w:after="80" w:line="200" w:lineRule="atLeast"/>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Date – planned commencement (month/year)</w:t>
            </w:r>
          </w:p>
        </w:tc>
        <w:tc>
          <w:tcPr>
            <w:tcW w:w="2208" w:type="dxa"/>
          </w:tcPr>
          <w:p w:rsidR="00AF1B85" w:rsidRPr="00D26A54" w:rsidRDefault="00AF1B85" w:rsidP="00D15A00">
            <w:pPr>
              <w:keepLines/>
              <w:spacing w:before="80" w:after="80" w:line="200" w:lineRule="atLeast"/>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Date – planned completion (month/year)</w:t>
            </w:r>
          </w:p>
        </w:tc>
        <w:tc>
          <w:tcPr>
            <w:tcW w:w="2325" w:type="dxa"/>
          </w:tcPr>
          <w:p w:rsidR="00AF1B85" w:rsidRPr="00D26A54" w:rsidRDefault="00AF1B85" w:rsidP="00D15A00">
            <w:pPr>
              <w:keepLines/>
              <w:spacing w:before="80" w:after="80" w:line="200" w:lineRule="atLeast"/>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Purpose of evaluation</w:t>
            </w:r>
          </w:p>
        </w:tc>
        <w:tc>
          <w:tcPr>
            <w:tcW w:w="2740" w:type="dxa"/>
          </w:tcPr>
          <w:p w:rsidR="00AF1B85" w:rsidRPr="00D26A54" w:rsidRDefault="00AF1B85" w:rsidP="00D15A00">
            <w:pPr>
              <w:keepLines/>
              <w:spacing w:before="80" w:after="80" w:line="200" w:lineRule="atLeast"/>
              <w:rPr>
                <w:rFonts w:asciiTheme="minorHAnsi" w:eastAsia="Times New Roman" w:hAnsiTheme="minorHAnsi" w:cstheme="minorHAnsi"/>
                <w:b/>
                <w:iCs/>
                <w:szCs w:val="17"/>
                <w:lang w:eastAsia="en-US"/>
              </w:rPr>
            </w:pPr>
            <w:r w:rsidRPr="00D26A54">
              <w:rPr>
                <w:rFonts w:asciiTheme="minorHAnsi" w:eastAsia="Times New Roman" w:hAnsiTheme="minorHAnsi" w:cstheme="minorHAnsi"/>
                <w:b/>
                <w:iCs/>
                <w:szCs w:val="17"/>
                <w:lang w:eastAsia="en-US"/>
              </w:rPr>
              <w:t>Evaluation type</w:t>
            </w:r>
          </w:p>
        </w:tc>
      </w:tr>
      <w:tr w:rsidR="00BE70DF" w:rsidRPr="00D26A54" w:rsidTr="00E01E95">
        <w:tc>
          <w:tcPr>
            <w:tcW w:w="2444" w:type="dxa"/>
          </w:tcPr>
          <w:p w:rsidR="00D34211" w:rsidRPr="00D26A54" w:rsidRDefault="00D34211" w:rsidP="00D34211">
            <w:pPr>
              <w:keepLines/>
              <w:spacing w:before="40" w:after="40"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Independent evaluation of the Sustainable Development Investment Portfolio</w:t>
            </w:r>
          </w:p>
        </w:tc>
        <w:tc>
          <w:tcPr>
            <w:tcW w:w="2356" w:type="dxa"/>
          </w:tcPr>
          <w:p w:rsidR="00D34211" w:rsidRPr="00D26A54" w:rsidRDefault="00D34211" w:rsidP="00D34211">
            <w:pPr>
              <w:keepLines/>
              <w:spacing w:before="40" w:after="40"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INL594 Sustainable Development Investment Portfolio</w:t>
            </w:r>
          </w:p>
        </w:tc>
        <w:tc>
          <w:tcPr>
            <w:tcW w:w="2042" w:type="dxa"/>
          </w:tcPr>
          <w:p w:rsidR="00D34211" w:rsidRPr="00D26A54" w:rsidRDefault="00D34211" w:rsidP="00D34211">
            <w:pPr>
              <w:keepLines/>
              <w:spacing w:before="40" w:after="40"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June 2019</w:t>
            </w:r>
          </w:p>
        </w:tc>
        <w:tc>
          <w:tcPr>
            <w:tcW w:w="2208" w:type="dxa"/>
          </w:tcPr>
          <w:p w:rsidR="00D34211" w:rsidRPr="00D26A54" w:rsidRDefault="00D34211" w:rsidP="00D34211">
            <w:pPr>
              <w:keepLines/>
              <w:spacing w:before="40" w:after="40"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December 2019</w:t>
            </w:r>
          </w:p>
        </w:tc>
        <w:tc>
          <w:tcPr>
            <w:tcW w:w="2325" w:type="dxa"/>
          </w:tcPr>
          <w:p w:rsidR="00D34211" w:rsidRPr="00D26A54" w:rsidRDefault="00D34211" w:rsidP="00D34211">
            <w:pPr>
              <w:keepLines/>
              <w:spacing w:before="40" w:after="40"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Performance of the SDIP program to inform future investments</w:t>
            </w:r>
          </w:p>
        </w:tc>
        <w:tc>
          <w:tcPr>
            <w:tcW w:w="2740" w:type="dxa"/>
          </w:tcPr>
          <w:p w:rsidR="00D34211" w:rsidRPr="00D26A54" w:rsidRDefault="00D34211" w:rsidP="00D34211">
            <w:pPr>
              <w:keepLines/>
              <w:spacing w:before="40" w:after="40" w:line="200" w:lineRule="atLeast"/>
              <w:rPr>
                <w:rFonts w:asciiTheme="minorHAnsi" w:eastAsia="Times New Roman" w:hAnsiTheme="minorHAnsi" w:cstheme="minorHAnsi"/>
                <w:iCs/>
                <w:szCs w:val="17"/>
                <w:lang w:eastAsia="en-US"/>
              </w:rPr>
            </w:pPr>
            <w:r w:rsidRPr="00D26A54">
              <w:rPr>
                <w:rFonts w:asciiTheme="minorHAnsi" w:eastAsia="Times New Roman" w:hAnsiTheme="minorHAnsi" w:cstheme="minorHAnsi"/>
                <w:iCs/>
                <w:szCs w:val="17"/>
                <w:lang w:eastAsia="en-US"/>
              </w:rPr>
              <w:t>Independent evaluation</w:t>
            </w:r>
          </w:p>
        </w:tc>
      </w:tr>
    </w:tbl>
    <w:p w:rsidR="0059146A" w:rsidRPr="00D26A54" w:rsidRDefault="0059146A" w:rsidP="005B5769">
      <w:pPr>
        <w:pStyle w:val="ListBullet"/>
        <w:tabs>
          <w:tab w:val="clear" w:pos="284"/>
        </w:tabs>
        <w:rPr>
          <w:rFonts w:asciiTheme="minorHAnsi" w:hAnsiTheme="minorHAnsi" w:cstheme="minorHAnsi"/>
          <w:color w:val="495965" w:themeColor="text2"/>
        </w:rPr>
      </w:pPr>
    </w:p>
    <w:p w:rsidR="0059146A" w:rsidRPr="00D26A54" w:rsidRDefault="0059146A" w:rsidP="005B5769">
      <w:pPr>
        <w:pStyle w:val="ListBullet"/>
        <w:tabs>
          <w:tab w:val="clear" w:pos="284"/>
        </w:tabs>
        <w:rPr>
          <w:rFonts w:asciiTheme="minorHAnsi" w:hAnsiTheme="minorHAnsi" w:cstheme="minorHAnsi"/>
          <w:color w:val="495965" w:themeColor="text2"/>
        </w:rPr>
      </w:pPr>
    </w:p>
    <w:p w:rsidR="005E606B" w:rsidRPr="00D26A54" w:rsidRDefault="005E606B" w:rsidP="005B5769">
      <w:pPr>
        <w:pStyle w:val="ListBullet"/>
        <w:tabs>
          <w:tab w:val="clear" w:pos="284"/>
        </w:tabs>
        <w:rPr>
          <w:rFonts w:asciiTheme="minorHAnsi" w:hAnsiTheme="minorHAnsi" w:cstheme="minorHAnsi"/>
          <w:color w:val="495965" w:themeColor="text2"/>
        </w:rPr>
        <w:sectPr w:rsidR="005E606B" w:rsidRPr="00D26A54" w:rsidSect="00D2653F">
          <w:headerReference w:type="default" r:id="rId45"/>
          <w:headerReference w:type="first" r:id="rId46"/>
          <w:pgSz w:w="16838" w:h="11906" w:orient="landscape" w:code="9"/>
          <w:pgMar w:top="1134" w:right="1952" w:bottom="1134" w:left="851" w:header="1107" w:footer="567" w:gutter="0"/>
          <w:cols w:space="397"/>
          <w:docGrid w:linePitch="360"/>
        </w:sectPr>
      </w:pPr>
    </w:p>
    <w:p w:rsidR="0059146A" w:rsidRPr="00D26A54" w:rsidRDefault="0059146A" w:rsidP="005B5769">
      <w:pPr>
        <w:pStyle w:val="ListBullet"/>
        <w:tabs>
          <w:tab w:val="clear" w:pos="284"/>
        </w:tabs>
        <w:rPr>
          <w:rFonts w:asciiTheme="minorHAnsi" w:hAnsiTheme="minorHAnsi" w:cstheme="minorHAnsi"/>
          <w:color w:val="495965" w:themeColor="text2"/>
        </w:rPr>
      </w:pPr>
    </w:p>
    <w:p w:rsidR="009E1C23" w:rsidRPr="00D26A54" w:rsidRDefault="005E606B" w:rsidP="009E1C23">
      <w:pPr>
        <w:pStyle w:val="Subtitle"/>
        <w:spacing w:before="360" w:after="120" w:line="300" w:lineRule="exact"/>
        <w:rPr>
          <w:rFonts w:cstheme="minorHAnsi"/>
        </w:rPr>
      </w:pPr>
      <w:r w:rsidRPr="00D26A54">
        <w:rPr>
          <w:rFonts w:cstheme="minorHAnsi"/>
        </w:rPr>
        <w:t xml:space="preserve">Annex </w:t>
      </w:r>
      <w:r w:rsidR="00184F1E" w:rsidRPr="00D26A54">
        <w:rPr>
          <w:rFonts w:cstheme="minorHAnsi"/>
        </w:rPr>
        <w:t>D</w:t>
      </w:r>
      <w:r w:rsidRPr="00D26A54">
        <w:rPr>
          <w:rFonts w:cstheme="minorHAnsi"/>
        </w:rPr>
        <w:t xml:space="preserve"> - Aid Quality Check ratings</w:t>
      </w:r>
    </w:p>
    <w:p w:rsidR="009E1C23" w:rsidRPr="00D26A54" w:rsidRDefault="009E1C23" w:rsidP="009E1C23">
      <w:pPr>
        <w:pStyle w:val="Subtitle"/>
        <w:spacing w:before="360" w:after="120" w:line="300" w:lineRule="exact"/>
        <w:rPr>
          <w:rFonts w:cstheme="minorHAnsi"/>
        </w:rPr>
      </w:pPr>
      <w:r w:rsidRPr="00D26A54">
        <w:rPr>
          <w:rFonts w:cstheme="minorHAnsi"/>
          <w:szCs w:val="26"/>
        </w:rPr>
        <w:t>AQC ratings</w:t>
      </w:r>
    </w:p>
    <w:p w:rsidR="009E1C23" w:rsidRPr="00D26A54" w:rsidRDefault="009E1C23" w:rsidP="009E1C23">
      <w:pPr>
        <w:rPr>
          <w:rFonts w:cstheme="minorHAnsi"/>
        </w:rPr>
      </w:pPr>
      <w:r w:rsidRPr="00D26A54">
        <w:rPr>
          <w:rFonts w:cstheme="minorHAnsi"/>
        </w:rPr>
        <w:t>AQC investment performance over the previous 12 months and where available last year’s AQC ratings.</w:t>
      </w:r>
    </w:p>
    <w:tbl>
      <w:tblPr>
        <w:tblW w:w="9520" w:type="dxa"/>
        <w:tblLook w:val="04A0" w:firstRow="1" w:lastRow="0" w:firstColumn="1" w:lastColumn="0" w:noHBand="0" w:noVBand="1"/>
      </w:tblPr>
      <w:tblGrid>
        <w:gridCol w:w="2560"/>
        <w:gridCol w:w="960"/>
        <w:gridCol w:w="1158"/>
        <w:gridCol w:w="522"/>
        <w:gridCol w:w="720"/>
        <w:gridCol w:w="720"/>
        <w:gridCol w:w="720"/>
        <w:gridCol w:w="720"/>
        <w:gridCol w:w="720"/>
        <w:gridCol w:w="720"/>
      </w:tblGrid>
      <w:tr w:rsidR="00BE70DF" w:rsidRPr="00D26A54" w:rsidTr="008B6DAC">
        <w:trPr>
          <w:trHeight w:val="1290"/>
        </w:trPr>
        <w:tc>
          <w:tcPr>
            <w:tcW w:w="2560" w:type="dxa"/>
            <w:tcBorders>
              <w:top w:val="single" w:sz="12" w:space="0" w:color="000000"/>
              <w:left w:val="nil"/>
              <w:bottom w:val="single" w:sz="8" w:space="0" w:color="auto"/>
              <w:right w:val="nil"/>
            </w:tcBorders>
            <w:shd w:val="clear" w:color="auto" w:fill="auto"/>
            <w:vAlign w:val="center"/>
            <w:hideMark/>
          </w:tcPr>
          <w:p w:rsidR="009E1C23" w:rsidRPr="00D26A54" w:rsidRDefault="009E1C23" w:rsidP="008B6DAC">
            <w:pPr>
              <w:suppressAutoHyphens w:val="0"/>
              <w:spacing w:before="0" w:after="0" w:line="240" w:lineRule="auto"/>
              <w:rPr>
                <w:rFonts w:eastAsia="Times New Roman" w:cstheme="minorHAnsi"/>
                <w:b/>
                <w:bCs/>
                <w:sz w:val="17"/>
                <w:szCs w:val="17"/>
                <w:lang w:val="en-AU" w:eastAsia="en-AU"/>
              </w:rPr>
            </w:pPr>
            <w:r w:rsidRPr="00D26A54">
              <w:rPr>
                <w:rFonts w:eastAsia="Times New Roman" w:cstheme="minorHAnsi"/>
                <w:b/>
                <w:bCs/>
                <w:iCs/>
                <w:noProof/>
                <w:sz w:val="17"/>
                <w:szCs w:val="17"/>
                <w:lang w:val="en-AU" w:eastAsia="en-AU"/>
              </w:rPr>
              <w:drawing>
                <wp:anchor distT="0" distB="0" distL="114300" distR="114300" simplePos="0" relativeHeight="251684864" behindDoc="0" locked="0" layoutInCell="1" allowOverlap="1" wp14:anchorId="266E1C33" wp14:editId="693C9695">
                  <wp:simplePos x="0" y="0"/>
                  <wp:positionH relativeFrom="column">
                    <wp:posOffset>0</wp:posOffset>
                  </wp:positionH>
                  <wp:positionV relativeFrom="paragraph">
                    <wp:posOffset>0</wp:posOffset>
                  </wp:positionV>
                  <wp:extent cx="2867025" cy="228600"/>
                  <wp:effectExtent l="0" t="0" r="0" b="0"/>
                  <wp:wrapNone/>
                  <wp:docPr id="1" name="Picture 1"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26A54">
              <w:rPr>
                <w:rFonts w:eastAsia="Times New Roman" w:cstheme="minorHAnsi"/>
                <w:b/>
                <w:bCs/>
                <w:iCs/>
                <w:sz w:val="17"/>
                <w:szCs w:val="17"/>
                <w:lang w:eastAsia="en-AU"/>
              </w:rPr>
              <w:t>Investment name</w:t>
            </w:r>
          </w:p>
        </w:tc>
        <w:tc>
          <w:tcPr>
            <w:tcW w:w="960" w:type="dxa"/>
            <w:tcBorders>
              <w:top w:val="single" w:sz="12" w:space="0" w:color="000000"/>
              <w:left w:val="nil"/>
              <w:bottom w:val="single" w:sz="8" w:space="0" w:color="auto"/>
              <w:right w:val="nil"/>
            </w:tcBorders>
            <w:shd w:val="clear" w:color="auto" w:fill="auto"/>
            <w:vAlign w:val="center"/>
            <w:hideMark/>
          </w:tcPr>
          <w:p w:rsidR="009E1C23" w:rsidRPr="00D26A54" w:rsidRDefault="009E1C23" w:rsidP="008B6DAC">
            <w:pPr>
              <w:suppressAutoHyphens w:val="0"/>
              <w:spacing w:before="0" w:after="0" w:line="240" w:lineRule="auto"/>
              <w:jc w:val="center"/>
              <w:rPr>
                <w:rFonts w:eastAsia="Times New Roman" w:cstheme="minorHAnsi"/>
                <w:b/>
                <w:bCs/>
                <w:sz w:val="17"/>
                <w:szCs w:val="17"/>
                <w:lang w:val="en-AU" w:eastAsia="en-AU"/>
              </w:rPr>
            </w:pPr>
            <w:r w:rsidRPr="00D26A54">
              <w:rPr>
                <w:rFonts w:eastAsia="Times New Roman" w:cstheme="minorHAnsi"/>
                <w:b/>
                <w:bCs/>
                <w:iCs/>
                <w:sz w:val="17"/>
                <w:szCs w:val="17"/>
                <w:lang w:eastAsia="en-AU"/>
              </w:rPr>
              <w:t>Approved budget and duration</w:t>
            </w:r>
          </w:p>
        </w:tc>
        <w:tc>
          <w:tcPr>
            <w:tcW w:w="1158" w:type="dxa"/>
            <w:tcBorders>
              <w:top w:val="single" w:sz="12" w:space="0" w:color="000000"/>
              <w:left w:val="nil"/>
              <w:bottom w:val="single" w:sz="8" w:space="0" w:color="auto"/>
              <w:right w:val="nil"/>
            </w:tcBorders>
            <w:shd w:val="clear" w:color="auto" w:fill="auto"/>
            <w:vAlign w:val="center"/>
            <w:hideMark/>
          </w:tcPr>
          <w:p w:rsidR="009E1C23" w:rsidRPr="00D26A54" w:rsidRDefault="009E1C23" w:rsidP="008B6DAC">
            <w:pPr>
              <w:suppressAutoHyphens w:val="0"/>
              <w:spacing w:before="0" w:after="0" w:line="240" w:lineRule="auto"/>
              <w:jc w:val="center"/>
              <w:rPr>
                <w:rFonts w:eastAsia="Times New Roman" w:cstheme="minorHAnsi"/>
                <w:b/>
                <w:bCs/>
                <w:sz w:val="17"/>
                <w:szCs w:val="17"/>
                <w:lang w:val="en-AU" w:eastAsia="en-AU"/>
              </w:rPr>
            </w:pPr>
            <w:r w:rsidRPr="00D26A54">
              <w:rPr>
                <w:rFonts w:eastAsia="Times New Roman" w:cstheme="minorHAnsi"/>
                <w:b/>
                <w:bCs/>
                <w:iCs/>
                <w:sz w:val="17"/>
                <w:szCs w:val="17"/>
                <w:lang w:eastAsia="en-AU"/>
              </w:rPr>
              <w:t>year on year</w:t>
            </w:r>
          </w:p>
        </w:tc>
        <w:tc>
          <w:tcPr>
            <w:tcW w:w="522" w:type="dxa"/>
            <w:tcBorders>
              <w:top w:val="single" w:sz="12" w:space="0" w:color="000000"/>
              <w:left w:val="nil"/>
              <w:bottom w:val="single" w:sz="8" w:space="0" w:color="auto"/>
              <w:right w:val="nil"/>
            </w:tcBorders>
            <w:shd w:val="clear" w:color="auto" w:fill="auto"/>
            <w:textDirection w:val="btLr"/>
            <w:vAlign w:val="bottom"/>
            <w:hideMark/>
          </w:tcPr>
          <w:p w:rsidR="009E1C23" w:rsidRPr="00D26A54" w:rsidRDefault="009E1C23" w:rsidP="008B6DAC">
            <w:pPr>
              <w:suppressAutoHyphens w:val="0"/>
              <w:spacing w:before="0" w:after="0" w:line="240" w:lineRule="auto"/>
              <w:rPr>
                <w:rFonts w:eastAsia="Times New Roman" w:cstheme="minorHAnsi"/>
                <w:b/>
                <w:bCs/>
                <w:sz w:val="17"/>
                <w:szCs w:val="17"/>
                <w:lang w:val="en-AU" w:eastAsia="en-AU"/>
              </w:rPr>
            </w:pPr>
            <w:r w:rsidRPr="00D26A54">
              <w:rPr>
                <w:rFonts w:eastAsia="Times New Roman" w:cstheme="minorHAnsi"/>
                <w:b/>
                <w:bCs/>
                <w:iCs/>
                <w:sz w:val="17"/>
                <w:szCs w:val="17"/>
                <w:lang w:eastAsia="en-AU"/>
              </w:rPr>
              <w:t>Relevance</w:t>
            </w:r>
          </w:p>
        </w:tc>
        <w:tc>
          <w:tcPr>
            <w:tcW w:w="720" w:type="dxa"/>
            <w:tcBorders>
              <w:top w:val="single" w:sz="12" w:space="0" w:color="000000"/>
              <w:left w:val="nil"/>
              <w:bottom w:val="single" w:sz="8" w:space="0" w:color="auto"/>
              <w:right w:val="nil"/>
            </w:tcBorders>
            <w:shd w:val="clear" w:color="auto" w:fill="auto"/>
            <w:textDirection w:val="btLr"/>
            <w:vAlign w:val="bottom"/>
            <w:hideMark/>
          </w:tcPr>
          <w:p w:rsidR="009E1C23" w:rsidRPr="00D26A54" w:rsidRDefault="009E1C23" w:rsidP="008B6DAC">
            <w:pPr>
              <w:suppressAutoHyphens w:val="0"/>
              <w:spacing w:before="0" w:after="0" w:line="240" w:lineRule="auto"/>
              <w:rPr>
                <w:rFonts w:eastAsia="Times New Roman" w:cstheme="minorHAnsi"/>
                <w:b/>
                <w:bCs/>
                <w:sz w:val="17"/>
                <w:szCs w:val="17"/>
                <w:lang w:val="en-AU" w:eastAsia="en-AU"/>
              </w:rPr>
            </w:pPr>
            <w:r w:rsidRPr="00D26A54">
              <w:rPr>
                <w:rFonts w:eastAsia="Times New Roman" w:cstheme="minorHAnsi"/>
                <w:b/>
                <w:bCs/>
                <w:iCs/>
                <w:sz w:val="17"/>
                <w:szCs w:val="17"/>
                <w:lang w:eastAsia="en-AU"/>
              </w:rPr>
              <w:t>Effectiveness</w:t>
            </w:r>
          </w:p>
        </w:tc>
        <w:tc>
          <w:tcPr>
            <w:tcW w:w="720" w:type="dxa"/>
            <w:tcBorders>
              <w:top w:val="single" w:sz="12" w:space="0" w:color="000000"/>
              <w:left w:val="nil"/>
              <w:bottom w:val="single" w:sz="8" w:space="0" w:color="auto"/>
              <w:right w:val="nil"/>
            </w:tcBorders>
            <w:shd w:val="clear" w:color="auto" w:fill="auto"/>
            <w:textDirection w:val="btLr"/>
            <w:vAlign w:val="bottom"/>
            <w:hideMark/>
          </w:tcPr>
          <w:p w:rsidR="009E1C23" w:rsidRPr="00D26A54" w:rsidRDefault="009E1C23" w:rsidP="008B6DAC">
            <w:pPr>
              <w:suppressAutoHyphens w:val="0"/>
              <w:spacing w:before="0" w:after="0" w:line="240" w:lineRule="auto"/>
              <w:rPr>
                <w:rFonts w:eastAsia="Times New Roman" w:cstheme="minorHAnsi"/>
                <w:b/>
                <w:bCs/>
                <w:sz w:val="17"/>
                <w:szCs w:val="17"/>
                <w:lang w:val="en-AU" w:eastAsia="en-AU"/>
              </w:rPr>
            </w:pPr>
            <w:r w:rsidRPr="00D26A54">
              <w:rPr>
                <w:rFonts w:eastAsia="Times New Roman" w:cstheme="minorHAnsi"/>
                <w:b/>
                <w:bCs/>
                <w:iCs/>
                <w:sz w:val="17"/>
                <w:szCs w:val="17"/>
                <w:lang w:eastAsia="en-AU"/>
              </w:rPr>
              <w:t>Efficiency</w:t>
            </w:r>
          </w:p>
        </w:tc>
        <w:tc>
          <w:tcPr>
            <w:tcW w:w="720" w:type="dxa"/>
            <w:tcBorders>
              <w:top w:val="single" w:sz="12" w:space="0" w:color="000000"/>
              <w:left w:val="nil"/>
              <w:bottom w:val="single" w:sz="8" w:space="0" w:color="auto"/>
              <w:right w:val="nil"/>
            </w:tcBorders>
            <w:shd w:val="clear" w:color="auto" w:fill="auto"/>
            <w:textDirection w:val="btLr"/>
            <w:vAlign w:val="bottom"/>
            <w:hideMark/>
          </w:tcPr>
          <w:p w:rsidR="009E1C23" w:rsidRPr="00D26A54" w:rsidRDefault="009E1C23" w:rsidP="008B6DAC">
            <w:pPr>
              <w:suppressAutoHyphens w:val="0"/>
              <w:spacing w:before="0" w:after="0" w:line="240" w:lineRule="auto"/>
              <w:rPr>
                <w:rFonts w:eastAsia="Times New Roman" w:cstheme="minorHAnsi"/>
                <w:b/>
                <w:bCs/>
                <w:sz w:val="17"/>
                <w:szCs w:val="17"/>
                <w:lang w:val="en-AU" w:eastAsia="en-AU"/>
              </w:rPr>
            </w:pPr>
            <w:r w:rsidRPr="00D26A54">
              <w:rPr>
                <w:rFonts w:eastAsia="Times New Roman" w:cstheme="minorHAnsi"/>
                <w:b/>
                <w:bCs/>
                <w:iCs/>
                <w:sz w:val="17"/>
                <w:szCs w:val="17"/>
                <w:lang w:eastAsia="en-AU"/>
              </w:rPr>
              <w:t>Monitoring and Evaluation</w:t>
            </w:r>
          </w:p>
        </w:tc>
        <w:tc>
          <w:tcPr>
            <w:tcW w:w="720" w:type="dxa"/>
            <w:tcBorders>
              <w:top w:val="single" w:sz="12" w:space="0" w:color="000000"/>
              <w:left w:val="nil"/>
              <w:bottom w:val="single" w:sz="8" w:space="0" w:color="auto"/>
              <w:right w:val="nil"/>
            </w:tcBorders>
            <w:shd w:val="clear" w:color="auto" w:fill="auto"/>
            <w:textDirection w:val="btLr"/>
            <w:vAlign w:val="bottom"/>
            <w:hideMark/>
          </w:tcPr>
          <w:p w:rsidR="009E1C23" w:rsidRPr="00D26A54" w:rsidRDefault="009E1C23" w:rsidP="008B6DAC">
            <w:pPr>
              <w:suppressAutoHyphens w:val="0"/>
              <w:spacing w:before="0" w:after="0" w:line="240" w:lineRule="auto"/>
              <w:rPr>
                <w:rFonts w:eastAsia="Times New Roman" w:cstheme="minorHAnsi"/>
                <w:b/>
                <w:bCs/>
                <w:sz w:val="17"/>
                <w:szCs w:val="17"/>
                <w:lang w:val="en-AU" w:eastAsia="en-AU"/>
              </w:rPr>
            </w:pPr>
            <w:r w:rsidRPr="00D26A54">
              <w:rPr>
                <w:rFonts w:eastAsia="Times New Roman" w:cstheme="minorHAnsi"/>
                <w:b/>
                <w:bCs/>
                <w:iCs/>
                <w:sz w:val="17"/>
                <w:szCs w:val="17"/>
                <w:lang w:eastAsia="en-AU"/>
              </w:rPr>
              <w:t>Sustainability</w:t>
            </w:r>
          </w:p>
        </w:tc>
        <w:tc>
          <w:tcPr>
            <w:tcW w:w="720" w:type="dxa"/>
            <w:tcBorders>
              <w:top w:val="single" w:sz="12" w:space="0" w:color="000000"/>
              <w:left w:val="nil"/>
              <w:bottom w:val="single" w:sz="8" w:space="0" w:color="auto"/>
              <w:right w:val="nil"/>
            </w:tcBorders>
            <w:shd w:val="clear" w:color="auto" w:fill="auto"/>
            <w:textDirection w:val="btLr"/>
            <w:vAlign w:val="bottom"/>
            <w:hideMark/>
          </w:tcPr>
          <w:p w:rsidR="009E1C23" w:rsidRPr="00D26A54" w:rsidRDefault="009E1C23" w:rsidP="008B6DAC">
            <w:pPr>
              <w:suppressAutoHyphens w:val="0"/>
              <w:spacing w:before="0" w:after="0" w:line="240" w:lineRule="auto"/>
              <w:rPr>
                <w:rFonts w:eastAsia="Times New Roman" w:cstheme="minorHAnsi"/>
                <w:b/>
                <w:bCs/>
                <w:sz w:val="17"/>
                <w:szCs w:val="17"/>
                <w:lang w:val="en-AU" w:eastAsia="en-AU"/>
              </w:rPr>
            </w:pPr>
            <w:r w:rsidRPr="00D26A54">
              <w:rPr>
                <w:rFonts w:eastAsia="Times New Roman" w:cstheme="minorHAnsi"/>
                <w:b/>
                <w:bCs/>
                <w:iCs/>
                <w:sz w:val="17"/>
                <w:szCs w:val="17"/>
                <w:lang w:eastAsia="en-AU"/>
              </w:rPr>
              <w:t>Gender equality</w:t>
            </w:r>
          </w:p>
        </w:tc>
        <w:tc>
          <w:tcPr>
            <w:tcW w:w="720" w:type="dxa"/>
            <w:tcBorders>
              <w:top w:val="single" w:sz="12" w:space="0" w:color="000000"/>
              <w:left w:val="nil"/>
              <w:bottom w:val="single" w:sz="8" w:space="0" w:color="auto"/>
              <w:right w:val="nil"/>
            </w:tcBorders>
            <w:shd w:val="clear" w:color="auto" w:fill="auto"/>
            <w:textDirection w:val="btLr"/>
            <w:vAlign w:val="bottom"/>
            <w:hideMark/>
          </w:tcPr>
          <w:p w:rsidR="009E1C23" w:rsidRPr="00D26A54" w:rsidRDefault="009E1C23" w:rsidP="008B6DAC">
            <w:pPr>
              <w:suppressAutoHyphens w:val="0"/>
              <w:spacing w:before="0" w:after="0" w:line="240" w:lineRule="auto"/>
              <w:rPr>
                <w:rFonts w:eastAsia="Times New Roman" w:cstheme="minorHAnsi"/>
                <w:b/>
                <w:bCs/>
                <w:sz w:val="17"/>
                <w:szCs w:val="17"/>
                <w:lang w:val="en-AU" w:eastAsia="en-AU"/>
              </w:rPr>
            </w:pPr>
            <w:r w:rsidRPr="00D26A54">
              <w:rPr>
                <w:rFonts w:eastAsia="Times New Roman" w:cstheme="minorHAnsi"/>
                <w:b/>
                <w:bCs/>
                <w:iCs/>
                <w:sz w:val="17"/>
                <w:szCs w:val="17"/>
                <w:lang w:eastAsia="en-AU"/>
              </w:rPr>
              <w:t>Risks  and Safeguards</w:t>
            </w:r>
          </w:p>
        </w:tc>
      </w:tr>
      <w:tr w:rsidR="0037661F" w:rsidRPr="00D26A54" w:rsidTr="00E95063">
        <w:trPr>
          <w:trHeight w:val="675"/>
        </w:trPr>
        <w:tc>
          <w:tcPr>
            <w:tcW w:w="2560" w:type="dxa"/>
            <w:tcBorders>
              <w:top w:val="nil"/>
              <w:left w:val="nil"/>
              <w:bottom w:val="nil"/>
              <w:right w:val="nil"/>
            </w:tcBorders>
            <w:shd w:val="clear" w:color="auto" w:fill="auto"/>
            <w:vAlign w:val="center"/>
            <w:hideMark/>
          </w:tcPr>
          <w:p w:rsidR="0037661F" w:rsidRPr="00D26A54" w:rsidRDefault="0037661F" w:rsidP="0037661F">
            <w:pPr>
              <w:suppressAutoHyphens w:val="0"/>
              <w:spacing w:before="0" w:after="0" w:line="240" w:lineRule="auto"/>
              <w:rPr>
                <w:rFonts w:eastAsia="Times New Roman" w:cstheme="minorHAnsi"/>
                <w:sz w:val="17"/>
                <w:szCs w:val="17"/>
                <w:lang w:val="en-AU" w:eastAsia="en-AU"/>
              </w:rPr>
            </w:pPr>
            <w:r w:rsidRPr="00D26A54">
              <w:rPr>
                <w:rFonts w:eastAsia="Times New Roman" w:cstheme="minorHAnsi"/>
                <w:iCs/>
                <w:sz w:val="17"/>
                <w:szCs w:val="17"/>
                <w:lang w:eastAsia="en-AU"/>
              </w:rPr>
              <w:t>INL093: Regional Connectivity and Integration: Trade Facilitation and Infrastructure</w:t>
            </w:r>
          </w:p>
        </w:tc>
        <w:tc>
          <w:tcPr>
            <w:tcW w:w="960" w:type="dxa"/>
            <w:tcBorders>
              <w:top w:val="nil"/>
              <w:left w:val="nil"/>
              <w:bottom w:val="nil"/>
              <w:right w:val="nil"/>
            </w:tcBorders>
            <w:shd w:val="clear" w:color="auto" w:fill="auto"/>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sz w:val="17"/>
                <w:szCs w:val="17"/>
                <w:lang w:eastAsia="en-AU"/>
              </w:rPr>
              <w:t xml:space="preserve">$34.5m </w:t>
            </w:r>
          </w:p>
        </w:tc>
        <w:tc>
          <w:tcPr>
            <w:tcW w:w="1158" w:type="dxa"/>
            <w:tcBorders>
              <w:top w:val="nil"/>
              <w:left w:val="nil"/>
              <w:bottom w:val="nil"/>
              <w:right w:val="nil"/>
            </w:tcBorders>
            <w:shd w:val="clear" w:color="auto" w:fill="auto"/>
            <w:vAlign w:val="center"/>
            <w:hideMark/>
          </w:tcPr>
          <w:p w:rsidR="0037661F" w:rsidRPr="00D26A54" w:rsidRDefault="0037661F" w:rsidP="0037661F">
            <w:pPr>
              <w:suppressAutoHyphens w:val="0"/>
              <w:spacing w:before="0" w:after="0" w:line="240" w:lineRule="auto"/>
              <w:jc w:val="center"/>
              <w:rPr>
                <w:rFonts w:eastAsia="Times New Roman" w:cstheme="minorHAnsi"/>
                <w:sz w:val="17"/>
                <w:szCs w:val="17"/>
                <w:lang w:val="en-AU" w:eastAsia="en-AU"/>
              </w:rPr>
            </w:pPr>
            <w:r w:rsidRPr="00D26A54">
              <w:rPr>
                <w:rFonts w:eastAsia="Times New Roman" w:cstheme="minorHAnsi"/>
                <w:iCs/>
                <w:sz w:val="17"/>
                <w:szCs w:val="17"/>
                <w:lang w:eastAsia="en-AU"/>
              </w:rPr>
              <w:t>2019 AQC</w:t>
            </w:r>
          </w:p>
        </w:tc>
        <w:tc>
          <w:tcPr>
            <w:tcW w:w="522" w:type="dxa"/>
            <w:tcBorders>
              <w:top w:val="nil"/>
              <w:left w:val="nil"/>
              <w:bottom w:val="nil"/>
              <w:right w:val="nil"/>
            </w:tcBorders>
            <w:shd w:val="clear" w:color="auto" w:fill="auto"/>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c>
          <w:tcPr>
            <w:tcW w:w="720" w:type="dxa"/>
            <w:tcBorders>
              <w:top w:val="nil"/>
              <w:left w:val="nil"/>
              <w:bottom w:val="nil"/>
              <w:right w:val="nil"/>
            </w:tcBorders>
            <w:shd w:val="clear" w:color="000000" w:fill="FFFF00"/>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4</w:t>
            </w:r>
          </w:p>
        </w:tc>
        <w:tc>
          <w:tcPr>
            <w:tcW w:w="720" w:type="dxa"/>
            <w:tcBorders>
              <w:top w:val="nil"/>
              <w:left w:val="nil"/>
              <w:bottom w:val="nil"/>
              <w:right w:val="nil"/>
            </w:tcBorders>
            <w:shd w:val="clear" w:color="000000" w:fill="FFFF00"/>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4</w:t>
            </w:r>
          </w:p>
        </w:tc>
        <w:tc>
          <w:tcPr>
            <w:tcW w:w="720" w:type="dxa"/>
            <w:tcBorders>
              <w:top w:val="nil"/>
              <w:left w:val="nil"/>
              <w:bottom w:val="nil"/>
              <w:right w:val="nil"/>
            </w:tcBorders>
            <w:shd w:val="clear" w:color="auto" w:fill="auto"/>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c>
          <w:tcPr>
            <w:tcW w:w="720" w:type="dxa"/>
            <w:tcBorders>
              <w:top w:val="nil"/>
              <w:left w:val="nil"/>
              <w:bottom w:val="nil"/>
              <w:right w:val="nil"/>
            </w:tcBorders>
            <w:shd w:val="clear" w:color="auto" w:fill="auto"/>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c>
          <w:tcPr>
            <w:tcW w:w="720" w:type="dxa"/>
            <w:tcBorders>
              <w:top w:val="nil"/>
              <w:left w:val="nil"/>
              <w:bottom w:val="nil"/>
              <w:right w:val="nil"/>
            </w:tcBorders>
            <w:shd w:val="clear" w:color="000000" w:fill="FFFF00"/>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4</w:t>
            </w:r>
          </w:p>
        </w:tc>
        <w:tc>
          <w:tcPr>
            <w:tcW w:w="720" w:type="dxa"/>
            <w:tcBorders>
              <w:top w:val="nil"/>
              <w:left w:val="nil"/>
              <w:bottom w:val="nil"/>
              <w:right w:val="nil"/>
            </w:tcBorders>
            <w:shd w:val="clear" w:color="auto" w:fill="FFFFFF" w:themeFill="background1"/>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r>
      <w:tr w:rsidR="0037661F" w:rsidRPr="00D26A54" w:rsidTr="00E95063">
        <w:trPr>
          <w:trHeight w:val="315"/>
        </w:trPr>
        <w:tc>
          <w:tcPr>
            <w:tcW w:w="2560" w:type="dxa"/>
            <w:tcBorders>
              <w:top w:val="nil"/>
              <w:left w:val="nil"/>
              <w:bottom w:val="single" w:sz="8" w:space="0" w:color="auto"/>
              <w:right w:val="nil"/>
            </w:tcBorders>
            <w:shd w:val="clear" w:color="auto" w:fill="auto"/>
            <w:vAlign w:val="center"/>
            <w:hideMark/>
          </w:tcPr>
          <w:p w:rsidR="0037661F" w:rsidRPr="00D26A54" w:rsidRDefault="0037661F" w:rsidP="0037661F">
            <w:pPr>
              <w:suppressAutoHyphens w:val="0"/>
              <w:spacing w:before="0" w:after="0" w:line="240" w:lineRule="auto"/>
              <w:rPr>
                <w:rFonts w:eastAsia="Times New Roman" w:cstheme="minorHAnsi"/>
                <w:sz w:val="17"/>
                <w:szCs w:val="17"/>
                <w:lang w:val="en-AU" w:eastAsia="en-AU"/>
              </w:rPr>
            </w:pPr>
            <w:r w:rsidRPr="00D26A54">
              <w:rPr>
                <w:rFonts w:eastAsia="Times New Roman" w:cstheme="minorHAnsi"/>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2013-20</w:t>
            </w:r>
          </w:p>
        </w:tc>
        <w:tc>
          <w:tcPr>
            <w:tcW w:w="1158" w:type="dxa"/>
            <w:tcBorders>
              <w:top w:val="nil"/>
              <w:left w:val="nil"/>
              <w:bottom w:val="single" w:sz="8" w:space="0" w:color="auto"/>
              <w:right w:val="nil"/>
            </w:tcBorders>
            <w:shd w:val="clear" w:color="auto" w:fill="auto"/>
            <w:vAlign w:val="center"/>
            <w:hideMark/>
          </w:tcPr>
          <w:p w:rsidR="0037661F" w:rsidRPr="00D26A54" w:rsidRDefault="0037661F" w:rsidP="0037661F">
            <w:pPr>
              <w:suppressAutoHyphens w:val="0"/>
              <w:spacing w:before="0" w:after="0" w:line="240" w:lineRule="auto"/>
              <w:jc w:val="center"/>
              <w:rPr>
                <w:rFonts w:eastAsia="Times New Roman" w:cstheme="minorHAnsi"/>
                <w:sz w:val="17"/>
                <w:szCs w:val="17"/>
                <w:lang w:val="en-AU" w:eastAsia="en-AU"/>
              </w:rPr>
            </w:pPr>
            <w:r w:rsidRPr="00D26A54">
              <w:rPr>
                <w:rFonts w:eastAsia="Times New Roman" w:cstheme="minorHAnsi"/>
                <w:iCs/>
                <w:sz w:val="17"/>
                <w:szCs w:val="17"/>
                <w:lang w:eastAsia="en-AU"/>
              </w:rPr>
              <w:t>2018 AQC</w:t>
            </w:r>
          </w:p>
        </w:tc>
        <w:tc>
          <w:tcPr>
            <w:tcW w:w="522" w:type="dxa"/>
            <w:tcBorders>
              <w:top w:val="nil"/>
              <w:left w:val="nil"/>
              <w:bottom w:val="single" w:sz="8" w:space="0" w:color="auto"/>
              <w:right w:val="nil"/>
            </w:tcBorders>
            <w:shd w:val="clear" w:color="auto" w:fill="auto"/>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c>
          <w:tcPr>
            <w:tcW w:w="720" w:type="dxa"/>
            <w:tcBorders>
              <w:top w:val="nil"/>
              <w:left w:val="nil"/>
              <w:bottom w:val="single" w:sz="8" w:space="0" w:color="auto"/>
              <w:right w:val="nil"/>
            </w:tcBorders>
            <w:shd w:val="clear" w:color="000000" w:fill="FFFF00"/>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4</w:t>
            </w:r>
          </w:p>
        </w:tc>
        <w:tc>
          <w:tcPr>
            <w:tcW w:w="720" w:type="dxa"/>
            <w:tcBorders>
              <w:top w:val="nil"/>
              <w:left w:val="nil"/>
              <w:bottom w:val="single" w:sz="8" w:space="0" w:color="auto"/>
              <w:right w:val="nil"/>
            </w:tcBorders>
            <w:shd w:val="clear" w:color="000000" w:fill="FFFF00"/>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4</w:t>
            </w:r>
          </w:p>
        </w:tc>
        <w:tc>
          <w:tcPr>
            <w:tcW w:w="720" w:type="dxa"/>
            <w:tcBorders>
              <w:top w:val="nil"/>
              <w:left w:val="nil"/>
              <w:bottom w:val="single" w:sz="8" w:space="0" w:color="auto"/>
              <w:right w:val="nil"/>
            </w:tcBorders>
            <w:shd w:val="clear" w:color="auto" w:fill="auto"/>
            <w:noWrap/>
            <w:vAlign w:val="center"/>
            <w:hideMark/>
          </w:tcPr>
          <w:p w:rsidR="0037661F" w:rsidRPr="00D26A54" w:rsidRDefault="0037661F" w:rsidP="0037661F">
            <w:pPr>
              <w:suppressAutoHyphens w:val="0"/>
              <w:spacing w:before="0" w:after="0" w:line="240" w:lineRule="auto"/>
              <w:jc w:val="right"/>
              <w:rPr>
                <w:rFonts w:eastAsia="Times New Roman" w:cstheme="minorHAnsi"/>
                <w:iCs/>
                <w:sz w:val="17"/>
                <w:szCs w:val="17"/>
                <w:lang w:eastAsia="en-AU"/>
              </w:rPr>
            </w:pPr>
            <w:r w:rsidRPr="00D26A54">
              <w:rPr>
                <w:rFonts w:eastAsia="Times New Roman" w:cstheme="minorHAnsi"/>
                <w:iCs/>
                <w:sz w:val="17"/>
                <w:szCs w:val="17"/>
                <w:lang w:eastAsia="en-AU"/>
              </w:rPr>
              <w:t>n/a</w:t>
            </w:r>
          </w:p>
        </w:tc>
        <w:tc>
          <w:tcPr>
            <w:tcW w:w="720" w:type="dxa"/>
            <w:tcBorders>
              <w:top w:val="nil"/>
              <w:left w:val="nil"/>
              <w:bottom w:val="single" w:sz="8" w:space="0" w:color="auto"/>
              <w:right w:val="nil"/>
            </w:tcBorders>
            <w:shd w:val="clear" w:color="auto" w:fill="auto"/>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c>
          <w:tcPr>
            <w:tcW w:w="720" w:type="dxa"/>
            <w:tcBorders>
              <w:top w:val="nil"/>
              <w:left w:val="nil"/>
              <w:bottom w:val="single" w:sz="8" w:space="0" w:color="auto"/>
              <w:right w:val="nil"/>
            </w:tcBorders>
            <w:shd w:val="clear" w:color="000000" w:fill="FFFF00"/>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4</w:t>
            </w:r>
          </w:p>
        </w:tc>
        <w:tc>
          <w:tcPr>
            <w:tcW w:w="720" w:type="dxa"/>
            <w:tcBorders>
              <w:top w:val="nil"/>
              <w:left w:val="nil"/>
              <w:bottom w:val="single" w:sz="8" w:space="0" w:color="auto"/>
              <w:right w:val="nil"/>
            </w:tcBorders>
            <w:shd w:val="clear" w:color="auto" w:fill="auto"/>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r>
      <w:tr w:rsidR="0037661F" w:rsidRPr="00D26A54" w:rsidTr="00E95063">
        <w:trPr>
          <w:trHeight w:val="450"/>
        </w:trPr>
        <w:tc>
          <w:tcPr>
            <w:tcW w:w="2560" w:type="dxa"/>
            <w:tcBorders>
              <w:top w:val="nil"/>
              <w:left w:val="nil"/>
              <w:bottom w:val="nil"/>
              <w:right w:val="nil"/>
            </w:tcBorders>
            <w:shd w:val="clear" w:color="auto" w:fill="auto"/>
            <w:vAlign w:val="center"/>
            <w:hideMark/>
          </w:tcPr>
          <w:p w:rsidR="0037661F" w:rsidRPr="00D26A54" w:rsidRDefault="0037661F" w:rsidP="0037661F">
            <w:pPr>
              <w:suppressAutoHyphens w:val="0"/>
              <w:spacing w:before="0" w:after="0" w:line="240" w:lineRule="auto"/>
              <w:rPr>
                <w:rFonts w:eastAsia="Times New Roman" w:cstheme="minorHAnsi"/>
                <w:sz w:val="17"/>
                <w:szCs w:val="17"/>
                <w:lang w:val="en-AU" w:eastAsia="en-AU"/>
              </w:rPr>
            </w:pPr>
            <w:r w:rsidRPr="00D26A54">
              <w:rPr>
                <w:rFonts w:eastAsia="Times New Roman" w:cstheme="minorHAnsi"/>
                <w:iCs/>
                <w:sz w:val="17"/>
                <w:szCs w:val="17"/>
                <w:lang w:eastAsia="en-AU"/>
              </w:rPr>
              <w:t>INL594: Sustainable Development Investment Portfolio (SDIP)</w:t>
            </w:r>
          </w:p>
        </w:tc>
        <w:tc>
          <w:tcPr>
            <w:tcW w:w="960" w:type="dxa"/>
            <w:tcBorders>
              <w:top w:val="nil"/>
              <w:left w:val="nil"/>
              <w:bottom w:val="nil"/>
              <w:right w:val="nil"/>
            </w:tcBorders>
            <w:shd w:val="clear" w:color="auto" w:fill="auto"/>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sz w:val="17"/>
                <w:szCs w:val="17"/>
                <w:lang w:eastAsia="en-AU"/>
              </w:rPr>
              <w:t xml:space="preserve">$47.8m </w:t>
            </w:r>
          </w:p>
        </w:tc>
        <w:tc>
          <w:tcPr>
            <w:tcW w:w="1158" w:type="dxa"/>
            <w:tcBorders>
              <w:top w:val="nil"/>
              <w:left w:val="nil"/>
              <w:bottom w:val="nil"/>
              <w:right w:val="nil"/>
            </w:tcBorders>
            <w:shd w:val="clear" w:color="auto" w:fill="auto"/>
            <w:vAlign w:val="center"/>
            <w:hideMark/>
          </w:tcPr>
          <w:p w:rsidR="0037661F" w:rsidRPr="00D26A54" w:rsidRDefault="0037661F" w:rsidP="0037661F">
            <w:pPr>
              <w:suppressAutoHyphens w:val="0"/>
              <w:spacing w:before="0" w:after="0" w:line="240" w:lineRule="auto"/>
              <w:jc w:val="center"/>
              <w:rPr>
                <w:rFonts w:eastAsia="Times New Roman" w:cstheme="minorHAnsi"/>
                <w:sz w:val="17"/>
                <w:szCs w:val="17"/>
                <w:lang w:val="en-AU" w:eastAsia="en-AU"/>
              </w:rPr>
            </w:pPr>
            <w:r w:rsidRPr="00D26A54">
              <w:rPr>
                <w:rFonts w:eastAsia="Times New Roman" w:cstheme="minorHAnsi"/>
                <w:iCs/>
                <w:sz w:val="17"/>
                <w:szCs w:val="17"/>
                <w:lang w:eastAsia="en-AU"/>
              </w:rPr>
              <w:t>2019 AQC</w:t>
            </w:r>
          </w:p>
        </w:tc>
        <w:tc>
          <w:tcPr>
            <w:tcW w:w="522" w:type="dxa"/>
            <w:tcBorders>
              <w:top w:val="nil"/>
              <w:left w:val="nil"/>
              <w:right w:val="nil"/>
            </w:tcBorders>
            <w:shd w:val="clear" w:color="auto" w:fill="auto"/>
            <w:noWrap/>
            <w:vAlign w:val="center"/>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Pr>
                <w:rFonts w:eastAsia="Times New Roman" w:cstheme="minorHAnsi"/>
                <w:sz w:val="17"/>
                <w:szCs w:val="17"/>
                <w:lang w:val="en-AU" w:eastAsia="en-AU"/>
              </w:rPr>
              <w:t>n/a</w:t>
            </w:r>
          </w:p>
        </w:tc>
        <w:tc>
          <w:tcPr>
            <w:tcW w:w="720" w:type="dxa"/>
            <w:tcBorders>
              <w:top w:val="nil"/>
              <w:left w:val="nil"/>
              <w:bottom w:val="nil"/>
              <w:right w:val="nil"/>
            </w:tcBorders>
            <w:shd w:val="clear" w:color="000000" w:fill="92D050"/>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5</w:t>
            </w:r>
          </w:p>
        </w:tc>
        <w:tc>
          <w:tcPr>
            <w:tcW w:w="720" w:type="dxa"/>
            <w:tcBorders>
              <w:top w:val="nil"/>
              <w:left w:val="nil"/>
              <w:bottom w:val="nil"/>
              <w:right w:val="nil"/>
            </w:tcBorders>
            <w:shd w:val="clear" w:color="000000" w:fill="92D050"/>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5</w:t>
            </w:r>
          </w:p>
        </w:tc>
        <w:tc>
          <w:tcPr>
            <w:tcW w:w="720" w:type="dxa"/>
            <w:tcBorders>
              <w:top w:val="nil"/>
              <w:left w:val="nil"/>
              <w:bottom w:val="nil"/>
              <w:right w:val="nil"/>
            </w:tcBorders>
            <w:shd w:val="clear" w:color="auto" w:fill="auto"/>
            <w:noWrap/>
            <w:vAlign w:val="center"/>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c>
          <w:tcPr>
            <w:tcW w:w="720" w:type="dxa"/>
            <w:tcBorders>
              <w:top w:val="single" w:sz="8" w:space="0" w:color="auto"/>
              <w:left w:val="nil"/>
              <w:right w:val="nil"/>
            </w:tcBorders>
            <w:shd w:val="clear" w:color="auto" w:fill="auto"/>
            <w:noWrap/>
            <w:vAlign w:val="center"/>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c>
          <w:tcPr>
            <w:tcW w:w="720" w:type="dxa"/>
            <w:tcBorders>
              <w:top w:val="single" w:sz="8" w:space="0" w:color="auto"/>
              <w:left w:val="nil"/>
              <w:right w:val="nil"/>
            </w:tcBorders>
            <w:shd w:val="clear" w:color="auto" w:fill="FFFF00"/>
            <w:noWrap/>
            <w:vAlign w:val="center"/>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4</w:t>
            </w:r>
          </w:p>
        </w:tc>
        <w:tc>
          <w:tcPr>
            <w:tcW w:w="720" w:type="dxa"/>
            <w:tcBorders>
              <w:top w:val="nil"/>
              <w:left w:val="nil"/>
              <w:bottom w:val="nil"/>
              <w:right w:val="nil"/>
            </w:tcBorders>
            <w:shd w:val="clear" w:color="auto" w:fill="auto"/>
            <w:vAlign w:val="center"/>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r>
      <w:tr w:rsidR="0037661F" w:rsidRPr="00D26A54" w:rsidTr="00E95063">
        <w:trPr>
          <w:trHeight w:val="315"/>
        </w:trPr>
        <w:tc>
          <w:tcPr>
            <w:tcW w:w="2560" w:type="dxa"/>
            <w:tcBorders>
              <w:top w:val="nil"/>
              <w:left w:val="nil"/>
              <w:bottom w:val="single" w:sz="12" w:space="0" w:color="000000"/>
              <w:right w:val="nil"/>
            </w:tcBorders>
            <w:shd w:val="clear" w:color="auto" w:fill="auto"/>
            <w:vAlign w:val="center"/>
            <w:hideMark/>
          </w:tcPr>
          <w:p w:rsidR="0037661F" w:rsidRPr="00D26A54" w:rsidRDefault="0037661F" w:rsidP="0037661F">
            <w:pPr>
              <w:suppressAutoHyphens w:val="0"/>
              <w:spacing w:before="0" w:after="0" w:line="240" w:lineRule="auto"/>
              <w:rPr>
                <w:rFonts w:eastAsia="Times New Roman" w:cstheme="minorHAnsi"/>
                <w:sz w:val="17"/>
                <w:szCs w:val="17"/>
                <w:lang w:val="en-AU" w:eastAsia="en-AU"/>
              </w:rPr>
            </w:pPr>
            <w:r w:rsidRPr="00D26A54">
              <w:rPr>
                <w:rFonts w:eastAsia="Times New Roman" w:cstheme="minorHAnsi"/>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 xml:space="preserve">2016-20 </w:t>
            </w:r>
          </w:p>
        </w:tc>
        <w:tc>
          <w:tcPr>
            <w:tcW w:w="1158" w:type="dxa"/>
            <w:tcBorders>
              <w:top w:val="nil"/>
              <w:left w:val="nil"/>
              <w:bottom w:val="single" w:sz="12" w:space="0" w:color="000000"/>
              <w:right w:val="nil"/>
            </w:tcBorders>
            <w:shd w:val="clear" w:color="auto" w:fill="auto"/>
            <w:vAlign w:val="center"/>
            <w:hideMark/>
          </w:tcPr>
          <w:p w:rsidR="0037661F" w:rsidRPr="00D26A54" w:rsidRDefault="0037661F" w:rsidP="0037661F">
            <w:pPr>
              <w:suppressAutoHyphens w:val="0"/>
              <w:spacing w:before="0" w:after="0" w:line="240" w:lineRule="auto"/>
              <w:jc w:val="center"/>
              <w:rPr>
                <w:rFonts w:eastAsia="Times New Roman" w:cstheme="minorHAnsi"/>
                <w:sz w:val="17"/>
                <w:szCs w:val="17"/>
                <w:lang w:val="en-AU" w:eastAsia="en-AU"/>
              </w:rPr>
            </w:pPr>
            <w:r w:rsidRPr="00D26A54">
              <w:rPr>
                <w:rFonts w:eastAsia="Times New Roman" w:cstheme="minorHAnsi"/>
                <w:iCs/>
                <w:sz w:val="17"/>
                <w:szCs w:val="17"/>
                <w:lang w:eastAsia="en-AU"/>
              </w:rPr>
              <w:t>2018 FAQC</w:t>
            </w:r>
          </w:p>
        </w:tc>
        <w:tc>
          <w:tcPr>
            <w:tcW w:w="522" w:type="dxa"/>
            <w:tcBorders>
              <w:top w:val="nil"/>
              <w:left w:val="nil"/>
              <w:bottom w:val="single" w:sz="12" w:space="0" w:color="000000"/>
              <w:right w:val="nil"/>
            </w:tcBorders>
            <w:shd w:val="clear" w:color="auto" w:fill="auto"/>
            <w:noWrap/>
            <w:vAlign w:val="center"/>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c>
          <w:tcPr>
            <w:tcW w:w="720" w:type="dxa"/>
            <w:tcBorders>
              <w:top w:val="nil"/>
              <w:left w:val="nil"/>
              <w:bottom w:val="single" w:sz="12" w:space="0" w:color="000000"/>
              <w:right w:val="nil"/>
            </w:tcBorders>
            <w:shd w:val="clear" w:color="auto" w:fill="92D050"/>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sz w:val="17"/>
                <w:szCs w:val="17"/>
                <w:lang w:eastAsia="en-AU"/>
              </w:rPr>
              <w:t>5</w:t>
            </w:r>
          </w:p>
        </w:tc>
        <w:tc>
          <w:tcPr>
            <w:tcW w:w="720" w:type="dxa"/>
            <w:tcBorders>
              <w:top w:val="nil"/>
              <w:left w:val="nil"/>
              <w:bottom w:val="single" w:sz="12" w:space="0" w:color="000000"/>
              <w:right w:val="nil"/>
            </w:tcBorders>
            <w:shd w:val="clear" w:color="auto" w:fill="92D050"/>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5</w:t>
            </w:r>
          </w:p>
        </w:tc>
        <w:tc>
          <w:tcPr>
            <w:tcW w:w="720" w:type="dxa"/>
            <w:tcBorders>
              <w:top w:val="nil"/>
              <w:left w:val="nil"/>
              <w:bottom w:val="single" w:sz="12" w:space="0" w:color="000000"/>
              <w:right w:val="nil"/>
            </w:tcBorders>
            <w:shd w:val="clear" w:color="auto" w:fill="auto"/>
            <w:noWrap/>
            <w:vAlign w:val="center"/>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c>
          <w:tcPr>
            <w:tcW w:w="720" w:type="dxa"/>
            <w:tcBorders>
              <w:top w:val="nil"/>
              <w:left w:val="nil"/>
              <w:bottom w:val="single" w:sz="12" w:space="0" w:color="000000"/>
              <w:right w:val="nil"/>
            </w:tcBorders>
            <w:shd w:val="clear" w:color="auto" w:fill="auto"/>
            <w:noWrap/>
            <w:vAlign w:val="center"/>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c>
          <w:tcPr>
            <w:tcW w:w="720" w:type="dxa"/>
            <w:tcBorders>
              <w:top w:val="nil"/>
              <w:left w:val="nil"/>
              <w:bottom w:val="single" w:sz="12" w:space="0" w:color="000000"/>
              <w:right w:val="nil"/>
            </w:tcBorders>
            <w:shd w:val="clear" w:color="auto" w:fill="FFFF00"/>
            <w:noWrap/>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4</w:t>
            </w:r>
          </w:p>
        </w:tc>
        <w:tc>
          <w:tcPr>
            <w:tcW w:w="720" w:type="dxa"/>
            <w:tcBorders>
              <w:top w:val="nil"/>
              <w:left w:val="nil"/>
              <w:bottom w:val="single" w:sz="12" w:space="0" w:color="000000"/>
              <w:right w:val="nil"/>
            </w:tcBorders>
            <w:shd w:val="clear" w:color="auto" w:fill="FFFFFF" w:themeFill="background1"/>
            <w:vAlign w:val="center"/>
            <w:hideMark/>
          </w:tcPr>
          <w:p w:rsidR="0037661F" w:rsidRPr="00D26A54" w:rsidRDefault="0037661F" w:rsidP="0037661F">
            <w:pPr>
              <w:suppressAutoHyphens w:val="0"/>
              <w:spacing w:before="0" w:after="0" w:line="240" w:lineRule="auto"/>
              <w:jc w:val="right"/>
              <w:rPr>
                <w:rFonts w:eastAsia="Times New Roman" w:cstheme="minorHAnsi"/>
                <w:sz w:val="17"/>
                <w:szCs w:val="17"/>
                <w:lang w:val="en-AU" w:eastAsia="en-AU"/>
              </w:rPr>
            </w:pPr>
            <w:r w:rsidRPr="00D26A54">
              <w:rPr>
                <w:rFonts w:eastAsia="Times New Roman" w:cstheme="minorHAnsi"/>
                <w:iCs/>
                <w:sz w:val="17"/>
                <w:szCs w:val="17"/>
                <w:lang w:eastAsia="en-AU"/>
              </w:rPr>
              <w:t>n/a</w:t>
            </w:r>
          </w:p>
        </w:tc>
      </w:tr>
    </w:tbl>
    <w:p w:rsidR="009E1C23" w:rsidRPr="00D26A54" w:rsidRDefault="009E1C23" w:rsidP="009E1C23">
      <w:pPr>
        <w:rPr>
          <w:rFonts w:cstheme="minorHAnsi"/>
          <w:iCs/>
        </w:rPr>
      </w:pPr>
    </w:p>
    <w:p w:rsidR="00D26A54" w:rsidRPr="00D26A54" w:rsidRDefault="00D26A54" w:rsidP="00D26A54">
      <w:pPr>
        <w:spacing w:before="20" w:after="20" w:line="180" w:lineRule="atLeast"/>
        <w:jc w:val="both"/>
        <w:rPr>
          <w:rFonts w:eastAsia="Times New Roman" w:cstheme="minorHAnsi"/>
          <w:b/>
          <w:sz w:val="16"/>
          <w:szCs w:val="14"/>
        </w:rPr>
      </w:pPr>
      <w:r w:rsidRPr="00D26A54">
        <w:rPr>
          <w:rFonts w:eastAsia="Times New Roman" w:cstheme="minorHAnsi"/>
          <w:b/>
          <w:sz w:val="16"/>
          <w:szCs w:val="14"/>
        </w:rPr>
        <w:t>Definitions of rating scale:</w:t>
      </w:r>
      <w:r w:rsidRPr="00D26A54">
        <w:rPr>
          <w:rFonts w:eastAsia="Times New Roman" w:cstheme="minorHAnsi"/>
          <w:b/>
          <w:sz w:val="16"/>
          <w:szCs w:val="14"/>
        </w:rPr>
        <w:tab/>
      </w:r>
    </w:p>
    <w:p w:rsidR="00D26A54" w:rsidRPr="00D26A54" w:rsidRDefault="00D26A54" w:rsidP="00D26A54">
      <w:pPr>
        <w:spacing w:before="20" w:after="20" w:line="180" w:lineRule="atLeast"/>
        <w:jc w:val="both"/>
        <w:rPr>
          <w:rFonts w:eastAsia="Times New Roman" w:cstheme="minorHAnsi"/>
          <w:b/>
          <w:sz w:val="16"/>
          <w:szCs w:val="14"/>
        </w:rPr>
      </w:pPr>
      <w:r w:rsidRPr="00D26A54">
        <w:rPr>
          <w:rFonts w:eastAsia="Times New Roman" w:cstheme="minorHAnsi"/>
          <w:b/>
          <w:sz w:val="16"/>
          <w:szCs w:val="14"/>
        </w:rPr>
        <w:t>Satisfactory (4, 5 and 6)</w:t>
      </w:r>
    </w:p>
    <w:p w:rsidR="00D26A54" w:rsidRPr="00D26A54" w:rsidRDefault="00D26A54" w:rsidP="00D26A54">
      <w:pPr>
        <w:spacing w:before="20" w:after="20" w:line="180" w:lineRule="atLeast"/>
        <w:rPr>
          <w:rFonts w:eastAsia="Times New Roman" w:cstheme="minorHAnsi"/>
          <w:b/>
          <w:sz w:val="16"/>
          <w:szCs w:val="14"/>
        </w:rPr>
      </w:pPr>
      <w:r w:rsidRPr="00D26A54">
        <w:rPr>
          <w:rFonts w:eastAsia="Times New Roman" w:cstheme="minorHAnsi"/>
          <w:b/>
          <w:color w:val="72AF2F"/>
          <w:sz w:val="16"/>
          <w:szCs w:val="14"/>
        </w:rPr>
        <w:sym w:font="Webdings" w:char="F067"/>
      </w:r>
      <w:r w:rsidRPr="00D26A54">
        <w:rPr>
          <w:rFonts w:eastAsia="Times New Roman" w:cstheme="minorHAnsi"/>
          <w:b/>
          <w:sz w:val="16"/>
          <w:szCs w:val="14"/>
        </w:rPr>
        <w:t xml:space="preserve"> 6 = Very good; satisfies criteria in all areas.  </w:t>
      </w:r>
    </w:p>
    <w:p w:rsidR="00D26A54" w:rsidRPr="00D26A54" w:rsidRDefault="00D26A54" w:rsidP="00D26A54">
      <w:pPr>
        <w:spacing w:before="20" w:after="20" w:line="180" w:lineRule="atLeast"/>
        <w:rPr>
          <w:rFonts w:eastAsia="Times New Roman" w:cstheme="minorHAnsi"/>
          <w:b/>
          <w:sz w:val="16"/>
          <w:szCs w:val="14"/>
        </w:rPr>
      </w:pPr>
      <w:r w:rsidRPr="00D26A54">
        <w:rPr>
          <w:rFonts w:eastAsia="Times New Roman" w:cstheme="minorHAnsi"/>
          <w:b/>
          <w:color w:val="72AF2F"/>
          <w:sz w:val="16"/>
          <w:szCs w:val="14"/>
        </w:rPr>
        <w:sym w:font="Webdings" w:char="F067"/>
      </w:r>
      <w:r w:rsidRPr="00D26A54">
        <w:rPr>
          <w:rFonts w:eastAsia="Times New Roman" w:cstheme="minorHAnsi"/>
          <w:b/>
          <w:sz w:val="16"/>
          <w:szCs w:val="14"/>
        </w:rPr>
        <w:t xml:space="preserve"> 5 = Good; satisfies criteria in almost all areas.</w:t>
      </w:r>
    </w:p>
    <w:p w:rsidR="00D26A54" w:rsidRPr="00D26A54" w:rsidRDefault="00D26A54" w:rsidP="00D26A54">
      <w:pPr>
        <w:spacing w:before="20" w:after="20" w:line="180" w:lineRule="atLeast"/>
        <w:rPr>
          <w:rFonts w:eastAsia="Times New Roman" w:cstheme="minorHAnsi"/>
          <w:b/>
          <w:sz w:val="16"/>
          <w:szCs w:val="14"/>
        </w:rPr>
      </w:pPr>
      <w:r w:rsidRPr="00D26A54">
        <w:rPr>
          <w:rFonts w:eastAsia="Times New Roman" w:cstheme="minorHAnsi"/>
          <w:b/>
          <w:color w:val="FFFF00"/>
          <w:sz w:val="16"/>
          <w:szCs w:val="14"/>
        </w:rPr>
        <w:sym w:font="Webdings" w:char="F067"/>
      </w:r>
      <w:r w:rsidRPr="00D26A54">
        <w:rPr>
          <w:rFonts w:eastAsia="Times New Roman" w:cstheme="minorHAnsi"/>
          <w:b/>
          <w:sz w:val="16"/>
          <w:szCs w:val="14"/>
        </w:rPr>
        <w:t xml:space="preserve"> 4 = Adequate; on balance, satisfies criteria; does not fail in any major area.</w:t>
      </w:r>
    </w:p>
    <w:p w:rsidR="00D26A54" w:rsidRPr="00D26A54" w:rsidRDefault="00D26A54" w:rsidP="00D26A54">
      <w:pPr>
        <w:spacing w:before="20" w:after="20" w:line="180" w:lineRule="atLeast"/>
        <w:rPr>
          <w:rFonts w:eastAsia="Times New Roman" w:cstheme="minorHAnsi"/>
          <w:b/>
          <w:sz w:val="16"/>
          <w:szCs w:val="14"/>
        </w:rPr>
      </w:pPr>
      <w:r w:rsidRPr="00D26A54">
        <w:rPr>
          <w:rFonts w:eastAsia="Times New Roman" w:cstheme="minorHAnsi"/>
          <w:b/>
          <w:sz w:val="16"/>
          <w:szCs w:val="14"/>
        </w:rPr>
        <w:t>Less than satisfactory (1, 2 and 3)</w:t>
      </w:r>
    </w:p>
    <w:p w:rsidR="00D26A54" w:rsidRPr="00D26A54" w:rsidRDefault="00D26A54" w:rsidP="00D26A54">
      <w:pPr>
        <w:spacing w:before="20" w:after="20" w:line="180" w:lineRule="atLeast"/>
        <w:rPr>
          <w:rFonts w:eastAsia="Times New Roman" w:cstheme="minorHAnsi"/>
          <w:b/>
          <w:sz w:val="16"/>
          <w:szCs w:val="14"/>
        </w:rPr>
      </w:pPr>
      <w:r w:rsidRPr="00D26A54">
        <w:rPr>
          <w:rFonts w:eastAsia="Times New Roman" w:cstheme="minorHAnsi"/>
          <w:b/>
          <w:color w:val="E36C0A"/>
          <w:sz w:val="16"/>
          <w:szCs w:val="14"/>
        </w:rPr>
        <w:sym w:font="Webdings" w:char="F067"/>
      </w:r>
      <w:r w:rsidRPr="00D26A54">
        <w:rPr>
          <w:rFonts w:eastAsia="Times New Roman" w:cstheme="minorHAnsi"/>
          <w:b/>
          <w:color w:val="E36C0A"/>
          <w:sz w:val="16"/>
          <w:szCs w:val="14"/>
        </w:rPr>
        <w:t xml:space="preserve"> </w:t>
      </w:r>
      <w:r w:rsidRPr="00D26A54">
        <w:rPr>
          <w:rFonts w:eastAsia="Times New Roman" w:cstheme="minorHAnsi"/>
          <w:b/>
          <w:sz w:val="16"/>
          <w:szCs w:val="14"/>
        </w:rPr>
        <w:t>3 = Less than adequate; on balance does not satisfy criteria and/or fails in at least one major area.</w:t>
      </w:r>
    </w:p>
    <w:p w:rsidR="00D26A54" w:rsidRPr="00D26A54" w:rsidRDefault="00D26A54" w:rsidP="00D26A54">
      <w:pPr>
        <w:spacing w:before="20" w:after="20" w:line="180" w:lineRule="atLeast"/>
        <w:rPr>
          <w:rFonts w:eastAsia="Times New Roman" w:cstheme="minorHAnsi"/>
          <w:b/>
          <w:sz w:val="16"/>
          <w:szCs w:val="14"/>
        </w:rPr>
      </w:pPr>
      <w:r w:rsidRPr="00D26A54">
        <w:rPr>
          <w:rFonts w:eastAsia="Times New Roman" w:cstheme="minorHAnsi"/>
          <w:b/>
          <w:color w:val="FF0000"/>
          <w:sz w:val="16"/>
          <w:szCs w:val="14"/>
        </w:rPr>
        <w:sym w:font="Webdings" w:char="F067"/>
      </w:r>
      <w:r w:rsidRPr="00D26A54">
        <w:rPr>
          <w:rFonts w:eastAsia="Times New Roman" w:cstheme="minorHAnsi"/>
          <w:b/>
          <w:sz w:val="16"/>
          <w:szCs w:val="14"/>
        </w:rPr>
        <w:t xml:space="preserve"> 2 = Poor; does not satisfy criteria in major areas.</w:t>
      </w:r>
    </w:p>
    <w:p w:rsidR="00D26A54" w:rsidRPr="00D26A54" w:rsidRDefault="00D26A54" w:rsidP="00D26A54">
      <w:pPr>
        <w:spacing w:before="20" w:after="20" w:line="180" w:lineRule="atLeast"/>
        <w:rPr>
          <w:rFonts w:eastAsia="Times New Roman" w:cstheme="minorHAnsi"/>
          <w:b/>
          <w:sz w:val="16"/>
          <w:szCs w:val="14"/>
        </w:rPr>
      </w:pPr>
      <w:r w:rsidRPr="00D26A54">
        <w:rPr>
          <w:rFonts w:eastAsia="Times New Roman" w:cstheme="minorHAnsi"/>
          <w:b/>
          <w:color w:val="FF0000"/>
          <w:sz w:val="16"/>
          <w:szCs w:val="14"/>
        </w:rPr>
        <w:sym w:font="Webdings" w:char="F067"/>
      </w:r>
      <w:r w:rsidRPr="00D26A54">
        <w:rPr>
          <w:rFonts w:eastAsia="Times New Roman" w:cstheme="minorHAnsi"/>
          <w:b/>
          <w:sz w:val="16"/>
          <w:szCs w:val="14"/>
        </w:rPr>
        <w:t xml:space="preserve"> 1 = Very poor; does not satisfy criteria in many major area.</w:t>
      </w:r>
    </w:p>
    <w:p w:rsidR="009E1C23" w:rsidRPr="00D26A54" w:rsidRDefault="009E1C23" w:rsidP="009E1C23">
      <w:pPr>
        <w:pStyle w:val="ListBullet"/>
        <w:tabs>
          <w:tab w:val="clear" w:pos="284"/>
        </w:tabs>
        <w:rPr>
          <w:rFonts w:asciiTheme="minorHAnsi" w:hAnsiTheme="minorHAnsi" w:cstheme="minorHAnsi"/>
          <w:color w:val="495965" w:themeColor="text2"/>
        </w:rPr>
      </w:pPr>
    </w:p>
    <w:p w:rsidR="00015316" w:rsidRPr="00D26A54" w:rsidRDefault="00015316" w:rsidP="00CE1413">
      <w:pPr>
        <w:suppressAutoHyphens w:val="0"/>
        <w:spacing w:before="0" w:after="120" w:line="440" w:lineRule="atLeast"/>
        <w:rPr>
          <w:rFonts w:cstheme="minorHAnsi"/>
        </w:rPr>
      </w:pPr>
    </w:p>
    <w:p w:rsidR="007E05FE" w:rsidRPr="00D26A54" w:rsidRDefault="007E05FE">
      <w:pPr>
        <w:suppressAutoHyphens w:val="0"/>
        <w:spacing w:before="0" w:after="120" w:line="440" w:lineRule="atLeast"/>
        <w:rPr>
          <w:rFonts w:cstheme="minorHAnsi"/>
        </w:rPr>
      </w:pPr>
    </w:p>
    <w:sectPr w:rsidR="007E05FE" w:rsidRPr="00D26A54" w:rsidSect="004839E3">
      <w:headerReference w:type="default" r:id="rId47"/>
      <w:pgSz w:w="11906" w:h="16838" w:code="9"/>
      <w:pgMar w:top="1527" w:right="1134" w:bottom="851" w:left="1134" w:header="1418" w:footer="192" w:gutter="0"/>
      <w:cols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69E94D" w16cid:durableId="210943EB"/>
  <w16cid:commentId w16cid:paraId="093EA8D4" w16cid:durableId="210944E2"/>
  <w16cid:commentId w16cid:paraId="60968E70" w16cid:durableId="2109487D"/>
  <w16cid:commentId w16cid:paraId="117A4FE8" w16cid:durableId="210948C4"/>
  <w16cid:commentId w16cid:paraId="5F6FECA1" w16cid:durableId="21095D7F"/>
  <w16cid:commentId w16cid:paraId="642DED7C" w16cid:durableId="2109522F"/>
  <w16cid:commentId w16cid:paraId="127CA0CE" w16cid:durableId="21095178"/>
  <w16cid:commentId w16cid:paraId="3BF61769" w16cid:durableId="21095C27"/>
  <w16cid:commentId w16cid:paraId="42464A95" w16cid:durableId="210942FC"/>
  <w16cid:commentId w16cid:paraId="7874FCA3" w16cid:durableId="21095D2C"/>
  <w16cid:commentId w16cid:paraId="042CA344" w16cid:durableId="21095609"/>
  <w16cid:commentId w16cid:paraId="026D54C5" w16cid:durableId="210942FD"/>
  <w16cid:commentId w16cid:paraId="424DC38D" w16cid:durableId="21095C5E"/>
  <w16cid:commentId w16cid:paraId="35A57639" w16cid:durableId="210942FE"/>
  <w16cid:commentId w16cid:paraId="452ECB7E" w16cid:durableId="21095D11"/>
  <w16cid:commentId w16cid:paraId="5375E59B" w16cid:durableId="21095C86"/>
  <w16cid:commentId w16cid:paraId="4E9FFDE6" w16cid:durableId="210942FF"/>
  <w16cid:commentId w16cid:paraId="3DB665BB" w16cid:durableId="210959FB"/>
  <w16cid:commentId w16cid:paraId="3FB4B6CD" w16cid:durableId="210960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4EC" w:rsidRDefault="008414EC" w:rsidP="00EF4574">
      <w:pPr>
        <w:spacing w:before="0" w:after="0" w:line="240" w:lineRule="auto"/>
      </w:pPr>
      <w:r>
        <w:separator/>
      </w:r>
    </w:p>
  </w:endnote>
  <w:endnote w:type="continuationSeparator" w:id="0">
    <w:p w:rsidR="008414EC" w:rsidRDefault="008414EC"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940" w:rsidRDefault="00645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EC" w:rsidRDefault="008414EC" w:rsidP="004839E3">
    <w:pPr>
      <w:pStyle w:val="Footer"/>
      <w:rPr>
        <w:lang w:val="en-AU"/>
      </w:rPr>
    </w:pPr>
  </w:p>
  <w:p w:rsidR="008414EC" w:rsidRDefault="008414EC" w:rsidP="004839E3">
    <w:pPr>
      <w:pStyle w:val="Footer"/>
    </w:pPr>
  </w:p>
  <w:p w:rsidR="008414EC" w:rsidRPr="00CD0E4B" w:rsidRDefault="008414EC" w:rsidP="004839E3">
    <w:pPr>
      <w:pStyle w:val="Footer"/>
    </w:pPr>
    <w:r w:rsidRPr="00CD0E4B">
      <w:rPr>
        <w:noProof/>
        <w:lang w:val="en-AU" w:eastAsia="en-AU"/>
      </w:rPr>
      <w:drawing>
        <wp:inline distT="0" distB="0" distL="0" distR="0" wp14:anchorId="6C131D45" wp14:editId="3456E092">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8414EC" w:rsidRPr="00CD0E4B" w:rsidRDefault="008414EC" w:rsidP="004839E3">
    <w:pPr>
      <w:pStyle w:val="Footer"/>
      <w:rPr>
        <w:color w:val="ACD08C" w:themeColor="accent3"/>
      </w:rPr>
    </w:pPr>
    <w:r w:rsidRPr="00CD0E4B">
      <w:rPr>
        <w:color w:val="ACD08C" w:themeColor="accent3"/>
      </w:rPr>
      <w:t>DFAT.GOV.AU</w:t>
    </w:r>
  </w:p>
  <w:p w:rsidR="008414EC" w:rsidRPr="004839E3" w:rsidRDefault="008414EC"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EC" w:rsidRPr="004839E3" w:rsidRDefault="008414EC"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4B6C2FA6" wp14:editId="106CD7C9">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rsidR="008414EC" w:rsidRDefault="008414EC"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EC" w:rsidRDefault="008414EC" w:rsidP="004839E3">
    <w:pPr>
      <w:pStyle w:val="Footer"/>
      <w:rPr>
        <w:lang w:val="en-AU"/>
      </w:rPr>
    </w:pPr>
  </w:p>
  <w:p w:rsidR="008414EC" w:rsidRDefault="008414EC" w:rsidP="004839E3">
    <w:pPr>
      <w:pStyle w:val="Footer"/>
    </w:pPr>
  </w:p>
  <w:p w:rsidR="008414EC" w:rsidRPr="00CD0E4B" w:rsidRDefault="008414EC" w:rsidP="004839E3">
    <w:pPr>
      <w:pStyle w:val="Footer"/>
    </w:pPr>
    <w:r w:rsidRPr="00CD0E4B">
      <w:rPr>
        <w:noProof/>
        <w:lang w:val="en-AU" w:eastAsia="en-AU"/>
      </w:rPr>
      <w:drawing>
        <wp:inline distT="0" distB="0" distL="0" distR="0" wp14:anchorId="6E8EAE88" wp14:editId="72CA816D">
          <wp:extent cx="90000" cy="74520"/>
          <wp:effectExtent l="0" t="0" r="5715" b="1905"/>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8414EC" w:rsidRPr="00CD0E4B" w:rsidRDefault="008414EC" w:rsidP="004839E3">
    <w:pPr>
      <w:pStyle w:val="Footer"/>
      <w:rPr>
        <w:color w:val="ACD08C" w:themeColor="accent3"/>
      </w:rPr>
    </w:pPr>
    <w:r w:rsidRPr="00CD0E4B">
      <w:rPr>
        <w:color w:val="ACD08C" w:themeColor="accent3"/>
      </w:rPr>
      <w:t>DFAT.GOV.AU</w:t>
    </w:r>
  </w:p>
  <w:p w:rsidR="008414EC" w:rsidRPr="004839E3" w:rsidRDefault="008414EC"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4EC" w:rsidRPr="008C5A0E" w:rsidRDefault="008414EC" w:rsidP="001D663E">
      <w:pPr>
        <w:pStyle w:val="Footer"/>
        <w:pBdr>
          <w:top w:val="single" w:sz="4" w:space="1" w:color="495965" w:themeColor="text2"/>
        </w:pBdr>
      </w:pPr>
    </w:p>
  </w:footnote>
  <w:footnote w:type="continuationSeparator" w:id="0">
    <w:p w:rsidR="008414EC" w:rsidRDefault="008414EC" w:rsidP="00EF4574">
      <w:pPr>
        <w:spacing w:before="0" w:after="0" w:line="240" w:lineRule="auto"/>
      </w:pPr>
      <w:r>
        <w:continuationSeparator/>
      </w:r>
    </w:p>
  </w:footnote>
  <w:footnote w:id="1">
    <w:p w:rsidR="008414EC" w:rsidRDefault="008414EC" w:rsidP="00C150BD">
      <w:pPr>
        <w:pStyle w:val="FootnoteText"/>
      </w:pPr>
      <w:r>
        <w:rPr>
          <w:rStyle w:val="FootnoteReference"/>
        </w:rPr>
        <w:footnoteRef/>
      </w:r>
      <w:r>
        <w:t xml:space="preserve"> The World Bank, 2019. </w:t>
      </w:r>
      <w:r w:rsidRPr="009A7463">
        <w:rPr>
          <w:i/>
        </w:rPr>
        <w:t>The World Bank in South Asia</w:t>
      </w:r>
      <w:r>
        <w:t>. http://www.worldbank.org/en/region/sar</w:t>
      </w:r>
    </w:p>
  </w:footnote>
  <w:footnote w:id="2">
    <w:p w:rsidR="008414EC" w:rsidRDefault="008414EC" w:rsidP="00945BE0">
      <w:pPr>
        <w:pStyle w:val="FootnoteText"/>
      </w:pPr>
      <w:r>
        <w:rPr>
          <w:rStyle w:val="FootnoteReference"/>
        </w:rPr>
        <w:footnoteRef/>
      </w:r>
      <w:r>
        <w:t xml:space="preserve"> The Australian Centre for International Agricultural Research (ACIAR), the Commonwealth Scientific and Industrial Research Organisation (CSIRO), the International Centre of Excellence in Water Resources Management (</w:t>
      </w:r>
      <w:proofErr w:type="spellStart"/>
      <w:r>
        <w:t>ICEWaRM</w:t>
      </w:r>
      <w:proofErr w:type="spellEnd"/>
      <w:r>
        <w:t>), the International Centre for Integrated Mountain Development (ICIMOD), the International Finance Corporation (IFC), the World Bank’s South Asia Water Initiative (SAWI) and The Asia Foundation.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940" w:rsidRDefault="00645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EC" w:rsidRPr="00333501" w:rsidRDefault="008414EC" w:rsidP="008F56A8">
    <w:pPr>
      <w:pStyle w:val="Header"/>
      <w:jc w:val="left"/>
    </w:pPr>
    <w:r>
      <w:rPr>
        <w:noProof/>
        <w:lang w:val="en-AU" w:eastAsia="en-AU"/>
      </w:rPr>
      <w:drawing>
        <wp:anchor distT="0" distB="0" distL="114300" distR="114300" simplePos="0" relativeHeight="251671552" behindDoc="1" locked="1" layoutInCell="1" allowOverlap="1" wp14:anchorId="1A1A09BA" wp14:editId="73F3D3D9">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EC" w:rsidRPr="003D352D" w:rsidRDefault="008414EC" w:rsidP="003D352D">
    <w:pPr>
      <w:pStyle w:val="Header"/>
      <w:jc w:val="left"/>
    </w:pPr>
    <w:r>
      <w:rPr>
        <w:noProof/>
        <w:lang w:val="en-AU" w:eastAsia="en-AU"/>
      </w:rPr>
      <w:drawing>
        <wp:anchor distT="0" distB="0" distL="114300" distR="114300" simplePos="0" relativeHeight="251669504" behindDoc="1" locked="1" layoutInCell="1" allowOverlap="1" wp14:anchorId="03F2084D" wp14:editId="77351B7B">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EC" w:rsidRPr="00333501" w:rsidRDefault="008414EC" w:rsidP="008F56A8">
    <w:pPr>
      <w:pStyle w:val="Header"/>
      <w:jc w:val="left"/>
    </w:pPr>
    <w:r>
      <w:rPr>
        <w:noProof/>
        <w:lang w:val="en-AU" w:eastAsia="en-AU"/>
      </w:rPr>
      <w:drawing>
        <wp:anchor distT="0" distB="0" distL="114300" distR="114300" simplePos="0" relativeHeight="251685888" behindDoc="1" locked="1" layoutInCell="1" allowOverlap="1" wp14:anchorId="2256CAC2" wp14:editId="76AD39C8">
          <wp:simplePos x="0" y="0"/>
          <wp:positionH relativeFrom="margin">
            <wp:posOffset>-652145</wp:posOffset>
          </wp:positionH>
          <wp:positionV relativeFrom="page">
            <wp:posOffset>122555</wp:posOffset>
          </wp:positionV>
          <wp:extent cx="7409815" cy="10589895"/>
          <wp:effectExtent l="0" t="0" r="635" b="1905"/>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EC" w:rsidRPr="00333501" w:rsidRDefault="008414EC" w:rsidP="008F56A8">
    <w:pPr>
      <w:pStyle w:val="Header"/>
      <w:jc w:val="left"/>
    </w:pPr>
    <w:r>
      <w:rPr>
        <w:noProof/>
        <w:lang w:val="en-AU" w:eastAsia="en-AU"/>
      </w:rPr>
      <w:drawing>
        <wp:anchor distT="0" distB="0" distL="114300" distR="114300" simplePos="0" relativeHeight="251687936" behindDoc="1" locked="1" layoutInCell="1" allowOverlap="1" wp14:anchorId="759C346F" wp14:editId="04948302">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EC" w:rsidRPr="003D352D" w:rsidRDefault="008414EC" w:rsidP="003D352D">
    <w:pPr>
      <w:pStyle w:val="Header"/>
      <w:jc w:val="left"/>
    </w:pPr>
    <w:r>
      <w:rPr>
        <w:noProof/>
        <w:lang w:val="en-AU" w:eastAsia="en-AU"/>
      </w:rPr>
      <w:drawing>
        <wp:anchor distT="0" distB="0" distL="114300" distR="114300" simplePos="0" relativeHeight="251675648" behindDoc="1" locked="1" layoutInCell="1" allowOverlap="1" wp14:anchorId="5072A0CB" wp14:editId="588F6702">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EC" w:rsidRPr="00333501" w:rsidRDefault="008414EC" w:rsidP="008F56A8">
    <w:pPr>
      <w:pStyle w:val="Header"/>
      <w:jc w:val="left"/>
    </w:pPr>
    <w:r>
      <w:rPr>
        <w:noProof/>
        <w:lang w:val="en-AU" w:eastAsia="en-AU"/>
      </w:rPr>
      <w:drawing>
        <wp:anchor distT="0" distB="0" distL="114300" distR="114300" simplePos="0" relativeHeight="251683840" behindDoc="1" locked="1" layoutInCell="1" allowOverlap="1" wp14:anchorId="106F9AB6" wp14:editId="248EE992">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A65BA6"/>
    <w:multiLevelType w:val="hybridMultilevel"/>
    <w:tmpl w:val="730AC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F2079D"/>
    <w:multiLevelType w:val="hybridMultilevel"/>
    <w:tmpl w:val="96B874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657202"/>
    <w:multiLevelType w:val="hybridMultilevel"/>
    <w:tmpl w:val="96BC1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9427FBD"/>
    <w:multiLevelType w:val="hybridMultilevel"/>
    <w:tmpl w:val="9A2E7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21B79"/>
    <w:multiLevelType w:val="hybridMultilevel"/>
    <w:tmpl w:val="2ED87C96"/>
    <w:lvl w:ilvl="0" w:tplc="0C09000F">
      <w:start w:val="1"/>
      <w:numFmt w:val="decimal"/>
      <w:lvlText w:val="%1."/>
      <w:lvlJc w:val="left"/>
      <w:pPr>
        <w:ind w:left="644" w:hanging="360"/>
      </w:pPr>
    </w:lvl>
    <w:lvl w:ilvl="1" w:tplc="0C09000F">
      <w:start w:val="1"/>
      <w:numFmt w:val="decimal"/>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C1C7767"/>
    <w:multiLevelType w:val="hybridMultilevel"/>
    <w:tmpl w:val="2ED87C96"/>
    <w:lvl w:ilvl="0" w:tplc="0C09000F">
      <w:start w:val="1"/>
      <w:numFmt w:val="decimal"/>
      <w:lvlText w:val="%1."/>
      <w:lvlJc w:val="left"/>
      <w:pPr>
        <w:ind w:left="644" w:hanging="360"/>
      </w:pPr>
    </w:lvl>
    <w:lvl w:ilvl="1" w:tplc="0C09000F">
      <w:start w:val="1"/>
      <w:numFmt w:val="decimal"/>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6BD2A20"/>
    <w:multiLevelType w:val="hybridMultilevel"/>
    <w:tmpl w:val="6B1C98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D32064"/>
    <w:multiLevelType w:val="hybridMultilevel"/>
    <w:tmpl w:val="A8B82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0629FC"/>
    <w:multiLevelType w:val="hybridMultilevel"/>
    <w:tmpl w:val="D6725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3C1EA7"/>
    <w:multiLevelType w:val="multilevel"/>
    <w:tmpl w:val="43428892"/>
    <w:numStyleLink w:val="BulletsList"/>
  </w:abstractNum>
  <w:abstractNum w:abstractNumId="1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7A374AE"/>
    <w:multiLevelType w:val="hybridMultilevel"/>
    <w:tmpl w:val="8BFCDB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3"/>
  </w:num>
  <w:num w:numId="5">
    <w:abstractNumId w:val="15"/>
  </w:num>
  <w:num w:numId="6">
    <w:abstractNumId w:val="7"/>
  </w:num>
  <w:num w:numId="7">
    <w:abstractNumId w:val="14"/>
  </w:num>
  <w:num w:numId="8">
    <w:abstractNumId w:val="0"/>
  </w:num>
  <w:num w:numId="9">
    <w:abstractNumId w:val="10"/>
  </w:num>
  <w:num w:numId="10">
    <w:abstractNumId w:val="4"/>
  </w:num>
  <w:num w:numId="11">
    <w:abstractNumId w:val="17"/>
  </w:num>
  <w:num w:numId="12">
    <w:abstractNumId w:val="12"/>
  </w:num>
  <w:num w:numId="13">
    <w:abstractNumId w:val="3"/>
  </w:num>
  <w:num w:numId="14">
    <w:abstractNumId w:val="6"/>
  </w:num>
  <w:num w:numId="15">
    <w:abstractNumId w:val="9"/>
  </w:num>
  <w:num w:numId="16">
    <w:abstractNumId w:val="5"/>
  </w:num>
  <w:num w:numId="17">
    <w:abstractNumId w:val="11"/>
  </w:num>
  <w:num w:numId="18">
    <w:abstractNumId w:val="8"/>
  </w:num>
  <w:num w:numId="19">
    <w:abstractNumId w:val="2"/>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CF0"/>
    <w:rsid w:val="00004139"/>
    <w:rsid w:val="00010488"/>
    <w:rsid w:val="00012D25"/>
    <w:rsid w:val="00012DA4"/>
    <w:rsid w:val="00015316"/>
    <w:rsid w:val="00017F9C"/>
    <w:rsid w:val="0002080A"/>
    <w:rsid w:val="00023539"/>
    <w:rsid w:val="00025133"/>
    <w:rsid w:val="0002782F"/>
    <w:rsid w:val="00027B80"/>
    <w:rsid w:val="00031512"/>
    <w:rsid w:val="00042B2A"/>
    <w:rsid w:val="00054344"/>
    <w:rsid w:val="00054E4D"/>
    <w:rsid w:val="00056075"/>
    <w:rsid w:val="00057C66"/>
    <w:rsid w:val="00060073"/>
    <w:rsid w:val="00060268"/>
    <w:rsid w:val="00076806"/>
    <w:rsid w:val="00082F24"/>
    <w:rsid w:val="00083762"/>
    <w:rsid w:val="00084483"/>
    <w:rsid w:val="000847AD"/>
    <w:rsid w:val="00085E5F"/>
    <w:rsid w:val="00090482"/>
    <w:rsid w:val="0009201C"/>
    <w:rsid w:val="0009625E"/>
    <w:rsid w:val="00097855"/>
    <w:rsid w:val="000A73A1"/>
    <w:rsid w:val="000B378E"/>
    <w:rsid w:val="000B5C09"/>
    <w:rsid w:val="000B792B"/>
    <w:rsid w:val="000C1351"/>
    <w:rsid w:val="000C326A"/>
    <w:rsid w:val="000D66D6"/>
    <w:rsid w:val="000E1E2C"/>
    <w:rsid w:val="000E2D48"/>
    <w:rsid w:val="000E314A"/>
    <w:rsid w:val="000E4D50"/>
    <w:rsid w:val="00101AE6"/>
    <w:rsid w:val="00102C38"/>
    <w:rsid w:val="0010749C"/>
    <w:rsid w:val="00120C47"/>
    <w:rsid w:val="00122678"/>
    <w:rsid w:val="00132151"/>
    <w:rsid w:val="001321BE"/>
    <w:rsid w:val="00141AA1"/>
    <w:rsid w:val="00144336"/>
    <w:rsid w:val="001446E7"/>
    <w:rsid w:val="001534F0"/>
    <w:rsid w:val="001541EA"/>
    <w:rsid w:val="00160804"/>
    <w:rsid w:val="00162DE2"/>
    <w:rsid w:val="00166C88"/>
    <w:rsid w:val="00166DDA"/>
    <w:rsid w:val="0018010B"/>
    <w:rsid w:val="001827E8"/>
    <w:rsid w:val="00184F1E"/>
    <w:rsid w:val="00186E8B"/>
    <w:rsid w:val="00196F86"/>
    <w:rsid w:val="001A54B7"/>
    <w:rsid w:val="001B0AB2"/>
    <w:rsid w:val="001B0AB5"/>
    <w:rsid w:val="001C0860"/>
    <w:rsid w:val="001C45FF"/>
    <w:rsid w:val="001D663E"/>
    <w:rsid w:val="001E1DC0"/>
    <w:rsid w:val="001E2201"/>
    <w:rsid w:val="001F43A2"/>
    <w:rsid w:val="001F5C34"/>
    <w:rsid w:val="001F61E9"/>
    <w:rsid w:val="00201A1E"/>
    <w:rsid w:val="00212FB7"/>
    <w:rsid w:val="0023252F"/>
    <w:rsid w:val="00236A53"/>
    <w:rsid w:val="002563C1"/>
    <w:rsid w:val="00256C7F"/>
    <w:rsid w:val="00266F82"/>
    <w:rsid w:val="00272B5F"/>
    <w:rsid w:val="00275DB7"/>
    <w:rsid w:val="002813EE"/>
    <w:rsid w:val="00284957"/>
    <w:rsid w:val="002853F9"/>
    <w:rsid w:val="0028602A"/>
    <w:rsid w:val="002A3C7E"/>
    <w:rsid w:val="002A4A0E"/>
    <w:rsid w:val="002A51CA"/>
    <w:rsid w:val="002A62C8"/>
    <w:rsid w:val="002B3E95"/>
    <w:rsid w:val="002B424F"/>
    <w:rsid w:val="002B5AD7"/>
    <w:rsid w:val="002B5E10"/>
    <w:rsid w:val="002D35BB"/>
    <w:rsid w:val="002D661F"/>
    <w:rsid w:val="002D7FBA"/>
    <w:rsid w:val="002E2159"/>
    <w:rsid w:val="002E32E0"/>
    <w:rsid w:val="002E78FB"/>
    <w:rsid w:val="002F5A31"/>
    <w:rsid w:val="003002C0"/>
    <w:rsid w:val="00301144"/>
    <w:rsid w:val="00302129"/>
    <w:rsid w:val="003148B7"/>
    <w:rsid w:val="003158C3"/>
    <w:rsid w:val="00323E53"/>
    <w:rsid w:val="003274CD"/>
    <w:rsid w:val="00333501"/>
    <w:rsid w:val="0034014B"/>
    <w:rsid w:val="00341864"/>
    <w:rsid w:val="00342E47"/>
    <w:rsid w:val="003457C4"/>
    <w:rsid w:val="00345882"/>
    <w:rsid w:val="00347EC3"/>
    <w:rsid w:val="0035119D"/>
    <w:rsid w:val="00353365"/>
    <w:rsid w:val="00355299"/>
    <w:rsid w:val="00365784"/>
    <w:rsid w:val="00375EB5"/>
    <w:rsid w:val="0037661F"/>
    <w:rsid w:val="00380104"/>
    <w:rsid w:val="00393158"/>
    <w:rsid w:val="00393617"/>
    <w:rsid w:val="003B009F"/>
    <w:rsid w:val="003B11B8"/>
    <w:rsid w:val="003B2332"/>
    <w:rsid w:val="003B32B0"/>
    <w:rsid w:val="003B4F12"/>
    <w:rsid w:val="003C14B0"/>
    <w:rsid w:val="003C2742"/>
    <w:rsid w:val="003D352D"/>
    <w:rsid w:val="003D7540"/>
    <w:rsid w:val="003E305C"/>
    <w:rsid w:val="003E385A"/>
    <w:rsid w:val="003E3CAC"/>
    <w:rsid w:val="003F506B"/>
    <w:rsid w:val="00400B0F"/>
    <w:rsid w:val="004022EB"/>
    <w:rsid w:val="00402ACC"/>
    <w:rsid w:val="0040460A"/>
    <w:rsid w:val="0040666C"/>
    <w:rsid w:val="004120EC"/>
    <w:rsid w:val="0042041F"/>
    <w:rsid w:val="00423F31"/>
    <w:rsid w:val="00431899"/>
    <w:rsid w:val="00433007"/>
    <w:rsid w:val="00433A3D"/>
    <w:rsid w:val="00436526"/>
    <w:rsid w:val="004527D9"/>
    <w:rsid w:val="00453669"/>
    <w:rsid w:val="0046387E"/>
    <w:rsid w:val="00470A44"/>
    <w:rsid w:val="004800BE"/>
    <w:rsid w:val="00480422"/>
    <w:rsid w:val="00480CF2"/>
    <w:rsid w:val="0048129A"/>
    <w:rsid w:val="004839E3"/>
    <w:rsid w:val="00486804"/>
    <w:rsid w:val="004977A1"/>
    <w:rsid w:val="004A01C8"/>
    <w:rsid w:val="004A7B3C"/>
    <w:rsid w:val="004B1DE0"/>
    <w:rsid w:val="004B3775"/>
    <w:rsid w:val="004B5AAE"/>
    <w:rsid w:val="004C0BD5"/>
    <w:rsid w:val="004C40D0"/>
    <w:rsid w:val="004C421A"/>
    <w:rsid w:val="004C5A6B"/>
    <w:rsid w:val="004D0BA0"/>
    <w:rsid w:val="004E0264"/>
    <w:rsid w:val="004E058F"/>
    <w:rsid w:val="004E3B87"/>
    <w:rsid w:val="004E7A4D"/>
    <w:rsid w:val="004F6B1D"/>
    <w:rsid w:val="00501D07"/>
    <w:rsid w:val="005107ED"/>
    <w:rsid w:val="00510921"/>
    <w:rsid w:val="00510AD3"/>
    <w:rsid w:val="00513348"/>
    <w:rsid w:val="00526C5D"/>
    <w:rsid w:val="0052772B"/>
    <w:rsid w:val="00531507"/>
    <w:rsid w:val="00533B5D"/>
    <w:rsid w:val="005434D7"/>
    <w:rsid w:val="00550890"/>
    <w:rsid w:val="005511BF"/>
    <w:rsid w:val="005645EF"/>
    <w:rsid w:val="0057021D"/>
    <w:rsid w:val="00570A43"/>
    <w:rsid w:val="00580A64"/>
    <w:rsid w:val="00587477"/>
    <w:rsid w:val="00587A61"/>
    <w:rsid w:val="0059146A"/>
    <w:rsid w:val="005933B0"/>
    <w:rsid w:val="00596A1C"/>
    <w:rsid w:val="00597AC4"/>
    <w:rsid w:val="005A06C8"/>
    <w:rsid w:val="005A188B"/>
    <w:rsid w:val="005A1A21"/>
    <w:rsid w:val="005B027B"/>
    <w:rsid w:val="005B1F70"/>
    <w:rsid w:val="005B2568"/>
    <w:rsid w:val="005B5769"/>
    <w:rsid w:val="005B6CF8"/>
    <w:rsid w:val="005B6D12"/>
    <w:rsid w:val="005B77F3"/>
    <w:rsid w:val="005C78DB"/>
    <w:rsid w:val="005C79FA"/>
    <w:rsid w:val="005D0112"/>
    <w:rsid w:val="005D3655"/>
    <w:rsid w:val="005D5723"/>
    <w:rsid w:val="005E606B"/>
    <w:rsid w:val="005F064B"/>
    <w:rsid w:val="00601B12"/>
    <w:rsid w:val="00603E7E"/>
    <w:rsid w:val="00615C98"/>
    <w:rsid w:val="0062027B"/>
    <w:rsid w:val="00623BA1"/>
    <w:rsid w:val="006346BC"/>
    <w:rsid w:val="00640A77"/>
    <w:rsid w:val="00645940"/>
    <w:rsid w:val="006545B9"/>
    <w:rsid w:val="00660104"/>
    <w:rsid w:val="0066652A"/>
    <w:rsid w:val="0067224C"/>
    <w:rsid w:val="0067636C"/>
    <w:rsid w:val="00680522"/>
    <w:rsid w:val="00681F08"/>
    <w:rsid w:val="00682167"/>
    <w:rsid w:val="00695730"/>
    <w:rsid w:val="006A7B46"/>
    <w:rsid w:val="006C42AF"/>
    <w:rsid w:val="006C657D"/>
    <w:rsid w:val="006D7FC8"/>
    <w:rsid w:val="006E0A6F"/>
    <w:rsid w:val="006F12AA"/>
    <w:rsid w:val="006F27B1"/>
    <w:rsid w:val="006F4992"/>
    <w:rsid w:val="00705DAE"/>
    <w:rsid w:val="00711D8E"/>
    <w:rsid w:val="00712672"/>
    <w:rsid w:val="00713318"/>
    <w:rsid w:val="00723D77"/>
    <w:rsid w:val="007244EC"/>
    <w:rsid w:val="007257B0"/>
    <w:rsid w:val="007323D1"/>
    <w:rsid w:val="00734E3F"/>
    <w:rsid w:val="007367F9"/>
    <w:rsid w:val="00736985"/>
    <w:rsid w:val="00745DF5"/>
    <w:rsid w:val="0074751C"/>
    <w:rsid w:val="0076250F"/>
    <w:rsid w:val="00762D05"/>
    <w:rsid w:val="00771B53"/>
    <w:rsid w:val="00780133"/>
    <w:rsid w:val="00784031"/>
    <w:rsid w:val="00792CE2"/>
    <w:rsid w:val="007A0AC7"/>
    <w:rsid w:val="007A13AE"/>
    <w:rsid w:val="007A1BC0"/>
    <w:rsid w:val="007A6119"/>
    <w:rsid w:val="007A61AD"/>
    <w:rsid w:val="007B3AE8"/>
    <w:rsid w:val="007B5BF3"/>
    <w:rsid w:val="007B6200"/>
    <w:rsid w:val="007C41FA"/>
    <w:rsid w:val="007E0033"/>
    <w:rsid w:val="007E05FE"/>
    <w:rsid w:val="007E54A6"/>
    <w:rsid w:val="007E6475"/>
    <w:rsid w:val="007F3395"/>
    <w:rsid w:val="00801B6D"/>
    <w:rsid w:val="00801B9F"/>
    <w:rsid w:val="00802CC8"/>
    <w:rsid w:val="008057FD"/>
    <w:rsid w:val="00812509"/>
    <w:rsid w:val="00817A68"/>
    <w:rsid w:val="008414EC"/>
    <w:rsid w:val="008433E9"/>
    <w:rsid w:val="00843574"/>
    <w:rsid w:val="008475F0"/>
    <w:rsid w:val="008505C6"/>
    <w:rsid w:val="008576E2"/>
    <w:rsid w:val="00864210"/>
    <w:rsid w:val="00864691"/>
    <w:rsid w:val="00867B6A"/>
    <w:rsid w:val="00877607"/>
    <w:rsid w:val="008A036D"/>
    <w:rsid w:val="008A1290"/>
    <w:rsid w:val="008A4FA2"/>
    <w:rsid w:val="008A5AFE"/>
    <w:rsid w:val="008B68D7"/>
    <w:rsid w:val="008B6DAC"/>
    <w:rsid w:val="008C036E"/>
    <w:rsid w:val="008C2F58"/>
    <w:rsid w:val="008C5A0E"/>
    <w:rsid w:val="008C79BA"/>
    <w:rsid w:val="008C7A73"/>
    <w:rsid w:val="008C7EC3"/>
    <w:rsid w:val="008D4779"/>
    <w:rsid w:val="008D679B"/>
    <w:rsid w:val="008F56A8"/>
    <w:rsid w:val="008F64BC"/>
    <w:rsid w:val="00912540"/>
    <w:rsid w:val="00916FB1"/>
    <w:rsid w:val="00920FDE"/>
    <w:rsid w:val="009235B6"/>
    <w:rsid w:val="009331F0"/>
    <w:rsid w:val="00935036"/>
    <w:rsid w:val="00935B01"/>
    <w:rsid w:val="00937C2F"/>
    <w:rsid w:val="00945BE0"/>
    <w:rsid w:val="009548D8"/>
    <w:rsid w:val="00957300"/>
    <w:rsid w:val="00961DFF"/>
    <w:rsid w:val="00971075"/>
    <w:rsid w:val="009903F3"/>
    <w:rsid w:val="00992C76"/>
    <w:rsid w:val="009A4762"/>
    <w:rsid w:val="009A4E64"/>
    <w:rsid w:val="009A7463"/>
    <w:rsid w:val="009B3D5F"/>
    <w:rsid w:val="009B4D3B"/>
    <w:rsid w:val="009B6EFA"/>
    <w:rsid w:val="009C6AB6"/>
    <w:rsid w:val="009D6316"/>
    <w:rsid w:val="009D7407"/>
    <w:rsid w:val="009E0866"/>
    <w:rsid w:val="009E0EBF"/>
    <w:rsid w:val="009E1C23"/>
    <w:rsid w:val="009F5488"/>
    <w:rsid w:val="009F6423"/>
    <w:rsid w:val="009F6A83"/>
    <w:rsid w:val="00A071C2"/>
    <w:rsid w:val="00A10CE8"/>
    <w:rsid w:val="00A229DA"/>
    <w:rsid w:val="00A24A62"/>
    <w:rsid w:val="00A31C9F"/>
    <w:rsid w:val="00A4144F"/>
    <w:rsid w:val="00A52A5C"/>
    <w:rsid w:val="00A56F14"/>
    <w:rsid w:val="00A56FC0"/>
    <w:rsid w:val="00A62D34"/>
    <w:rsid w:val="00A70265"/>
    <w:rsid w:val="00A80F95"/>
    <w:rsid w:val="00A8197B"/>
    <w:rsid w:val="00A84162"/>
    <w:rsid w:val="00A84C53"/>
    <w:rsid w:val="00A92CF2"/>
    <w:rsid w:val="00A92D2C"/>
    <w:rsid w:val="00A938DA"/>
    <w:rsid w:val="00A93AEA"/>
    <w:rsid w:val="00A94E8A"/>
    <w:rsid w:val="00AA5D72"/>
    <w:rsid w:val="00AA6CBA"/>
    <w:rsid w:val="00AA7BE3"/>
    <w:rsid w:val="00AB2AA8"/>
    <w:rsid w:val="00AB5E7F"/>
    <w:rsid w:val="00AB740E"/>
    <w:rsid w:val="00AB7E94"/>
    <w:rsid w:val="00AC164A"/>
    <w:rsid w:val="00AC45FC"/>
    <w:rsid w:val="00AC56BE"/>
    <w:rsid w:val="00AD27EB"/>
    <w:rsid w:val="00AE2B01"/>
    <w:rsid w:val="00AE5618"/>
    <w:rsid w:val="00AF0F3F"/>
    <w:rsid w:val="00AF1B85"/>
    <w:rsid w:val="00AF2050"/>
    <w:rsid w:val="00B03CA8"/>
    <w:rsid w:val="00B12980"/>
    <w:rsid w:val="00B17744"/>
    <w:rsid w:val="00B20E7F"/>
    <w:rsid w:val="00B331DC"/>
    <w:rsid w:val="00B438D3"/>
    <w:rsid w:val="00B55E19"/>
    <w:rsid w:val="00B606A4"/>
    <w:rsid w:val="00B717A8"/>
    <w:rsid w:val="00B739FC"/>
    <w:rsid w:val="00B73C10"/>
    <w:rsid w:val="00B754C8"/>
    <w:rsid w:val="00B80816"/>
    <w:rsid w:val="00B80B0C"/>
    <w:rsid w:val="00B8385E"/>
    <w:rsid w:val="00B8475C"/>
    <w:rsid w:val="00B907C7"/>
    <w:rsid w:val="00BA4B6D"/>
    <w:rsid w:val="00BB26C5"/>
    <w:rsid w:val="00BB648A"/>
    <w:rsid w:val="00BD29CD"/>
    <w:rsid w:val="00BD3984"/>
    <w:rsid w:val="00BE12CB"/>
    <w:rsid w:val="00BE1BEB"/>
    <w:rsid w:val="00BE70DF"/>
    <w:rsid w:val="00BF3260"/>
    <w:rsid w:val="00BF4C01"/>
    <w:rsid w:val="00BF4DE6"/>
    <w:rsid w:val="00C024ED"/>
    <w:rsid w:val="00C04728"/>
    <w:rsid w:val="00C150BD"/>
    <w:rsid w:val="00C1694D"/>
    <w:rsid w:val="00C2430B"/>
    <w:rsid w:val="00C27D91"/>
    <w:rsid w:val="00C33BA3"/>
    <w:rsid w:val="00C42CDE"/>
    <w:rsid w:val="00C47FC4"/>
    <w:rsid w:val="00C5182A"/>
    <w:rsid w:val="00C523F9"/>
    <w:rsid w:val="00C56C26"/>
    <w:rsid w:val="00C56C62"/>
    <w:rsid w:val="00C61ABC"/>
    <w:rsid w:val="00C6297B"/>
    <w:rsid w:val="00C63EE9"/>
    <w:rsid w:val="00C6626C"/>
    <w:rsid w:val="00C7139B"/>
    <w:rsid w:val="00C73C66"/>
    <w:rsid w:val="00C74AE6"/>
    <w:rsid w:val="00CA37B1"/>
    <w:rsid w:val="00CA67F4"/>
    <w:rsid w:val="00CA7371"/>
    <w:rsid w:val="00CA76DA"/>
    <w:rsid w:val="00CB1959"/>
    <w:rsid w:val="00CB2F35"/>
    <w:rsid w:val="00CC4767"/>
    <w:rsid w:val="00CD0E4B"/>
    <w:rsid w:val="00CD1652"/>
    <w:rsid w:val="00CE0155"/>
    <w:rsid w:val="00CE1413"/>
    <w:rsid w:val="00CE2B3E"/>
    <w:rsid w:val="00CE695B"/>
    <w:rsid w:val="00CF1545"/>
    <w:rsid w:val="00CF64AE"/>
    <w:rsid w:val="00CF670F"/>
    <w:rsid w:val="00CF6FF5"/>
    <w:rsid w:val="00D00802"/>
    <w:rsid w:val="00D0296C"/>
    <w:rsid w:val="00D04550"/>
    <w:rsid w:val="00D061BB"/>
    <w:rsid w:val="00D146A2"/>
    <w:rsid w:val="00D151E7"/>
    <w:rsid w:val="00D15A00"/>
    <w:rsid w:val="00D2580E"/>
    <w:rsid w:val="00D2653F"/>
    <w:rsid w:val="00D26A54"/>
    <w:rsid w:val="00D34211"/>
    <w:rsid w:val="00D45F00"/>
    <w:rsid w:val="00D47C89"/>
    <w:rsid w:val="00D541D5"/>
    <w:rsid w:val="00D64BD1"/>
    <w:rsid w:val="00D72760"/>
    <w:rsid w:val="00D92FEA"/>
    <w:rsid w:val="00D95E3B"/>
    <w:rsid w:val="00DA45F8"/>
    <w:rsid w:val="00DB20DC"/>
    <w:rsid w:val="00DB52FC"/>
    <w:rsid w:val="00DB57C8"/>
    <w:rsid w:val="00DD1986"/>
    <w:rsid w:val="00DD2409"/>
    <w:rsid w:val="00DD3362"/>
    <w:rsid w:val="00DD3FAF"/>
    <w:rsid w:val="00DE084C"/>
    <w:rsid w:val="00DE34B0"/>
    <w:rsid w:val="00DE5B59"/>
    <w:rsid w:val="00DE7142"/>
    <w:rsid w:val="00DF55AA"/>
    <w:rsid w:val="00E01C62"/>
    <w:rsid w:val="00E01E95"/>
    <w:rsid w:val="00E16028"/>
    <w:rsid w:val="00E206FF"/>
    <w:rsid w:val="00E31EC6"/>
    <w:rsid w:val="00E32EED"/>
    <w:rsid w:val="00E33320"/>
    <w:rsid w:val="00E3522B"/>
    <w:rsid w:val="00E357B7"/>
    <w:rsid w:val="00E43640"/>
    <w:rsid w:val="00E50780"/>
    <w:rsid w:val="00E50A32"/>
    <w:rsid w:val="00E51209"/>
    <w:rsid w:val="00E53800"/>
    <w:rsid w:val="00E558FA"/>
    <w:rsid w:val="00E55AA7"/>
    <w:rsid w:val="00E563C1"/>
    <w:rsid w:val="00E6081F"/>
    <w:rsid w:val="00E65105"/>
    <w:rsid w:val="00E82EDD"/>
    <w:rsid w:val="00E83A27"/>
    <w:rsid w:val="00E85C9A"/>
    <w:rsid w:val="00E92F84"/>
    <w:rsid w:val="00E95063"/>
    <w:rsid w:val="00E9577E"/>
    <w:rsid w:val="00EA04B2"/>
    <w:rsid w:val="00EA20F3"/>
    <w:rsid w:val="00EA4891"/>
    <w:rsid w:val="00EA6E81"/>
    <w:rsid w:val="00EB3E92"/>
    <w:rsid w:val="00ED1CD6"/>
    <w:rsid w:val="00ED2831"/>
    <w:rsid w:val="00ED2EAC"/>
    <w:rsid w:val="00ED43D1"/>
    <w:rsid w:val="00ED7BF1"/>
    <w:rsid w:val="00EE4EE1"/>
    <w:rsid w:val="00EF26B5"/>
    <w:rsid w:val="00EF4574"/>
    <w:rsid w:val="00EF4AD9"/>
    <w:rsid w:val="00F06182"/>
    <w:rsid w:val="00F06E14"/>
    <w:rsid w:val="00F126BC"/>
    <w:rsid w:val="00F15E44"/>
    <w:rsid w:val="00F2684E"/>
    <w:rsid w:val="00F27D08"/>
    <w:rsid w:val="00F30714"/>
    <w:rsid w:val="00F346A5"/>
    <w:rsid w:val="00F36C86"/>
    <w:rsid w:val="00F4140A"/>
    <w:rsid w:val="00F42E40"/>
    <w:rsid w:val="00F42ECF"/>
    <w:rsid w:val="00F43747"/>
    <w:rsid w:val="00F51130"/>
    <w:rsid w:val="00F5404C"/>
    <w:rsid w:val="00F60B76"/>
    <w:rsid w:val="00F67950"/>
    <w:rsid w:val="00F729EF"/>
    <w:rsid w:val="00F7583B"/>
    <w:rsid w:val="00F77CAE"/>
    <w:rsid w:val="00F813BC"/>
    <w:rsid w:val="00F8189A"/>
    <w:rsid w:val="00F81B6E"/>
    <w:rsid w:val="00F82271"/>
    <w:rsid w:val="00F83428"/>
    <w:rsid w:val="00F84330"/>
    <w:rsid w:val="00F96BB9"/>
    <w:rsid w:val="00F97067"/>
    <w:rsid w:val="00FB0881"/>
    <w:rsid w:val="00FB4F75"/>
    <w:rsid w:val="00FD0770"/>
    <w:rsid w:val="00FE6574"/>
    <w:rsid w:val="00FE6D51"/>
    <w:rsid w:val="00FF09F3"/>
    <w:rsid w:val="00FF0C20"/>
    <w:rsid w:val="00FF2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uiPriority w:val="99"/>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06A4"/>
    <w:rPr>
      <w:sz w:val="16"/>
      <w:szCs w:val="16"/>
    </w:rPr>
  </w:style>
  <w:style w:type="paragraph" w:styleId="CommentText">
    <w:name w:val="annotation text"/>
    <w:basedOn w:val="Normal"/>
    <w:link w:val="CommentTextChar"/>
    <w:uiPriority w:val="99"/>
    <w:semiHidden/>
    <w:unhideWhenUsed/>
    <w:rsid w:val="00B606A4"/>
    <w:pPr>
      <w:spacing w:line="240" w:lineRule="auto"/>
    </w:pPr>
    <w:rPr>
      <w:sz w:val="20"/>
      <w:szCs w:val="20"/>
    </w:rPr>
  </w:style>
  <w:style w:type="character" w:customStyle="1" w:styleId="CommentTextChar">
    <w:name w:val="Comment Text Char"/>
    <w:basedOn w:val="DefaultParagraphFont"/>
    <w:link w:val="CommentText"/>
    <w:uiPriority w:val="99"/>
    <w:semiHidden/>
    <w:rsid w:val="00B606A4"/>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B606A4"/>
    <w:rPr>
      <w:b/>
      <w:bCs/>
    </w:rPr>
  </w:style>
  <w:style w:type="character" w:customStyle="1" w:styleId="CommentSubjectChar">
    <w:name w:val="Comment Subject Char"/>
    <w:basedOn w:val="CommentTextChar"/>
    <w:link w:val="CommentSubject"/>
    <w:uiPriority w:val="99"/>
    <w:semiHidden/>
    <w:rsid w:val="00B606A4"/>
    <w:rPr>
      <w:b/>
      <w:bCs/>
      <w:color w:val="495965" w:themeColor="text2"/>
      <w:sz w:val="20"/>
      <w:szCs w:val="20"/>
      <w:lang w:val="en-GB"/>
    </w:rPr>
  </w:style>
  <w:style w:type="character" w:styleId="FollowedHyperlink">
    <w:name w:val="FollowedHyperlink"/>
    <w:basedOn w:val="DefaultParagraphFont"/>
    <w:uiPriority w:val="99"/>
    <w:semiHidden/>
    <w:unhideWhenUsed/>
    <w:rsid w:val="0046387E"/>
    <w:rPr>
      <w:color w:val="800080" w:themeColor="followedHyperlink"/>
      <w:u w:val="single"/>
    </w:rPr>
  </w:style>
  <w:style w:type="paragraph" w:styleId="ListParagraph">
    <w:name w:val="List Paragraph"/>
    <w:aliases w:val="List Paragraph11,Recommendation,List Paragraph1,L,List Paragraph111,F5 List Paragraph,Dot pt,CV text,Table text,Numbered Paragraph,List Paragraph2,Bulleted Para,NFP GP Bulleted List,FooterText,numbered,列出段落,列出段落1,Paragraphe de liste1,DH"/>
    <w:basedOn w:val="Normal"/>
    <w:link w:val="ListParagraphChar"/>
    <w:uiPriority w:val="34"/>
    <w:qFormat/>
    <w:rsid w:val="008C7A73"/>
    <w:pPr>
      <w:ind w:left="720"/>
      <w:contextualSpacing/>
    </w:pPr>
  </w:style>
  <w:style w:type="character" w:customStyle="1" w:styleId="ListParagraphChar">
    <w:name w:val="List Paragraph Char"/>
    <w:aliases w:val="List Paragraph11 Char,Recommendation Char,List Paragraph1 Char,L Char,List Paragraph111 Char,F5 List Paragraph Char,Dot pt Char,CV text Char,Table text Char,Numbered Paragraph Char,List Paragraph2 Char,Bulleted Para Char,列出段落 Char"/>
    <w:basedOn w:val="DefaultParagraphFont"/>
    <w:link w:val="ListParagraph"/>
    <w:uiPriority w:val="34"/>
    <w:locked/>
    <w:rsid w:val="008C7A73"/>
    <w:rPr>
      <w:color w:val="495965" w:themeColor="text2"/>
      <w:lang w:val="en-GB"/>
    </w:rPr>
  </w:style>
  <w:style w:type="paragraph" w:styleId="Revision">
    <w:name w:val="Revision"/>
    <w:hidden/>
    <w:uiPriority w:val="99"/>
    <w:semiHidden/>
    <w:rsid w:val="00160804"/>
    <w:pPr>
      <w:spacing w:after="0" w:line="240" w:lineRule="auto"/>
    </w:pPr>
    <w:rPr>
      <w:color w:val="495965" w:themeColor="text2"/>
      <w:lang w:val="en-GB"/>
    </w:rPr>
  </w:style>
  <w:style w:type="paragraph" w:customStyle="1" w:styleId="Default">
    <w:name w:val="Default"/>
    <w:rsid w:val="003B2332"/>
    <w:pPr>
      <w:autoSpaceDE w:val="0"/>
      <w:autoSpaceDN w:val="0"/>
      <w:adjustRightInd w:val="0"/>
      <w:spacing w:after="0" w:line="240" w:lineRule="auto"/>
    </w:pPr>
    <w:rPr>
      <w:rFonts w:ascii="Calibri Light" w:hAnsi="Calibri Light" w:cs="Calibri Light"/>
      <w:color w:val="000000"/>
      <w:sz w:val="24"/>
      <w:szCs w:val="24"/>
    </w:rPr>
  </w:style>
  <w:style w:type="paragraph" w:customStyle="1" w:styleId="normalindented0">
    <w:name w:val="normalindented"/>
    <w:basedOn w:val="Normal"/>
    <w:rsid w:val="005C79FA"/>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9704">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379669830">
      <w:bodyDiv w:val="1"/>
      <w:marLeft w:val="0"/>
      <w:marRight w:val="0"/>
      <w:marTop w:val="0"/>
      <w:marBottom w:val="0"/>
      <w:divBdr>
        <w:top w:val="none" w:sz="0" w:space="0" w:color="auto"/>
        <w:left w:val="none" w:sz="0" w:space="0" w:color="auto"/>
        <w:bottom w:val="none" w:sz="0" w:space="0" w:color="auto"/>
        <w:right w:val="none" w:sz="0" w:space="0" w:color="auto"/>
      </w:divBdr>
    </w:div>
    <w:div w:id="1039402564">
      <w:bodyDiv w:val="1"/>
      <w:marLeft w:val="0"/>
      <w:marRight w:val="0"/>
      <w:marTop w:val="0"/>
      <w:marBottom w:val="0"/>
      <w:divBdr>
        <w:top w:val="none" w:sz="0" w:space="0" w:color="auto"/>
        <w:left w:val="none" w:sz="0" w:space="0" w:color="auto"/>
        <w:bottom w:val="none" w:sz="0" w:space="0" w:color="auto"/>
        <w:right w:val="none" w:sz="0" w:space="0" w:color="auto"/>
      </w:divBdr>
    </w:div>
    <w:div w:id="1300768520">
      <w:bodyDiv w:val="1"/>
      <w:marLeft w:val="0"/>
      <w:marRight w:val="0"/>
      <w:marTop w:val="0"/>
      <w:marBottom w:val="0"/>
      <w:divBdr>
        <w:top w:val="none" w:sz="0" w:space="0" w:color="auto"/>
        <w:left w:val="none" w:sz="0" w:space="0" w:color="auto"/>
        <w:bottom w:val="none" w:sz="0" w:space="0" w:color="auto"/>
        <w:right w:val="none" w:sz="0" w:space="0" w:color="auto"/>
      </w:divBdr>
    </w:div>
    <w:div w:id="1572933533">
      <w:bodyDiv w:val="1"/>
      <w:marLeft w:val="0"/>
      <w:marRight w:val="0"/>
      <w:marTop w:val="0"/>
      <w:marBottom w:val="0"/>
      <w:divBdr>
        <w:top w:val="none" w:sz="0" w:space="0" w:color="auto"/>
        <w:left w:val="none" w:sz="0" w:space="0" w:color="auto"/>
        <w:bottom w:val="none" w:sz="0" w:space="0" w:color="auto"/>
        <w:right w:val="none" w:sz="0" w:space="0" w:color="auto"/>
      </w:divBdr>
    </w:div>
    <w:div w:id="1724475664">
      <w:bodyDiv w:val="1"/>
      <w:marLeft w:val="0"/>
      <w:marRight w:val="0"/>
      <w:marTop w:val="0"/>
      <w:marBottom w:val="0"/>
      <w:divBdr>
        <w:top w:val="none" w:sz="0" w:space="0" w:color="auto"/>
        <w:left w:val="none" w:sz="0" w:space="0" w:color="auto"/>
        <w:bottom w:val="none" w:sz="0" w:space="0" w:color="auto"/>
        <w:right w:val="none" w:sz="0" w:space="0" w:color="auto"/>
      </w:divBdr>
    </w:div>
    <w:div w:id="1832453545">
      <w:bodyDiv w:val="1"/>
      <w:marLeft w:val="0"/>
      <w:marRight w:val="0"/>
      <w:marTop w:val="0"/>
      <w:marBottom w:val="0"/>
      <w:divBdr>
        <w:top w:val="none" w:sz="0" w:space="0" w:color="auto"/>
        <w:left w:val="none" w:sz="0" w:space="0" w:color="auto"/>
        <w:bottom w:val="none" w:sz="0" w:space="0" w:color="auto"/>
        <w:right w:val="none" w:sz="0" w:space="0" w:color="auto"/>
      </w:divBdr>
    </w:div>
    <w:div w:id="19113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39" Type="http://schemas.openxmlformats.org/officeDocument/2006/relationships/image" Target="media/image17.png"/><Relationship Id="rId21" Type="http://schemas.openxmlformats.org/officeDocument/2006/relationships/image" Target="media/image10.png"/><Relationship Id="rId34" Type="http://schemas.openxmlformats.org/officeDocument/2006/relationships/image" Target="media/image130.jpeg"/><Relationship Id="rId42" Type="http://schemas.openxmlformats.org/officeDocument/2006/relationships/image" Target="media/image20.png"/><Relationship Id="rId47" Type="http://schemas.openxmlformats.org/officeDocument/2006/relationships/header" Target="header7.xml"/><Relationship Id="rId50"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80.png"/><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image" Target="media/image110.png"/><Relationship Id="rId37" Type="http://schemas.openxmlformats.org/officeDocument/2006/relationships/image" Target="media/image15.jpeg"/><Relationship Id="rId40" Type="http://schemas.openxmlformats.org/officeDocument/2006/relationships/image" Target="media/image18.png"/><Relationship Id="rId45" Type="http://schemas.openxmlformats.org/officeDocument/2006/relationships/header" Target="header5.xml"/><Relationship Id="rId53"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image" Target="media/image70.png"/><Relationship Id="rId36" Type="http://schemas.openxmlformats.org/officeDocument/2006/relationships/image" Target="media/image14.jpe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100.png"/><Relationship Id="rId44" Type="http://schemas.openxmlformats.org/officeDocument/2006/relationships/footer" Target="footer4.xm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image" Target="media/image60.png"/><Relationship Id="rId30" Type="http://schemas.openxmlformats.org/officeDocument/2006/relationships/image" Target="media/image90.png"/><Relationship Id="rId35" Type="http://schemas.openxmlformats.org/officeDocument/2006/relationships/image" Target="cid:image001.jpg@01D5590E.983FF440"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cid:image001.jpg@01D5590E.983FF440" TargetMode="External"/><Relationship Id="rId33" Type="http://schemas.openxmlformats.org/officeDocument/2006/relationships/image" Target="media/image120.png"/><Relationship Id="rId38" Type="http://schemas.openxmlformats.org/officeDocument/2006/relationships/image" Target="media/image16.jpeg"/><Relationship Id="rId46" Type="http://schemas.openxmlformats.org/officeDocument/2006/relationships/header" Target="header6.xml"/><Relationship Id="rId20" Type="http://schemas.openxmlformats.org/officeDocument/2006/relationships/image" Target="media/image9.png"/><Relationship Id="rId41"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B678B5-875C-4E2F-9DF9-072CB7A534F8}"/>
</file>

<file path=customXml/itemProps2.xml><?xml version="1.0" encoding="utf-8"?>
<ds:datastoreItem xmlns:ds="http://schemas.openxmlformats.org/officeDocument/2006/customXml" ds:itemID="{057DBE0A-A768-4D79-AB91-AF971AC4D2FC}"/>
</file>

<file path=customXml/itemProps3.xml><?xml version="1.0" encoding="utf-8"?>
<ds:datastoreItem xmlns:ds="http://schemas.openxmlformats.org/officeDocument/2006/customXml" ds:itemID="{A28BDFBE-845A-4CFF-98AD-D3D4A901EE16}"/>
</file>

<file path=customXml/itemProps4.xml><?xml version="1.0" encoding="utf-8"?>
<ds:datastoreItem xmlns:ds="http://schemas.openxmlformats.org/officeDocument/2006/customXml" ds:itemID="{0D71F42F-6820-47F3-A11E-37C280F60139}"/>
</file>

<file path=docProps/app.xml><?xml version="1.0" encoding="utf-8"?>
<Properties xmlns="http://schemas.openxmlformats.org/officeDocument/2006/extended-properties" xmlns:vt="http://schemas.openxmlformats.org/officeDocument/2006/docPropsVTypes">
  <Template>Normal.dotm</Template>
  <TotalTime>0</TotalTime>
  <Pages>17</Pages>
  <Words>6294</Words>
  <Characters>35881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2019-09-20T00:30:00Z</dcterms:created>
  <dcterms:modified xsi:type="dcterms:W3CDTF">2019-09-20T00:30:00Z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4aa52ae2-45b4-4b36-bfe6-8c0a71df0093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1264200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